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31" w:lineRule="exact"/>
        <w:rPr>
          <w:sz w:val="24"/>
          <w:szCs w:val="24"/>
          <w:color w:val="auto"/>
        </w:rPr>
      </w:pPr>
    </w:p>
    <w:p>
      <w:pPr>
        <w:ind w:left="4240" w:right="1520" w:hanging="4219"/>
        <w:spacing w:after="0" w:line="280" w:lineRule="auto"/>
        <w:tabs>
          <w:tab w:leader="none" w:pos="92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b w:val="1"/>
          <w:bCs w:val="1"/>
          <w:color w:val="auto"/>
        </w:rPr>
        <w:t>For the fiscal year ended December 31, 2022</w:t>
      </w: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24" w:lineRule="exact"/>
        <w:rPr>
          <w:sz w:val="24"/>
          <w:szCs w:val="24"/>
          <w:color w:val="auto"/>
        </w:rPr>
      </w:pPr>
    </w:p>
    <w:p>
      <w:pPr>
        <w:jc w:val="center"/>
        <w:ind w:left="4320" w:right="1160" w:hanging="4299"/>
        <w:spacing w:after="0" w:line="285" w:lineRule="auto"/>
        <w:tabs>
          <w:tab w:leader="none" w:pos="93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7"/>
          <w:szCs w:val="17"/>
          <w:b w:val="1"/>
          <w:bCs w:val="1"/>
          <w:color w:val="auto"/>
        </w:rPr>
        <w:t>Commission file number 814-01543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33655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Sixth Street Lending Partners</w:t>
      </w:r>
    </w:p>
    <w:p>
      <w:pPr>
        <w:spacing w:after="0" w:line="8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2400" w:type="dxa"/>
            <w:vAlign w:val="bottom"/>
          </w:tcPr>
          <w:p>
            <w:pPr>
              <w:spacing w:after="0"/>
              <w:rPr>
                <w:sz w:val="19"/>
                <w:szCs w:val="19"/>
                <w:color w:val="auto"/>
              </w:rPr>
            </w:pPr>
          </w:p>
        </w:tc>
        <w:tc>
          <w:tcPr>
            <w:tcW w:w="5400" w:type="dxa"/>
            <w:vAlign w:val="bottom"/>
            <w:gridSpan w:val="5"/>
          </w:tcPr>
          <w:p>
            <w:pPr>
              <w:jc w:val="center"/>
              <w:ind w:left="915"/>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400" w:type="dxa"/>
            <w:vAlign w:val="bottom"/>
          </w:tcPr>
          <w:p>
            <w:pPr>
              <w:spacing w:after="0"/>
              <w:rPr>
                <w:sz w:val="24"/>
                <w:szCs w:val="24"/>
                <w:color w:val="auto"/>
              </w:rPr>
            </w:pPr>
          </w:p>
        </w:tc>
        <w:tc>
          <w:tcPr>
            <w:tcW w:w="5400" w:type="dxa"/>
            <w:vAlign w:val="bottom"/>
            <w:gridSpan w:val="5"/>
          </w:tcPr>
          <w:p>
            <w:pPr>
              <w:jc w:val="center"/>
              <w:ind w:right="4560"/>
              <w:spacing w:after="0"/>
              <w:rPr>
                <w:sz w:val="20"/>
                <w:szCs w:val="20"/>
                <w:color w:val="auto"/>
              </w:rPr>
            </w:pPr>
            <w:r>
              <w:rPr>
                <w:rFonts w:ascii="Arial" w:cs="Arial" w:eastAsia="Arial" w:hAnsi="Arial"/>
                <w:sz w:val="17"/>
                <w:szCs w:val="17"/>
                <w:b w:val="1"/>
                <w:bCs w:val="1"/>
                <w:color w:val="auto"/>
                <w:w w:val="91"/>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88-1710161</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800" w:type="dxa"/>
            <w:vAlign w:val="bottom"/>
            <w:gridSpan w:val="6"/>
          </w:tcPr>
          <w:p>
            <w:pPr>
              <w:jc w:val="center"/>
              <w:ind w:right="2160"/>
              <w:spacing w:after="0"/>
              <w:rPr>
                <w:sz w:val="20"/>
                <w:szCs w:val="20"/>
                <w:color w:val="auto"/>
              </w:rPr>
            </w:pPr>
            <w:r>
              <w:rPr>
                <w:rFonts w:ascii="Arial" w:cs="Arial" w:eastAsia="Arial" w:hAnsi="Arial"/>
                <w:sz w:val="13"/>
                <w:szCs w:val="13"/>
                <w:b w:val="1"/>
                <w:bCs w:val="1"/>
                <w:color w:val="auto"/>
                <w:w w:val="94"/>
              </w:rPr>
              <w:t>(State or other jurisdiction of</w:t>
            </w:r>
          </w:p>
        </w:tc>
        <w:tc>
          <w:tcPr>
            <w:tcW w:w="3440" w:type="dxa"/>
            <w:vAlign w:val="bottom"/>
            <w:gridSpan w:val="3"/>
          </w:tcPr>
          <w:p>
            <w:pPr>
              <w:jc w:val="center"/>
              <w:ind w:right="2095"/>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7800" w:type="dxa"/>
            <w:vAlign w:val="bottom"/>
            <w:gridSpan w:val="6"/>
          </w:tcPr>
          <w:p>
            <w:pPr>
              <w:jc w:val="center"/>
              <w:ind w:right="2160"/>
              <w:spacing w:after="0"/>
              <w:rPr>
                <w:sz w:val="20"/>
                <w:szCs w:val="20"/>
                <w:color w:val="auto"/>
              </w:rPr>
            </w:pPr>
            <w:r>
              <w:rPr>
                <w:rFonts w:ascii="Arial" w:cs="Arial" w:eastAsia="Arial" w:hAnsi="Arial"/>
                <w:sz w:val="13"/>
                <w:szCs w:val="13"/>
                <w:b w:val="1"/>
                <w:bCs w:val="1"/>
                <w:color w:val="auto"/>
                <w:w w:val="94"/>
              </w:rPr>
              <w:t>incorporation or organization)</w:t>
            </w:r>
          </w:p>
        </w:tc>
        <w:tc>
          <w:tcPr>
            <w:tcW w:w="3440" w:type="dxa"/>
            <w:vAlign w:val="bottom"/>
            <w:gridSpan w:val="3"/>
          </w:tcPr>
          <w:p>
            <w:pPr>
              <w:jc w:val="center"/>
              <w:ind w:right="2095"/>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289"/>
        </w:trPr>
        <w:tc>
          <w:tcPr>
            <w:tcW w:w="7800" w:type="dxa"/>
            <w:vAlign w:val="bottom"/>
            <w:gridSpan w:val="6"/>
          </w:tcPr>
          <w:p>
            <w:pPr>
              <w:jc w:val="center"/>
              <w:ind w:right="2180"/>
              <w:spacing w:after="0"/>
              <w:rPr>
                <w:sz w:val="20"/>
                <w:szCs w:val="20"/>
                <w:color w:val="auto"/>
              </w:rPr>
            </w:pPr>
            <w:r>
              <w:rPr>
                <w:rFonts w:ascii="Arial" w:cs="Arial" w:eastAsia="Arial" w:hAnsi="Arial"/>
                <w:sz w:val="17"/>
                <w:szCs w:val="17"/>
                <w:b w:val="1"/>
                <w:bCs w:val="1"/>
                <w:color w:val="auto"/>
                <w:w w:val="91"/>
              </w:rPr>
              <w:t>2100 McKinney Avenue, Suite 1500,</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5400" w:type="dxa"/>
            <w:vAlign w:val="bottom"/>
            <w:gridSpan w:val="5"/>
          </w:tcPr>
          <w:p>
            <w:pPr>
              <w:jc w:val="center"/>
              <w:ind w:right="4580"/>
              <w:spacing w:after="0"/>
              <w:rPr>
                <w:sz w:val="20"/>
                <w:szCs w:val="20"/>
                <w:color w:val="auto"/>
              </w:rPr>
            </w:pPr>
            <w:r>
              <w:rPr>
                <w:rFonts w:ascii="Arial" w:cs="Arial" w:eastAsia="Arial" w:hAnsi="Arial"/>
                <w:sz w:val="17"/>
                <w:szCs w:val="17"/>
                <w:b w:val="1"/>
                <w:bCs w:val="1"/>
                <w:color w:val="auto"/>
                <w:w w:val="95"/>
              </w:rPr>
              <w:t>Dallas, TX</w:t>
            </w:r>
          </w:p>
        </w:tc>
        <w:tc>
          <w:tcPr>
            <w:tcW w:w="400" w:type="dxa"/>
            <w:vAlign w:val="bottom"/>
          </w:tcPr>
          <w:p>
            <w:pPr>
              <w:spacing w:after="0"/>
              <w:rPr>
                <w:sz w:val="20"/>
                <w:szCs w:val="20"/>
                <w:color w:val="auto"/>
              </w:rPr>
            </w:pPr>
          </w:p>
        </w:tc>
        <w:tc>
          <w:tcPr>
            <w:tcW w:w="660" w:type="dxa"/>
            <w:vAlign w:val="bottom"/>
          </w:tcPr>
          <w:p>
            <w:pPr>
              <w:jc w:val="right"/>
              <w:ind w:right="135"/>
              <w:spacing w:after="0"/>
              <w:rPr>
                <w:sz w:val="20"/>
                <w:szCs w:val="20"/>
                <w:color w:val="auto"/>
              </w:rPr>
            </w:pPr>
            <w:r>
              <w:rPr>
                <w:rFonts w:ascii="Arial" w:cs="Arial" w:eastAsia="Arial" w:hAnsi="Arial"/>
                <w:sz w:val="17"/>
                <w:szCs w:val="17"/>
                <w:b w:val="1"/>
                <w:bCs w:val="1"/>
                <w:color w:val="auto"/>
                <w:w w:val="88"/>
              </w:rPr>
              <w:t>75201</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7800" w:type="dxa"/>
            <w:vAlign w:val="bottom"/>
            <w:gridSpan w:val="6"/>
          </w:tcPr>
          <w:p>
            <w:pPr>
              <w:jc w:val="center"/>
              <w:ind w:right="216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1060" w:type="dxa"/>
            <w:vAlign w:val="bottom"/>
            <w:gridSpan w:val="2"/>
          </w:tcPr>
          <w:p>
            <w:pPr>
              <w:jc w:val="center"/>
              <w:ind w:left="129"/>
              <w:spacing w:after="0"/>
              <w:rPr>
                <w:sz w:val="20"/>
                <w:szCs w:val="20"/>
                <w:color w:val="auto"/>
              </w:rPr>
            </w:pPr>
            <w:r>
              <w:rPr>
                <w:rFonts w:ascii="Arial" w:cs="Arial" w:eastAsia="Arial" w:hAnsi="Arial"/>
                <w:sz w:val="13"/>
                <w:szCs w:val="13"/>
                <w:b w:val="1"/>
                <w:bCs w:val="1"/>
                <w:color w:val="auto"/>
                <w:w w:val="96"/>
              </w:rPr>
              <w:t>(Zip Code)</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2"/>
                <w:szCs w:val="22"/>
                <w:color w:val="auto"/>
              </w:rPr>
            </w:pPr>
          </w:p>
        </w:tc>
        <w:tc>
          <w:tcPr>
            <w:tcW w:w="5800" w:type="dxa"/>
            <w:vAlign w:val="bottom"/>
            <w:gridSpan w:val="6"/>
          </w:tcPr>
          <w:p>
            <w:pPr>
              <w:jc w:val="center"/>
              <w:ind w:left="515"/>
              <w:spacing w:after="0"/>
              <w:rPr>
                <w:sz w:val="20"/>
                <w:szCs w:val="20"/>
                <w:color w:val="auto"/>
              </w:rPr>
            </w:pPr>
            <w:r>
              <w:rPr>
                <w:rFonts w:ascii="Arial" w:cs="Arial" w:eastAsia="Arial" w:hAnsi="Arial"/>
                <w:sz w:val="17"/>
                <w:szCs w:val="17"/>
                <w:b w:val="1"/>
                <w:bCs w:val="1"/>
                <w:color w:val="auto"/>
                <w:w w:val="90"/>
              </w:rPr>
              <w:t>Registrant’s Telephone Number, Including Area Code: (469) 621-3001</w:t>
            </w:r>
          </w:p>
        </w:tc>
        <w:tc>
          <w:tcPr>
            <w:tcW w:w="6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5400" w:type="dxa"/>
            <w:vAlign w:val="bottom"/>
            <w:gridSpan w:val="5"/>
          </w:tcPr>
          <w:p>
            <w:pPr>
              <w:jc w:val="center"/>
              <w:ind w:left="935"/>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4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400" w:type="dxa"/>
            <w:vAlign w:val="bottom"/>
            <w:tcBorders>
              <w:left w:val="single" w:sz="8" w:color="auto"/>
              <w:bottom w:val="single" w:sz="8" w:color="auto"/>
            </w:tcBorders>
          </w:tcPr>
          <w:p>
            <w:pPr>
              <w:jc w:val="center"/>
              <w:ind w:left="1304"/>
              <w:spacing w:after="0"/>
              <w:rPr>
                <w:sz w:val="20"/>
                <w:szCs w:val="20"/>
                <w:color w:val="auto"/>
              </w:rPr>
            </w:pPr>
            <w:r>
              <w:rPr>
                <w:rFonts w:ascii="Arial" w:cs="Arial" w:eastAsia="Arial" w:hAnsi="Arial"/>
                <w:sz w:val="13"/>
                <w:szCs w:val="13"/>
                <w:b w:val="1"/>
                <w:bCs w:val="1"/>
                <w:color w:val="auto"/>
                <w:w w:val="91"/>
              </w:rPr>
              <w:t>Title of each class</w:t>
            </w:r>
          </w:p>
        </w:tc>
        <w:tc>
          <w:tcPr>
            <w:tcW w:w="13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3"/>
                <w:szCs w:val="13"/>
                <w:b w:val="1"/>
                <w:bCs w:val="1"/>
                <w:color w:val="auto"/>
                <w:w w:val="94"/>
              </w:rPr>
              <w:t>Trading Symbol(s)</w:t>
            </w:r>
          </w:p>
        </w:tc>
        <w:tc>
          <w:tcPr>
            <w:tcW w:w="300" w:type="dxa"/>
            <w:vAlign w:val="bottom"/>
            <w:tcBorders>
              <w:bottom w:val="single" w:sz="8" w:color="auto"/>
            </w:tcBorders>
          </w:tcPr>
          <w:p>
            <w:pPr>
              <w:spacing w:after="0"/>
              <w:rPr>
                <w:sz w:val="12"/>
                <w:szCs w:val="12"/>
                <w:color w:val="auto"/>
              </w:rPr>
            </w:pPr>
          </w:p>
        </w:tc>
        <w:tc>
          <w:tcPr>
            <w:tcW w:w="3440" w:type="dxa"/>
            <w:vAlign w:val="bottom"/>
            <w:tcBorders>
              <w:bottom w:val="single" w:sz="8" w:color="auto"/>
              <w:right w:val="single" w:sz="8" w:color="auto"/>
            </w:tcBorders>
            <w:gridSpan w:val="3"/>
          </w:tcPr>
          <w:p>
            <w:pPr>
              <w:jc w:val="center"/>
              <w:ind w:right="235"/>
              <w:spacing w:after="0"/>
              <w:rPr>
                <w:sz w:val="20"/>
                <w:szCs w:val="20"/>
                <w:color w:val="auto"/>
              </w:rPr>
            </w:pPr>
            <w:r>
              <w:rPr>
                <w:rFonts w:ascii="Arial" w:cs="Arial" w:eastAsia="Arial" w:hAnsi="Arial"/>
                <w:sz w:val="13"/>
                <w:szCs w:val="13"/>
                <w:b w:val="1"/>
                <w:bCs w:val="1"/>
                <w:color w:val="auto"/>
                <w:w w:val="91"/>
              </w:rPr>
              <w:t>Name of each exchange on which registered</w:t>
            </w:r>
          </w:p>
        </w:tc>
        <w:tc>
          <w:tcPr>
            <w:tcW w:w="0" w:type="dxa"/>
            <w:vAlign w:val="bottom"/>
          </w:tcPr>
          <w:p>
            <w:pPr>
              <w:spacing w:after="0"/>
              <w:rPr>
                <w:sz w:val="1"/>
                <w:szCs w:val="1"/>
                <w:color w:val="auto"/>
              </w:rPr>
            </w:pPr>
          </w:p>
        </w:tc>
      </w:tr>
      <w:tr>
        <w:trPr>
          <w:trHeight w:val="274"/>
        </w:trPr>
        <w:tc>
          <w:tcPr>
            <w:tcW w:w="2400" w:type="dxa"/>
            <w:vAlign w:val="bottom"/>
            <w:tcBorders>
              <w:left w:val="single" w:sz="8" w:color="auto"/>
              <w:bottom w:val="single" w:sz="8" w:color="auto"/>
            </w:tcBorders>
          </w:tcPr>
          <w:p>
            <w:pPr>
              <w:jc w:val="center"/>
              <w:ind w:left="1304"/>
              <w:spacing w:after="0"/>
              <w:rPr>
                <w:sz w:val="20"/>
                <w:szCs w:val="20"/>
                <w:color w:val="auto"/>
              </w:rPr>
            </w:pPr>
            <w:r>
              <w:rPr>
                <w:rFonts w:ascii="Arial" w:cs="Arial" w:eastAsia="Arial" w:hAnsi="Arial"/>
                <w:sz w:val="17"/>
                <w:szCs w:val="17"/>
                <w:b w:val="1"/>
                <w:bCs w:val="1"/>
                <w:color w:val="auto"/>
                <w:w w:val="89"/>
              </w:rPr>
              <w:t>None</w:t>
            </w:r>
          </w:p>
        </w:tc>
        <w:tc>
          <w:tcPr>
            <w:tcW w:w="136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7"/>
                <w:szCs w:val="17"/>
                <w:b w:val="1"/>
                <w:bCs w:val="1"/>
                <w:color w:val="auto"/>
                <w:w w:val="89"/>
              </w:rPr>
              <w:t>None</w:t>
            </w:r>
          </w:p>
        </w:tc>
        <w:tc>
          <w:tcPr>
            <w:tcW w:w="3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jc w:val="center"/>
              <w:ind w:right="1275"/>
              <w:spacing w:after="0"/>
              <w:rPr>
                <w:sz w:val="20"/>
                <w:szCs w:val="20"/>
                <w:color w:val="auto"/>
              </w:rPr>
            </w:pPr>
            <w:r>
              <w:rPr>
                <w:rFonts w:ascii="Arial" w:cs="Arial" w:eastAsia="Arial" w:hAnsi="Arial"/>
                <w:sz w:val="17"/>
                <w:szCs w:val="17"/>
                <w:b w:val="1"/>
                <w:bCs w:val="1"/>
                <w:color w:val="auto"/>
                <w:w w:val="89"/>
              </w:rPr>
              <w:t>None</w:t>
            </w: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1"/>
                <w:szCs w:val="21"/>
                <w:color w:val="auto"/>
              </w:rPr>
            </w:pPr>
          </w:p>
        </w:tc>
        <w:tc>
          <w:tcPr>
            <w:tcW w:w="5400" w:type="dxa"/>
            <w:vAlign w:val="bottom"/>
            <w:gridSpan w:val="5"/>
          </w:tcPr>
          <w:p>
            <w:pPr>
              <w:jc w:val="center"/>
              <w:ind w:left="915"/>
              <w:spacing w:after="0"/>
              <w:rPr>
                <w:sz w:val="20"/>
                <w:szCs w:val="20"/>
                <w:color w:val="auto"/>
              </w:rPr>
            </w:pPr>
            <w:r>
              <w:rPr>
                <w:rFonts w:ascii="Arial" w:cs="Arial" w:eastAsia="Arial" w:hAnsi="Arial"/>
                <w:sz w:val="17"/>
                <w:szCs w:val="17"/>
                <w:b w:val="1"/>
                <w:bCs w:val="1"/>
                <w:color w:val="auto"/>
                <w:w w:val="89"/>
              </w:rPr>
              <w:t>Securities registered pursuant to Section 12(g) of the Act:</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2"/>
                <w:szCs w:val="22"/>
                <w:color w:val="auto"/>
              </w:rPr>
            </w:pPr>
          </w:p>
        </w:tc>
        <w:tc>
          <w:tcPr>
            <w:tcW w:w="5800" w:type="dxa"/>
            <w:vAlign w:val="bottom"/>
            <w:gridSpan w:val="6"/>
          </w:tcPr>
          <w:p>
            <w:pPr>
              <w:jc w:val="center"/>
              <w:ind w:left="555"/>
              <w:spacing w:after="0"/>
              <w:rPr>
                <w:sz w:val="20"/>
                <w:szCs w:val="20"/>
                <w:color w:val="auto"/>
              </w:rPr>
            </w:pPr>
            <w:r>
              <w:rPr>
                <w:rFonts w:ascii="Arial" w:cs="Arial" w:eastAsia="Arial" w:hAnsi="Arial"/>
                <w:sz w:val="17"/>
                <w:szCs w:val="17"/>
                <w:b w:val="1"/>
                <w:bCs w:val="1"/>
                <w:color w:val="auto"/>
                <w:w w:val="89"/>
              </w:rPr>
              <w:t>Common shares of beneficial interest, par value $0.001 per share</w:t>
            </w:r>
          </w:p>
        </w:tc>
        <w:tc>
          <w:tcPr>
            <w:tcW w:w="6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300" w:type="dxa"/>
            <w:vAlign w:val="bottom"/>
            <w:gridSpan w:val="3"/>
          </w:tcPr>
          <w:p>
            <w:pPr>
              <w:jc w:val="center"/>
              <w:ind w:right="1080"/>
              <w:spacing w:after="0"/>
              <w:rPr>
                <w:sz w:val="20"/>
                <w:szCs w:val="20"/>
                <w:color w:val="auto"/>
              </w:rPr>
            </w:pPr>
            <w:r>
              <w:rPr>
                <w:rFonts w:ascii="Arial" w:cs="Arial" w:eastAsia="Arial" w:hAnsi="Arial"/>
                <w:sz w:val="17"/>
                <w:szCs w:val="17"/>
                <w:b w:val="1"/>
                <w:bCs w:val="1"/>
                <w:color w:val="auto"/>
                <w:w w:val="89"/>
              </w:rPr>
              <w:t>(Title of class)</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4500" w:type="dxa"/>
            <w:vAlign w:val="bottom"/>
            <w:gridSpan w:val="3"/>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460" w:type="dxa"/>
            <w:vAlign w:val="bottom"/>
            <w:gridSpan w:val="3"/>
          </w:tcPr>
          <w:p>
            <w:pPr>
              <w:spacing w:after="0"/>
              <w:rPr>
                <w:sz w:val="7"/>
                <w:szCs w:val="7"/>
                <w:color w:val="auto"/>
              </w:rPr>
            </w:pPr>
          </w:p>
        </w:tc>
        <w:tc>
          <w:tcPr>
            <w:tcW w:w="660" w:type="dxa"/>
            <w:vAlign w:val="bottom"/>
            <w:vMerge w:val="restart"/>
          </w:tcPr>
          <w:p>
            <w:pPr>
              <w:jc w:val="center"/>
              <w:ind w:right="95"/>
              <w:spacing w:after="0" w:line="196" w:lineRule="exact"/>
              <w:rPr>
                <w:sz w:val="20"/>
                <w:szCs w:val="20"/>
                <w:color w:val="auto"/>
              </w:rPr>
            </w:pPr>
            <w:r>
              <w:rPr>
                <w:rFonts w:ascii="Arial" w:cs="Arial" w:eastAsia="Arial" w:hAnsi="Arial"/>
                <w:sz w:val="17"/>
                <w:szCs w:val="17"/>
                <w:color w:val="auto"/>
                <w:w w:val="93"/>
              </w:rPr>
              <w:t xml:space="preserve">Yes </w:t>
            </w:r>
            <w:r>
              <w:rPr>
                <w:rFonts w:ascii="MS PGothic" w:cs="MS PGothic" w:eastAsia="MS PGothic" w:hAnsi="MS PGothic"/>
                <w:sz w:val="17"/>
                <w:szCs w:val="17"/>
                <w:color w:val="auto"/>
                <w:w w:val="93"/>
              </w:rPr>
              <w:t>☐</w:t>
            </w:r>
          </w:p>
        </w:tc>
        <w:tc>
          <w:tcPr>
            <w:tcW w:w="238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80"/>
        </w:trPr>
        <w:tc>
          <w:tcPr>
            <w:tcW w:w="8200" w:type="dxa"/>
            <w:vAlign w:val="bottom"/>
            <w:gridSpan w:val="7"/>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gridSpan w:val="7"/>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w:t>
            </w:r>
          </w:p>
        </w:tc>
        <w:tc>
          <w:tcPr>
            <w:tcW w:w="660" w:type="dxa"/>
            <w:vAlign w:val="bottom"/>
          </w:tcPr>
          <w:p>
            <w:pPr>
              <w:ind w:left="160"/>
              <w:spacing w:after="0" w:line="196" w:lineRule="exact"/>
              <w:rPr>
                <w:sz w:val="20"/>
                <w:szCs w:val="20"/>
                <w:color w:val="auto"/>
              </w:rPr>
            </w:pPr>
            <w:r>
              <w:rPr>
                <w:rFonts w:ascii="Arial" w:cs="Arial" w:eastAsia="Arial" w:hAnsi="Arial"/>
                <w:sz w:val="17"/>
                <w:szCs w:val="17"/>
                <w:color w:val="auto"/>
                <w:w w:val="93"/>
              </w:rPr>
              <w:t xml:space="preserve">Yes </w:t>
            </w:r>
            <w:r>
              <w:rPr>
                <w:rFonts w:ascii="MS PGothic" w:cs="MS PGothic" w:eastAsia="MS PGothic" w:hAnsi="MS PGothic"/>
                <w:sz w:val="17"/>
                <w:szCs w:val="17"/>
                <w:color w:val="auto"/>
                <w:w w:val="93"/>
              </w:rPr>
              <w:t>☐</w:t>
            </w:r>
          </w:p>
        </w:tc>
        <w:tc>
          <w:tcPr>
            <w:tcW w:w="238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3" w:lineRule="exact"/>
        <w:rPr>
          <w:sz w:val="24"/>
          <w:szCs w:val="24"/>
          <w:color w:val="auto"/>
        </w:rPr>
      </w:pPr>
    </w:p>
    <w:p>
      <w:pPr>
        <w:ind w:right="120"/>
        <w:spacing w:after="0" w:line="24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1"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52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20" w:type="dxa"/>
            <w:vAlign w:val="bottom"/>
          </w:tcPr>
          <w:p>
            <w:pPr>
              <w:ind w:left="5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42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1920" w:type="dxa"/>
            <w:vAlign w:val="bottom"/>
          </w:tcPr>
          <w:p>
            <w:pPr>
              <w:ind w:left="17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11"/>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14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442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1920" w:type="dxa"/>
            <w:vAlign w:val="bottom"/>
          </w:tcPr>
          <w:p>
            <w:pPr>
              <w:ind w:left="17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2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2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1920" w:type="dxa"/>
            <w:vAlign w:val="bottom"/>
          </w:tcPr>
          <w:p>
            <w:pPr>
              <w:ind w:left="17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3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Arial" w:cs="Arial" w:eastAsia="Arial" w:hAnsi="Arial"/>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spacing w:after="0" w:line="242"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ab/>
        <w:t xml:space="preserve">No </w:t>
      </w:r>
      <w:r>
        <w:rPr>
          <w:rFonts w:ascii="Arial Unicode MS" w:cs="Arial Unicode MS" w:eastAsia="Arial Unicode MS" w:hAnsi="Arial Unicode MS"/>
          <w:sz w:val="18"/>
          <w:szCs w:val="18"/>
          <w:color w:val="auto"/>
        </w:rPr>
        <w:t>☒</w:t>
      </w:r>
    </w:p>
    <w:p>
      <w:pPr>
        <w:spacing w:after="0" w:line="4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The number of shares of the registrant’s common shares of beneficial interest, $0.001 par value per share (the "Common Shares"), outstanding at February 17, 2023 was 21,882,028.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spacing w:after="0"/>
        <w:tabs>
          <w:tab w:leader="none" w:pos="1640" w:val="left"/>
          <w:tab w:leader="none" w:pos="3800" w:val="left"/>
        </w:tabs>
        <w:rPr>
          <w:sz w:val="20"/>
          <w:szCs w:val="20"/>
          <w:color w:val="auto"/>
        </w:rPr>
      </w:pPr>
      <w:r>
        <w:rPr>
          <w:rFonts w:ascii="Arial" w:cs="Arial" w:eastAsia="Arial" w:hAnsi="Arial"/>
          <w:sz w:val="17"/>
          <w:szCs w:val="17"/>
          <w:color w:val="auto"/>
        </w:rPr>
        <w:t>Auditor Firm Id:185</w:t>
        <w:tab/>
        <w:t>Auditor Name: KPMG LLP</w:t>
      </w:r>
      <w:r>
        <w:rPr>
          <w:sz w:val="20"/>
          <w:szCs w:val="20"/>
          <w:color w:val="auto"/>
        </w:rPr>
        <w:tab/>
      </w:r>
      <w:r>
        <w:rPr>
          <w:rFonts w:ascii="Arial" w:cs="Arial" w:eastAsia="Arial" w:hAnsi="Arial"/>
          <w:sz w:val="16"/>
          <w:szCs w:val="16"/>
          <w:color w:val="auto"/>
        </w:rPr>
        <w:t>Auditor Location: 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80" w:type="dxa"/>
            <w:vAlign w:val="bottom"/>
            <w:gridSpan w:val="10"/>
          </w:tcPr>
          <w:p>
            <w:pPr>
              <w:jc w:val="center"/>
              <w:ind w:right="2860"/>
              <w:spacing w:after="0"/>
              <w:rPr>
                <w:sz w:val="20"/>
                <w:szCs w:val="20"/>
                <w:color w:val="auto"/>
              </w:rPr>
            </w:pPr>
            <w:r>
              <w:rPr>
                <w:rFonts w:ascii="Arial" w:cs="Arial" w:eastAsia="Arial" w:hAnsi="Arial"/>
                <w:sz w:val="18"/>
                <w:szCs w:val="18"/>
                <w:b w:val="1"/>
                <w:bCs w:val="1"/>
                <w:color w:val="auto"/>
              </w:rPr>
              <w:t>SIXTH STREET LENDING PARTNERS</w:t>
            </w: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80" w:type="dxa"/>
            <w:vAlign w:val="bottom"/>
            <w:gridSpan w:val="10"/>
          </w:tcPr>
          <w:p>
            <w:pPr>
              <w:jc w:val="center"/>
              <w:ind w:right="2900"/>
              <w:spacing w:after="0"/>
              <w:rPr>
                <w:sz w:val="20"/>
                <w:szCs w:val="20"/>
                <w:color w:val="auto"/>
              </w:rPr>
            </w:pPr>
            <w:r>
              <w:rPr>
                <w:rFonts w:ascii="Arial" w:cs="Arial" w:eastAsia="Arial" w:hAnsi="Arial"/>
                <w:sz w:val="18"/>
                <w:szCs w:val="18"/>
                <w:b w:val="1"/>
                <w:bCs w:val="1"/>
                <w:color w:val="auto"/>
                <w:w w:val="93"/>
              </w:rPr>
              <w:t>Index to Annual Report on Form 10-K for</w:t>
            </w:r>
          </w:p>
        </w:tc>
        <w:tc>
          <w:tcPr>
            <w:tcW w:w="1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8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0"/>
              </w:rPr>
              <w:t>Year Ended December 31, 2022</w:t>
            </w:r>
          </w:p>
        </w:tc>
        <w:tc>
          <w:tcPr>
            <w:tcW w:w="1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100" w:type="dxa"/>
            <w:vAlign w:val="bottom"/>
            <w:gridSpan w:val="5"/>
          </w:tcPr>
          <w:p>
            <w:pPr>
              <w:spacing w:after="0" w:line="182" w:lineRule="exact"/>
              <w:rPr>
                <w:sz w:val="20"/>
                <w:szCs w:val="20"/>
                <w:color w:val="auto"/>
              </w:rPr>
            </w:pPr>
            <w:r>
              <w:rPr>
                <w:rFonts w:ascii="Arial" w:cs="Arial" w:eastAsia="Arial" w:hAnsi="Arial"/>
                <w:sz w:val="18"/>
                <w:szCs w:val="18"/>
                <w:b w:val="1"/>
                <w:bCs w:val="1"/>
                <w:color w:val="0000FF"/>
              </w:rPr>
              <w:t>PART I</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20"/>
          </w:tcPr>
          <w:p>
            <w:pPr>
              <w:spacing w:after="0"/>
              <w:rPr>
                <w:sz w:val="20"/>
                <w:szCs w:val="20"/>
                <w:color w:val="auto"/>
              </w:rPr>
            </w:pPr>
            <w:r>
              <w:rPr>
                <w:rFonts w:ascii="Arial" w:cs="Arial" w:eastAsia="Arial" w:hAnsi="Arial"/>
                <w:sz w:val="18"/>
                <w:szCs w:val="18"/>
                <w:color w:val="0000FF"/>
              </w:rPr>
              <w:t>Business</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2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020" w:type="dxa"/>
            <w:vAlign w:val="bottom"/>
            <w:gridSpan w:val="20"/>
          </w:tcPr>
          <w:p>
            <w:pPr>
              <w:spacing w:after="0"/>
              <w:rPr>
                <w:sz w:val="20"/>
                <w:szCs w:val="20"/>
                <w:color w:val="auto"/>
              </w:rPr>
            </w:pPr>
            <w:r>
              <w:rPr>
                <w:rFonts w:ascii="Arial" w:cs="Arial" w:eastAsia="Arial" w:hAnsi="Arial"/>
                <w:sz w:val="18"/>
                <w:szCs w:val="18"/>
                <w:color w:val="0000FF"/>
              </w:rPr>
              <w:t>Unresolved Staff Comments</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020" w:type="dxa"/>
            <w:vAlign w:val="bottom"/>
            <w:gridSpan w:val="20"/>
          </w:tcPr>
          <w:p>
            <w:pPr>
              <w:spacing w:after="0"/>
              <w:rPr>
                <w:sz w:val="20"/>
                <w:szCs w:val="20"/>
                <w:color w:val="auto"/>
              </w:rPr>
            </w:pPr>
            <w:r>
              <w:rPr>
                <w:rFonts w:ascii="Arial" w:cs="Arial" w:eastAsia="Arial" w:hAnsi="Arial"/>
                <w:sz w:val="18"/>
                <w:szCs w:val="18"/>
                <w:color w:val="0000FF"/>
              </w:rPr>
              <w:t>Properties</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02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02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72"/>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44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5.</w:t>
            </w:r>
          </w:p>
        </w:tc>
        <w:tc>
          <w:tcPr>
            <w:tcW w:w="9020" w:type="dxa"/>
            <w:vAlign w:val="bottom"/>
            <w:gridSpan w:val="20"/>
          </w:tcPr>
          <w:p>
            <w:pPr>
              <w:spacing w:after="0"/>
              <w:rPr>
                <w:sz w:val="20"/>
                <w:szCs w:val="20"/>
                <w:color w:val="auto"/>
              </w:rPr>
            </w:pPr>
            <w:r>
              <w:rPr>
                <w:rFonts w:ascii="Arial" w:cs="Arial" w:eastAsia="Arial" w:hAnsi="Arial"/>
                <w:sz w:val="18"/>
                <w:szCs w:val="18"/>
                <w:color w:val="0000FF"/>
              </w:rPr>
              <w:t>Market for Registrant’s Common Equity, Related Shareholder Matters and Issuer Purchases of Equity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020" w:type="dxa"/>
            <w:vAlign w:val="bottom"/>
            <w:gridSpan w:val="20"/>
          </w:tcPr>
          <w:p>
            <w:pPr>
              <w:spacing w:after="0"/>
              <w:rPr>
                <w:sz w:val="20"/>
                <w:szCs w:val="20"/>
                <w:color w:val="auto"/>
              </w:rPr>
            </w:pPr>
            <w:r>
              <w:rPr>
                <w:rFonts w:ascii="Arial" w:cs="Arial" w:eastAsia="Arial" w:hAnsi="Arial"/>
                <w:sz w:val="18"/>
                <w:szCs w:val="18"/>
                <w:color w:val="0000FF"/>
              </w:rPr>
              <w:t>Selected Financial Data</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02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902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020" w:type="dxa"/>
            <w:vAlign w:val="bottom"/>
            <w:gridSpan w:val="20"/>
          </w:tcPr>
          <w:p>
            <w:pPr>
              <w:spacing w:after="0"/>
              <w:rPr>
                <w:sz w:val="20"/>
                <w:szCs w:val="20"/>
                <w:color w:val="auto"/>
              </w:rPr>
            </w:pPr>
            <w:r>
              <w:rPr>
                <w:rFonts w:ascii="Arial" w:cs="Arial" w:eastAsia="Arial" w:hAnsi="Arial"/>
                <w:sz w:val="18"/>
                <w:szCs w:val="18"/>
                <w:color w:val="0000FF"/>
              </w:rPr>
              <w:t>Consolidated Financial Statements and Supplementary Data</w:t>
            </w:r>
          </w:p>
        </w:tc>
        <w:tc>
          <w:tcPr>
            <w:tcW w:w="11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020" w:type="dxa"/>
            <w:vAlign w:val="bottom"/>
            <w:gridSpan w:val="20"/>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02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02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9020" w:type="dxa"/>
            <w:vAlign w:val="bottom"/>
            <w:gridSpan w:val="20"/>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72"/>
        </w:trPr>
        <w:tc>
          <w:tcPr>
            <w:tcW w:w="20" w:type="dxa"/>
            <w:vAlign w:val="bottom"/>
            <w:tcBorders>
              <w:bottom w:val="single" w:sz="8" w:color="0000EE"/>
            </w:tcBorders>
          </w:tcPr>
          <w:p>
            <w:pPr>
              <w:spacing w:after="0"/>
              <w:rPr>
                <w:sz w:val="24"/>
                <w:szCs w:val="24"/>
                <w:color w:val="auto"/>
              </w:rPr>
            </w:pPr>
          </w:p>
        </w:tc>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3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020" w:type="dxa"/>
            <w:vAlign w:val="bottom"/>
            <w:gridSpan w:val="20"/>
          </w:tcPr>
          <w:p>
            <w:pPr>
              <w:spacing w:after="0"/>
              <w:rPr>
                <w:sz w:val="20"/>
                <w:szCs w:val="20"/>
                <w:color w:val="auto"/>
              </w:rPr>
            </w:pPr>
            <w:r>
              <w:rPr>
                <w:rFonts w:ascii="Arial" w:cs="Arial" w:eastAsia="Arial" w:hAnsi="Arial"/>
                <w:sz w:val="18"/>
                <w:szCs w:val="18"/>
                <w:color w:val="0000FF"/>
              </w:rPr>
              <w:t>Trustees, Executive Officers and Corporate Governance</w:t>
            </w: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020" w:type="dxa"/>
            <w:vAlign w:val="bottom"/>
            <w:gridSpan w:val="20"/>
          </w:tcPr>
          <w:p>
            <w:pPr>
              <w:spacing w:after="0"/>
              <w:rPr>
                <w:sz w:val="20"/>
                <w:szCs w:val="20"/>
                <w:color w:val="auto"/>
              </w:rPr>
            </w:pPr>
            <w:r>
              <w:rPr>
                <w:rFonts w:ascii="Arial" w:cs="Arial" w:eastAsia="Arial" w:hAnsi="Arial"/>
                <w:sz w:val="18"/>
                <w:szCs w:val="18"/>
                <w:color w:val="0000FF"/>
              </w:rPr>
              <w:t>Executive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020" w:type="dxa"/>
            <w:vAlign w:val="bottom"/>
            <w:gridSpan w:val="20"/>
          </w:tcPr>
          <w:p>
            <w:pPr>
              <w:spacing w:after="0"/>
              <w:rPr>
                <w:sz w:val="20"/>
                <w:szCs w:val="20"/>
                <w:color w:val="auto"/>
              </w:rPr>
            </w:pPr>
            <w:r>
              <w:rPr>
                <w:rFonts w:ascii="Arial" w:cs="Arial" w:eastAsia="Arial" w:hAnsi="Arial"/>
                <w:sz w:val="18"/>
                <w:szCs w:val="18"/>
                <w:color w:val="0000FF"/>
              </w:rPr>
              <w:t>Security Ownership of Certain Beneficial Owners and Management and Related Shareholder Matters</w:t>
            </w: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902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Transactions, and Trustee Independence</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020" w:type="dxa"/>
            <w:vAlign w:val="bottom"/>
            <w:gridSpan w:val="20"/>
          </w:tcPr>
          <w:p>
            <w:pPr>
              <w:spacing w:after="0"/>
              <w:rPr>
                <w:sz w:val="20"/>
                <w:szCs w:val="20"/>
                <w:color w:val="auto"/>
              </w:rPr>
            </w:pPr>
            <w:r>
              <w:rPr>
                <w:rFonts w:ascii="Arial" w:cs="Arial" w:eastAsia="Arial" w:hAnsi="Arial"/>
                <w:sz w:val="18"/>
                <w:szCs w:val="18"/>
                <w:color w:val="0000FF"/>
              </w:rPr>
              <w:t>Principal Accountant Fees and Services</w:t>
            </w: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72"/>
        </w:trPr>
        <w:tc>
          <w:tcPr>
            <w:tcW w:w="20" w:type="dxa"/>
            <w:vAlign w:val="bottom"/>
            <w:tcBorders>
              <w:bottom w:val="single" w:sz="8" w:color="0000EE"/>
            </w:tcBorders>
          </w:tcPr>
          <w:p>
            <w:pPr>
              <w:spacing w:after="0"/>
              <w:rPr>
                <w:sz w:val="24"/>
                <w:szCs w:val="24"/>
                <w:color w:val="auto"/>
              </w:rPr>
            </w:pPr>
          </w:p>
        </w:tc>
        <w:tc>
          <w:tcPr>
            <w:tcW w:w="7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8"/>
              </w:rPr>
              <w:t>PART IV</w:t>
            </w:r>
          </w:p>
        </w:tc>
        <w:tc>
          <w:tcPr>
            <w:tcW w:w="38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020" w:type="dxa"/>
            <w:vAlign w:val="bottom"/>
            <w:gridSpan w:val="20"/>
          </w:tcPr>
          <w:p>
            <w:pPr>
              <w:spacing w:after="0"/>
              <w:rPr>
                <w:sz w:val="20"/>
                <w:szCs w:val="20"/>
                <w:color w:val="auto"/>
              </w:rPr>
            </w:pPr>
            <w:r>
              <w:rPr>
                <w:rFonts w:ascii="Arial" w:cs="Arial" w:eastAsia="Arial" w:hAnsi="Arial"/>
                <w:sz w:val="18"/>
                <w:szCs w:val="18"/>
                <w:color w:val="0000FF"/>
              </w:rPr>
              <w:t>Exhibits and Financial Statement Schedules</w:t>
            </w: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gridSpan w:val="5"/>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020" w:type="dxa"/>
            <w:vAlign w:val="bottom"/>
            <w:gridSpan w:val="20"/>
          </w:tcPr>
          <w:p>
            <w:pPr>
              <w:spacing w:after="0"/>
              <w:rPr>
                <w:sz w:val="20"/>
                <w:szCs w:val="20"/>
                <w:color w:val="auto"/>
              </w:rPr>
            </w:pPr>
            <w:r>
              <w:rPr>
                <w:rFonts w:ascii="Arial" w:cs="Arial" w:eastAsia="Arial" w:hAnsi="Arial"/>
                <w:sz w:val="18"/>
                <w:szCs w:val="18"/>
                <w:color w:val="0000FF"/>
              </w:rPr>
              <w:t>Form 10-K Summary</w:t>
            </w: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68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Borders>
              <w:top w:val="single" w:sz="8" w:color="0000FF"/>
            </w:tcBorders>
            <w:gridSpan w:val="5"/>
          </w:tcPr>
          <w:p>
            <w:pPr>
              <w:spacing w:after="0"/>
              <w:rPr>
                <w:sz w:val="24"/>
                <w:szCs w:val="24"/>
                <w:color w:val="auto"/>
              </w:rPr>
            </w:pPr>
          </w:p>
        </w:tc>
        <w:tc>
          <w:tcPr>
            <w:tcW w:w="3340" w:type="dxa"/>
            <w:vAlign w:val="bottom"/>
            <w:gridSpan w:val="9"/>
          </w:tcPr>
          <w:p>
            <w:pPr>
              <w:jc w:val="center"/>
              <w:ind w:left="2490"/>
              <w:spacing w:after="0"/>
              <w:rPr>
                <w:sz w:val="20"/>
                <w:szCs w:val="20"/>
                <w:color w:val="auto"/>
              </w:rPr>
            </w:pPr>
            <w:r>
              <w:rPr>
                <w:rFonts w:ascii="Arial" w:cs="Arial" w:eastAsia="Arial" w:hAnsi="Arial"/>
                <w:sz w:val="18"/>
                <w:szCs w:val="18"/>
                <w:color w:val="auto"/>
                <w:w w:val="79"/>
              </w:rPr>
              <w:t>2</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00" w:firstLine="255"/>
        <w:spacing w:after="0" w:line="293"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 addition to factors previously identified elsewhere in the reports and other documents Sixth Street Lending Partners, has filed with the Securities and Exchange Commission, or SEC, the following factors, among others, could cause actual results to differ materially from forward-looking statements or historical performance:</w:t>
      </w:r>
    </w:p>
    <w:p>
      <w:pPr>
        <w:spacing w:after="0" w:line="76" w:lineRule="exact"/>
        <w:rPr>
          <w:sz w:val="20"/>
          <w:szCs w:val="20"/>
          <w:color w:val="auto"/>
        </w:rPr>
      </w:pPr>
    </w:p>
    <w:p>
      <w:pPr>
        <w:ind w:left="520" w:right="400" w:hanging="257"/>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200" w:hanging="257"/>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7"/>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w:t>
      </w:r>
    </w:p>
    <w:p>
      <w:pPr>
        <w:spacing w:after="0" w:line="117" w:lineRule="exact"/>
        <w:rPr>
          <w:rFonts w:ascii="Arial" w:cs="Arial" w:eastAsia="Arial" w:hAnsi="Arial"/>
          <w:sz w:val="18"/>
          <w:szCs w:val="18"/>
          <w:color w:val="auto"/>
        </w:rPr>
      </w:pPr>
    </w:p>
    <w:p>
      <w:pPr>
        <w:ind w:left="520" w:right="180" w:hanging="257"/>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could negatively impact our business, including our ability to access the debt markets on favorable terms, or could negatively impact our portfolio companies; and</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report and elsewhere in our filings with the SEC.</w:t>
      </w:r>
    </w:p>
    <w:p>
      <w:pPr>
        <w:spacing w:after="0" w:line="248"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16" w:lineRule="exact"/>
        <w:rPr>
          <w:sz w:val="20"/>
          <w:szCs w:val="20"/>
          <w:color w:val="auto"/>
        </w:rPr>
      </w:pPr>
    </w:p>
    <w:p>
      <w:pPr>
        <w:ind w:right="20" w:firstLine="225"/>
        <w:spacing w:after="0" w:line="263" w:lineRule="auto"/>
        <w:rPr>
          <w:sz w:val="20"/>
          <w:szCs w:val="20"/>
          <w:color w:val="auto"/>
        </w:rPr>
      </w:pPr>
      <w:r>
        <w:rPr>
          <w:rFonts w:ascii="Arial" w:cs="Arial" w:eastAsia="Arial" w:hAnsi="Arial"/>
          <w:sz w:val="18"/>
          <w:szCs w:val="18"/>
          <w:color w:val="auto"/>
        </w:rPr>
        <w:t>In this Annual Report, except where the context suggests otherwise, the terms “we,” “us,”, “our,” and “the Company” refer to Sixth Street Lending Partners. The term “Adviser” refers to Sixth Street Lending Partners Advisers, LLC, a Delaware limited liability company. The term “Sixth Street” refers to Sixth Street Partners, LLC (formerly known as “TSSP” or “TPG Sixth Street Partners”).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We are organized as a Delaware statutory trust named Sixth Street Lending Partners. We are focused on lending to upper middle-market companies. The Company was formed on April 5, 2022. Since we began our investment activities in August 2022, through December 31, 2022, we have originated approximately $1.7 billion aggregate principal amount of investments and retained approximately $0.8 billion aggregate principal amount of these investments on our balance sheet prior to any subsequent exits and repayments.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 By “upper middle-market companies,” we mean companies that have annual EBITDA (as defined below), which we believe is a useful proxy for cash flow, of greater than $75 million, although we may invest in smaller companies on occasion. “EBITDA” means a company’s earnings before interest, tax, depreciation and amortization. As of December 31, 2022, our core portfolio companies, which exclude certain investments that fall outside of our typical borrower profile and represent 88.1% of our total investments based on fair value, had weighted average annual revenue of $352.6 million and weighted average annual EBITDA of $112.3 million.</w:t>
      </w:r>
    </w:p>
    <w:p>
      <w:pPr>
        <w:spacing w:after="0" w:line="182"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70" w:lineRule="exact"/>
        <w:rPr>
          <w:sz w:val="20"/>
          <w:szCs w:val="20"/>
          <w:color w:val="auto"/>
        </w:rPr>
      </w:pPr>
    </w:p>
    <w:p>
      <w:pPr>
        <w:ind w:right="740" w:firstLine="255"/>
        <w:spacing w:after="0" w:line="308" w:lineRule="auto"/>
        <w:rPr>
          <w:sz w:val="20"/>
          <w:szCs w:val="20"/>
          <w:color w:val="auto"/>
        </w:rPr>
      </w:pPr>
      <w:r>
        <w:rPr>
          <w:rFonts w:ascii="Arial" w:cs="Arial" w:eastAsia="Arial" w:hAnsi="Arial"/>
          <w:sz w:val="17"/>
          <w:szCs w:val="17"/>
          <w:color w:val="auto"/>
        </w:rPr>
        <w:t>We have operated as a business development company, or a BDC, since we began our investment activities in August 2022. In conducting our investment activities, we believe that we benefit from the significant scale and resources of our Adviser and its affiliates.</w:t>
      </w:r>
    </w:p>
    <w:p>
      <w:pPr>
        <w:spacing w:after="0" w:line="146" w:lineRule="exact"/>
        <w:rPr>
          <w:sz w:val="20"/>
          <w:szCs w:val="20"/>
          <w:color w:val="auto"/>
        </w:rPr>
      </w:pPr>
    </w:p>
    <w:p>
      <w:pPr>
        <w:ind w:right="60" w:firstLine="255"/>
        <w:spacing w:after="0" w:line="28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2022, based on fair value our portfolio consisted of 99.0% first-lien debt investments and 1.0% equity and other investments. As of December 31, 2022, 100% of our debt investments based on fair value bore interest at floating rates, with 100% of these subject to interest rate floors, which we believe helps act as a portfolio-wide hedge against inflation. As of December 31, 2022 we had investments in 10 portfolio companies, with an average investment size of approximately $80.9 million based on fair value. As of December 31, 2022, the largest single investment based on fair value represented 17.3% of our total investment portfolio.</w:t>
      </w:r>
    </w:p>
    <w:p>
      <w:pPr>
        <w:spacing w:after="0" w:line="168"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As of December 31, 2022, our portfolio was invested across seven different industries. The largest industries in our portfolio as of December 31, 2022 were financial services and retail and consumer products, which represented, as a percentage of our portfolio, 32.4%, and 29.4% respectively, based on fair value.</w:t>
      </w:r>
    </w:p>
    <w:p>
      <w:pPr>
        <w:spacing w:after="0" w:line="184"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are an externally managed, closed-end, non-diversified management investment company that has elected to be regulated as a BDC under the Investment Company Act of 1940, as amended, or the 1940 Act. In addition, for U.S. federal income tax purposes, we intend to elect to be treated as a regulated investment company, or RIC, under Subchapter M of the Internal Revenue Code of 1986, as amended, which we refer to as the Code. As a consequence of our BDC and RIC elections, our portfolio is and will continue to be subject to diversification and other requirements to maintain such status elections.</w:t>
      </w:r>
    </w:p>
    <w:p>
      <w:pPr>
        <w:spacing w:after="0" w:line="188" w:lineRule="exact"/>
        <w:rPr>
          <w:sz w:val="20"/>
          <w:szCs w:val="20"/>
          <w:color w:val="auto"/>
        </w:rPr>
      </w:pPr>
    </w:p>
    <w:p>
      <w:pPr>
        <w:ind w:right="100" w:firstLine="255"/>
        <w:spacing w:after="0" w:line="255" w:lineRule="auto"/>
        <w:rPr>
          <w:sz w:val="20"/>
          <w:szCs w:val="20"/>
          <w:color w:val="auto"/>
        </w:rPr>
      </w:pPr>
      <w:r>
        <w:rPr>
          <w:rFonts w:ascii="Arial" w:cs="Arial" w:eastAsia="Arial" w:hAnsi="Arial"/>
          <w:sz w:val="18"/>
          <w:szCs w:val="18"/>
          <w:color w:val="auto"/>
        </w:rPr>
        <w:t>We borrow money from time to time within the levels permitted by the 1940 Act to fund investments and for general corporate purposes. Under the 1940 Act, we can incur borrowings, issue debt securities or issue preferred shares if immediately after the borrowing or issuance our ratio of total assets (less total liabilities other than indebtedness) to total indebtedness plus preferred shares is at least 150%. In determining whether to borrow money, we analyze the maturity, covenant package and rate structure of the proposed borrowings, as well as the risks of those borrowings compared to our investment outlook. The use of borrowed funds or the proceeds of preferred shares offerings to make investments has its own specific set of benefits and risks, and all of the costs of</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right="320"/>
        <w:spacing w:after="0" w:line="263" w:lineRule="auto"/>
        <w:rPr>
          <w:sz w:val="20"/>
          <w:szCs w:val="20"/>
          <w:color w:val="auto"/>
        </w:rPr>
      </w:pPr>
      <w:r>
        <w:rPr>
          <w:rFonts w:ascii="Arial" w:cs="Arial" w:eastAsia="Arial" w:hAnsi="Arial"/>
          <w:sz w:val="18"/>
          <w:szCs w:val="18"/>
          <w:color w:val="auto"/>
        </w:rPr>
        <w:t>borrowing funds or issuing preferred shares are borne by us, and ultimately the holders of our Common Shares. See “</w:t>
      </w:r>
      <w:r>
        <w:rPr>
          <w:rFonts w:ascii="Arial" w:cs="Arial" w:eastAsia="Arial" w:hAnsi="Arial"/>
          <w:sz w:val="18"/>
          <w:szCs w:val="18"/>
          <w:i w:val="1"/>
          <w:iCs w:val="1"/>
          <w:color w:val="auto"/>
        </w:rPr>
        <w:t>ITEM 1A. Risk Factors</w:t>
      </w:r>
      <w:r>
        <w:rPr>
          <w:rFonts w:ascii="Arial" w:cs="Arial" w:eastAsia="Arial" w:hAnsi="Arial"/>
          <w:sz w:val="18"/>
          <w:szCs w:val="18"/>
          <w:color w:val="auto"/>
        </w:rPr>
        <w:t>—</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Related to Our Business and Structure—We borrow money, which magnifies the potential for gain or loss and increases the risk of investing in us.” </w:t>
      </w:r>
      <w:r>
        <w:rPr>
          <w:rFonts w:ascii="Arial" w:cs="Arial" w:eastAsia="Arial" w:hAnsi="Arial"/>
          <w:sz w:val="18"/>
          <w:szCs w:val="18"/>
          <w:color w:val="auto"/>
        </w:rPr>
        <w:t>See</w:t>
      </w:r>
      <w:r>
        <w:rPr>
          <w:rFonts w:ascii="Arial" w:cs="Arial" w:eastAsia="Arial" w:hAnsi="Arial"/>
          <w:sz w:val="18"/>
          <w:szCs w:val="18"/>
          <w:i w:val="1"/>
          <w:iCs w:val="1"/>
          <w:color w:val="auto"/>
        </w:rPr>
        <w:t xml:space="preserve"> </w:t>
      </w:r>
      <w:r>
        <w:rPr>
          <w:rFonts w:ascii="Arial" w:cs="Arial" w:eastAsia="Arial" w:hAnsi="Arial"/>
          <w:sz w:val="18"/>
          <w:szCs w:val="18"/>
          <w:color w:val="auto"/>
        </w:rPr>
        <w:t>also “</w:t>
      </w:r>
      <w:r>
        <w:rPr>
          <w:rFonts w:ascii="Arial" w:cs="Arial" w:eastAsia="Arial" w:hAnsi="Arial"/>
          <w:sz w:val="18"/>
          <w:szCs w:val="18"/>
          <w:i w:val="1"/>
          <w:iCs w:val="1"/>
          <w:color w:val="auto"/>
        </w:rPr>
        <w:t>Regulation as a Business Development Company—Senior Securities.</w:t>
      </w:r>
      <w:r>
        <w:rPr>
          <w:rFonts w:ascii="Arial" w:cs="Arial" w:eastAsia="Arial" w:hAnsi="Arial"/>
          <w:sz w:val="18"/>
          <w:szCs w:val="18"/>
          <w:color w:val="auto"/>
        </w:rPr>
        <w: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operations comprise only a single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Adviser, and Sixth Street</w:t>
      </w:r>
    </w:p>
    <w:p>
      <w:pPr>
        <w:spacing w:after="0" w:line="121"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64"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Sixth Street is a global investment business with over $65 billion of assets under management as of December 31, 2022. Sixth Street’s core platforms include Sixth Street Lending Partners, Sixth Street Specialty Lending, which is aimed at U.S.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475 investment and operating professionals. As of December 31, 2022, 44 of these personnel are dedicated to our business, including 34 investment professionals.</w:t>
      </w:r>
    </w:p>
    <w:p>
      <w:pPr>
        <w:spacing w:after="0" w:line="182"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8" w:lineRule="exact"/>
        <w:rPr>
          <w:sz w:val="20"/>
          <w:szCs w:val="20"/>
          <w:color w:val="auto"/>
        </w:rPr>
      </w:pPr>
    </w:p>
    <w:p>
      <w:pPr>
        <w:ind w:right="80" w:firstLine="255"/>
        <w:spacing w:after="0" w:line="275" w:lineRule="auto"/>
        <w:rPr>
          <w:sz w:val="20"/>
          <w:szCs w:val="20"/>
          <w:color w:val="auto"/>
        </w:rPr>
      </w:pPr>
      <w:r>
        <w:rPr>
          <w:rFonts w:ascii="Arial" w:cs="Arial" w:eastAsia="Arial" w:hAnsi="Arial"/>
          <w:sz w:val="17"/>
          <w:szCs w:val="17"/>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See “Regulation as a Business Development Company—Transactions with our Affiliates.”</w:t>
      </w:r>
    </w:p>
    <w:p>
      <w:pPr>
        <w:spacing w:after="0" w:line="176"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20" w:firstLine="255"/>
        <w:spacing w:after="0" w:line="311"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9" w:lineRule="exact"/>
        <w:rPr>
          <w:sz w:val="20"/>
          <w:szCs w:val="20"/>
          <w:color w:val="auto"/>
        </w:rPr>
      </w:pPr>
    </w:p>
    <w:p>
      <w:pPr>
        <w:ind w:right="340" w:firstLine="255"/>
        <w:spacing w:after="0" w:line="263"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services rendered by others. Certain of these services are reimbursable to the Adviser under the terms of the Administration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Decision Process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investment approach involves, among other things:</w:t>
      </w:r>
    </w:p>
    <w:p>
      <w:pPr>
        <w:spacing w:after="0" w:line="117" w:lineRule="exact"/>
        <w:rPr>
          <w:sz w:val="20"/>
          <w:szCs w:val="20"/>
          <w:color w:val="auto"/>
        </w:rPr>
      </w:pPr>
    </w:p>
    <w:p>
      <w:pPr>
        <w:ind w:left="520" w:hanging="257"/>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assessment of the markets, overall macroeconomic environment and how the assessment may impact industry and investment selection;</w:t>
      </w:r>
    </w:p>
    <w:p>
      <w:pPr>
        <w:spacing w:after="0" w:line="128" w:lineRule="exact"/>
        <w:rPr>
          <w:rFonts w:ascii="Arial" w:cs="Arial" w:eastAsia="Arial" w:hAnsi="Arial"/>
          <w:sz w:val="17"/>
          <w:szCs w:val="17"/>
          <w:color w:val="auto"/>
        </w:rPr>
      </w:pPr>
    </w:p>
    <w:p>
      <w:pPr>
        <w:ind w:left="520" w:hanging="25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ind w:right="700" w:firstLine="255"/>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16" w:lineRule="exact"/>
        <w:rPr>
          <w:sz w:val="20"/>
          <w:szCs w:val="20"/>
          <w:color w:val="auto"/>
        </w:rPr>
      </w:pPr>
    </w:p>
    <w:p>
      <w:pPr>
        <w:ind w:left="520" w:hanging="257"/>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and Sourcing</w:t>
      </w:r>
    </w:p>
    <w:p>
      <w:pPr>
        <w:spacing w:after="0" w:line="117"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Sixth Street.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Process</w:t>
      </w:r>
    </w:p>
    <w:p>
      <w:pPr>
        <w:spacing w:after="0" w:line="11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9" w:lineRule="exact"/>
        <w:rPr>
          <w:sz w:val="20"/>
          <w:szCs w:val="20"/>
          <w:color w:val="auto"/>
        </w:rPr>
      </w:pPr>
    </w:p>
    <w:p>
      <w:pPr>
        <w:ind w:left="520" w:hanging="257"/>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understanding the purpose of the capital requirement, the key personnel and variables, as well as the sources and uses of the proceeds;</w:t>
      </w:r>
    </w:p>
    <w:p>
      <w:pPr>
        <w:spacing w:after="0" w:line="128" w:lineRule="exact"/>
        <w:rPr>
          <w:rFonts w:ascii="Arial" w:cs="Arial" w:eastAsia="Arial" w:hAnsi="Arial"/>
          <w:sz w:val="17"/>
          <w:szCs w:val="17"/>
          <w:color w:val="auto"/>
        </w:rPr>
      </w:pPr>
    </w:p>
    <w:p>
      <w:pPr>
        <w:ind w:left="520" w:right="140" w:hanging="257"/>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17" w:lineRule="exact"/>
        <w:rPr>
          <w:rFonts w:ascii="Arial" w:cs="Arial" w:eastAsia="Arial" w:hAnsi="Arial"/>
          <w:sz w:val="18"/>
          <w:szCs w:val="18"/>
          <w:color w:val="auto"/>
        </w:rPr>
      </w:pPr>
    </w:p>
    <w:p>
      <w:pPr>
        <w:ind w:left="520" w:right="560" w:hanging="257"/>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40" w:lineRule="exact"/>
        <w:rPr>
          <w:rFonts w:ascii="Arial" w:cs="Arial" w:eastAsia="Arial" w:hAnsi="Arial"/>
          <w:sz w:val="16"/>
          <w:szCs w:val="16"/>
          <w:color w:val="auto"/>
        </w:rPr>
      </w:pPr>
    </w:p>
    <w:p>
      <w:pPr>
        <w:ind w:left="520" w:hanging="257"/>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 w:name="page7"/>
    <w:bookmarkEnd w:id="6"/>
    <w:p>
      <w:pPr>
        <w:ind w:left="520" w:hanging="257"/>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leveraging Sixth Street internal resources with institutional knowledge of the company’s business;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 Investment Process</w:t>
      </w:r>
    </w:p>
    <w:p>
      <w:pPr>
        <w:spacing w:after="0" w:line="117"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Formal Commitment</w:t>
      </w:r>
    </w:p>
    <w:p>
      <w:pPr>
        <w:spacing w:after="0" w:line="117" w:lineRule="exact"/>
        <w:rPr>
          <w:sz w:val="20"/>
          <w:szCs w:val="20"/>
          <w:color w:val="auto"/>
        </w:rPr>
      </w:pPr>
    </w:p>
    <w:p>
      <w:pPr>
        <w:jc w:val="both"/>
        <w:ind w:right="40" w:firstLine="255"/>
        <w:spacing w:after="0" w:line="263" w:lineRule="auto"/>
        <w:rPr>
          <w:sz w:val="20"/>
          <w:szCs w:val="20"/>
          <w:color w:val="auto"/>
        </w:rPr>
      </w:pPr>
      <w:r>
        <w:rPr>
          <w:rFonts w:ascii="Arial" w:cs="Arial" w:eastAsia="Arial" w:hAnsi="Arial"/>
          <w:sz w:val="18"/>
          <w:szCs w:val="18"/>
          <w:color w:val="auto"/>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Monitoring</w:t>
      </w:r>
    </w:p>
    <w:p>
      <w:pPr>
        <w:spacing w:after="0" w:line="117"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Adviser has a number of methods of evaluating and monitoring the performance of our investments, which may include the following:</w:t>
      </w:r>
    </w:p>
    <w:p>
      <w:pPr>
        <w:spacing w:after="0" w:line="117" w:lineRule="exact"/>
        <w:rPr>
          <w:sz w:val="20"/>
          <w:szCs w:val="20"/>
          <w:color w:val="auto"/>
        </w:rPr>
      </w:pPr>
    </w:p>
    <w:p>
      <w:pPr>
        <w:ind w:left="520" w:hanging="257"/>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0" w:hanging="257"/>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6" w:lineRule="exact"/>
        <w:rPr>
          <w:sz w:val="20"/>
          <w:szCs w:val="20"/>
          <w:color w:val="auto"/>
        </w:rPr>
      </w:pPr>
    </w:p>
    <w:p>
      <w:pPr>
        <w:jc w:val="both"/>
        <w:ind w:left="520" w:right="600" w:hanging="257"/>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5" w:lineRule="exact"/>
        <w:rPr>
          <w:rFonts w:ascii="Arial" w:cs="Arial" w:eastAsia="Arial" w:hAnsi="Arial"/>
          <w:sz w:val="18"/>
          <w:szCs w:val="18"/>
          <w:color w:val="auto"/>
        </w:rPr>
      </w:pPr>
    </w:p>
    <w:p>
      <w:pPr>
        <w:ind w:left="520" w:right="80" w:hanging="257"/>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20" w:right="140" w:hanging="257"/>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 w:name="page8"/>
    <w:bookmarkEnd w:id="7"/>
    <w:p>
      <w:pPr>
        <w:ind w:left="520" w:right="20" w:hanging="257"/>
        <w:spacing w:after="0" w:line="255"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4" w:lineRule="exact"/>
        <w:rPr>
          <w:rFonts w:ascii="Arial" w:cs="Arial" w:eastAsia="Arial" w:hAnsi="Arial"/>
          <w:sz w:val="18"/>
          <w:szCs w:val="18"/>
          <w:color w:val="auto"/>
        </w:rPr>
      </w:pPr>
    </w:p>
    <w:p>
      <w:pPr>
        <w:ind w:left="520" w:right="220" w:hanging="257"/>
        <w:spacing w:after="0" w:line="279"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340" w:firstLine="255"/>
        <w:spacing w:after="0" w:line="277" w:lineRule="auto"/>
        <w:rPr>
          <w:sz w:val="20"/>
          <w:szCs w:val="20"/>
          <w:color w:val="auto"/>
        </w:rPr>
      </w:pPr>
      <w:r>
        <w:rPr>
          <w:rFonts w:ascii="Arial" w:cs="Arial" w:eastAsia="Arial" w:hAnsi="Arial"/>
          <w:sz w:val="18"/>
          <w:szCs w:val="18"/>
          <w:color w:val="auto"/>
        </w:rPr>
        <w:t xml:space="preserve">For more information on the investment performance ratings of our portfolio, see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OPERATIONS—Portfolio and Investment Activity.”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Since beginning our investment activities in August 2022, we have sought to generate current income primarily in U.S.-domiciled upper-middle market companies through direct originations of senior secured loans and, to a lesser extent, originations of mezzanine and unsecured loans and investments in corporate bonds and equity and other investments.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Investments</w:t>
      </w:r>
    </w:p>
    <w:p>
      <w:pPr>
        <w:spacing w:after="0" w:line="117"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72" w:lineRule="exact"/>
        <w:rPr>
          <w:sz w:val="20"/>
          <w:szCs w:val="20"/>
          <w:color w:val="auto"/>
        </w:rPr>
      </w:pPr>
    </w:p>
    <w:p>
      <w:pPr>
        <w:ind w:left="520" w:right="60" w:hanging="257"/>
        <w:spacing w:after="0" w:line="261"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71" w:lineRule="exact"/>
        <w:rPr>
          <w:rFonts w:ascii="Arial" w:cs="Arial" w:eastAsia="Arial" w:hAnsi="Arial"/>
          <w:sz w:val="18"/>
          <w:szCs w:val="18"/>
          <w:color w:val="auto"/>
        </w:rPr>
      </w:pPr>
    </w:p>
    <w:p>
      <w:pPr>
        <w:ind w:left="520" w:right="80" w:hanging="257"/>
        <w:spacing w:after="0" w:line="282"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subject to the first-priority security interest.</w:t>
      </w:r>
    </w:p>
    <w:p>
      <w:pPr>
        <w:spacing w:after="0" w:line="53" w:lineRule="exact"/>
        <w:rPr>
          <w:rFonts w:ascii="Arial" w:cs="Arial" w:eastAsia="Arial" w:hAnsi="Arial"/>
          <w:sz w:val="18"/>
          <w:szCs w:val="18"/>
          <w:color w:val="auto"/>
        </w:rPr>
      </w:pPr>
    </w:p>
    <w:p>
      <w:pPr>
        <w:ind w:left="520" w:right="20" w:hanging="257"/>
        <w:spacing w:after="0" w:line="25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“Last out” first-lien loans. </w:t>
      </w:r>
      <w:r>
        <w:rPr>
          <w:rFonts w:ascii="Arial" w:cs="Arial" w:eastAsia="Arial" w:hAnsi="Arial"/>
          <w:sz w:val="18"/>
          <w:szCs w:val="18"/>
          <w:color w:val="auto"/>
        </w:rPr>
        <w:t>“Last out” first-lien loans have a secondary priority behind super-senior “first out” first-lien loans in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83" w:lineRule="exact"/>
        <w:rPr>
          <w:rFonts w:ascii="Arial" w:cs="Arial" w:eastAsia="Arial" w:hAnsi="Arial"/>
          <w:sz w:val="18"/>
          <w:szCs w:val="18"/>
          <w:color w:val="auto"/>
        </w:rPr>
      </w:pPr>
    </w:p>
    <w:p>
      <w:pPr>
        <w:ind w:left="520" w:right="20" w:hanging="257"/>
        <w:spacing w:after="0" w:line="289"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“Unitranche” loans. </w:t>
      </w:r>
      <w:r>
        <w:rPr>
          <w:rFonts w:ascii="Arial" w:cs="Arial" w:eastAsia="Arial" w:hAnsi="Arial"/>
          <w:sz w:val="17"/>
          <w:szCs w:val="17"/>
          <w:color w:val="auto"/>
        </w:rPr>
        <w:t>Unitranche loans combine features of first-lien, second-lien and mezzanine debt, generally in a first-lien position. In many</w:t>
      </w:r>
      <w:r>
        <w:rPr>
          <w:rFonts w:ascii="Arial" w:cs="Arial" w:eastAsia="Arial" w:hAnsi="Arial"/>
          <w:sz w:val="17"/>
          <w:szCs w:val="17"/>
          <w:b w:val="1"/>
          <w:bCs w:val="1"/>
          <w:color w:val="auto"/>
        </w:rPr>
        <w:t xml:space="preserve"> </w:t>
      </w:r>
      <w:r>
        <w:rPr>
          <w:rFonts w:ascii="Arial" w:cs="Arial" w:eastAsia="Arial" w:hAnsi="Arial"/>
          <w:sz w:val="17"/>
          <w:szCs w:val="17"/>
          <w:color w:val="auto"/>
        </w:rPr>
        <w:t>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 w:name="page9"/>
    <w:bookmarkEnd w:id="8"/>
    <w:p>
      <w:pPr>
        <w:ind w:left="520" w:right="180" w:hanging="257"/>
        <w:spacing w:after="0" w:line="25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75" w:lineRule="exact"/>
        <w:rPr>
          <w:rFonts w:ascii="Arial" w:cs="Arial" w:eastAsia="Arial" w:hAnsi="Arial"/>
          <w:sz w:val="18"/>
          <w:szCs w:val="18"/>
          <w:color w:val="auto"/>
        </w:rPr>
      </w:pPr>
    </w:p>
    <w:p>
      <w:pPr>
        <w:ind w:left="520" w:right="40" w:hanging="257"/>
        <w:spacing w:after="0" w:line="25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“Mezzanine” and “Unsecured” debt. </w:t>
      </w:r>
      <w:r>
        <w:rPr>
          <w:rFonts w:ascii="Arial" w:cs="Arial" w:eastAsia="Arial" w:hAnsi="Arial"/>
          <w:sz w:val="18"/>
          <w:szCs w:val="18"/>
          <w:color w:val="auto"/>
        </w:rPr>
        <w:t>Structurally, mezzanine debt usually ranks subordinate in priority of payment to first-lien and second-lien</w:t>
      </w:r>
      <w:r>
        <w:rPr>
          <w:rFonts w:ascii="Arial" w:cs="Arial" w:eastAsia="Arial" w:hAnsi="Arial"/>
          <w:sz w:val="18"/>
          <w:szCs w:val="18"/>
          <w:b w:val="1"/>
          <w:bCs w:val="1"/>
          <w:color w:val="auto"/>
        </w:rPr>
        <w:t xml:space="preserve"> </w:t>
      </w:r>
      <w:r>
        <w:rPr>
          <w:rFonts w:ascii="Arial" w:cs="Arial" w:eastAsia="Arial" w:hAnsi="Arial"/>
          <w:sz w:val="18"/>
          <w:szCs w:val="18"/>
          <w:color w:val="auto"/>
        </w:rPr>
        <w:t>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92" w:lineRule="exact"/>
        <w:rPr>
          <w:sz w:val="20"/>
          <w:szCs w:val="20"/>
          <w:color w:val="auto"/>
        </w:rPr>
      </w:pPr>
    </w:p>
    <w:p>
      <w:pPr>
        <w:ind w:right="320" w:firstLine="255"/>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2" w:lineRule="exact"/>
        <w:rPr>
          <w:sz w:val="20"/>
          <w:szCs w:val="20"/>
          <w:color w:val="auto"/>
        </w:rPr>
      </w:pPr>
    </w:p>
    <w:p>
      <w:pPr>
        <w:ind w:left="520" w:hanging="257"/>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28" w:lineRule="exact"/>
        <w:rPr>
          <w:rFonts w:ascii="Arial" w:cs="Arial" w:eastAsia="Arial" w:hAnsi="Arial"/>
          <w:sz w:val="17"/>
          <w:szCs w:val="17"/>
          <w:color w:val="auto"/>
        </w:rPr>
      </w:pPr>
    </w:p>
    <w:p>
      <w:pPr>
        <w:ind w:left="520" w:right="240" w:hanging="257"/>
        <w:spacing w:after="0" w:line="259"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and Other Investments</w:t>
      </w:r>
    </w:p>
    <w:p>
      <w:pPr>
        <w:spacing w:after="0" w:line="117" w:lineRule="exact"/>
        <w:rPr>
          <w:sz w:val="20"/>
          <w:szCs w:val="20"/>
          <w:color w:val="auto"/>
        </w:rPr>
      </w:pPr>
    </w:p>
    <w:p>
      <w:pPr>
        <w:jc w:val="both"/>
        <w:ind w:right="420" w:firstLine="255"/>
        <w:spacing w:after="0" w:line="263"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2022, we had made investments with an aggregate fair value of $808.8 million in 10 portfolio companies.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consisted of the following at December 31, 2022:</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December 31, 2022</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33"/>
        </w:trPr>
        <w:tc>
          <w:tcPr>
            <w:tcW w:w="51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189"/>
        </w:trPr>
        <w:tc>
          <w:tcPr>
            <w:tcW w:w="5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77"/>
              <w:spacing w:after="0" w:line="189" w:lineRule="exact"/>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9"/>
                <w:szCs w:val="19"/>
                <w:b w:val="1"/>
                <w:bCs w:val="1"/>
                <w:color w:val="auto"/>
                <w:vertAlign w:val="superscript"/>
              </w:rPr>
              <w:t>(1)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801.2</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801.0</w:t>
            </w: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b w:val="1"/>
                <w:bCs w:val="1"/>
                <w:color w:val="auto"/>
              </w:rPr>
              <w:t>Total Investments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809.0</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808.8</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-24765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51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8" w:lineRule="exact"/>
        <w:rPr>
          <w:sz w:val="20"/>
          <w:szCs w:val="20"/>
          <w:color w:val="auto"/>
        </w:rPr>
      </w:pPr>
    </w:p>
    <w:p>
      <w:pPr>
        <w:ind w:left="520" w:right="36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color w:val="auto"/>
        </w:rPr>
        <w:t>The industry composition of investments at fair value at December 31, 2022 was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300" w:type="dxa"/>
            <w:vAlign w:val="bottom"/>
          </w:tcPr>
          <w:p>
            <w:pPr>
              <w:spacing w:after="0"/>
              <w:rPr>
                <w:sz w:val="16"/>
                <w:szCs w:val="16"/>
                <w:color w:val="auto"/>
              </w:rPr>
            </w:pPr>
          </w:p>
        </w:tc>
        <w:tc>
          <w:tcPr>
            <w:tcW w:w="17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December 31, 2022</w:t>
            </w:r>
          </w:p>
        </w:tc>
      </w:tr>
      <w:tr>
        <w:trPr>
          <w:trHeight w:val="224"/>
        </w:trPr>
        <w:tc>
          <w:tcPr>
            <w:tcW w:w="7300" w:type="dxa"/>
            <w:vAlign w:val="bottom"/>
          </w:tcPr>
          <w:p>
            <w:pPr>
              <w:spacing w:after="0"/>
              <w:rPr>
                <w:sz w:val="20"/>
                <w:szCs w:val="20"/>
                <w:color w:val="auto"/>
              </w:rPr>
            </w:pPr>
            <w:r>
              <w:rPr>
                <w:rFonts w:ascii="Arial" w:cs="Arial" w:eastAsia="Arial" w:hAnsi="Arial"/>
                <w:sz w:val="18"/>
                <w:szCs w:val="18"/>
                <w:color w:val="auto"/>
              </w:rPr>
              <w:t>Business Services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7300" w:type="dxa"/>
            <w:vAlign w:val="bottom"/>
          </w:tcPr>
          <w:p>
            <w:pPr>
              <w:spacing w:after="0"/>
              <w:rPr>
                <w:sz w:val="20"/>
                <w:szCs w:val="20"/>
                <w:color w:val="auto"/>
              </w:rPr>
            </w:pPr>
            <w:r>
              <w:rPr>
                <w:rFonts w:ascii="Arial" w:cs="Arial" w:eastAsia="Arial" w:hAnsi="Arial"/>
                <w:sz w:val="18"/>
                <w:szCs w:val="18"/>
                <w:color w:val="auto"/>
              </w:rPr>
              <w:t>Chemicals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Financial Services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32.4 %</w:t>
            </w: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18.0 %</w:t>
            </w: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Internet Services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Manufacturing</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16.3 %</w:t>
            </w:r>
          </w:p>
        </w:tc>
      </w:tr>
      <w:tr>
        <w:trPr>
          <w:trHeight w:val="250"/>
        </w:trPr>
        <w:tc>
          <w:tcPr>
            <w:tcW w:w="730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29.4 %</w:t>
            </w:r>
          </w:p>
        </w:tc>
      </w:tr>
      <w:tr>
        <w:trPr>
          <w:trHeight w:val="20"/>
        </w:trPr>
        <w:tc>
          <w:tcPr>
            <w:tcW w:w="73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73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-1268095</wp:posOffset>
            </wp:positionV>
            <wp:extent cx="57003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-959485</wp:posOffset>
            </wp:positionV>
            <wp:extent cx="570039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-650875</wp:posOffset>
            </wp:positionV>
            <wp:extent cx="570039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-342265</wp:posOffset>
            </wp:positionV>
            <wp:extent cx="5700395"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342900"/>
                    </a:xfrm>
                    <a:prstGeom prst="rect">
                      <a:avLst/>
                    </a:prstGeom>
                    <a:noFill/>
                  </pic:spPr>
                </pic:pic>
              </a:graphicData>
            </a:graphic>
          </wp:anchor>
        </w:drawing>
      </w:r>
    </w:p>
    <w:p>
      <w:pPr>
        <w:spacing w:after="0" w:line="182" w:lineRule="exact"/>
        <w:rPr>
          <w:sz w:val="20"/>
          <w:szCs w:val="20"/>
          <w:color w:val="auto"/>
        </w:rPr>
      </w:pPr>
    </w:p>
    <w:p>
      <w:pPr>
        <w:ind w:right="360" w:firstLine="255"/>
        <w:spacing w:after="0" w:line="277" w:lineRule="auto"/>
        <w:rPr>
          <w:sz w:val="20"/>
          <w:szCs w:val="20"/>
          <w:color w:val="auto"/>
        </w:rPr>
      </w:pPr>
      <w:r>
        <w:rPr>
          <w:rFonts w:ascii="Arial" w:cs="Arial" w:eastAsia="Arial" w:hAnsi="Arial"/>
          <w:sz w:val="18"/>
          <w:szCs w:val="18"/>
          <w:color w:val="auto"/>
        </w:rPr>
        <w:t>We classify the industries of our portfolio companies by end-market (such as Financial Services and Retail and Consumer Products) and not by the product or services (such as Software) directed to those end-markets.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December 31, 2022 was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220" w:type="dxa"/>
            <w:vAlign w:val="bottom"/>
          </w:tcPr>
          <w:p>
            <w:pPr>
              <w:spacing w:after="0"/>
              <w:rPr>
                <w:sz w:val="16"/>
                <w:szCs w:val="16"/>
                <w:color w:val="auto"/>
              </w:rPr>
            </w:pPr>
          </w:p>
        </w:tc>
        <w:tc>
          <w:tcPr>
            <w:tcW w:w="18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December 31, 2022</w:t>
            </w:r>
          </w:p>
        </w:tc>
      </w:tr>
      <w:tr>
        <w:trPr>
          <w:trHeight w:val="236"/>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7220" w:type="dxa"/>
            <w:vAlign w:val="bottom"/>
          </w:tcPr>
          <w:p>
            <w:pPr>
              <w:ind w:left="180"/>
              <w:spacing w:after="0"/>
              <w:rPr>
                <w:sz w:val="20"/>
                <w:szCs w:val="20"/>
                <w:color w:val="auto"/>
              </w:rPr>
            </w:pPr>
            <w:r>
              <w:rPr>
                <w:rFonts w:ascii="Arial" w:cs="Arial" w:eastAsia="Arial" w:hAnsi="Arial"/>
                <w:sz w:val="18"/>
                <w:szCs w:val="18"/>
                <w:color w:val="auto"/>
              </w:rPr>
              <w:t>Midwest</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18.1 %</w:t>
            </w:r>
          </w:p>
        </w:tc>
      </w:tr>
      <w:tr>
        <w:trPr>
          <w:trHeight w:val="242"/>
        </w:trPr>
        <w:tc>
          <w:tcPr>
            <w:tcW w:w="7220" w:type="dxa"/>
            <w:vAlign w:val="bottom"/>
          </w:tcPr>
          <w:p>
            <w:pPr>
              <w:ind w:left="180"/>
              <w:spacing w:after="0"/>
              <w:rPr>
                <w:sz w:val="20"/>
                <w:szCs w:val="20"/>
                <w:color w:val="auto"/>
              </w:rPr>
            </w:pPr>
            <w:r>
              <w:rPr>
                <w:rFonts w:ascii="Arial" w:cs="Arial" w:eastAsia="Arial" w:hAnsi="Arial"/>
                <w:sz w:val="18"/>
                <w:szCs w:val="18"/>
                <w:color w:val="auto"/>
              </w:rPr>
              <w:t>Northeast</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45.5 %</w:t>
            </w:r>
          </w:p>
        </w:tc>
      </w:tr>
      <w:tr>
        <w:trPr>
          <w:trHeight w:val="243"/>
        </w:trPr>
        <w:tc>
          <w:tcPr>
            <w:tcW w:w="7220" w:type="dxa"/>
            <w:vAlign w:val="bottom"/>
          </w:tcPr>
          <w:p>
            <w:pPr>
              <w:ind w:left="180"/>
              <w:spacing w:after="0"/>
              <w:rPr>
                <w:sz w:val="20"/>
                <w:szCs w:val="20"/>
                <w:color w:val="auto"/>
              </w:rPr>
            </w:pPr>
            <w:r>
              <w:rPr>
                <w:rFonts w:ascii="Arial" w:cs="Arial" w:eastAsia="Arial" w:hAnsi="Arial"/>
                <w:sz w:val="18"/>
                <w:szCs w:val="18"/>
                <w:color w:val="auto"/>
              </w:rPr>
              <w:t>South</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7220" w:type="dxa"/>
            <w:vAlign w:val="bottom"/>
          </w:tcPr>
          <w:p>
            <w:pPr>
              <w:ind w:left="180"/>
              <w:spacing w:after="0"/>
              <w:rPr>
                <w:sz w:val="20"/>
                <w:szCs w:val="20"/>
                <w:color w:val="auto"/>
              </w:rPr>
            </w:pPr>
            <w:r>
              <w:rPr>
                <w:rFonts w:ascii="Arial" w:cs="Arial" w:eastAsia="Arial" w:hAnsi="Arial"/>
                <w:sz w:val="18"/>
                <w:szCs w:val="18"/>
                <w:color w:val="auto"/>
              </w:rPr>
              <w:t>West</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32.5 %</w:t>
            </w:r>
          </w:p>
        </w:tc>
      </w:tr>
      <w:tr>
        <w:trPr>
          <w:trHeight w:val="243"/>
        </w:trPr>
        <w:tc>
          <w:tcPr>
            <w:tcW w:w="7220" w:type="dxa"/>
            <w:vAlign w:val="bottom"/>
          </w:tcPr>
          <w:p>
            <w:pPr>
              <w:spacing w:after="0"/>
              <w:rPr>
                <w:sz w:val="20"/>
                <w:szCs w:val="20"/>
                <w:color w:val="auto"/>
              </w:rPr>
            </w:pPr>
            <w:r>
              <w:rPr>
                <w:rFonts w:ascii="Arial" w:cs="Arial" w:eastAsia="Arial" w:hAnsi="Arial"/>
                <w:sz w:val="18"/>
                <w:szCs w:val="18"/>
                <w:color w:val="auto"/>
              </w:rPr>
              <w:t>Germany</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7220" w:type="dxa"/>
            <w:vAlign w:val="bottom"/>
          </w:tcPr>
          <w:p>
            <w:pPr>
              <w:spacing w:after="0"/>
              <w:rPr>
                <w:sz w:val="20"/>
                <w:szCs w:val="20"/>
                <w:color w:val="auto"/>
              </w:rPr>
            </w:pPr>
            <w:r>
              <w:rPr>
                <w:rFonts w:ascii="Arial" w:cs="Arial" w:eastAsia="Arial" w:hAnsi="Arial"/>
                <w:sz w:val="18"/>
                <w:szCs w:val="18"/>
                <w:color w:val="auto"/>
              </w:rPr>
              <w:t>Luxembourg</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0.4 %</w:t>
            </w:r>
          </w:p>
        </w:tc>
      </w:tr>
      <w:tr>
        <w:trPr>
          <w:trHeight w:val="250"/>
        </w:trPr>
        <w:tc>
          <w:tcPr>
            <w:tcW w:w="7220" w:type="dxa"/>
            <w:vAlign w:val="bottom"/>
          </w:tcPr>
          <w:p>
            <w:pPr>
              <w:spacing w:after="0"/>
              <w:rPr>
                <w:sz w:val="20"/>
                <w:szCs w:val="20"/>
                <w:color w:val="auto"/>
              </w:rPr>
            </w:pPr>
            <w:r>
              <w:rPr>
                <w:rFonts w:ascii="Arial" w:cs="Arial" w:eastAsia="Arial" w:hAnsi="Arial"/>
                <w:sz w:val="18"/>
                <w:szCs w:val="18"/>
                <w:color w:val="auto"/>
              </w:rPr>
              <w:t>Norway</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2.4 %</w:t>
            </w:r>
          </w:p>
        </w:tc>
      </w:tr>
      <w:tr>
        <w:trPr>
          <w:trHeight w:val="237"/>
        </w:trPr>
        <w:tc>
          <w:tcPr>
            <w:tcW w:w="72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7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-1113790</wp:posOffset>
            </wp:positionV>
            <wp:extent cx="570039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-805180</wp:posOffset>
            </wp:positionV>
            <wp:extent cx="570039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-187960</wp:posOffset>
            </wp:positionV>
            <wp:extent cx="570039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8859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Commitments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2022, we had the following commitments to fund investments in current portfolio companies: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7180" w:type="dxa"/>
            <w:vAlign w:val="bottom"/>
          </w:tcPr>
          <w:p>
            <w:pPr>
              <w:spacing w:after="0"/>
              <w:rPr>
                <w:sz w:val="20"/>
                <w:szCs w:val="20"/>
                <w:color w:val="auto"/>
              </w:rPr>
            </w:pPr>
            <w:r>
              <w:rPr>
                <w:rFonts w:ascii="Arial" w:cs="Arial" w:eastAsia="Arial" w:hAnsi="Arial"/>
                <w:sz w:val="18"/>
                <w:szCs w:val="18"/>
                <w:color w:val="auto"/>
              </w:rPr>
              <w:t>($ in millions)</w:t>
            </w:r>
          </w:p>
        </w:tc>
        <w:tc>
          <w:tcPr>
            <w:tcW w:w="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December 31, 2022</w:t>
            </w:r>
          </w:p>
        </w:tc>
        <w:tc>
          <w:tcPr>
            <w:tcW w:w="80" w:type="dxa"/>
            <w:vAlign w:val="bottom"/>
          </w:tcPr>
          <w:p>
            <w:pPr>
              <w:spacing w:after="0"/>
              <w:rPr>
                <w:sz w:val="21"/>
                <w:szCs w:val="21"/>
                <w:color w:val="auto"/>
              </w:rPr>
            </w:pPr>
          </w:p>
        </w:tc>
      </w:tr>
      <w:tr>
        <w:trPr>
          <w:trHeight w:val="236"/>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Avalara, Inc. - Revolver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FF0FC"/>
          </w:tcPr>
          <w:p>
            <w:pPr>
              <w:spacing w:after="0"/>
              <w:rPr>
                <w:sz w:val="20"/>
                <w:szCs w:val="20"/>
                <w:color w:val="auto"/>
              </w:rPr>
            </w:pPr>
          </w:p>
        </w:tc>
      </w:tr>
      <w:tr>
        <w:trPr>
          <w:trHeight w:val="237"/>
        </w:trPr>
        <w:tc>
          <w:tcPr>
            <w:tcW w:w="7180" w:type="dxa"/>
            <w:vAlign w:val="bottom"/>
          </w:tcPr>
          <w:p>
            <w:pPr>
              <w:spacing w:after="0"/>
              <w:rPr>
                <w:sz w:val="20"/>
                <w:szCs w:val="20"/>
                <w:color w:val="auto"/>
              </w:rPr>
            </w:pPr>
            <w:r>
              <w:rPr>
                <w:rFonts w:ascii="Arial" w:cs="Arial" w:eastAsia="Arial" w:hAnsi="Arial"/>
                <w:sz w:val="18"/>
                <w:szCs w:val="18"/>
                <w:color w:val="auto"/>
              </w:rPr>
              <w:t>BTRS Holdings, Inc. - Delayed Draw &amp; Revolver</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0"/>
                <w:szCs w:val="20"/>
                <w:color w:val="auto"/>
              </w:rPr>
            </w:pPr>
          </w:p>
        </w:tc>
      </w:tr>
      <w:tr>
        <w:trPr>
          <w:trHeight w:val="249"/>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Erling Lux Bidco SARL - Delayed Draw &amp; Revolver</w:t>
            </w:r>
          </w:p>
        </w:tc>
        <w:tc>
          <w:tcPr>
            <w:tcW w:w="1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21"/>
                <w:szCs w:val="21"/>
                <w:color w:val="auto"/>
              </w:rPr>
            </w:pPr>
          </w:p>
        </w:tc>
      </w:tr>
      <w:tr>
        <w:trPr>
          <w:trHeight w:val="237"/>
        </w:trPr>
        <w:tc>
          <w:tcPr>
            <w:tcW w:w="7180" w:type="dxa"/>
            <w:vAlign w:val="bottom"/>
          </w:tcPr>
          <w:p>
            <w:pPr>
              <w:spacing w:after="0"/>
              <w:rPr>
                <w:sz w:val="20"/>
                <w:szCs w:val="20"/>
                <w:color w:val="auto"/>
              </w:rPr>
            </w:pPr>
            <w:r>
              <w:rPr>
                <w:rFonts w:ascii="Arial" w:cs="Arial" w:eastAsia="Arial" w:hAnsi="Arial"/>
                <w:sz w:val="18"/>
                <w:szCs w:val="18"/>
                <w:color w:val="auto"/>
              </w:rPr>
              <w:t>Hornetsecurity Holding GmbH - Delayed Draw &amp; Revolver</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r>
      <w:tr>
        <w:trPr>
          <w:trHeight w:val="249"/>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OutSystems Luxco SARL - Delayed Draw</w:t>
            </w:r>
          </w:p>
        </w:tc>
        <w:tc>
          <w:tcPr>
            <w:tcW w:w="1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21"/>
                <w:szCs w:val="21"/>
                <w:color w:val="auto"/>
              </w:rPr>
            </w:pPr>
          </w:p>
        </w:tc>
      </w:tr>
      <w:tr>
        <w:trPr>
          <w:trHeight w:val="237"/>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Ping Identity Holding Corp. - Revolver</w:t>
            </w: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FF0FC"/>
            </w:tcBorders>
          </w:tcPr>
          <w:p>
            <w:pPr>
              <w:spacing w:after="0"/>
              <w:rPr>
                <w:sz w:val="20"/>
                <w:szCs w:val="20"/>
                <w:color w:val="auto"/>
              </w:rPr>
            </w:pPr>
          </w:p>
        </w:tc>
      </w:tr>
      <w:tr>
        <w:trPr>
          <w:trHeight w:val="283"/>
        </w:trPr>
        <w:tc>
          <w:tcPr>
            <w:tcW w:w="7180" w:type="dxa"/>
            <w:vAlign w:val="bottom"/>
            <w:tcBorders>
              <w:bottom w:val="single" w:sz="8" w:color="CFF0FC"/>
            </w:tcBorders>
            <w:shd w:val="clear" w:color="auto" w:fill="CFF0FC"/>
          </w:tcPr>
          <w:p>
            <w:pPr>
              <w:ind w:left="180"/>
              <w:spacing w:after="0" w:line="243" w:lineRule="exact"/>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24"/>
                <w:szCs w:val="24"/>
                <w:b w:val="1"/>
                <w:bCs w:val="1"/>
                <w:color w:val="auto"/>
                <w:vertAlign w:val="superscript"/>
              </w:rPr>
              <w:t>(1)(2)</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both"/>
        <w:ind w:left="520" w:right="260" w:hanging="512"/>
        <w:spacing w:after="0" w:line="255"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2" w:lineRule="exact"/>
        <w:rPr>
          <w:rFonts w:ascii="Arial" w:cs="Arial" w:eastAsia="Arial" w:hAnsi="Arial"/>
          <w:sz w:val="18"/>
          <w:szCs w:val="18"/>
          <w:color w:val="auto"/>
        </w:rPr>
      </w:pPr>
    </w:p>
    <w:p>
      <w:pPr>
        <w:ind w:left="520" w:right="680" w:hanging="512"/>
        <w:spacing w:after="0" w:line="26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 of the fair value of the current investments in these portfolio companies includes as analysis of the fair value of any unfunded commitments.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As of December 31, 2022, we did not have any unfunded commitments to fund investments to new borrowers that were not current portfolio companies as of such date.</w:t>
      </w:r>
    </w:p>
    <w:p>
      <w:pPr>
        <w:spacing w:after="0" w:line="170" w:lineRule="exact"/>
        <w:rPr>
          <w:sz w:val="20"/>
          <w:szCs w:val="20"/>
          <w:color w:val="auto"/>
        </w:rPr>
      </w:pPr>
    </w:p>
    <w:p>
      <w:pPr>
        <w:jc w:val="both"/>
        <w:ind w:right="400" w:firstLine="255"/>
        <w:spacing w:after="0" w:line="342" w:lineRule="auto"/>
        <w:rPr>
          <w:sz w:val="20"/>
          <w:szCs w:val="20"/>
          <w:color w:val="auto"/>
        </w:rPr>
      </w:pPr>
      <w:r>
        <w:rPr>
          <w:rFonts w:ascii="Arial" w:cs="Arial" w:eastAsia="Arial" w:hAnsi="Arial"/>
          <w:sz w:val="16"/>
          <w:szCs w:val="16"/>
          <w:color w:val="auto"/>
        </w:rPr>
        <w:t>From time to time, we may become a party to certain legal proceedings incidental to the normal course of our business. As of December 31, 2022, management is not aware of any material pending or threatened litigation that would require accounting recognition or financial statement disclosure.</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80" w:firstLine="255"/>
        <w:spacing w:after="0" w:line="254" w:lineRule="auto"/>
        <w:rPr>
          <w:sz w:val="20"/>
          <w:szCs w:val="20"/>
          <w:color w:val="auto"/>
        </w:rPr>
      </w:pPr>
      <w:r>
        <w:rPr>
          <w:rFonts w:ascii="Arial" w:cs="Arial" w:eastAsia="Arial" w:hAnsi="Arial"/>
          <w:sz w:val="18"/>
          <w:szCs w:val="18"/>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Arial" w:cs="Arial" w:eastAsia="Arial" w:hAnsi="Arial"/>
          <w:sz w:val="18"/>
          <w:szCs w:val="18"/>
          <w:i w:val="1"/>
          <w:iCs w:val="1"/>
          <w:color w:val="auto"/>
        </w:rPr>
        <w:t>ITEM 1A. RISK FACTORS—Risks Related to Our Business and Structure—We operate in a highly</w:t>
      </w:r>
      <w:r>
        <w:rPr>
          <w:rFonts w:ascii="Arial" w:cs="Arial" w:eastAsia="Arial" w:hAnsi="Arial"/>
          <w:sz w:val="18"/>
          <w:szCs w:val="18"/>
          <w:color w:val="auto"/>
        </w:rPr>
        <w:t xml:space="preserve"> </w:t>
      </w:r>
      <w:r>
        <w:rPr>
          <w:rFonts w:ascii="Arial" w:cs="Arial" w:eastAsia="Arial" w:hAnsi="Arial"/>
          <w:sz w:val="18"/>
          <w:szCs w:val="18"/>
          <w:i w:val="1"/>
          <w:iCs w:val="1"/>
          <w:color w:val="auto"/>
        </w:rPr>
        <w:t>competitive market for investment opportunities.</w:t>
      </w:r>
      <w:r>
        <w:rPr>
          <w:rFonts w:ascii="Arial" w:cs="Arial" w:eastAsia="Arial" w:hAnsi="Arial"/>
          <w:sz w:val="18"/>
          <w:szCs w:val="18"/>
          <w:color w:val="auto"/>
        </w:rPr>
        <w: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Borrowings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anticipate generating cash in the future from cash flows from operations, including interest received on our cash and cash equivalents,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securities and other high-quality debt investments that mature in one year or less, and through issuances of Common Shares.</w:t>
      </w:r>
    </w:p>
    <w:p>
      <w:pPr>
        <w:spacing w:after="0" w:line="211"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Additionally, we are permitted, under specified conditions, to issue multiple classes of indebtedness and one class of shares senior to our Common Shares if our asset coverage, as defined in the 1940 Act, is at least equal to 150% immediately after each such issuance. As of December 31, 2022, our asset coverage was 201.6%. See “</w:t>
      </w:r>
      <w:r>
        <w:rPr>
          <w:rFonts w:ascii="Arial" w:cs="Arial" w:eastAsia="Arial" w:hAnsi="Arial"/>
          <w:sz w:val="18"/>
          <w:szCs w:val="18"/>
          <w:i w:val="1"/>
          <w:iCs w:val="1"/>
          <w:color w:val="auto"/>
        </w:rPr>
        <w:t>Regulation as a Business Development Company—Senior Securities</w:t>
      </w:r>
      <w:r>
        <w:rPr>
          <w:rFonts w:ascii="Arial" w:cs="Arial" w:eastAsia="Arial" w:hAnsi="Arial"/>
          <w:sz w:val="18"/>
          <w:szCs w:val="18"/>
          <w:color w:val="auto"/>
        </w:rPr>
        <w:t>” below.</w:t>
      </w:r>
    </w:p>
    <w:p>
      <w:pPr>
        <w:spacing w:after="0" w:line="184"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Furthermore, while any indebtedness and senior securities remain outstanding, we must make provisions to prohibit any distribution to our shareholders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debt obligations consisted of the following as of December 31, 2022:</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1"/>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ind w:right="39"/>
              <w:spacing w:after="0" w:line="141" w:lineRule="exact"/>
              <w:rPr>
                <w:sz w:val="20"/>
                <w:szCs w:val="20"/>
                <w:color w:val="auto"/>
              </w:rPr>
            </w:pPr>
            <w:r>
              <w:rPr>
                <w:rFonts w:ascii="Arial" w:cs="Arial" w:eastAsia="Arial" w:hAnsi="Arial"/>
                <w:sz w:val="14"/>
                <w:szCs w:val="14"/>
                <w:b w:val="1"/>
                <w:bCs w:val="1"/>
                <w:color w:val="auto"/>
                <w:w w:val="92"/>
              </w:rPr>
              <w:t>Aggregate Principal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81"/>
              <w:spacing w:after="0" w:line="141" w:lineRule="exact"/>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199"/>
              <w:spacing w:after="0" w:line="141"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79"/>
              <w:spacing w:after="0" w:line="141"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r>
      <w:tr>
        <w:trPr>
          <w:trHeight w:val="204"/>
        </w:trPr>
        <w:tc>
          <w:tcPr>
            <w:tcW w:w="362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3"/>
              </w:rPr>
              <w:t>Amount Committed</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9"/>
              <w:spacing w:after="0" w:line="204" w:lineRule="exact"/>
              <w:rPr>
                <w:sz w:val="20"/>
                <w:szCs w:val="20"/>
                <w:color w:val="auto"/>
              </w:rPr>
            </w:pPr>
            <w:r>
              <w:rPr>
                <w:rFonts w:ascii="Arial" w:cs="Arial" w:eastAsia="Arial" w:hAnsi="Arial"/>
                <w:sz w:val="14"/>
                <w:szCs w:val="14"/>
                <w:b w:val="1"/>
                <w:bCs w:val="1"/>
                <w:color w:val="auto"/>
                <w:w w:val="91"/>
              </w:rPr>
              <w:t xml:space="preserve">Available </w:t>
            </w:r>
            <w:r>
              <w:rPr>
                <w:rFonts w:ascii="Arial" w:cs="Arial" w:eastAsia="Arial" w:hAnsi="Arial"/>
                <w:sz w:val="19"/>
                <w:szCs w:val="19"/>
                <w:b w:val="1"/>
                <w:bCs w:val="1"/>
                <w:color w:val="auto"/>
                <w:w w:val="91"/>
                <w:vertAlign w:val="superscript"/>
              </w:rPr>
              <w:t>(1)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9"/>
              <w:spacing w:after="0" w:line="204"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9"/>
                <w:szCs w:val="19"/>
                <w:b w:val="1"/>
                <w:bCs w:val="1"/>
                <w:color w:val="auto"/>
                <w:vertAlign w:val="superscript"/>
              </w:rPr>
              <w:t>(2)</w:t>
            </w:r>
          </w:p>
        </w:tc>
        <w:tc>
          <w:tcPr>
            <w:tcW w:w="80" w:type="dxa"/>
            <w:vAlign w:val="bottom"/>
          </w:tcPr>
          <w:p>
            <w:pPr>
              <w:spacing w:after="0"/>
              <w:rPr>
                <w:sz w:val="17"/>
                <w:szCs w:val="17"/>
                <w:color w:val="auto"/>
              </w:rPr>
            </w:pPr>
          </w:p>
        </w:tc>
      </w:tr>
      <w:tr>
        <w:trPr>
          <w:trHeight w:val="237"/>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Subscription Facility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3620" w:type="dxa"/>
            <w:vAlign w:val="bottom"/>
          </w:tcPr>
          <w:p>
            <w:pPr>
              <w:ind w:left="18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162.0</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534.1</w:t>
            </w:r>
          </w:p>
        </w:tc>
        <w:tc>
          <w:tcPr>
            <w:tcW w:w="80" w:type="dxa"/>
            <w:vAlign w:val="bottom"/>
          </w:tcPr>
          <w:p>
            <w:pPr>
              <w:spacing w:after="0"/>
              <w:rPr>
                <w:sz w:val="20"/>
                <w:szCs w:val="20"/>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-187960</wp:posOffset>
            </wp:positionV>
            <wp:extent cx="603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5143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5143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9" w:lineRule="exact"/>
        <w:rPr>
          <w:sz w:val="20"/>
          <w:szCs w:val="20"/>
          <w:color w:val="auto"/>
        </w:rPr>
      </w:pPr>
    </w:p>
    <w:p>
      <w:pPr>
        <w:ind w:left="520" w:right="54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Subscription Facility (as defined below) and asset coverage requirements.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color w:val="auto"/>
        </w:rPr>
        <w:t>For the period from April 5, 2022 (Inception) through December 31, 2022, the components of interest expense were as follows: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From April 5, 2022 (Inception) through</w:t>
            </w:r>
          </w:p>
        </w:tc>
      </w:tr>
      <w:tr>
        <w:trPr>
          <w:trHeight w:val="185"/>
        </w:trPr>
        <w:tc>
          <w:tcPr>
            <w:tcW w:w="6160" w:type="dxa"/>
            <w:vAlign w:val="bottom"/>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6"/>
                <w:szCs w:val="16"/>
                <w:color w:val="auto"/>
              </w:rPr>
            </w:pPr>
          </w:p>
        </w:tc>
        <w:tc>
          <w:tcPr>
            <w:tcW w:w="27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December 31, 2022</w:t>
            </w:r>
          </w:p>
        </w:tc>
      </w:tr>
      <w:tr>
        <w:trPr>
          <w:trHeight w:val="237"/>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160" w:type="dxa"/>
            <w:vAlign w:val="bottom"/>
          </w:tcPr>
          <w:p>
            <w:pPr>
              <w:spacing w:after="0"/>
              <w:rPr>
                <w:sz w:val="20"/>
                <w:szCs w:val="20"/>
                <w:color w:val="auto"/>
              </w:rPr>
            </w:pPr>
            <w:r>
              <w:rPr>
                <w:rFonts w:ascii="Arial" w:cs="Arial" w:eastAsia="Arial" w:hAnsi="Arial"/>
                <w:sz w:val="18"/>
                <w:szCs w:val="18"/>
                <w:color w:val="auto"/>
              </w:rPr>
              <w:t>Commitment fees</w:t>
            </w:r>
          </w:p>
        </w:tc>
        <w:tc>
          <w:tcPr>
            <w:tcW w:w="1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tcBorders>
              <w:bottom w:val="single" w:sz="8" w:color="auto"/>
            </w:tcBorders>
            <w:shd w:val="clear" w:color="auto" w:fill="CFF0FC"/>
          </w:tcPr>
          <w:p>
            <w:pPr>
              <w:spacing w:after="0"/>
              <w:rPr>
                <w:sz w:val="21"/>
                <w:szCs w:val="21"/>
                <w:color w:val="auto"/>
              </w:rPr>
            </w:pPr>
          </w:p>
        </w:tc>
        <w:tc>
          <w:tcPr>
            <w:tcW w:w="2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b w:val="1"/>
                <w:bCs w:val="1"/>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20" w:type="dxa"/>
            <w:vAlign w:val="bottom"/>
          </w:tcPr>
          <w:p>
            <w:pPr>
              <w:spacing w:after="0"/>
              <w:rPr>
                <w:sz w:val="20"/>
                <w:szCs w:val="20"/>
                <w:color w:val="auto"/>
              </w:rPr>
            </w:pP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6.3 %</w:t>
            </w:r>
          </w:p>
        </w:tc>
      </w:tr>
    </w:tbl>
    <w:p>
      <w:pPr>
        <w:spacing w:after="0" w:line="241"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For more information on our debt, see “</w:t>
      </w:r>
      <w:r>
        <w:rPr>
          <w:rFonts w:ascii="Arial" w:cs="Arial" w:eastAsia="Arial" w:hAnsi="Arial"/>
          <w:sz w:val="18"/>
          <w:szCs w:val="18"/>
          <w:i w:val="1"/>
          <w:iCs w:val="1"/>
          <w:color w:val="auto"/>
        </w:rPr>
        <w:t>ITEM 7.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OPERATIONS——Financial Condition, Liquidity and Capital Resources.</w:t>
      </w:r>
      <w:r>
        <w:rPr>
          <w:rFonts w:ascii="Arial" w:cs="Arial" w:eastAsia="Arial" w:hAnsi="Arial"/>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ind w:right="120" w:firstLine="255"/>
        <w:spacing w:after="0" w:line="308" w:lineRule="auto"/>
        <w:rPr>
          <w:sz w:val="20"/>
          <w:szCs w:val="20"/>
          <w:color w:val="auto"/>
        </w:rPr>
      </w:pPr>
      <w:r>
        <w:rPr>
          <w:rFonts w:ascii="Arial" w:cs="Arial" w:eastAsia="Arial" w:hAnsi="Arial"/>
          <w:sz w:val="17"/>
          <w:szCs w:val="17"/>
          <w:color w:val="auto"/>
        </w:rPr>
        <w:t>We intend to elect to be regulated and qualify for U.S. federal income tax purposes as a RIC under subchapter M of the Code. To maintain RIC status, we must distribute (or be treated as distributing) in each taxable year dividends for tax purposes equal to at least 90% of the sum of our:</w:t>
      </w:r>
    </w:p>
    <w:p>
      <w:pPr>
        <w:spacing w:after="0" w:line="38" w:lineRule="exact"/>
        <w:rPr>
          <w:sz w:val="20"/>
          <w:szCs w:val="20"/>
          <w:color w:val="auto"/>
        </w:rPr>
      </w:pPr>
    </w:p>
    <w:p>
      <w:pPr>
        <w:ind w:right="60" w:firstLine="263"/>
        <w:spacing w:after="0" w:line="277" w:lineRule="auto"/>
        <w:tabs>
          <w:tab w:leader="none" w:pos="6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620" w:hanging="35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tax-exempt interest income over certain disallowed deductions) for such taxable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103"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As a RIC, we (but not our shareholders) generally will not be subject to U.S. federal income tax on investment company taxable income and net capital gains that we distribute to our shareholders.</w:t>
      </w:r>
    </w:p>
    <w:p>
      <w:pPr>
        <w:spacing w:after="0" w:line="62" w:lineRule="exact"/>
        <w:rPr>
          <w:sz w:val="20"/>
          <w:szCs w:val="20"/>
          <w:color w:val="auto"/>
        </w:rPr>
      </w:pPr>
    </w:p>
    <w:p>
      <w:pPr>
        <w:jc w:val="both"/>
        <w:ind w:right="200" w:firstLine="255"/>
        <w:spacing w:after="0" w:line="263"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76"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6" w:lineRule="exact"/>
        <w:rPr>
          <w:sz w:val="20"/>
          <w:szCs w:val="20"/>
          <w:color w:val="auto"/>
        </w:rPr>
      </w:pPr>
    </w:p>
    <w:p>
      <w:pPr>
        <w:ind w:left="520" w:hanging="257"/>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520" w:right="100" w:hanging="257"/>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4" w:lineRule="exact"/>
        <w:rPr>
          <w:sz w:val="20"/>
          <w:szCs w:val="20"/>
          <w:color w:val="auto"/>
        </w:rPr>
      </w:pPr>
    </w:p>
    <w:p>
      <w:pPr>
        <w:jc w:val="both"/>
        <w:ind w:right="200" w:firstLine="255"/>
        <w:spacing w:after="0" w:line="263" w:lineRule="auto"/>
        <w:rPr>
          <w:sz w:val="20"/>
          <w:szCs w:val="20"/>
          <w:color w:val="auto"/>
        </w:rPr>
      </w:pPr>
      <w:r>
        <w:rPr>
          <w:rFonts w:ascii="Arial" w:cs="Arial" w:eastAsia="Arial" w:hAnsi="Arial"/>
          <w:sz w:val="18"/>
          <w:szCs w:val="18"/>
          <w:color w:val="auto"/>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184"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Dividend Reinvestment Plan</w:t>
      </w:r>
    </w:p>
    <w:p>
      <w:pPr>
        <w:spacing w:after="0" w:line="117"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7"/>
          <w:szCs w:val="17"/>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shares of Common Shares will be subject to the same U.S. federal, state and local tax consequences as if they received cash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40" w:firstLine="255"/>
        <w:spacing w:after="0" w:line="290" w:lineRule="auto"/>
        <w:rPr>
          <w:sz w:val="20"/>
          <w:szCs w:val="20"/>
          <w:color w:val="auto"/>
        </w:rPr>
      </w:pPr>
      <w:r>
        <w:rPr>
          <w:rFonts w:ascii="Arial" w:cs="Arial" w:eastAsia="Arial" w:hAnsi="Arial"/>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Arial" w:cs="Arial" w:eastAsia="Arial" w:hAnsi="Arial"/>
          <w:sz w:val="16"/>
          <w:szCs w:val="16"/>
          <w:i w:val="1"/>
          <w:iCs w:val="1"/>
          <w:color w:val="auto"/>
        </w:rPr>
        <w:t>Investment Advisory Agreement; Administration Agreement; License Agreement</w:t>
      </w:r>
      <w:r>
        <w:rPr>
          <w:rFonts w:ascii="Arial" w:cs="Arial" w:eastAsia="Arial" w:hAnsi="Arial"/>
          <w:sz w:val="16"/>
          <w:szCs w:val="16"/>
          <w:color w:val="auto"/>
        </w:rPr>
        <w:t>” below.</w:t>
      </w:r>
    </w:p>
    <w:p>
      <w:pPr>
        <w:spacing w:after="0" w:line="57" w:lineRule="exact"/>
        <w:rPr>
          <w:sz w:val="20"/>
          <w:szCs w:val="20"/>
          <w:color w:val="auto"/>
        </w:rPr>
      </w:pPr>
    </w:p>
    <w:p>
      <w:pPr>
        <w:ind w:right="360" w:firstLine="255"/>
        <w:spacing w:after="0" w:line="277" w:lineRule="auto"/>
        <w:rPr>
          <w:sz w:val="20"/>
          <w:szCs w:val="20"/>
          <w:color w:val="auto"/>
        </w:rPr>
      </w:pPr>
      <w:r>
        <w:rPr>
          <w:rFonts w:ascii="Arial" w:cs="Arial" w:eastAsia="Arial" w:hAnsi="Arial"/>
          <w:sz w:val="18"/>
          <w:szCs w:val="18"/>
          <w:color w:val="auto"/>
        </w:rPr>
        <w:t>In addition to our Adviser, Sixth Street has a team of over 475 investment and operating professionals. As of December 31, 2022, forty four (44) of these personnel are dedicated to our business, including thirty four (34) investment professionals.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June 28, 2022, we entered into the Investment Advisory Agreement with our Adviser.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Under the Investment Advisory Agreement, the Adviser:</w:t>
      </w:r>
    </w:p>
    <w:p>
      <w:pPr>
        <w:spacing w:after="0" w:line="117" w:lineRule="exact"/>
        <w:rPr>
          <w:sz w:val="20"/>
          <w:szCs w:val="20"/>
          <w:color w:val="auto"/>
        </w:rPr>
      </w:pPr>
    </w:p>
    <w:p>
      <w:pPr>
        <w:ind w:left="520" w:hanging="257"/>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40" w:lineRule="exact"/>
        <w:rPr>
          <w:rFonts w:ascii="Arial" w:cs="Arial" w:eastAsia="Arial" w:hAnsi="Arial"/>
          <w:sz w:val="16"/>
          <w:szCs w:val="16"/>
          <w:color w:val="auto"/>
        </w:rPr>
      </w:pPr>
    </w:p>
    <w:p>
      <w:pPr>
        <w:ind w:left="520" w:right="500" w:hanging="257"/>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40" w:lineRule="exact"/>
        <w:rPr>
          <w:rFonts w:ascii="Arial" w:cs="Arial" w:eastAsia="Arial" w:hAnsi="Arial"/>
          <w:sz w:val="16"/>
          <w:szCs w:val="16"/>
          <w:color w:val="auto"/>
        </w:rPr>
      </w:pPr>
    </w:p>
    <w:p>
      <w:pPr>
        <w:ind w:left="520" w:right="420" w:hanging="257"/>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right="440" w:firstLine="255"/>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or the “Management Fee,” and may also pay certain incentive fees, or “Incentive Fees”.</w:t>
      </w:r>
    </w:p>
    <w:p>
      <w:pPr>
        <w:spacing w:after="0" w:line="170"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period ended December 31, 2022, Management Fees (gross of waivers) were $2.7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period ended December 31, 2022 Management Fees of $2.0 million were waived.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25" w:lineRule="exact"/>
        <w:rPr>
          <w:sz w:val="20"/>
          <w:szCs w:val="20"/>
          <w:color w:val="auto"/>
        </w:rPr>
      </w:pPr>
    </w:p>
    <w:p>
      <w:pPr>
        <w:ind w:right="600" w:firstLine="255"/>
        <w:spacing w:after="0" w:line="308" w:lineRule="auto"/>
        <w:rPr>
          <w:sz w:val="20"/>
          <w:szCs w:val="20"/>
          <w:color w:val="auto"/>
        </w:rPr>
      </w:pPr>
      <w:r>
        <w:rPr>
          <w:rFonts w:ascii="Arial" w:cs="Arial" w:eastAsia="Arial" w:hAnsi="Arial"/>
          <w:sz w:val="17"/>
          <w:szCs w:val="17"/>
          <w:color w:val="auto"/>
        </w:rPr>
        <w:t>Prior to any Exchange Listing that may occur, the Adviser will waive its right to receive Management Fees in excess of the sum of 1.00% of the Company’s average aggregate drawn capital (including capital drawn to pay Company expenses) as of the end of the two</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 w:name="page14"/>
    <w:bookmarkEnd w:id="13"/>
    <w:p>
      <w:pPr>
        <w:ind w:right="440"/>
        <w:spacing w:after="0" w:line="277" w:lineRule="auto"/>
        <w:rPr>
          <w:sz w:val="20"/>
          <w:szCs w:val="20"/>
          <w:color w:val="auto"/>
        </w:rPr>
      </w:pPr>
      <w:r>
        <w:rPr>
          <w:rFonts w:ascii="Arial" w:cs="Arial" w:eastAsia="Arial" w:hAnsi="Arial"/>
          <w:sz w:val="18"/>
          <w:szCs w:val="18"/>
          <w:color w:val="auto"/>
        </w:rPr>
        <w:t>most recently completed calendar quarters, appropriately adjusted for any share issuances or repurchases during the relevant calendar quarter. The fee waiver will terminate if and when the Company consummates an Exchange Listing.</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60" w:hanging="257"/>
        <w:spacing w:after="0" w:line="259"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will equal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78" w:lineRule="exact"/>
        <w:rPr>
          <w:rFonts w:ascii="Arial" w:cs="Arial" w:eastAsia="Arial" w:hAnsi="Arial"/>
          <w:sz w:val="18"/>
          <w:szCs w:val="18"/>
          <w:color w:val="auto"/>
        </w:rPr>
      </w:pPr>
    </w:p>
    <w:p>
      <w:pPr>
        <w:ind w:left="520"/>
        <w:spacing w:after="0" w:line="271" w:lineRule="auto"/>
        <w:rPr>
          <w:rFonts w:ascii="Arial" w:cs="Arial" w:eastAsia="Arial" w:hAnsi="Arial"/>
          <w:sz w:val="18"/>
          <w:szCs w:val="18"/>
          <w:color w:val="auto"/>
        </w:rPr>
      </w:pPr>
      <w:r>
        <w:rPr>
          <w:rFonts w:ascii="Arial" w:cs="Arial" w:eastAsia="Arial" w:hAnsi="Arial"/>
          <w:sz w:val="17"/>
          <w:szCs w:val="17"/>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The Adviser will not be obligated to return cash to the Company if the Incentive Fee it receives on investments with deferred interest are later determined to be uncollectible. Pre-Incentive Fee net investment income does not include any realized capital gains, realized capital losses or unrealized capital appreciation or depreciation.</w:t>
      </w:r>
    </w:p>
    <w:p>
      <w:pPr>
        <w:spacing w:after="0" w:line="70" w:lineRule="exact"/>
        <w:rPr>
          <w:rFonts w:ascii="Arial" w:cs="Arial" w:eastAsia="Arial" w:hAnsi="Arial"/>
          <w:sz w:val="18"/>
          <w:szCs w:val="18"/>
          <w:color w:val="auto"/>
        </w:rPr>
      </w:pPr>
    </w:p>
    <w:p>
      <w:pPr>
        <w:ind w:left="520" w:right="20" w:hanging="257"/>
        <w:spacing w:after="0" w:line="284"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Exchange Listing, equal 12.5% of cumulative realized capital gains from the inception of the Company to the end of such fiscal year, less the aggregate amount of any previously paid capital gain Incentive Fee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w:t>
      </w:r>
    </w:p>
    <w:p>
      <w:pPr>
        <w:spacing w:after="0" w:line="4"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12.5% and the portion of the Company’s realized capital gains that accrued following an Exchange Listing will be subject to an Incentive Fee rate of</w:t>
      </w:r>
    </w:p>
    <w:p>
      <w:pPr>
        <w:spacing w:after="0" w:line="3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17.5%.</w:t>
      </w:r>
    </w:p>
    <w:p>
      <w:pPr>
        <w:spacing w:after="0" w:line="211" w:lineRule="exact"/>
        <w:rPr>
          <w:sz w:val="20"/>
          <w:szCs w:val="20"/>
          <w:color w:val="auto"/>
        </w:rPr>
      </w:pPr>
    </w:p>
    <w:p>
      <w:pPr>
        <w:ind w:right="420" w:firstLine="255"/>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6" w:lineRule="exact"/>
        <w:rPr>
          <w:sz w:val="20"/>
          <w:szCs w:val="20"/>
          <w:color w:val="auto"/>
        </w:rPr>
      </w:pPr>
    </w:p>
    <w:p>
      <w:pPr>
        <w:ind w:right="100" w:firstLine="255"/>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8"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70"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For the period ended December 31, 2022, Incentive Fees on net investment income were $1.0 million. For the period ended December 31, 2022, there was no accrual for capital gains Incentive Fees.</w:t>
      </w:r>
    </w:p>
    <w:p>
      <w:pPr>
        <w:spacing w:after="0" w:line="170"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On June 28, 2022,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Arial" w:cs="Arial" w:eastAsia="Arial" w:hAnsi="Arial"/>
          <w:sz w:val="18"/>
          <w:szCs w:val="18"/>
          <w:i w:val="1"/>
          <w:iCs w:val="1"/>
          <w:color w:val="auto"/>
        </w:rPr>
        <w:t>Payment of Our Expenses</w:t>
      </w:r>
      <w:r>
        <w:rPr>
          <w:rFonts w:ascii="Arial" w:cs="Arial" w:eastAsia="Arial" w:hAnsi="Arial"/>
          <w:sz w:val="18"/>
          <w:szCs w:val="18"/>
          <w:color w:val="auto"/>
        </w:rPr>
        <w:t>" below. In addition, the Adviser is permitted to delegate its duties under the Administration Agreement to affiliates or third parties and we pay or reimburse the Adviser for certain expenses incurred by any such affiliates or third parties for work done on its behalf. For the period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ind w:right="240"/>
        <w:spacing w:after="0" w:line="277" w:lineRule="auto"/>
        <w:rPr>
          <w:sz w:val="20"/>
          <w:szCs w:val="20"/>
          <w:color w:val="auto"/>
        </w:rPr>
      </w:pPr>
      <w:r>
        <w:rPr>
          <w:rFonts w:ascii="Arial" w:cs="Arial" w:eastAsia="Arial" w:hAnsi="Arial"/>
          <w:sz w:val="18"/>
          <w:szCs w:val="18"/>
          <w:color w:val="auto"/>
        </w:rPr>
        <w:t>from April 5, 2022 (Inception) through December 31, 2022, we incurred expenses of $0.5 million, for administrative services payable under the terms of the Administration Agreement, which are included in Other general and administrative expenses.</w:t>
      </w:r>
    </w:p>
    <w:p>
      <w:pPr>
        <w:spacing w:after="0" w:line="170" w:lineRule="exact"/>
        <w:rPr>
          <w:sz w:val="20"/>
          <w:szCs w:val="20"/>
          <w:color w:val="auto"/>
        </w:rPr>
      </w:pPr>
    </w:p>
    <w:p>
      <w:pPr>
        <w:ind w:right="440" w:firstLine="255"/>
        <w:spacing w:after="0" w:line="263"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4" w:lineRule="exact"/>
        <w:rPr>
          <w:sz w:val="20"/>
          <w:szCs w:val="20"/>
          <w:color w:val="auto"/>
        </w:rPr>
      </w:pPr>
    </w:p>
    <w:p>
      <w:pPr>
        <w:ind w:right="60" w:firstLine="255"/>
        <w:spacing w:after="0" w:line="269" w:lineRule="auto"/>
        <w:rPr>
          <w:sz w:val="20"/>
          <w:szCs w:val="20"/>
          <w:color w:val="auto"/>
        </w:rPr>
      </w:pPr>
      <w:r>
        <w:rPr>
          <w:rFonts w:ascii="Arial" w:cs="Arial" w:eastAsia="Arial" w:hAnsi="Arial"/>
          <w:sz w:val="17"/>
          <w:szCs w:val="17"/>
          <w:color w:val="auto"/>
        </w:rPr>
        <w:t>No person who is an officer, trustee or employee of the Adviser or its affiliates and who serves as our trustee receives any compensation from us for his or her services as a trustee.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82"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 of the Declaration of Trust.</w:t>
      </w:r>
    </w:p>
    <w:p>
      <w:pPr>
        <w:spacing w:after="0" w:line="179" w:lineRule="exact"/>
        <w:rPr>
          <w:sz w:val="20"/>
          <w:szCs w:val="20"/>
          <w:color w:val="auto"/>
        </w:rPr>
      </w:pPr>
    </w:p>
    <w:p>
      <w:pPr>
        <w:ind w:right="140" w:firstLine="255"/>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292" w:lineRule="exact"/>
        <w:rPr>
          <w:sz w:val="20"/>
          <w:szCs w:val="20"/>
          <w:color w:val="auto"/>
        </w:rPr>
      </w:pPr>
    </w:p>
    <w:p>
      <w:pPr>
        <w:jc w:val="both"/>
        <w:ind w:left="520" w:right="460" w:hanging="257"/>
        <w:spacing w:after="0" w:line="286"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57" w:lineRule="exact"/>
        <w:rPr>
          <w:rFonts w:ascii="Arial" w:cs="Arial" w:eastAsia="Arial" w:hAnsi="Arial"/>
          <w:sz w:val="17"/>
          <w:szCs w:val="17"/>
          <w:color w:val="auto"/>
        </w:rPr>
      </w:pPr>
    </w:p>
    <w:p>
      <w:pPr>
        <w:ind w:left="520" w:hanging="257"/>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80" w:hanging="257"/>
        <w:spacing w:after="0" w:line="25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expenses, including travel expenses, incurred by the Adviser, or members of our Investment Team, or payable to third parties, in respect of due diligence on prospective portfolio companies and, if necessary, in respect of enforcing the Company’s rights with respect to investments in existing portfolio companies, including, among others, professional fees (including, without limitation, the fees and expenses of consultants and experts) and fees and expenses relating to, or associated with, evaluating, monitoring, researching and performing due diligence on investments and prospective investments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520" w:right="160" w:hanging="257"/>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due diligence and research expenses (including an allocable portion of any research or other service that may deemed to be bundled for the benefit of the Company), as well as the information technology systems used to obtain such research and other information;</w:t>
      </w:r>
    </w:p>
    <w:p>
      <w:pPr>
        <w:spacing w:after="0" w:line="38" w:lineRule="exact"/>
        <w:rPr>
          <w:rFonts w:ascii="Arial" w:cs="Arial" w:eastAsia="Arial" w:hAnsi="Arial"/>
          <w:sz w:val="17"/>
          <w:szCs w:val="17"/>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any public offerings of our Common Shares and other securities, including registration and listing fees;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Common Shares;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 with the Adviser;</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derivatives and hedging;</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taxes and governmental fees;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Trustee fees and expenses;</w:t>
      </w:r>
    </w:p>
    <w:p>
      <w:pPr>
        <w:spacing w:after="0" w:line="117" w:lineRule="exact"/>
        <w:rPr>
          <w:rFonts w:ascii="Arial" w:cs="Arial" w:eastAsia="Arial" w:hAnsi="Arial"/>
          <w:sz w:val="18"/>
          <w:szCs w:val="18"/>
          <w:color w:val="auto"/>
        </w:rPr>
      </w:pPr>
    </w:p>
    <w:p>
      <w:pPr>
        <w:ind w:left="520" w:right="100" w:hanging="257"/>
        <w:spacing w:after="0" w:line="311"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40" w:lineRule="exact"/>
        <w:rPr>
          <w:rFonts w:ascii="Arial" w:cs="Arial" w:eastAsia="Arial" w:hAnsi="Arial"/>
          <w:sz w:val="16"/>
          <w:szCs w:val="16"/>
          <w:color w:val="auto"/>
        </w:rPr>
      </w:pPr>
    </w:p>
    <w:p>
      <w:pPr>
        <w:ind w:left="520" w:right="140" w:hanging="257"/>
        <w:spacing w:after="0" w:line="342"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trustee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right="320" w:hanging="257"/>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technology and related costs, including costs related to software, hardware and other technological systems (including specialty and custom software);</w:t>
      </w:r>
    </w:p>
    <w:p>
      <w:pPr>
        <w:spacing w:after="0" w:line="62" w:lineRule="exact"/>
        <w:rPr>
          <w:rFonts w:ascii="Arial" w:cs="Arial" w:eastAsia="Arial" w:hAnsi="Arial"/>
          <w:sz w:val="18"/>
          <w:szCs w:val="18"/>
          <w:color w:val="auto"/>
        </w:rPr>
      </w:pPr>
    </w:p>
    <w:p>
      <w:pPr>
        <w:ind w:left="520" w:hanging="257"/>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incurred in connection with any claim, litigation, arbitration, mediation, government investigation or dispute in connection with the business of the Company and the amount of any judgment or settlement paid in connection therewith;</w:t>
      </w:r>
    </w:p>
    <w:p>
      <w:pPr>
        <w:spacing w:after="0" w:line="62" w:lineRule="exact"/>
        <w:rPr>
          <w:rFonts w:ascii="Arial" w:cs="Arial" w:eastAsia="Arial" w:hAnsi="Arial"/>
          <w:sz w:val="18"/>
          <w:szCs w:val="18"/>
          <w:color w:val="auto"/>
        </w:rPr>
      </w:pPr>
    </w:p>
    <w:p>
      <w:pPr>
        <w:ind w:left="520" w:right="160" w:hanging="257"/>
        <w:spacing w:after="0" w:line="301"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fees, costs and expenses, if any, incurred by or on behalf of the Company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pacing w:after="0" w:line="49" w:lineRule="exact"/>
        <w:rPr>
          <w:rFonts w:ascii="Arial" w:cs="Arial" w:eastAsia="Arial" w:hAnsi="Arial"/>
          <w:sz w:val="16"/>
          <w:szCs w:val="16"/>
          <w:color w:val="auto"/>
        </w:rPr>
      </w:pPr>
    </w:p>
    <w:p>
      <w:pPr>
        <w:ind w:left="520" w:right="240" w:hanging="257"/>
        <w:spacing w:after="0" w:line="255"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84"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The Company bears its allocable portion of the costs of the compensation, benefits, and related administrative expenses (including travel expenses) of its officers who provide operational and administrative services under the Administration Agreement, their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ind w:right="40"/>
        <w:spacing w:after="0" w:line="272" w:lineRule="auto"/>
        <w:rPr>
          <w:sz w:val="20"/>
          <w:szCs w:val="20"/>
          <w:color w:val="auto"/>
        </w:rPr>
      </w:pPr>
      <w:r>
        <w:rPr>
          <w:rFonts w:ascii="Arial" w:cs="Arial" w:eastAsia="Arial" w:hAnsi="Arial"/>
          <w:sz w:val="17"/>
          <w:szCs w:val="17"/>
          <w:color w:val="auto"/>
        </w:rPr>
        <w:t>respective staffs and other professionals who provide services to the Company (including, in each case, employees of the Administrator or an affiliate) who assist with the preparation, coordination, and administration of the foregoing or provide other “back office” or “middle office” financial or operational services to the Company. The Company reimburses the Adviser (or its affiliates) for an allocable portion of the compensation paid by the Adviser (or its affiliates) to such individuals (based on a percentage of time such individuals devote, on an estimated basis, to the business and affairs of the Company and in acting on behalf of the Company). Although the Investment Advisory Agreement and Administration Agreement do not specify a timeframe by which the Adviser or its affiliates must be so reimbursed, the Company expects that it would generally reimburse the Adviser or its affiliates by the end of following quarter in which the expense is recognized.</w:t>
      </w:r>
    </w:p>
    <w:p>
      <w:pPr>
        <w:spacing w:after="0" w:line="17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right="80" w:firstLine="255"/>
        <w:spacing w:after="0" w:line="253" w:lineRule="auto"/>
        <w:rPr>
          <w:sz w:val="20"/>
          <w:szCs w:val="20"/>
          <w:color w:val="auto"/>
        </w:rPr>
      </w:pPr>
      <w:r>
        <w:rPr>
          <w:rFonts w:ascii="Arial" w:cs="Arial" w:eastAsia="Arial" w:hAnsi="Arial"/>
          <w:sz w:val="18"/>
          <w:szCs w:val="18"/>
          <w:color w:val="auto"/>
        </w:rPr>
        <w:t>Unless earlier terminated as described below, both the Investment Advisory Agreement and the Administration Agreement will remain in effect until June 2024,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trustees of the Board who are not “interested persons” of us, the Adviser or any of our or its respective affiliates, as defined in the 1940 Act (known as Independent Trustees).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Arial" w:cs="Arial" w:eastAsia="Arial" w:hAnsi="Arial"/>
          <w:sz w:val="18"/>
          <w:szCs w:val="18"/>
          <w:i w:val="1"/>
          <w:iCs w:val="1"/>
          <w:color w:val="auto"/>
        </w:rPr>
        <w:t>ITEM 1A. 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 and Structure—We are dependent upon management personnel of the Adviser, Sixth Street, and their affiliates for our future success</w:t>
      </w:r>
      <w:r>
        <w:rPr>
          <w:rFonts w:ascii="Arial" w:cs="Arial" w:eastAsia="Arial" w:hAnsi="Arial"/>
          <w:sz w:val="18"/>
          <w:szCs w:val="18"/>
          <w:color w:val="auto"/>
        </w:rPr>
        <w: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20" w:firstLine="255"/>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jc w:val="both"/>
        <w:ind w:right="80" w:firstLine="255"/>
        <w:spacing w:after="0" w:line="263" w:lineRule="auto"/>
        <w:rPr>
          <w:sz w:val="20"/>
          <w:szCs w:val="20"/>
          <w:color w:val="auto"/>
        </w:rPr>
      </w:pPr>
      <w:r>
        <w:rPr>
          <w:rFonts w:ascii="Arial" w:cs="Arial" w:eastAsia="Arial" w:hAnsi="Arial"/>
          <w:sz w:val="18"/>
          <w:szCs w:val="18"/>
          <w:color w:val="auto"/>
        </w:rPr>
        <w:t>Our Board, including our Independent Trustees, and holders of a majority of our outstanding securities, approved our Investment Advisory Agreement in June 2022. In its consideration of the Investment Advisory Agreement at the time of approval, the Board focused on information it had received relating to, among other things:</w:t>
      </w:r>
    </w:p>
    <w:p>
      <w:pPr>
        <w:spacing w:after="0" w:line="76" w:lineRule="exact"/>
        <w:rPr>
          <w:sz w:val="20"/>
          <w:szCs w:val="20"/>
          <w:color w:val="auto"/>
        </w:rPr>
      </w:pPr>
    </w:p>
    <w:p>
      <w:pPr>
        <w:ind w:left="520" w:hanging="25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investment and financial performance on a standalone basis and against a comparative universe of peers;</w:t>
      </w:r>
    </w:p>
    <w:p>
      <w:pPr>
        <w:spacing w:after="0" w:line="117" w:lineRule="exact"/>
        <w:rPr>
          <w:rFonts w:ascii="Arial" w:cs="Arial" w:eastAsia="Arial" w:hAnsi="Arial"/>
          <w:sz w:val="18"/>
          <w:szCs w:val="18"/>
          <w:color w:val="auto"/>
        </w:rPr>
      </w:pPr>
    </w:p>
    <w:p>
      <w:pPr>
        <w:ind w:left="520" w:right="460" w:hanging="257"/>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shareholders;</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left="520" w:hanging="257"/>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expense ratio compared to BDCs with similar investment objectives;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the Adviser from its relationships with us and the profitability of those income sources;</w:t>
      </w:r>
    </w:p>
    <w:p>
      <w:pPr>
        <w:spacing w:after="0" w:line="128" w:lineRule="exact"/>
        <w:rPr>
          <w:rFonts w:ascii="Arial" w:cs="Arial" w:eastAsia="Arial" w:hAnsi="Arial"/>
          <w:sz w:val="17"/>
          <w:szCs w:val="17"/>
          <w:color w:val="auto"/>
        </w:rPr>
      </w:pPr>
    </w:p>
    <w:p>
      <w:pPr>
        <w:ind w:left="520" w:hanging="257"/>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28" w:lineRule="exact"/>
        <w:rPr>
          <w:rFonts w:ascii="Arial" w:cs="Arial" w:eastAsia="Arial" w:hAnsi="Arial"/>
          <w:sz w:val="17"/>
          <w:szCs w:val="17"/>
          <w:color w:val="auto"/>
        </w:rPr>
      </w:pPr>
    </w:p>
    <w:p>
      <w:pPr>
        <w:ind w:left="520" w:hanging="257"/>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organizational and functional capabilities and financial condition of the Adviser and its respective affiliates;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84" w:lineRule="exact"/>
        <w:rPr>
          <w:sz w:val="20"/>
          <w:szCs w:val="20"/>
          <w:color w:val="auto"/>
        </w:rPr>
      </w:pPr>
    </w:p>
    <w:p>
      <w:pPr>
        <w:ind w:right="700" w:firstLine="255"/>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Trustees, concluded that the investment advisory fee rates are reasonable in relation to the services to be provided.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121"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shareholders and from other sources to make long-term, private investments in businesses.</w:t>
      </w:r>
    </w:p>
    <w:p>
      <w:pPr>
        <w:spacing w:after="0" w:line="184"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trustees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trustee or officer against any liability to us or our shareholders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firstLine="255"/>
        <w:spacing w:after="0" w:line="291"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Shares if our asset coverage, as defined in the 1940 Act, is at least equal to 150% immediately after any borrowing or issuance. See “</w:t>
      </w:r>
      <w:r>
        <w:rPr>
          <w:rFonts w:ascii="Arial" w:cs="Arial" w:eastAsia="Arial" w:hAnsi="Arial"/>
          <w:sz w:val="16"/>
          <w:szCs w:val="16"/>
          <w:i w:val="1"/>
          <w:iCs w:val="1"/>
          <w:color w:val="auto"/>
        </w:rPr>
        <w:t>—Senior Securities</w:t>
      </w:r>
      <w:r>
        <w:rPr>
          <w:rFonts w:ascii="Arial" w:cs="Arial" w:eastAsia="Arial" w:hAnsi="Arial"/>
          <w:sz w:val="16"/>
          <w:szCs w:val="16"/>
          <w:color w:val="auto"/>
        </w:rPr>
        <w:t>” for more information. In addition, while any preferred shares or publicly traded debt securities are outstanding, we may be prohibited from making distributions to our shareholders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6"/>
          <w:szCs w:val="16"/>
          <w:i w:val="1"/>
          <w:iCs w:val="1"/>
          <w:color w:val="auto"/>
        </w:rPr>
        <w:t>ITEM 1A. RISK FACTORS—Risks Related to Our Business and Structure—We borrow money, which magnifies</w:t>
      </w:r>
      <w:r>
        <w:rPr>
          <w:rFonts w:ascii="Arial" w:cs="Arial" w:eastAsia="Arial" w:hAnsi="Arial"/>
          <w:sz w:val="16"/>
          <w:szCs w:val="16"/>
          <w:color w:val="auto"/>
        </w:rPr>
        <w:t xml:space="preserve"> </w:t>
      </w:r>
      <w:r>
        <w:rPr>
          <w:rFonts w:ascii="Arial" w:cs="Arial" w:eastAsia="Arial" w:hAnsi="Arial"/>
          <w:sz w:val="16"/>
          <w:szCs w:val="16"/>
          <w:i w:val="1"/>
          <w:iCs w:val="1"/>
          <w:color w:val="auto"/>
        </w:rPr>
        <w:t>the potential for gain or loss and increases the risk of investing in us</w:t>
      </w:r>
      <w:r>
        <w:rPr>
          <w:rFonts w:ascii="Arial" w:cs="Arial" w:eastAsia="Arial" w:hAnsi="Arial"/>
          <w:sz w:val="16"/>
          <w:szCs w:val="16"/>
          <w:color w:val="auto"/>
        </w:rPr>
        <w:t>.” As of December 31, 2022, our asset coverage was 201.6%.</w:t>
      </w:r>
    </w:p>
    <w:p>
      <w:pPr>
        <w:spacing w:after="0" w:line="166" w:lineRule="exact"/>
        <w:rPr>
          <w:sz w:val="20"/>
          <w:szCs w:val="20"/>
          <w:color w:val="auto"/>
        </w:rPr>
      </w:pPr>
    </w:p>
    <w:p>
      <w:pPr>
        <w:ind w:right="200" w:firstLine="255"/>
        <w:spacing w:after="0" w:line="301" w:lineRule="auto"/>
        <w:rPr>
          <w:sz w:val="20"/>
          <w:szCs w:val="20"/>
          <w:color w:val="auto"/>
        </w:rPr>
      </w:pPr>
      <w:r>
        <w:rPr>
          <w:rFonts w:ascii="Arial" w:cs="Arial" w:eastAsia="Arial" w:hAnsi="Arial"/>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anticipate any substantial change in the nature of our business.</w:t>
      </w:r>
    </w:p>
    <w:p>
      <w:pPr>
        <w:spacing w:after="0" w:line="225"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shareholders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78" w:lineRule="exact"/>
        <w:rPr>
          <w:sz w:val="20"/>
          <w:szCs w:val="20"/>
          <w:color w:val="auto"/>
        </w:rPr>
      </w:pPr>
    </w:p>
    <w:p>
      <w:pPr>
        <w:ind w:right="100" w:firstLine="255"/>
        <w:spacing w:after="0" w:line="259"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8" w:name="page19"/>
    <w:bookmarkEnd w:id="18"/>
    <w:p>
      <w:pPr>
        <w:ind w:right="20" w:firstLine="255"/>
        <w:spacing w:after="0" w:line="288" w:lineRule="auto"/>
        <w:rPr>
          <w:sz w:val="20"/>
          <w:szCs w:val="20"/>
          <w:color w:val="auto"/>
        </w:rPr>
      </w:pPr>
      <w:r>
        <w:rPr>
          <w:rFonts w:ascii="Arial" w:cs="Arial" w:eastAsia="Arial" w:hAnsi="Arial"/>
          <w:sz w:val="16"/>
          <w:szCs w:val="16"/>
          <w:color w:val="auto"/>
        </w:rPr>
        <w:t>We are generally not able to issue and sell our Common Shares at a price below net asset value per share. See “ITEM 1A. RISK FACTORS—Risks Related to Our Business and Structure—Regulations governing our operation as a BDC affect our ability to, and the way in which we, raise additional capital.” We may, however, elect to issue and sell our Common Shares at a price below the then-current net asset value of our Common Shares if our Board determines that the sale is in our best interests and the best interests of our shareholders, and our shareholders have approved our policy and practice of making these sales within the preceding 12 months. In addition we may elect to issue and sell warrants, options and rights to acquire our Common Shares at a price below the then-current net asset value of our Common Shares if our Board approves the issuance of such warrants, option and rights and shareholders approve such issuance as well.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such securities (less any distribution commission or discount). In addition, we may generally issue new Common Shares at a price below net asset value in rights offerings to existing shareholders, in payment of dividends and in certain other limited circumstances.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Compliance with regulations has not had a material effect on our capital expenditure, earnings or competitive position.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a BDC, we are subject to certain risks and uncertainties. See “</w:t>
      </w:r>
      <w:r>
        <w:rPr>
          <w:rFonts w:ascii="Arial" w:cs="Arial" w:eastAsia="Arial" w:hAnsi="Arial"/>
          <w:sz w:val="17"/>
          <w:szCs w:val="17"/>
          <w:i w:val="1"/>
          <w:iCs w:val="1"/>
          <w:color w:val="auto"/>
        </w:rPr>
        <w:t>ITEM 1A. RISK FACTORS—Risks Related to Our Business and Structure.</w:t>
      </w:r>
      <w:r>
        <w:rPr>
          <w:rFonts w:ascii="Arial" w:cs="Arial" w:eastAsia="Arial" w:hAnsi="Arial"/>
          <w:sz w:val="17"/>
          <w:szCs w:val="17"/>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our Affiliates</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trustees,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20" w:firstLine="255"/>
        <w:spacing w:after="0" w:line="279" w:lineRule="auto"/>
        <w:rPr>
          <w:sz w:val="20"/>
          <w:szCs w:val="20"/>
          <w:color w:val="auto"/>
        </w:rPr>
      </w:pPr>
      <w:r>
        <w:rPr>
          <w:rFonts w:ascii="Arial" w:cs="Arial" w:eastAsia="Arial" w:hAnsi="Arial"/>
          <w:sz w:val="17"/>
          <w:szCs w:val="17"/>
          <w:color w:val="auto"/>
        </w:rPr>
        <w:t>On August 3, 2022,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171"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ind w:right="380" w:firstLine="255"/>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Trustees must make certain conclusions, including that:</w:t>
      </w:r>
    </w:p>
    <w:p>
      <w:pPr>
        <w:spacing w:after="0" w:line="16" w:lineRule="exact"/>
        <w:rPr>
          <w:sz w:val="20"/>
          <w:szCs w:val="20"/>
          <w:color w:val="auto"/>
        </w:rPr>
      </w:pPr>
    </w:p>
    <w:p>
      <w:pPr>
        <w:ind w:left="520" w:right="180" w:hanging="257"/>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shareholders and do not involve overreaching of us or our shareholders on the part of any person concerned;</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shareholders and our investment strategies and policies;</w:t>
      </w:r>
    </w:p>
    <w:p>
      <w:pPr>
        <w:spacing w:after="0" w:line="117" w:lineRule="exact"/>
        <w:rPr>
          <w:rFonts w:ascii="Arial" w:cs="Arial" w:eastAsia="Arial" w:hAnsi="Arial"/>
          <w:sz w:val="18"/>
          <w:szCs w:val="18"/>
          <w:color w:val="auto"/>
        </w:rPr>
      </w:pPr>
    </w:p>
    <w:p>
      <w:pPr>
        <w:ind w:left="520" w:right="80" w:hanging="257"/>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13. CERTAIN RELATIONSHIPS AND RELATED TRANSACTIONS, AND TRUSTEE INDEPENDENCE.</w:t>
      </w:r>
      <w:r>
        <w:rPr>
          <w:rFonts w:ascii="Arial" w:cs="Arial" w:eastAsia="Arial" w:hAnsi="Arial"/>
          <w:sz w:val="18"/>
          <w:szCs w:val="18"/>
          <w:color w:val="auto"/>
        </w:rPr>
        <w:t>”</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Qualifying Assets</w:t>
      </w:r>
    </w:p>
    <w:p>
      <w:pPr>
        <w:spacing w:after="0" w:line="117"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76" w:lineRule="exact"/>
        <w:rPr>
          <w:sz w:val="20"/>
          <w:szCs w:val="20"/>
          <w:color w:val="auto"/>
        </w:rPr>
      </w:pPr>
    </w:p>
    <w:p>
      <w:pPr>
        <w:ind w:left="520" w:right="420" w:hanging="257"/>
        <w:spacing w:after="0" w:line="259"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78" w:lineRule="exact"/>
        <w:rPr>
          <w:rFonts w:ascii="Arial" w:cs="Arial" w:eastAsia="Arial" w:hAnsi="Arial"/>
          <w:sz w:val="18"/>
          <w:szCs w:val="18"/>
          <w:color w:val="auto"/>
        </w:rPr>
      </w:pPr>
    </w:p>
    <w:p>
      <w:pPr>
        <w:ind w:left="780" w:hanging="263"/>
        <w:spacing w:after="0"/>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780" w:right="80" w:hanging="263"/>
        <w:spacing w:after="0" w:line="277"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62" w:lineRule="exact"/>
        <w:rPr>
          <w:rFonts w:ascii="Arial" w:cs="Arial" w:eastAsia="Arial" w:hAnsi="Arial"/>
          <w:sz w:val="18"/>
          <w:szCs w:val="18"/>
          <w:color w:val="auto"/>
        </w:rPr>
      </w:pPr>
    </w:p>
    <w:p>
      <w:pPr>
        <w:ind w:left="780" w:hanging="263"/>
        <w:spacing w:after="0"/>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280" w:right="640" w:hanging="254"/>
        <w:spacing w:after="0" w:line="277" w:lineRule="auto"/>
        <w:tabs>
          <w:tab w:leader="none" w:pos="12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62" w:lineRule="exact"/>
        <w:rPr>
          <w:rFonts w:ascii="Arial" w:cs="Arial" w:eastAsia="Arial" w:hAnsi="Arial"/>
          <w:sz w:val="18"/>
          <w:szCs w:val="18"/>
          <w:color w:val="auto"/>
        </w:rPr>
      </w:pPr>
    </w:p>
    <w:p>
      <w:pPr>
        <w:ind w:left="1280" w:right="40" w:hanging="254"/>
        <w:spacing w:after="0" w:line="263" w:lineRule="auto"/>
        <w:tabs>
          <w:tab w:leader="none" w:pos="12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trustee of the eligible portfolio company; or</w:t>
      </w:r>
    </w:p>
    <w:p>
      <w:pPr>
        <w:spacing w:after="0" w:line="75" w:lineRule="exact"/>
        <w:rPr>
          <w:rFonts w:ascii="Arial" w:cs="Arial" w:eastAsia="Arial" w:hAnsi="Arial"/>
          <w:sz w:val="18"/>
          <w:szCs w:val="18"/>
          <w:color w:val="auto"/>
        </w:rPr>
      </w:pPr>
    </w:p>
    <w:p>
      <w:pPr>
        <w:ind w:left="1280" w:hanging="254"/>
        <w:spacing w:after="0"/>
        <w:tabs>
          <w:tab w:leader="none" w:pos="1280" w:val="left"/>
        </w:tabs>
        <w:numPr>
          <w:ilvl w:val="2"/>
          <w:numId w:val="26"/>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28" w:lineRule="exact"/>
        <w:rPr>
          <w:rFonts w:ascii="Arial" w:cs="Arial" w:eastAsia="Arial" w:hAnsi="Arial"/>
          <w:sz w:val="17"/>
          <w:szCs w:val="17"/>
          <w:color w:val="auto"/>
        </w:rPr>
      </w:pPr>
    </w:p>
    <w:p>
      <w:pPr>
        <w:ind w:left="520" w:hanging="257"/>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17" w:lineRule="exact"/>
        <w:rPr>
          <w:rFonts w:ascii="Arial" w:cs="Arial" w:eastAsia="Arial" w:hAnsi="Arial"/>
          <w:sz w:val="18"/>
          <w:szCs w:val="18"/>
          <w:color w:val="auto"/>
        </w:rPr>
      </w:pPr>
    </w:p>
    <w:p>
      <w:pPr>
        <w:ind w:left="520" w:right="320" w:hanging="257"/>
        <w:spacing w:after="0" w:line="259"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8" w:lineRule="exact"/>
        <w:rPr>
          <w:rFonts w:ascii="Arial" w:cs="Arial" w:eastAsia="Arial" w:hAnsi="Arial"/>
          <w:sz w:val="18"/>
          <w:szCs w:val="18"/>
          <w:color w:val="auto"/>
        </w:rPr>
      </w:pPr>
    </w:p>
    <w:p>
      <w:pPr>
        <w:ind w:left="520" w:right="100" w:hanging="257"/>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color w:val="auto"/>
        </w:rPr>
      </w:pPr>
    </w:p>
    <w:p>
      <w:pPr>
        <w:ind w:left="520" w:right="220" w:hanging="257"/>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117" w:lineRule="exact"/>
        <w:rPr>
          <w:sz w:val="20"/>
          <w:szCs w:val="20"/>
          <w:color w:val="auto"/>
        </w:rPr>
      </w:pPr>
    </w:p>
    <w:p>
      <w:pPr>
        <w:ind w:right="100" w:firstLine="255"/>
        <w:spacing w:after="0" w:line="272" w:lineRule="auto"/>
        <w:rPr>
          <w:sz w:val="20"/>
          <w:szCs w:val="20"/>
          <w:color w:val="auto"/>
        </w:rPr>
      </w:pPr>
      <w:r>
        <w:rPr>
          <w:rFonts w:ascii="Arial" w:cs="Arial" w:eastAsia="Arial" w:hAnsi="Arial"/>
          <w:sz w:val="17"/>
          <w:szCs w:val="17"/>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trustees, officers or employees, offers to provide, and, if accepted, does in fact provide, significant guidance and counsel concerning the management, operations or business objectives and policies of a portfolio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117" w:lineRule="exact"/>
        <w:rPr>
          <w:sz w:val="20"/>
          <w:szCs w:val="20"/>
          <w:color w:val="auto"/>
        </w:rPr>
      </w:pPr>
    </w:p>
    <w:p>
      <w:pPr>
        <w:ind w:right="200" w:firstLine="255"/>
        <w:spacing w:after="0" w:line="342"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shares unless immediately after the borrowing or issuance the ratio of total assets (less total liabilities other than indebtedness) to total indebtedness plus preferred shares is at least 150%.</w:t>
      </w:r>
    </w:p>
    <w:p>
      <w:pPr>
        <w:spacing w:after="0" w:line="124"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Shares if our asset coverage, as defined in the 1940 Act, is at least equal to 150% immediately after any borrowing or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ind w:right="140"/>
        <w:spacing w:after="0" w:line="311" w:lineRule="auto"/>
        <w:rPr>
          <w:sz w:val="20"/>
          <w:szCs w:val="20"/>
          <w:color w:val="auto"/>
        </w:rPr>
      </w:pPr>
      <w:r>
        <w:rPr>
          <w:rFonts w:ascii="Arial" w:cs="Arial" w:eastAsia="Arial" w:hAnsi="Arial"/>
          <w:sz w:val="16"/>
          <w:szCs w:val="16"/>
          <w:color w:val="auto"/>
        </w:rPr>
        <w:t>issuance. In addition, while any preferred shares or publicly-traded debt securities are outstanding, we may be prohibited from making distributions to our shareholders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49"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The 1940 Act imposes limitations on a BDC’s issuance of preferred shares, which is considered a “senior security” and thus is subject to the 150% asset coverage requirement described above.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2022, our asset coverage was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right="160" w:firstLine="255"/>
        <w:spacing w:after="0" w:line="255"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Chief Executive Officer and Chief Financial Officer, as well as our Adviser’s officers, trustees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Policies and Procedures</w:t>
      </w:r>
    </w:p>
    <w:p>
      <w:pPr>
        <w:spacing w:after="0" w:line="117" w:lineRule="exact"/>
        <w:rPr>
          <w:sz w:val="20"/>
          <w:szCs w:val="20"/>
          <w:color w:val="auto"/>
        </w:rPr>
      </w:pPr>
    </w:p>
    <w:p>
      <w:pPr>
        <w:ind w:right="200" w:firstLine="255"/>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Sarbanes-Oxley Act of 2002</w:t>
      </w:r>
    </w:p>
    <w:p>
      <w:pPr>
        <w:spacing w:after="0" w:line="117"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62" w:lineRule="exact"/>
        <w:rPr>
          <w:sz w:val="20"/>
          <w:szCs w:val="20"/>
          <w:color w:val="auto"/>
        </w:rPr>
      </w:pPr>
    </w:p>
    <w:p>
      <w:pPr>
        <w:ind w:left="520" w:right="740" w:hanging="257"/>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certify the accuracy of the financial statements contained in our periodic reports;</w:t>
      </w:r>
    </w:p>
    <w:p>
      <w:pPr>
        <w:spacing w:after="0" w:line="62" w:lineRule="exact"/>
        <w:rPr>
          <w:rFonts w:ascii="Arial" w:cs="Arial" w:eastAsia="Arial" w:hAnsi="Arial"/>
          <w:sz w:val="18"/>
          <w:szCs w:val="18"/>
          <w:color w:val="auto"/>
        </w:rPr>
      </w:pPr>
    </w:p>
    <w:p>
      <w:pPr>
        <w:ind w:left="520" w:right="680" w:hanging="257"/>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62" w:lineRule="exact"/>
        <w:rPr>
          <w:rFonts w:ascii="Arial" w:cs="Arial" w:eastAsia="Arial" w:hAnsi="Arial"/>
          <w:sz w:val="18"/>
          <w:szCs w:val="18"/>
          <w:color w:val="auto"/>
        </w:rPr>
      </w:pPr>
    </w:p>
    <w:p>
      <w:pPr>
        <w:ind w:left="520" w:hanging="257"/>
        <w:spacing w:after="0" w:line="342" w:lineRule="auto"/>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15" w:lineRule="exact"/>
        <w:rPr>
          <w:rFonts w:ascii="Arial" w:cs="Arial" w:eastAsia="Arial" w:hAnsi="Arial"/>
          <w:sz w:val="16"/>
          <w:szCs w:val="16"/>
          <w:color w:val="auto"/>
        </w:rPr>
      </w:pPr>
    </w:p>
    <w:p>
      <w:pPr>
        <w:ind w:left="520" w:right="120" w:hanging="257"/>
        <w:spacing w:after="0" w:line="286"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5"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Policies and Procedures</w:t>
      </w:r>
    </w:p>
    <w:p>
      <w:pPr>
        <w:spacing w:after="0" w:line="117" w:lineRule="exact"/>
        <w:rPr>
          <w:sz w:val="20"/>
          <w:szCs w:val="20"/>
          <w:color w:val="auto"/>
        </w:rPr>
      </w:pPr>
    </w:p>
    <w:p>
      <w:pPr>
        <w:ind w:right="780" w:firstLine="255"/>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Trustees, and, accordingly, are subject to change.</w:t>
      </w:r>
    </w:p>
    <w:p>
      <w:pPr>
        <w:spacing w:after="0" w:line="146"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firstLine="255"/>
        <w:spacing w:after="0" w:line="269"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shareholders’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shareholders or if the circumstances make such an abstention or withholding otherwise advisable and in the best interest of the relevant shareholder(s).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Principles</w:t>
      </w:r>
    </w:p>
    <w:p>
      <w:pPr>
        <w:spacing w:after="0" w:line="117"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4" w:lineRule="exact"/>
        <w:rPr>
          <w:sz w:val="20"/>
          <w:szCs w:val="20"/>
          <w:color w:val="auto"/>
        </w:rPr>
      </w:pPr>
    </w:p>
    <w:p>
      <w:pPr>
        <w:ind w:right="60" w:firstLine="255"/>
        <w:spacing w:after="0" w:line="290" w:lineRule="auto"/>
        <w:rPr>
          <w:sz w:val="20"/>
          <w:szCs w:val="20"/>
          <w:color w:val="auto"/>
        </w:rPr>
      </w:pPr>
      <w:r>
        <w:rPr>
          <w:rFonts w:ascii="Arial" w:cs="Arial" w:eastAsia="Arial" w:hAnsi="Arial"/>
          <w:sz w:val="16"/>
          <w:szCs w:val="16"/>
          <w:color w:val="auto"/>
        </w:rPr>
        <w:t>We generally will not receive any nonpublic personal information relating to shareholders who purchase Common Shares.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65"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Obligations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We will furnish our shareholders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Shareholders and the public may access the Company's public filings at www.sec.gov or obtain information by calling the SEC at (202) 551-8090.</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a BDC, we intend to elect to be treated as a RIC for U.S. federal income tax purposes.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17" w:lineRule="exact"/>
        <w:rPr>
          <w:sz w:val="20"/>
          <w:szCs w:val="20"/>
          <w:color w:val="auto"/>
        </w:rPr>
      </w:pPr>
    </w:p>
    <w:p>
      <w:pPr>
        <w:ind w:left="520" w:hanging="257"/>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17" w:lineRule="exact"/>
        <w:rPr>
          <w:rFonts w:ascii="Arial" w:cs="Arial" w:eastAsia="Arial" w:hAnsi="Arial"/>
          <w:sz w:val="18"/>
          <w:szCs w:val="18"/>
          <w:color w:val="auto"/>
        </w:rPr>
      </w:pPr>
    </w:p>
    <w:p>
      <w:pPr>
        <w:ind w:left="520" w:right="180" w:hanging="257"/>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17" w:lineRule="exact"/>
        <w:rPr>
          <w:rFonts w:ascii="Arial" w:cs="Arial" w:eastAsia="Arial" w:hAnsi="Arial"/>
          <w:sz w:val="18"/>
          <w:szCs w:val="18"/>
          <w:color w:val="auto"/>
        </w:rPr>
      </w:pPr>
    </w:p>
    <w:p>
      <w:pPr>
        <w:ind w:left="780" w:right="100" w:hanging="263"/>
        <w:spacing w:after="0" w:line="286" w:lineRule="auto"/>
        <w:tabs>
          <w:tab w:leader="none" w:pos="7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ind w:left="780" w:right="240" w:hanging="263"/>
        <w:spacing w:after="0" w:line="263"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4" w:lineRule="exact"/>
        <w:rPr>
          <w:sz w:val="20"/>
          <w:szCs w:val="20"/>
          <w:color w:val="auto"/>
        </w:rPr>
      </w:pPr>
    </w:p>
    <w:p>
      <w:pPr>
        <w:ind w:right="100" w:firstLine="255"/>
        <w:spacing w:after="0" w:line="293"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56" w:lineRule="exact"/>
        <w:rPr>
          <w:sz w:val="20"/>
          <w:szCs w:val="20"/>
          <w:color w:val="auto"/>
        </w:rPr>
      </w:pPr>
    </w:p>
    <w:p>
      <w:pPr>
        <w:ind w:left="780" w:hanging="263"/>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780" w:right="120" w:hanging="263"/>
        <w:spacing w:after="0" w:line="277"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780" w:hanging="263"/>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right="240" w:firstLine="255"/>
        <w:spacing w:after="0" w:line="259"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w:t>
      </w:r>
      <w:r>
        <w:rPr>
          <w:rFonts w:ascii="Arial" w:cs="Arial" w:eastAsia="Arial" w:hAnsi="Arial"/>
          <w:sz w:val="18"/>
          <w:szCs w:val="18"/>
          <w:i w:val="1"/>
          <w:iCs w:val="1"/>
          <w:color w:val="auto"/>
        </w:rPr>
        <w:t>Dividend Policy</w:t>
      </w:r>
      <w:r>
        <w:rPr>
          <w:rFonts w:ascii="Arial" w:cs="Arial" w:eastAsia="Arial" w:hAnsi="Arial"/>
          <w:sz w:val="18"/>
          <w:szCs w:val="18"/>
          <w:color w:val="auto"/>
        </w:rPr>
        <w:t>” and “—</w:t>
      </w:r>
      <w:r>
        <w:rPr>
          <w:rFonts w:ascii="Arial" w:cs="Arial" w:eastAsia="Arial" w:hAnsi="Arial"/>
          <w:sz w:val="18"/>
          <w:szCs w:val="18"/>
          <w:i w:val="1"/>
          <w:iCs w:val="1"/>
          <w:color w:val="auto"/>
        </w:rPr>
        <w:t>Dividend Reinvestment Plan</w:t>
      </w:r>
      <w:r>
        <w:rPr>
          <w:rFonts w:ascii="Arial" w:cs="Arial" w:eastAsia="Arial" w:hAnsi="Arial"/>
          <w:sz w:val="18"/>
          <w:szCs w:val="18"/>
          <w:color w:val="auto"/>
        </w:rPr>
        <w:t>” for a description of our dividend policy and obligations. One or more of the considerations described below, however, could result in the deferral of dividend distributions until the end of the fiscal year:</w:t>
      </w:r>
    </w:p>
    <w:p>
      <w:pPr>
        <w:spacing w:after="0" w:line="79" w:lineRule="exact"/>
        <w:rPr>
          <w:sz w:val="20"/>
          <w:szCs w:val="20"/>
          <w:color w:val="auto"/>
        </w:rPr>
      </w:pPr>
    </w:p>
    <w:p>
      <w:pPr>
        <w:ind w:left="520" w:hanging="257"/>
        <w:spacing w:after="0" w:line="311"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40" w:lineRule="exact"/>
        <w:rPr>
          <w:rFonts w:ascii="Arial" w:cs="Arial" w:eastAsia="Arial" w:hAnsi="Arial"/>
          <w:sz w:val="16"/>
          <w:szCs w:val="16"/>
          <w:color w:val="auto"/>
        </w:rPr>
      </w:pPr>
    </w:p>
    <w:p>
      <w:pPr>
        <w:ind w:left="520" w:right="80" w:hanging="257"/>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20" w:firstLine="255"/>
        <w:spacing w:after="0" w:line="275" w:lineRule="auto"/>
        <w:rPr>
          <w:sz w:val="20"/>
          <w:szCs w:val="20"/>
          <w:color w:val="auto"/>
        </w:rPr>
      </w:pPr>
      <w:r>
        <w:rPr>
          <w:rFonts w:ascii="Arial" w:cs="Arial" w:eastAsia="Arial" w:hAnsi="Arial"/>
          <w:sz w:val="17"/>
          <w:szCs w:val="17"/>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76" w:lineRule="exact"/>
        <w:rPr>
          <w:sz w:val="20"/>
          <w:szCs w:val="20"/>
          <w:color w:val="auto"/>
        </w:rPr>
      </w:pPr>
    </w:p>
    <w:p>
      <w:pPr>
        <w:ind w:firstLine="255"/>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shareholders, and distributions will be taxable to our shareholders as ordinary dividends to the extent of our current or accumulated earnings and profits, and distributions would not be required. Distributions in excess of our current and accumulated earnings and profits would be treated first as a return of capital to the extent of the shareholder’s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5"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shareholders their share of the foreign taxes paid by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spacing w:after="0" w:line="286" w:lineRule="auto"/>
        <w:rPr>
          <w:sz w:val="20"/>
          <w:szCs w:val="20"/>
          <w:color w:val="auto"/>
        </w:rPr>
      </w:pPr>
      <w:r>
        <w:rPr>
          <w:rFonts w:ascii="Arial" w:cs="Arial" w:eastAsia="Arial" w:hAnsi="Arial"/>
          <w:sz w:val="17"/>
          <w:szCs w:val="17"/>
          <w:color w:val="auto"/>
        </w:rPr>
        <w:t>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Structure</w:t>
      </w:r>
    </w:p>
    <w:p>
      <w:pPr>
        <w:spacing w:after="0" w:line="117"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a relatively new company and have a limited operating history.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of Trustees may amend our Declaration of Trust without prior shareholder approval.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Sixth Street and their affiliates for our future success.</w:t>
      </w:r>
    </w:p>
    <w:p>
      <w:pPr>
        <w:spacing w:after="0" w:line="117"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17" w:lineRule="exact"/>
        <w:rPr>
          <w:rFonts w:ascii="Arial" w:cs="Arial" w:eastAsia="Arial" w:hAnsi="Arial"/>
          <w:sz w:val="18"/>
          <w:szCs w:val="18"/>
          <w:color w:val="auto"/>
        </w:rPr>
      </w:pPr>
    </w:p>
    <w:p>
      <w:pPr>
        <w:ind w:left="760" w:right="52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62" w:lineRule="exact"/>
        <w:rPr>
          <w:rFonts w:ascii="Arial" w:cs="Arial" w:eastAsia="Arial" w:hAnsi="Arial"/>
          <w:sz w:val="18"/>
          <w:szCs w:val="18"/>
          <w:color w:val="auto"/>
        </w:rPr>
      </w:pPr>
    </w:p>
    <w:p>
      <w:pPr>
        <w:ind w:left="760" w:right="58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62" w:lineRule="exact"/>
        <w:rPr>
          <w:rFonts w:ascii="Arial" w:cs="Arial" w:eastAsia="Arial" w:hAnsi="Arial"/>
          <w:sz w:val="18"/>
          <w:szCs w:val="18"/>
          <w:color w:val="auto"/>
        </w:rPr>
      </w:pPr>
    </w:p>
    <w:p>
      <w:pPr>
        <w:ind w:left="760" w:right="16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rFonts w:ascii="Arial" w:cs="Arial" w:eastAsia="Arial" w:hAnsi="Arial"/>
          <w:sz w:val="18"/>
          <w:szCs w:val="18"/>
          <w:color w:val="auto"/>
        </w:rPr>
      </w:pPr>
    </w:p>
    <w:p>
      <w:pPr>
        <w:ind w:left="760" w:right="16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rFonts w:ascii="Arial" w:cs="Arial" w:eastAsia="Arial" w:hAnsi="Arial"/>
          <w:sz w:val="18"/>
          <w:szCs w:val="18"/>
          <w:color w:val="auto"/>
        </w:rPr>
      </w:pPr>
    </w:p>
    <w:p>
      <w:pPr>
        <w:ind w:left="760" w:right="26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can be expected to retain some income and capital gains in excess of what is permissible for excise tax purposes and such amounts will be subject to 4% U.S. federal excise tax.</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17" w:lineRule="exact"/>
        <w:rPr>
          <w:rFonts w:ascii="Arial" w:cs="Arial" w:eastAsia="Arial" w:hAnsi="Arial"/>
          <w:sz w:val="18"/>
          <w:szCs w:val="18"/>
          <w:color w:val="auto"/>
        </w:rPr>
      </w:pPr>
    </w:p>
    <w:p>
      <w:pPr>
        <w:ind w:left="760" w:right="100" w:hanging="378"/>
        <w:spacing w:after="0" w:line="26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75" w:lineRule="exact"/>
        <w:rPr>
          <w:rFonts w:ascii="Arial" w:cs="Arial" w:eastAsia="Arial" w:hAnsi="Arial"/>
          <w:sz w:val="18"/>
          <w:szCs w:val="18"/>
          <w:color w:val="auto"/>
        </w:rPr>
      </w:pPr>
    </w:p>
    <w:p>
      <w:pPr>
        <w:ind w:left="760" w:right="560" w:hanging="378"/>
        <w:spacing w:after="0" w:line="308"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38" w:lineRule="exact"/>
        <w:rPr>
          <w:rFonts w:ascii="Arial" w:cs="Arial" w:eastAsia="Arial" w:hAnsi="Arial"/>
          <w:sz w:val="17"/>
          <w:szCs w:val="17"/>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investors are limited in their ability to make significant investments in us.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or those of our portfolio companies.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shareholder approval.</w:t>
      </w:r>
    </w:p>
    <w:p>
      <w:pPr>
        <w:spacing w:after="0" w:line="117"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rates of our debt investments to our portfolio companies and our indebtedness that extend beyond 2023 might be subject to change based on recent regulatory changes.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Economic Conditions</w:t>
      </w:r>
    </w:p>
    <w:p>
      <w:pPr>
        <w:spacing w:after="0" w:line="117" w:lineRule="exact"/>
        <w:rPr>
          <w:sz w:val="20"/>
          <w:szCs w:val="20"/>
          <w:color w:val="auto"/>
        </w:rPr>
      </w:pPr>
    </w:p>
    <w:p>
      <w:pPr>
        <w:ind w:left="760" w:right="640" w:hanging="378"/>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current state of the economy and financial markets increases the likelihood of adverse effects on our financial position and results of operations.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Uncertainty about financial stability could have a significant adverse effect on our business, results of operations and financial condition.</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Risks Related to Our Portfolio Company Investments</w:t>
      </w:r>
    </w:p>
    <w:p>
      <w:pPr>
        <w:spacing w:after="0" w:line="117"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17" w:lineRule="exact"/>
        <w:rPr>
          <w:rFonts w:ascii="Arial" w:cs="Arial" w:eastAsia="Arial" w:hAnsi="Arial"/>
          <w:sz w:val="18"/>
          <w:szCs w:val="18"/>
          <w:color w:val="auto"/>
        </w:rPr>
      </w:pPr>
    </w:p>
    <w:p>
      <w:pPr>
        <w:ind w:left="760" w:right="140" w:hanging="378"/>
        <w:spacing w:after="0" w:line="26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17" w:lineRule="exact"/>
        <w:rPr>
          <w:rFonts w:ascii="Arial" w:cs="Arial" w:eastAsia="Arial" w:hAnsi="Arial"/>
          <w:sz w:val="18"/>
          <w:szCs w:val="18"/>
          <w:color w:val="auto"/>
        </w:rPr>
      </w:pPr>
    </w:p>
    <w:p>
      <w:pPr>
        <w:ind w:left="760" w:right="20" w:hanging="378"/>
        <w:spacing w:after="0" w:line="308" w:lineRule="auto"/>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rFonts w:ascii="Arial" w:cs="Arial" w:eastAsia="Arial" w:hAnsi="Arial"/>
          <w:sz w:val="17"/>
          <w:szCs w:val="17"/>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securitize certain of our investments, which may subject us to certain structured financing risks.</w:t>
      </w:r>
    </w:p>
    <w:p>
      <w:pPr>
        <w:spacing w:after="0" w:line="117" w:lineRule="exact"/>
        <w:rPr>
          <w:rFonts w:ascii="Arial" w:cs="Arial" w:eastAsia="Arial" w:hAnsi="Arial"/>
          <w:sz w:val="18"/>
          <w:szCs w:val="18"/>
          <w:color w:val="auto"/>
        </w:rPr>
      </w:pPr>
    </w:p>
    <w:p>
      <w:pPr>
        <w:ind w:left="760" w:right="360" w:hanging="378"/>
        <w:spacing w:after="0" w:line="342"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5"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to realize expected returns on our invested capital.</w:t>
      </w:r>
    </w:p>
    <w:p>
      <w:pPr>
        <w:spacing w:after="0" w:line="117" w:lineRule="exact"/>
        <w:rPr>
          <w:rFonts w:ascii="Arial" w:cs="Arial" w:eastAsia="Arial" w:hAnsi="Arial"/>
          <w:sz w:val="18"/>
          <w:szCs w:val="18"/>
          <w:color w:val="auto"/>
        </w:rPr>
      </w:pPr>
    </w:p>
    <w:p>
      <w:pPr>
        <w:ind w:left="760" w:right="28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62" w:lineRule="exact"/>
        <w:rPr>
          <w:rFonts w:ascii="Arial" w:cs="Arial" w:eastAsia="Arial" w:hAnsi="Arial"/>
          <w:sz w:val="18"/>
          <w:szCs w:val="18"/>
          <w:color w:val="auto"/>
        </w:rPr>
      </w:pPr>
    </w:p>
    <w:p>
      <w:pPr>
        <w:ind w:left="760" w:right="3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exposed to special risks associated with bankruptcy cases.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make follow-on investments in our portfolio companies could impair the value of our investments.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guarantee that we will be able to obtain various required licenses in U.S. states or in any other jurisdiction where they may be required in the future.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expose ourselves to risks when we engage in hedging transactions.</w:t>
      </w:r>
    </w:p>
    <w:p>
      <w:pPr>
        <w:spacing w:after="0" w:line="117" w:lineRule="exact"/>
        <w:rPr>
          <w:rFonts w:ascii="Arial" w:cs="Arial" w:eastAsia="Arial" w:hAnsi="Arial"/>
          <w:sz w:val="18"/>
          <w:szCs w:val="18"/>
          <w:color w:val="auto"/>
        </w:rPr>
      </w:pPr>
    </w:p>
    <w:p>
      <w:pPr>
        <w:ind w:left="760" w:right="48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new market structure applicable to derivatives imposed by the Dodd-Frank Act may affect our ability to use over-the-counter (“OTC”) derivatives for hedging purposes.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we cease to be eligible for an exemption from regulation as a commodity pool operator, our compliance expenses could increase substantially.</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portfolio investments may present special tax issues.</w:t>
      </w:r>
    </w:p>
    <w:p>
      <w:pPr>
        <w:spacing w:after="0" w:line="117" w:lineRule="exact"/>
        <w:rPr>
          <w:rFonts w:ascii="Arial" w:cs="Arial" w:eastAsia="Arial" w:hAnsi="Arial"/>
          <w:sz w:val="18"/>
          <w:szCs w:val="18"/>
          <w:color w:val="auto"/>
        </w:rPr>
      </w:pPr>
    </w:p>
    <w:p>
      <w:pPr>
        <w:ind w:left="760" w:right="120" w:hanging="378"/>
        <w:spacing w:after="0" w:line="311"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40" w:lineRule="exact"/>
        <w:rPr>
          <w:rFonts w:ascii="Arial" w:cs="Arial" w:eastAsia="Arial" w:hAnsi="Arial"/>
          <w:sz w:val="16"/>
          <w:szCs w:val="16"/>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are certain risks associated with holding debt obligations that have original issue discount or payment-in-kind 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Securities</w:t>
      </w:r>
    </w:p>
    <w:p>
      <w:pPr>
        <w:spacing w:after="0" w:line="117"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investment in our Common Shares will have limited liquidity.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a risk that investors in our Common Shares may not receive dividends or that our dividends may not grow over time.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Investing in our securities may involve a high degree of risk.</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shareholders will experience dilution in their ownership percentage if they opt out of our dividend reinvestment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General Risk Factors</w:t>
      </w:r>
    </w:p>
    <w:p>
      <w:pPr>
        <w:spacing w:after="0" w:line="117"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global climate change may impact the operations of our portfolio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relatively new company and have a limited operating history.</w:t>
      </w:r>
    </w:p>
    <w:p>
      <w:pPr>
        <w:spacing w:after="0" w:line="225" w:lineRule="exact"/>
        <w:rPr>
          <w:sz w:val="20"/>
          <w:szCs w:val="20"/>
          <w:color w:val="auto"/>
        </w:rPr>
      </w:pPr>
    </w:p>
    <w:p>
      <w:pPr>
        <w:ind w:right="120" w:firstLine="225"/>
        <w:spacing w:after="0" w:line="254" w:lineRule="auto"/>
        <w:rPr>
          <w:sz w:val="20"/>
          <w:szCs w:val="20"/>
          <w:color w:val="auto"/>
        </w:rPr>
      </w:pPr>
      <w:r>
        <w:rPr>
          <w:rFonts w:ascii="Arial" w:cs="Arial" w:eastAsia="Arial" w:hAnsi="Arial"/>
          <w:sz w:val="18"/>
          <w:szCs w:val="18"/>
          <w:color w:val="auto"/>
        </w:rPr>
        <w:t>The Company is a non-diversified, closed-end management investment company that has elected to be regulated as a BDC with a limited operating history. As a result, prospective investors have a limited track record or history on which to base their investment decision. We are subject to the business risks and uncertainties associated with recently formed businesses, including the risk that we will not achieve our investment objective and the value of a shareholder’s investment could decline substantially or become worthless. Further, the Adviser has not previously offered a non-traded BDC. While we believe that the past professional experiences of the Adviser’s investment team, including investment and financial experience of the Adviser’s senior management, will increase the likelihood that the Adviser will be able to manage the Company successfully, there can be no assurance that this will be the case.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Trustees may amend our Declaration of Trust without prior shareholder approval.</w:t>
      </w:r>
    </w:p>
    <w:p>
      <w:pPr>
        <w:spacing w:after="0" w:line="225"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Our Board of Trustees may, without shareholder vote, subject to certain exceptions, amend or otherwise supplement the Declaration of Trust by making an amendment, a Declaration of Trust supplemental thereto or an amended and restated Declaration of Trust, including without limitation to classify the Board of Trustees, to impose advance notice provisions for Trustee nominations or for shareholder proposals and to require super-majority approval of transactions with significant shareholders or other provisions that may be characterized as anti-takeover in nature.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Sixth Street and their affiliates for our future success.</w:t>
      </w:r>
    </w:p>
    <w:p>
      <w:pPr>
        <w:spacing w:after="0" w:line="117"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6" w:lineRule="exact"/>
        <w:rPr>
          <w:sz w:val="20"/>
          <w:szCs w:val="20"/>
          <w:color w:val="auto"/>
        </w:rPr>
      </w:pPr>
    </w:p>
    <w:p>
      <w:pPr>
        <w:ind w:right="220" w:firstLine="255"/>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120" w:firstLine="255"/>
        <w:spacing w:after="0" w:line="301" w:lineRule="auto"/>
        <w:rPr>
          <w:sz w:val="20"/>
          <w:szCs w:val="20"/>
          <w:color w:val="auto"/>
        </w:rPr>
      </w:pPr>
      <w:r>
        <w:rPr>
          <w:rFonts w:ascii="Arial" w:cs="Arial" w:eastAsia="Arial" w:hAnsi="Arial"/>
          <w:sz w:val="16"/>
          <w:szCs w:val="16"/>
          <w:color w:val="auto"/>
        </w:rPr>
        <w:t>The 1940 Act imposes numerous constraints on the operations of BDCs. See “</w:t>
      </w:r>
      <w:r>
        <w:rPr>
          <w:rFonts w:ascii="Arial" w:cs="Arial" w:eastAsia="Arial" w:hAnsi="Arial"/>
          <w:sz w:val="16"/>
          <w:szCs w:val="16"/>
          <w:i w:val="1"/>
          <w:iCs w:val="1"/>
          <w:color w:val="auto"/>
        </w:rPr>
        <w:t>ITEM 1. BUSINESS—Regulation as a Business Development Company</w:t>
      </w:r>
      <w:r>
        <w:rPr>
          <w:rFonts w:ascii="Arial" w:cs="Arial" w:eastAsia="Arial" w:hAnsi="Arial"/>
          <w:sz w:val="16"/>
          <w:szCs w:val="16"/>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57" w:lineRule="exact"/>
        <w:rPr>
          <w:sz w:val="20"/>
          <w:szCs w:val="20"/>
          <w:color w:val="auto"/>
        </w:rPr>
      </w:pPr>
    </w:p>
    <w:p>
      <w:pPr>
        <w:jc w:val="both"/>
        <w:ind w:right="120" w:firstLine="225"/>
        <w:spacing w:after="0" w:line="263"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4" w:lineRule="exact"/>
        <w:rPr>
          <w:sz w:val="20"/>
          <w:szCs w:val="20"/>
          <w:color w:val="auto"/>
        </w:rPr>
      </w:pPr>
    </w:p>
    <w:p>
      <w:pPr>
        <w:ind w:right="320" w:firstLine="255"/>
        <w:spacing w:after="0" w:line="301" w:lineRule="auto"/>
        <w:rPr>
          <w:sz w:val="20"/>
          <w:szCs w:val="20"/>
          <w:color w:val="auto"/>
        </w:rPr>
      </w:pPr>
      <w:r>
        <w:rPr>
          <w:rFonts w:ascii="Arial" w:cs="Arial" w:eastAsia="Arial" w:hAnsi="Arial"/>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shareholders. The 1940 Act limits our ability to incur borrowings and issue debt securities and preferred shares, which we refer to as senior securities, requiring that after any borrowing or issuance the ratio of total assets (less total liabilities other than indebtedness) to total indebtedness plus preferred shares, is at least 150%.</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firstLine="255"/>
        <w:spacing w:after="0" w:line="271" w:lineRule="auto"/>
        <w:rPr>
          <w:sz w:val="20"/>
          <w:szCs w:val="20"/>
          <w:color w:val="auto"/>
        </w:rPr>
      </w:pPr>
      <w:r>
        <w:rPr>
          <w:rFonts w:ascii="Arial" w:cs="Arial" w:eastAsia="Arial" w:hAnsi="Arial"/>
          <w:sz w:val="17"/>
          <w:szCs w:val="17"/>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Shareholders. If we borrow money or issue senior securities, we will be exposed to typical risks associated with leverage, including an increased risk of loss.</w:t>
      </w:r>
    </w:p>
    <w:p>
      <w:pPr>
        <w:spacing w:after="0" w:line="178" w:lineRule="exact"/>
        <w:rPr>
          <w:sz w:val="20"/>
          <w:szCs w:val="20"/>
          <w:color w:val="auto"/>
        </w:rPr>
      </w:pPr>
    </w:p>
    <w:p>
      <w:pPr>
        <w:jc w:val="both"/>
        <w:ind w:firstLine="144"/>
        <w:spacing w:after="0" w:line="272" w:lineRule="auto"/>
        <w:rPr>
          <w:sz w:val="20"/>
          <w:szCs w:val="20"/>
          <w:color w:val="auto"/>
        </w:rPr>
      </w:pPr>
      <w:r>
        <w:rPr>
          <w:rFonts w:ascii="Arial" w:cs="Arial" w:eastAsia="Arial" w:hAnsi="Arial"/>
          <w:sz w:val="17"/>
          <w:szCs w:val="17"/>
          <w:color w:val="auto"/>
        </w:rPr>
        <w:t>If we issue preferred shares, the preferred shares would rank senior to Common Shares in our capital structure. Preferred shareholders would have separate voting rights on certain matters and may have other rights, preferences or privileges more favorable than those of our common shareholders. The issuance of preferred shares could have the effect of delaying, deferring or preventing a transaction or a change of control that might involve a premium price for holders of our Common Shares or otherwise be in the best interest of holders of our Common Shares. Holders of our Common Shares will directly or indirectly bear all of the costs associated with offering and servicing any preferred shares that we issue. In addition, any interests of preferred shareholders may not necessarily align with the interests of holders of our Common Shares and the rights of holders of shares of preferred shares to receive dividends would be senior to those of holders of our Common Shares.</w:t>
      </w:r>
    </w:p>
    <w:p>
      <w:pPr>
        <w:spacing w:after="0" w:line="177" w:lineRule="exact"/>
        <w:rPr>
          <w:sz w:val="20"/>
          <w:szCs w:val="20"/>
          <w:color w:val="auto"/>
        </w:rPr>
      </w:pPr>
    </w:p>
    <w:p>
      <w:pPr>
        <w:jc w:val="both"/>
        <w:ind w:firstLine="130"/>
        <w:spacing w:after="0" w:line="287" w:lineRule="auto"/>
        <w:rPr>
          <w:sz w:val="20"/>
          <w:szCs w:val="20"/>
          <w:color w:val="auto"/>
        </w:rPr>
      </w:pPr>
      <w:r>
        <w:rPr>
          <w:rFonts w:ascii="Arial" w:cs="Arial" w:eastAsia="Arial" w:hAnsi="Arial"/>
          <w:sz w:val="16"/>
          <w:szCs w:val="16"/>
          <w:color w:val="auto"/>
        </w:rPr>
        <w:t>Our Board may decide to issue additional Common Shares to finance our operations rather than issuing debt or other senior securities. However, we generally are not able to issue and sell our Common Shares at a price below net asset value per share. We may, however, elect to issue and sell our Common Shares, or warrants, options or rights to acquire our Common Shares, at a price below the then-current net asset value of our Common Shares if our Board determines that the sale is in the Company’s best interest and the best interests of the Company’s shareholders, and the Company’s shareholders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our Common Shares at a price below net asset value per share, existing shareholders will experience net asset value dilution. This dilution would occur as a result of the sale of shares at a price below the then current net asset value per share and would cause a proportionately greater decrease in the shareholders’ interest in our earnings and assets and their voting interest in us than the increase in our assets resulting from such issuance. As a result of any such dilution, our market price per share may decline. Because the number of Common Shares that could be so issued and the timing of any issuance is not currently known, the actual dilutive effect cannot be predicted.</w:t>
      </w:r>
    </w:p>
    <w:p>
      <w:pPr>
        <w:spacing w:after="0" w:line="168" w:lineRule="exact"/>
        <w:rPr>
          <w:sz w:val="20"/>
          <w:szCs w:val="20"/>
          <w:color w:val="auto"/>
        </w:rPr>
      </w:pPr>
    </w:p>
    <w:p>
      <w:pPr>
        <w:ind w:right="20" w:firstLine="135"/>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Arial" w:cs="Arial" w:eastAsia="Arial" w:hAnsi="Arial"/>
          <w:sz w:val="16"/>
          <w:szCs w:val="16"/>
          <w:i w:val="1"/>
          <w:iCs w:val="1"/>
          <w:color w:val="auto"/>
        </w:rPr>
        <w:t>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Our Portfolio Company Investments—We may securitize certain of our investments, which may subject us to certain structured financing risks</w:t>
      </w:r>
      <w:r>
        <w:rPr>
          <w:rFonts w:ascii="Arial" w:cs="Arial" w:eastAsia="Arial" w:hAnsi="Arial"/>
          <w:sz w:val="16"/>
          <w:szCs w:val="16"/>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shareholders.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Shares.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Arial" w:cs="Arial" w:eastAsia="Arial" w:hAnsi="Arial"/>
          <w:sz w:val="17"/>
          <w:szCs w:val="17"/>
          <w:i w:val="1"/>
          <w:iCs w:val="1"/>
          <w:color w:val="auto"/>
        </w:rPr>
        <w:t>—Risks Related to Our Business and Structure—Even in the event the value of your investment declines, the Management Fee and, in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circumstances, the Incentive Fee will still be payable to the Adviser</w:t>
      </w:r>
      <w:r>
        <w:rPr>
          <w:rFonts w:ascii="Arial" w:cs="Arial" w:eastAsia="Arial" w:hAnsi="Arial"/>
          <w:sz w:val="17"/>
          <w:szCs w:val="17"/>
          <w:color w:val="auto"/>
        </w:rPr>
        <w:t>.” The amount of leverage that we employ will depend on our Adviser’s and our Board’s</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of market and other factors at the time of any proposed borrowing. We cannot assure you that we will be able to obtain credit at all or on terms acceptable to us.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firstLine="255"/>
        <w:spacing w:after="0" w:line="254" w:lineRule="auto"/>
        <w:rPr>
          <w:sz w:val="20"/>
          <w:szCs w:val="20"/>
          <w:color w:val="auto"/>
        </w:rPr>
      </w:pPr>
      <w:r>
        <w:rPr>
          <w:rFonts w:ascii="Arial" w:cs="Arial" w:eastAsia="Arial" w:hAnsi="Arial"/>
          <w:sz w:val="18"/>
          <w:szCs w:val="18"/>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2"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As of December 31, 2022, we had $538.0 million principal amount of outstanding indebtedness, which had an annualized interest cost of 6.3% under the terms of our debt, excluding fees (such as fees on undrawn amounts and amortization of upfront fees).</w:t>
      </w:r>
    </w:p>
    <w:p>
      <w:pPr>
        <w:spacing w:after="0" w:line="170"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4" w:lineRule="exact"/>
        <w:rPr>
          <w:sz w:val="20"/>
          <w:szCs w:val="20"/>
          <w:color w:val="auto"/>
        </w:rPr>
      </w:pPr>
    </w:p>
    <w:p>
      <w:pPr>
        <w:ind w:right="40" w:firstLine="255"/>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Shares assuming various annual returns, net of expenses. Leverage generally magnifies the return of shareholders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December 31, 2022</w:t>
      </w:r>
    </w:p>
    <w:p>
      <w:pPr>
        <w:spacing w:after="0" w:line="217"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Assumed Return on Our Portfolio</w:t>
      </w:r>
    </w:p>
    <w:p>
      <w:pPr>
        <w:jc w:val="center"/>
        <w:ind w:left="5100"/>
        <w:spacing w:after="0" w:line="215" w:lineRule="auto"/>
        <w:rPr>
          <w:sz w:val="20"/>
          <w:szCs w:val="20"/>
          <w:color w:val="auto"/>
        </w:rPr>
      </w:pPr>
      <w:r>
        <w:rPr>
          <w:rFonts w:ascii="Arial" w:cs="Arial" w:eastAsia="Arial" w:hAnsi="Arial"/>
          <w:sz w:val="14"/>
          <w:szCs w:val="14"/>
          <w:b w:val="1"/>
          <w:bCs w:val="1"/>
          <w:color w:val="auto"/>
        </w:rPr>
        <w:t xml:space="preserve">(net of expenses) </w:t>
      </w:r>
      <w:r>
        <w:rPr>
          <w:rFonts w:ascii="Arial" w:cs="Arial" w:eastAsia="Arial" w:hAnsi="Arial"/>
          <w:sz w:val="19"/>
          <w:szCs w:val="19"/>
          <w:b w:val="1"/>
          <w:bCs w:val="1"/>
          <w:color w:val="auto"/>
          <w:vertAlign w:val="superscript"/>
        </w:rPr>
        <w:t>(1)</w:t>
      </w:r>
    </w:p>
    <w:tbl>
      <w:tblPr>
        <w:tblLayout w:type="fixed"/>
        <w:tblInd w:w="0" w:type="dxa"/>
        <w:tblCellMar>
          <w:top w:w="0" w:type="dxa"/>
          <w:left w:w="0" w:type="dxa"/>
          <w:bottom w:w="0" w:type="dxa"/>
          <w:right w:w="0" w:type="dxa"/>
        </w:tblCellMar>
      </w:tblPr>
      <w:tr>
        <w:trPr>
          <w:trHeight w:val="169"/>
        </w:trPr>
        <w:tc>
          <w:tcPr>
            <w:tcW w:w="5120" w:type="dxa"/>
            <w:vAlign w:val="bottom"/>
          </w:tcPr>
          <w:p>
            <w:pPr>
              <w:spacing w:after="0"/>
              <w:rPr>
                <w:sz w:val="14"/>
                <w:szCs w:val="14"/>
                <w:color w:val="auto"/>
              </w:rPr>
            </w:pPr>
          </w:p>
        </w:tc>
        <w:tc>
          <w:tcPr>
            <w:tcW w:w="1160" w:type="dxa"/>
            <w:vAlign w:val="bottom"/>
          </w:tcPr>
          <w:p>
            <w:pPr>
              <w:jc w:val="right"/>
              <w:ind w:right="339"/>
              <w:spacing w:after="0"/>
              <w:rPr>
                <w:sz w:val="20"/>
                <w:szCs w:val="20"/>
                <w:color w:val="auto"/>
              </w:rPr>
            </w:pPr>
            <w:r>
              <w:rPr>
                <w:rFonts w:ascii="Arial" w:cs="Arial" w:eastAsia="Arial" w:hAnsi="Arial"/>
                <w:sz w:val="14"/>
                <w:szCs w:val="14"/>
                <w:b w:val="1"/>
                <w:bCs w:val="1"/>
                <w:color w:val="auto"/>
              </w:rPr>
              <w:t>-10%</w:t>
            </w:r>
          </w:p>
        </w:tc>
        <w:tc>
          <w:tcPr>
            <w:tcW w:w="12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-5%</w:t>
            </w:r>
          </w:p>
        </w:tc>
        <w:tc>
          <w:tcPr>
            <w:tcW w:w="12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0%</w:t>
            </w:r>
          </w:p>
        </w:tc>
        <w:tc>
          <w:tcPr>
            <w:tcW w:w="12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5%</w:t>
            </w:r>
          </w:p>
        </w:tc>
        <w:tc>
          <w:tcPr>
            <w:tcW w:w="12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10%</w:t>
            </w:r>
          </w:p>
        </w:tc>
      </w:tr>
      <w:tr>
        <w:trPr>
          <w:trHeight w:val="237"/>
        </w:trPr>
        <w:tc>
          <w:tcPr>
            <w:tcW w:w="512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Corresponding return to shareholder </w:t>
            </w:r>
            <w:r>
              <w:rPr>
                <w:rFonts w:ascii="Arial" w:cs="Arial" w:eastAsia="Arial" w:hAnsi="Arial"/>
                <w:sz w:val="24"/>
                <w:szCs w:val="24"/>
                <w:color w:val="auto"/>
                <w:vertAlign w:val="superscript"/>
              </w:rPr>
              <w:t>(2)</w:t>
            </w:r>
          </w:p>
        </w:tc>
        <w:tc>
          <w:tcPr>
            <w:tcW w:w="11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13.7%</w:t>
            </w:r>
          </w:p>
        </w:tc>
      </w:tr>
    </w:tbl>
    <w:p>
      <w:pPr>
        <w:spacing w:after="0" w:line="202" w:lineRule="exact"/>
        <w:rPr>
          <w:sz w:val="20"/>
          <w:szCs w:val="20"/>
          <w:color w:val="auto"/>
        </w:rPr>
      </w:pPr>
    </w:p>
    <w:p>
      <w:pPr>
        <w:ind w:left="520" w:right="120" w:hanging="512"/>
        <w:spacing w:after="0" w:line="287" w:lineRule="auto"/>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2022. As a result, it has not been updated to take into account any changes in assets or leverage since December 31, 2022.</w:t>
      </w:r>
    </w:p>
    <w:p>
      <w:pPr>
        <w:spacing w:after="0" w:line="2" w:lineRule="exact"/>
        <w:rPr>
          <w:rFonts w:ascii="Arial" w:cs="Arial" w:eastAsia="Arial" w:hAnsi="Arial"/>
          <w:sz w:val="16"/>
          <w:szCs w:val="16"/>
          <w:color w:val="auto"/>
        </w:rPr>
      </w:pPr>
    </w:p>
    <w:p>
      <w:pPr>
        <w:ind w:left="520" w:right="80" w:hanging="512"/>
        <w:spacing w:after="0" w:line="253"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order to compute the “Corresponding return to shareholder,” the “Assumed Return on Our Portfolio” is multiplied by the total value of our assets at December 31, 2022 to obtain an assumed return to us. From this amount, the interest expense (calculated by multiplying the weighted average stated interest rate of 6.3% by the approximately $538.0 million of principal debt outstanding) is subtracted to determine the return available to shareholders. The return available to shareholders is then divided by the total value of our net assets as of December 31, 2022 to determine the “Corresponding return to shareholder.”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60" w:firstLine="255"/>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shareholders or on terms that would not require us to breach the terms and conditions of our existing or future debt agreements.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17" w:lineRule="exact"/>
        <w:rPr>
          <w:sz w:val="20"/>
          <w:szCs w:val="20"/>
          <w:color w:val="auto"/>
        </w:rPr>
      </w:pPr>
    </w:p>
    <w:p>
      <w:pPr>
        <w:ind w:right="80" w:firstLine="255"/>
        <w:spacing w:after="0" w:line="301"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shares unless immediately after the borrowing or issuance the ratio of total assets (less total liabilities other than indebtedness) to total indebtedness plus preferred shares is at least 200%. However, under the SBCAA, which became law in March 2018, BDCs have the ability to elect to become subject to a lower asset coverage requirement of 150%, subject to the receipt of the requisite board or shareholder approvals under the SBCAA and satisfaction of certain other conditions.</w:t>
      </w:r>
    </w:p>
    <w:p>
      <w:pPr>
        <w:spacing w:after="0" w:line="153" w:lineRule="exact"/>
        <w:rPr>
          <w:sz w:val="20"/>
          <w:szCs w:val="20"/>
          <w:color w:val="auto"/>
        </w:rPr>
      </w:pPr>
    </w:p>
    <w:p>
      <w:pPr>
        <w:ind w:right="200" w:firstLine="255"/>
        <w:spacing w:after="0" w:line="282"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See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We operate in a highly competitive environment for investment opportunities</w:t>
      </w:r>
      <w:r>
        <w:rPr>
          <w:rFonts w:ascii="Arial" w:cs="Arial" w:eastAsia="Arial" w:hAnsi="Arial"/>
          <w:sz w:val="18"/>
          <w:szCs w:val="18"/>
          <w:color w:val="auto"/>
        </w:rPr>
        <w:t>.” Any impact on returns or equity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120"/>
        <w:spacing w:after="0" w:line="282" w:lineRule="auto"/>
        <w:rPr>
          <w:sz w:val="20"/>
          <w:szCs w:val="20"/>
          <w:color w:val="auto"/>
        </w:rPr>
      </w:pPr>
      <w:r>
        <w:rPr>
          <w:rFonts w:ascii="Arial" w:cs="Arial" w:eastAsia="Arial" w:hAnsi="Arial"/>
          <w:sz w:val="18"/>
          <w:szCs w:val="18"/>
          <w:color w:val="auto"/>
        </w:rPr>
        <w:t>or our business associated with additional leverage may not outweigh the additional risk. See “</w:t>
      </w:r>
      <w:r>
        <w:rPr>
          <w:rFonts w:ascii="Arial" w:cs="Arial" w:eastAsia="Arial" w:hAnsi="Arial"/>
          <w:sz w:val="18"/>
          <w:szCs w:val="18"/>
          <w:b w:val="1"/>
          <w:bCs w:val="1"/>
          <w:color w:val="auto"/>
        </w:rPr>
        <w:t>—</w:t>
      </w:r>
      <w:r>
        <w:rPr>
          <w:rFonts w:ascii="Arial" w:cs="Arial" w:eastAsia="Arial" w:hAnsi="Arial"/>
          <w:sz w:val="18"/>
          <w:szCs w:val="18"/>
          <w:i w:val="1"/>
          <w:iCs w:val="1"/>
          <w:color w:val="auto"/>
        </w:rPr>
        <w:t>We borrow money, which magnifies the potential for gain</w:t>
      </w:r>
      <w:r>
        <w:rPr>
          <w:rFonts w:ascii="Arial" w:cs="Arial" w:eastAsia="Arial" w:hAnsi="Arial"/>
          <w:sz w:val="18"/>
          <w:szCs w:val="18"/>
          <w:color w:val="auto"/>
        </w:rPr>
        <w:t xml:space="preserve"> </w:t>
      </w:r>
      <w:r>
        <w:rPr>
          <w:rFonts w:ascii="Arial" w:cs="Arial" w:eastAsia="Arial" w:hAnsi="Arial"/>
          <w:sz w:val="18"/>
          <w:szCs w:val="18"/>
          <w:i w:val="1"/>
          <w:iCs w:val="1"/>
          <w:color w:val="auto"/>
        </w:rPr>
        <w:t>or loss and increases the risk of investing in us.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default under our future credit facilities.</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the event we default under a credit facility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credit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a credit facility may limit our investment discretion.</w:t>
      </w:r>
    </w:p>
    <w:p>
      <w:pPr>
        <w:spacing w:after="0" w:line="225" w:lineRule="exact"/>
        <w:rPr>
          <w:sz w:val="20"/>
          <w:szCs w:val="20"/>
          <w:color w:val="auto"/>
        </w:rPr>
      </w:pPr>
    </w:p>
    <w:p>
      <w:pPr>
        <w:jc w:val="both"/>
        <w:ind w:firstLine="269"/>
        <w:spacing w:after="0" w:line="271" w:lineRule="auto"/>
        <w:rPr>
          <w:sz w:val="20"/>
          <w:szCs w:val="20"/>
          <w:color w:val="auto"/>
        </w:rPr>
      </w:pPr>
      <w:r>
        <w:rPr>
          <w:rFonts w:ascii="Arial" w:cs="Arial" w:eastAsia="Arial" w:hAnsi="Arial"/>
          <w:sz w:val="17"/>
          <w:szCs w:val="17"/>
          <w:color w:val="auto"/>
        </w:rPr>
        <w:t>A credit facility may be backed by all or a portion of our loans and securities on which the lenders will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178" w:lineRule="exact"/>
        <w:rPr>
          <w:sz w:val="20"/>
          <w:szCs w:val="20"/>
          <w:color w:val="auto"/>
        </w:rPr>
      </w:pPr>
    </w:p>
    <w:p>
      <w:pPr>
        <w:jc w:val="both"/>
        <w:ind w:firstLine="182"/>
        <w:spacing w:after="0" w:line="255" w:lineRule="auto"/>
        <w:rPr>
          <w:sz w:val="20"/>
          <w:szCs w:val="20"/>
          <w:color w:val="auto"/>
        </w:rPr>
      </w:pPr>
      <w:r>
        <w:rPr>
          <w:rFonts w:ascii="Arial" w:cs="Arial" w:eastAsia="Arial" w:hAnsi="Arial"/>
          <w:sz w:val="18"/>
          <w:szCs w:val="18"/>
          <w:color w:val="auto"/>
        </w:rPr>
        <w:t>In addition, any security interests and/or negative covenants required by a credit facility may limit our ability to create liens on assets to secure additional debt and may make it difficult for us to restructure or refinance indebtedness at or prior to maturity or obtain additional debt or equity financing. In addition, if our borrowing base under a credit facility were to decrease, we may be required to secure additional assets in an amount sufficient to cure any borrowing base deficiency. In the event that all of our assets are secured at the time of such a borrowing base deficiency, we could be required to repay advances under a credit facility or make deposits to a collection account, either of which could have a material adverse impact on our ability to fund future investments and to make distributions.</w:t>
      </w:r>
    </w:p>
    <w:p>
      <w:pPr>
        <w:spacing w:after="0" w:line="192" w:lineRule="exact"/>
        <w:rPr>
          <w:sz w:val="20"/>
          <w:szCs w:val="20"/>
          <w:color w:val="auto"/>
        </w:rPr>
      </w:pPr>
    </w:p>
    <w:p>
      <w:pPr>
        <w:jc w:val="both"/>
        <w:ind w:firstLine="336"/>
        <w:spacing w:after="0" w:line="254" w:lineRule="auto"/>
        <w:rPr>
          <w:sz w:val="20"/>
          <w:szCs w:val="20"/>
          <w:color w:val="auto"/>
        </w:rPr>
      </w:pPr>
      <w:r>
        <w:rPr>
          <w:rFonts w:ascii="Arial" w:cs="Arial" w:eastAsia="Arial" w:hAnsi="Arial"/>
          <w:sz w:val="18"/>
          <w:szCs w:val="18"/>
          <w:color w:val="auto"/>
        </w:rPr>
        <w:t>In addition, we may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resultin an event of default. An event of default under a credit facility could result in an accelerated maturity date for all amounts outstanding thereunder, which could have a material adverse effect on our business and financial condition. This could reduce our liquidity and cash flow and impair our ability to grow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255"/>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ind w:firstLine="255"/>
        <w:spacing w:after="0" w:line="275" w:lineRule="auto"/>
        <w:rPr>
          <w:sz w:val="20"/>
          <w:szCs w:val="20"/>
          <w:color w:val="auto"/>
        </w:rPr>
      </w:pPr>
      <w:r>
        <w:rPr>
          <w:rFonts w:ascii="Arial" w:cs="Arial" w:eastAsia="Arial" w:hAnsi="Arial"/>
          <w:sz w:val="17"/>
          <w:szCs w:val="17"/>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source investments, access financing or manage future growth effectively, we may be unable to achieve our investment objective.</w:t>
      </w:r>
    </w:p>
    <w:p>
      <w:pPr>
        <w:spacing w:after="0" w:line="152" w:lineRule="exact"/>
        <w:rPr>
          <w:sz w:val="20"/>
          <w:szCs w:val="20"/>
          <w:color w:val="auto"/>
        </w:rPr>
      </w:pPr>
    </w:p>
    <w:p>
      <w:pPr>
        <w:jc w:val="both"/>
        <w:ind w:right="60" w:firstLine="255"/>
        <w:spacing w:after="0" w:line="287"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55"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However, prior to any Exchange Listing that may occur, the Adviser has waived its right to receive management fees in excess of the sum or 1.00% of the Company's average aggregate drawn capital (including capital drawn to pay Company expenses) as of the end of the two most recently completed calendar quarters, appropriately adjusted for any Common Share issuances or repurchases during the current calendar quarter. The fee waiver will termindate if and when the Company consummates an Exchange Listing. In addition, the Management Fee is payable regardless of whether the value of our gross assets or your investment have decreased. The use of increased leverage may increase the likelihood of default, which would disfavor holders of our Common Shares. Given the subjective nature of the investment decisions that our Adviser will make on our behalf, we may not be able to monitor this potential conflict of interest.</w:t>
      </w:r>
    </w:p>
    <w:p>
      <w:pPr>
        <w:spacing w:after="0" w:line="166" w:lineRule="exact"/>
        <w:rPr>
          <w:sz w:val="20"/>
          <w:szCs w:val="20"/>
          <w:color w:val="auto"/>
        </w:rPr>
      </w:pPr>
    </w:p>
    <w:p>
      <w:pPr>
        <w:ind w:right="60" w:firstLine="255"/>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6" w:lineRule="exact"/>
        <w:rPr>
          <w:sz w:val="20"/>
          <w:szCs w:val="20"/>
          <w:color w:val="auto"/>
        </w:rPr>
      </w:pPr>
    </w:p>
    <w:p>
      <w:pPr>
        <w:ind w:right="140" w:firstLine="255"/>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right="6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80" w:firstLine="255"/>
        <w:spacing w:after="0" w:line="272" w:lineRule="auto"/>
        <w:rPr>
          <w:sz w:val="20"/>
          <w:szCs w:val="20"/>
          <w:color w:val="auto"/>
        </w:rPr>
      </w:pPr>
      <w:r>
        <w:rPr>
          <w:rFonts w:ascii="Arial" w:cs="Arial" w:eastAsia="Arial" w:hAnsi="Arial"/>
          <w:sz w:val="17"/>
          <w:szCs w:val="17"/>
          <w:color w:val="auto"/>
        </w:rPr>
        <w:t>To maintain RIC status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shareholders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intend to elect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49" w:lineRule="exact"/>
        <w:rPr>
          <w:sz w:val="20"/>
          <w:szCs w:val="20"/>
          <w:color w:val="auto"/>
        </w:rPr>
      </w:pPr>
    </w:p>
    <w:p>
      <w:pPr>
        <w:ind w:left="520" w:hanging="257"/>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17" w:lineRule="exact"/>
        <w:rPr>
          <w:rFonts w:ascii="Arial" w:cs="Arial" w:eastAsia="Arial" w:hAnsi="Arial"/>
          <w:sz w:val="18"/>
          <w:szCs w:val="18"/>
          <w:color w:val="auto"/>
        </w:rPr>
      </w:pPr>
    </w:p>
    <w:p>
      <w:pPr>
        <w:ind w:left="520" w:right="640" w:hanging="257"/>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280" w:firstLine="255"/>
        <w:spacing w:after="0" w:line="301"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49" w:lineRule="exact"/>
        <w:rPr>
          <w:sz w:val="20"/>
          <w:szCs w:val="20"/>
          <w:color w:val="auto"/>
        </w:rPr>
      </w:pPr>
    </w:p>
    <w:p>
      <w:pPr>
        <w:ind w:left="520" w:right="160" w:hanging="257"/>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62" w:lineRule="exact"/>
        <w:rPr>
          <w:rFonts w:ascii="Arial" w:cs="Arial" w:eastAsia="Arial" w:hAnsi="Arial"/>
          <w:sz w:val="18"/>
          <w:szCs w:val="18"/>
          <w:color w:val="auto"/>
        </w:rPr>
      </w:pPr>
    </w:p>
    <w:p>
      <w:pPr>
        <w:ind w:left="520" w:right="220" w:hanging="257"/>
        <w:spacing w:after="0" w:line="311"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9" w:lineRule="exact"/>
        <w:rPr>
          <w:sz w:val="20"/>
          <w:szCs w:val="20"/>
          <w:color w:val="auto"/>
        </w:rPr>
      </w:pPr>
    </w:p>
    <w:p>
      <w:pPr>
        <w:ind w:right="480" w:firstLine="255"/>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120" w:firstLine="255"/>
        <w:spacing w:after="0" w:line="296" w:lineRule="auto"/>
        <w:rPr>
          <w:sz w:val="20"/>
          <w:szCs w:val="20"/>
          <w:color w:val="auto"/>
        </w:rPr>
      </w:pPr>
      <w:r>
        <w:rPr>
          <w:rFonts w:ascii="Arial" w:cs="Arial" w:eastAsia="Arial" w:hAnsi="Arial"/>
          <w:sz w:val="16"/>
          <w:szCs w:val="16"/>
          <w:color w:val="auto"/>
        </w:rPr>
        <w:t>As of December 31, 2022, we elected to retain approximately $9.1 million of taxable income and capital gains in order to provide us with additional liquidity and we recorded an expense of $0.2 million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as a Business Development Company—Regulated Investment Company Classification</w:t>
      </w:r>
      <w:r>
        <w:rPr>
          <w:rFonts w:ascii="Arial" w:cs="Arial" w:eastAsia="Arial" w:hAnsi="Arial"/>
          <w:sz w:val="16"/>
          <w:szCs w:val="16"/>
          <w:color w:val="auto"/>
        </w:rPr>
        <w:t>” for more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225" w:lineRule="exact"/>
        <w:rPr>
          <w:sz w:val="20"/>
          <w:szCs w:val="20"/>
          <w:color w:val="auto"/>
        </w:rPr>
      </w:pPr>
    </w:p>
    <w:p>
      <w:pPr>
        <w:ind w:right="20" w:firstLine="225"/>
        <w:spacing w:after="0" w:line="263" w:lineRule="auto"/>
        <w:rPr>
          <w:sz w:val="20"/>
          <w:szCs w:val="20"/>
          <w:color w:val="auto"/>
        </w:rPr>
      </w:pPr>
      <w:r>
        <w:rPr>
          <w:rFonts w:ascii="Arial" w:cs="Arial" w:eastAsia="Arial" w:hAnsi="Arial"/>
          <w:sz w:val="18"/>
          <w:szCs w:val="18"/>
          <w:color w:val="auto"/>
        </w:rPr>
        <w:t>The majority of our debt investments are based on floating rates, such as EURIBOR, SONIA, SOFR, the Federal Funds Rate or the Prime Rate. General interest rate fluctuations may have a substantial negative impact on our investments, the value of our Common Shares and our rate of return on invested capital. On one hand, a reduction in the interest rates on new investments relative to interest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1" w:name="page32"/>
    <w:bookmarkEnd w:id="31"/>
    <w:p>
      <w:pPr>
        <w:ind w:right="100"/>
        <w:spacing w:after="0" w:line="311" w:lineRule="auto"/>
        <w:rPr>
          <w:sz w:val="20"/>
          <w:szCs w:val="20"/>
          <w:color w:val="auto"/>
        </w:rPr>
      </w:pPr>
      <w:r>
        <w:rPr>
          <w:rFonts w:ascii="Arial" w:cs="Arial" w:eastAsia="Arial" w:hAnsi="Arial"/>
          <w:sz w:val="16"/>
          <w:szCs w:val="16"/>
          <w:color w:val="auto"/>
        </w:rPr>
        <w:t>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149"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Shares less attractive if we are not able to increase our dividend rate, which could reduce the value of our Common Shares.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164"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w:t>
      </w:r>
    </w:p>
    <w:p>
      <w:pPr>
        <w:spacing w:after="0" w:line="170" w:lineRule="exact"/>
        <w:rPr>
          <w:sz w:val="20"/>
          <w:szCs w:val="20"/>
          <w:color w:val="auto"/>
        </w:rPr>
      </w:pPr>
    </w:p>
    <w:p>
      <w:pPr>
        <w:jc w:val="both"/>
        <w:ind w:right="220" w:firstLine="225"/>
        <w:spacing w:after="0" w:line="263" w:lineRule="auto"/>
        <w:rPr>
          <w:sz w:val="20"/>
          <w:szCs w:val="20"/>
          <w:color w:val="auto"/>
        </w:rPr>
      </w:pPr>
      <w:r>
        <w:rPr>
          <w:rFonts w:ascii="Arial" w:cs="Arial" w:eastAsia="Arial" w:hAnsi="Arial"/>
          <w:sz w:val="18"/>
          <w:szCs w:val="18"/>
          <w:color w:val="auto"/>
        </w:rPr>
        <w:t>Our Subscription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184"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U.S. dollar borrowings under our Subscription Facility bear interest at a rate derived from SOFR. SOFR is a relatively new reference rate and has a very limited history. The future performance of SOFR cannot be predicted based on its limited historical performance. Since the initial publication of SOFR in April 2018, changes in SOFR have, on occasion, been more volatile than changes in other benchmark or market rates. The use of SOFR is relatively new, and there could be unanticipated difficulties or disruptions with the calculation and publication of SOFR. Additionally, any successor rate to SOFR under our revolving credit facility may not have the same characteristics as SOFR. As a result, the amount of interest we may pay on our revolving credit facility is difficult to predict.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160" w:firstLine="255"/>
        <w:spacing w:after="0" w:line="273" w:lineRule="auto"/>
        <w:rPr>
          <w:sz w:val="20"/>
          <w:szCs w:val="20"/>
          <w:color w:val="auto"/>
        </w:rPr>
      </w:pPr>
      <w:r>
        <w:rPr>
          <w:rFonts w:ascii="Arial" w:cs="Arial" w:eastAsia="Arial" w:hAnsi="Arial"/>
          <w:sz w:val="17"/>
          <w:szCs w:val="17"/>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trustees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shareholders.</w:t>
      </w:r>
    </w:p>
    <w:p>
      <w:pPr>
        <w:spacing w:after="0" w:line="178" w:lineRule="exact"/>
        <w:rPr>
          <w:sz w:val="20"/>
          <w:szCs w:val="20"/>
          <w:color w:val="auto"/>
        </w:rPr>
      </w:pPr>
    </w:p>
    <w:p>
      <w:pPr>
        <w:ind w:firstLine="255"/>
        <w:spacing w:after="0" w:line="290" w:lineRule="auto"/>
        <w:rPr>
          <w:sz w:val="20"/>
          <w:szCs w:val="20"/>
          <w:color w:val="auto"/>
        </w:rPr>
      </w:pPr>
      <w:r>
        <w:rPr>
          <w:rFonts w:ascii="Arial" w:cs="Arial" w:eastAsia="Arial" w:hAnsi="Arial"/>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165" w:lineRule="exact"/>
        <w:rPr>
          <w:sz w:val="20"/>
          <w:szCs w:val="20"/>
          <w:color w:val="auto"/>
        </w:rPr>
      </w:pPr>
    </w:p>
    <w:p>
      <w:pPr>
        <w:ind w:right="120" w:firstLine="255"/>
        <w:spacing w:after="0" w:line="301" w:lineRule="auto"/>
        <w:rPr>
          <w:sz w:val="20"/>
          <w:szCs w:val="20"/>
          <w:color w:val="auto"/>
        </w:rPr>
      </w:pPr>
      <w:r>
        <w:rPr>
          <w:rFonts w:ascii="Arial" w:cs="Arial" w:eastAsia="Arial" w:hAnsi="Arial"/>
          <w:sz w:val="16"/>
          <w:szCs w:val="16"/>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left="260"/>
        <w:spacing w:after="0"/>
        <w:rPr>
          <w:sz w:val="20"/>
          <w:szCs w:val="20"/>
          <w:color w:val="auto"/>
        </w:rPr>
      </w:pPr>
      <w:r>
        <w:rPr>
          <w:rFonts w:ascii="Arial" w:cs="Arial" w:eastAsia="Arial" w:hAnsi="Arial"/>
          <w:sz w:val="17"/>
          <w:szCs w:val="17"/>
          <w:color w:val="auto"/>
        </w:rPr>
        <w:t>We cannot assure you when or whether we will apply for any other exemptive relief in the future and whether such orders will be obtained.</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225" w:lineRule="exact"/>
        <w:rPr>
          <w:sz w:val="20"/>
          <w:szCs w:val="20"/>
          <w:color w:val="auto"/>
        </w:rPr>
      </w:pPr>
    </w:p>
    <w:p>
      <w:pPr>
        <w:ind w:right="40" w:firstLine="255"/>
        <w:spacing w:after="0" w:line="290"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Trustees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Trustees. The 1940 Act also prohibits certain “joint” transactions with certain of our affiliates, which could include investments in the same portfolio company (whether at the same or different times), without prior approval of our Independent Trustees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trustees or their affiliates.</w:t>
      </w:r>
    </w:p>
    <w:p>
      <w:pPr>
        <w:spacing w:after="0" w:line="165"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trustees or their affiliates. These restrictions may limit the scope of investment opportunities that would otherwise be available to us.</w:t>
      </w:r>
    </w:p>
    <w:p>
      <w:pPr>
        <w:spacing w:after="0" w:line="188" w:lineRule="exact"/>
        <w:rPr>
          <w:sz w:val="20"/>
          <w:szCs w:val="20"/>
          <w:color w:val="auto"/>
        </w:rPr>
      </w:pPr>
    </w:p>
    <w:p>
      <w:pPr>
        <w:ind w:right="20" w:firstLine="255"/>
        <w:spacing w:after="0" w:line="301" w:lineRule="auto"/>
        <w:rPr>
          <w:sz w:val="20"/>
          <w:szCs w:val="20"/>
          <w:color w:val="auto"/>
        </w:rPr>
      </w:pPr>
      <w:r>
        <w:rPr>
          <w:rFonts w:ascii="Arial" w:cs="Arial" w:eastAsia="Arial" w:hAnsi="Arial"/>
          <w:sz w:val="16"/>
          <w:szCs w:val="16"/>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157" w:lineRule="exact"/>
        <w:rPr>
          <w:sz w:val="20"/>
          <w:szCs w:val="20"/>
          <w:color w:val="auto"/>
        </w:rPr>
      </w:pPr>
    </w:p>
    <w:p>
      <w:pPr>
        <w:jc w:val="both"/>
        <w:ind w:right="400" w:firstLine="255"/>
        <w:spacing w:after="0" w:line="263"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76"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shareholders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Shares may decline.</w:t>
      </w:r>
    </w:p>
    <w:p>
      <w:pPr>
        <w:spacing w:after="0" w:line="181" w:lineRule="exact"/>
        <w:rPr>
          <w:sz w:val="20"/>
          <w:szCs w:val="20"/>
          <w:color w:val="auto"/>
        </w:rPr>
      </w:pPr>
    </w:p>
    <w:p>
      <w:pPr>
        <w:ind w:firstLine="255"/>
        <w:spacing w:after="0" w:line="286" w:lineRule="auto"/>
        <w:rPr>
          <w:sz w:val="20"/>
          <w:szCs w:val="20"/>
          <w:color w:val="auto"/>
        </w:rPr>
      </w:pPr>
      <w:r>
        <w:rPr>
          <w:rFonts w:ascii="Arial" w:cs="Arial" w:eastAsia="Arial" w:hAnsi="Arial"/>
          <w:sz w:val="17"/>
          <w:szCs w:val="17"/>
          <w:color w:val="auto"/>
        </w:rPr>
        <w:t>Any new Investment Advisory Agreement would be subject to approval by our shareholders.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5" w:lineRule="exact"/>
        <w:rPr>
          <w:sz w:val="20"/>
          <w:szCs w:val="20"/>
          <w:color w:val="auto"/>
        </w:rPr>
      </w:pPr>
    </w:p>
    <w:p>
      <w:pPr>
        <w:ind w:right="40" w:firstLine="255"/>
        <w:spacing w:after="0" w:line="342" w:lineRule="auto"/>
        <w:rPr>
          <w:sz w:val="20"/>
          <w:szCs w:val="20"/>
          <w:color w:val="auto"/>
        </w:rPr>
      </w:pPr>
      <w:r>
        <w:rPr>
          <w:rFonts w:ascii="Arial" w:cs="Arial" w:eastAsia="Arial" w:hAnsi="Arial"/>
          <w:sz w:val="16"/>
          <w:szCs w:val="16"/>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23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38"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33" w:name="page34"/>
    <w:bookmarkEnd w:id="33"/>
    <w:p>
      <w:pPr>
        <w:ind w:right="160"/>
        <w:spacing w:after="0" w:line="277" w:lineRule="auto"/>
        <w:rPr>
          <w:sz w:val="20"/>
          <w:szCs w:val="20"/>
          <w:color w:val="auto"/>
        </w:rPr>
      </w:pPr>
      <w:r>
        <w:rPr>
          <w:rFonts w:ascii="Arial" w:cs="Arial" w:eastAsia="Arial" w:hAnsi="Arial"/>
          <w:sz w:val="18"/>
          <w:szCs w:val="18"/>
          <w:color w:val="auto"/>
        </w:rPr>
        <w:t>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70" w:lineRule="exact"/>
        <w:rPr>
          <w:sz w:val="20"/>
          <w:szCs w:val="20"/>
          <w:color w:val="auto"/>
        </w:rPr>
      </w:pPr>
    </w:p>
    <w:p>
      <w:pPr>
        <w:ind w:right="40" w:firstLine="255"/>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184" w:lineRule="exact"/>
        <w:rPr>
          <w:sz w:val="20"/>
          <w:szCs w:val="20"/>
          <w:color w:val="auto"/>
        </w:rPr>
      </w:pPr>
    </w:p>
    <w:p>
      <w:pPr>
        <w:jc w:val="both"/>
        <w:ind w:firstLine="256"/>
        <w:spacing w:after="0" w:line="263" w:lineRule="auto"/>
        <w:rPr>
          <w:sz w:val="20"/>
          <w:szCs w:val="20"/>
          <w:color w:val="auto"/>
        </w:rPr>
      </w:pPr>
      <w:r>
        <w:rPr>
          <w:rFonts w:ascii="Arial" w:cs="Arial" w:eastAsia="Arial" w:hAnsi="Arial"/>
          <w:sz w:val="18"/>
          <w:szCs w:val="18"/>
          <w:color w:val="auto"/>
        </w:rPr>
        <w:t>The Adviser and individuals employed by the Adviser are generally not prohibited from raising capital for and managing other investment entities that make the same types of investments as those we target. As a result,the time and resources that these individuals may devote to us may be diverted. In addition, we may compete with any such investment entity for the same investors and investment opportunities.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170" w:lineRule="exact"/>
        <w:rPr>
          <w:sz w:val="20"/>
          <w:szCs w:val="20"/>
          <w:color w:val="auto"/>
        </w:rPr>
      </w:pPr>
    </w:p>
    <w:p>
      <w:pPr>
        <w:jc w:val="both"/>
        <w:ind w:firstLine="235"/>
        <w:spacing w:after="0" w:line="254" w:lineRule="auto"/>
        <w:rPr>
          <w:sz w:val="20"/>
          <w:szCs w:val="20"/>
          <w:color w:val="auto"/>
        </w:rPr>
      </w:pPr>
      <w:r>
        <w:rPr>
          <w:rFonts w:ascii="Arial" w:cs="Arial" w:eastAsia="Arial" w:hAnsi="Arial"/>
          <w:sz w:val="18"/>
          <w:szCs w:val="18"/>
          <w:color w:val="auto"/>
        </w:rPr>
        <w:t>We are and we will remain an “emerging growth company” as defined in the JOBS Act until the earlier of (a) the last day of the fiscal year (i) following the fifth anniversary of the completion of the initial offering, (ii) in which we have total annual gross revenue of at least $1 billion, or (iii) in which we are deemed to be a large accelerated filer, which means the market value of our Common Shares that is held by non-affiliates exceeds $700 million as of the prior June 30th, and (b) the date on which we have issued more than $1.07 billion in non-convertible debt during the prior three-year period. For so long as we remain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We cannot predict if investors will find our Common Shares less attractive because we will rely on some or all of these exemptions.</w:t>
      </w:r>
    </w:p>
    <w:p>
      <w:pPr>
        <w:spacing w:after="0" w:line="192" w:lineRule="exact"/>
        <w:rPr>
          <w:sz w:val="20"/>
          <w:szCs w:val="20"/>
          <w:color w:val="auto"/>
        </w:rPr>
      </w:pPr>
    </w:p>
    <w:p>
      <w:pPr>
        <w:jc w:val="both"/>
        <w:ind w:firstLine="332"/>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such extended transition periods.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status as an “emerging growth company” under the JOBS Act may make it more difficult to raise capital as and when we need it.</w:t>
      </w:r>
    </w:p>
    <w:p>
      <w:pPr>
        <w:spacing w:after="0" w:line="237" w:lineRule="exact"/>
        <w:rPr>
          <w:sz w:val="20"/>
          <w:szCs w:val="20"/>
          <w:color w:val="auto"/>
        </w:rPr>
      </w:pPr>
    </w:p>
    <w:p>
      <w:pPr>
        <w:jc w:val="both"/>
        <w:ind w:firstLine="357"/>
        <w:spacing w:after="0" w:line="275" w:lineRule="auto"/>
        <w:rPr>
          <w:sz w:val="20"/>
          <w:szCs w:val="20"/>
          <w:color w:val="auto"/>
        </w:rPr>
      </w:pPr>
      <w:r>
        <w:rPr>
          <w:rFonts w:ascii="Arial" w:cs="Arial" w:eastAsia="Arial" w:hAnsi="Arial"/>
          <w:sz w:val="17"/>
          <w:szCs w:val="17"/>
          <w:color w:val="auto"/>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140" w:firstLine="255"/>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440" w:firstLine="255"/>
        <w:spacing w:after="0" w:line="275" w:lineRule="auto"/>
        <w:rPr>
          <w:sz w:val="20"/>
          <w:szCs w:val="20"/>
          <w:color w:val="auto"/>
        </w:rPr>
      </w:pPr>
      <w:r>
        <w:rPr>
          <w:rFonts w:ascii="Arial" w:cs="Arial" w:eastAsia="Arial" w:hAnsi="Arial"/>
          <w:sz w:val="17"/>
          <w:szCs w:val="17"/>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170" w:lineRule="exact"/>
        <w:rPr>
          <w:sz w:val="20"/>
          <w:szCs w:val="20"/>
          <w:color w:val="auto"/>
        </w:rPr>
      </w:pPr>
    </w:p>
    <w:p>
      <w:pPr>
        <w:jc w:val="both"/>
        <w:ind w:firstLine="223"/>
        <w:spacing w:after="0" w:line="290"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Under the 1940 Act, a “diversified” investment company is required to invest at least 75% of the value of its total assets in cash and cash items, government securities, securities of other investment companies and other securities limited in respect of any one issuer to an amount not greater than 5% of the value of the total assets of such company and no more than 10% of the outstanding voting securities of such issuer. As a non-diversified investment company, we are not subject to this requirement. To the extent that we assume large positions in the securities of a small number of issuers, or within a particular industry,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or to a general downturn in the economy.</w:t>
      </w:r>
    </w:p>
    <w:p>
      <w:pPr>
        <w:spacing w:after="0" w:line="165" w:lineRule="exact"/>
        <w:rPr>
          <w:sz w:val="20"/>
          <w:szCs w:val="20"/>
          <w:color w:val="auto"/>
        </w:rPr>
      </w:pPr>
    </w:p>
    <w:p>
      <w:pPr>
        <w:jc w:val="both"/>
        <w:ind w:firstLine="282"/>
        <w:spacing w:after="0" w:line="259" w:lineRule="auto"/>
        <w:rPr>
          <w:sz w:val="20"/>
          <w:szCs w:val="20"/>
          <w:color w:val="auto"/>
        </w:rPr>
      </w:pPr>
      <w:r>
        <w:rPr>
          <w:rFonts w:ascii="Arial" w:cs="Arial" w:eastAsia="Arial" w:hAnsi="Arial"/>
          <w:sz w:val="18"/>
          <w:szCs w:val="18"/>
          <w:color w:val="auto"/>
        </w:rPr>
        <w:t>The Adviser will endeavor to build and manage a diversified portfolio of investments with representation in various industries and economic sectors, geographic regions and deal types which may include growth financings and recapitalizations. Despite the foregoing objectives, the Company may be concentrated in certain industries and/or economic sectors, geographic regions and/or deal types. The Company also may be more concentrated than other funds with similar diversification objectives.</w:t>
      </w:r>
    </w:p>
    <w:p>
      <w:pPr>
        <w:spacing w:after="0" w:line="187" w:lineRule="exact"/>
        <w:rPr>
          <w:sz w:val="20"/>
          <w:szCs w:val="20"/>
          <w:color w:val="auto"/>
        </w:rPr>
      </w:pPr>
    </w:p>
    <w:p>
      <w:pPr>
        <w:jc w:val="both"/>
        <w:ind w:right="20" w:firstLine="355"/>
        <w:spacing w:after="0" w:line="277" w:lineRule="auto"/>
        <w:rPr>
          <w:sz w:val="20"/>
          <w:szCs w:val="20"/>
          <w:color w:val="auto"/>
        </w:rPr>
      </w:pPr>
      <w:r>
        <w:rPr>
          <w:rFonts w:ascii="Arial" w:cs="Arial" w:eastAsia="Arial" w:hAnsi="Arial"/>
          <w:sz w:val="18"/>
          <w:szCs w:val="18"/>
          <w:color w:val="auto"/>
        </w:rPr>
        <w:t>However, we will be subject to the diversification requirements applicable to RICs underSubchapter M of the Code, which include single issuer concentration limits.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restricted from initiating transactions as a result of the receipt of material non-public information.</w:t>
      </w:r>
    </w:p>
    <w:p>
      <w:pPr>
        <w:spacing w:after="0" w:line="225" w:lineRule="exact"/>
        <w:rPr>
          <w:sz w:val="20"/>
          <w:szCs w:val="20"/>
          <w:color w:val="auto"/>
        </w:rPr>
      </w:pPr>
    </w:p>
    <w:p>
      <w:pPr>
        <w:jc w:val="both"/>
        <w:ind w:firstLine="415"/>
        <w:spacing w:after="0" w:line="257" w:lineRule="auto"/>
        <w:rPr>
          <w:sz w:val="20"/>
          <w:szCs w:val="20"/>
          <w:color w:val="auto"/>
        </w:rPr>
      </w:pPr>
      <w:r>
        <w:rPr>
          <w:rFonts w:ascii="Arial" w:cs="Arial" w:eastAsia="Arial" w:hAnsi="Arial"/>
          <w:sz w:val="18"/>
          <w:szCs w:val="18"/>
          <w:color w:val="auto"/>
        </w:rPr>
        <w:t>Sixth Street funds and investment platforms regularly obtain non-public information regarding various target companies and other investment opportunities. In general, Sixth Street imputes non-public information received by one investment team within Sixth Street to all other investment professionals. As Sixth Street and affiliated professionals may acquire confidential or material nonpublic information (“MNPI”), the Company and/or other Affiliated Funds may be restricted from initiating transactions in certain securities, including, as a result of the receipt of MNPI by another investment team or professional within Sixth Street.</w:t>
      </w:r>
    </w:p>
    <w:p>
      <w:pPr>
        <w:spacing w:after="0" w:line="188" w:lineRule="exact"/>
        <w:rPr>
          <w:sz w:val="20"/>
          <w:szCs w:val="20"/>
          <w:color w:val="auto"/>
        </w:rPr>
      </w:pPr>
    </w:p>
    <w:p>
      <w:pPr>
        <w:jc w:val="both"/>
        <w:ind w:firstLine="281"/>
        <w:spacing w:after="0" w:line="277" w:lineRule="auto"/>
        <w:rPr>
          <w:sz w:val="20"/>
          <w:szCs w:val="20"/>
          <w:color w:val="auto"/>
        </w:rPr>
      </w:pPr>
      <w:r>
        <w:rPr>
          <w:rFonts w:ascii="Arial" w:cs="Arial" w:eastAsia="Arial" w:hAnsi="Arial"/>
          <w:sz w:val="18"/>
          <w:szCs w:val="18"/>
          <w:color w:val="auto"/>
        </w:rPr>
        <w:t>Non-public information received by one investment team within Sixth Street is likely to restrict trading on a firm-wide basis. As a result, the Company may, in certain circumstances, decline to receive non-public information regarding a company.</w:t>
      </w:r>
    </w:p>
    <w:p>
      <w:pPr>
        <w:spacing w:after="0" w:line="170" w:lineRule="exact"/>
        <w:rPr>
          <w:sz w:val="20"/>
          <w:szCs w:val="20"/>
          <w:color w:val="auto"/>
        </w:rPr>
      </w:pPr>
    </w:p>
    <w:p>
      <w:pPr>
        <w:jc w:val="both"/>
        <w:ind w:firstLine="241"/>
        <w:spacing w:after="0" w:line="275" w:lineRule="auto"/>
        <w:rPr>
          <w:sz w:val="20"/>
          <w:szCs w:val="20"/>
          <w:color w:val="auto"/>
        </w:rPr>
      </w:pPr>
      <w:r>
        <w:rPr>
          <w:rFonts w:ascii="Arial" w:cs="Arial" w:eastAsia="Arial" w:hAnsi="Arial"/>
          <w:sz w:val="17"/>
          <w:szCs w:val="17"/>
          <w:color w:val="auto"/>
        </w:rPr>
        <w:t>Further, non-disclosure agreements associated with transactions (including transactions entered into by other Affiliated Funds) often contain contractual trading restrictions, including standstill and non-circumvent provisions, which could prevent the Company from acquiring or disposing of investments in an issuer, potentially for extended periods. Such agreements could also restrict the Company’s ability to share certain information with shareholders relevant to the Company or its portfolio investments. Separately, certain counterparties may disqualify the Company from transacting with such counterparties or their affiliates as a result of the activities of other businesses of Sixth Street and its affiliates.</w:t>
      </w:r>
    </w:p>
    <w:p>
      <w:pPr>
        <w:spacing w:after="0" w:line="176"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addition, during a transitional period, despite taking certain steps designed to facilitate physical and electronic separation, Sixth Street and TPG will continue to occupy certain shared physical premises and Sixth Street or its affiliates will utilize certain limited information technology services provided by TPG. As a result of these arrangements, and despite the implementation of a permanent information barrier between Sixth Street and TPG, there is a heightened risk that Sixth Street or TPG (or certain of their respective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ind w:right="140"/>
        <w:spacing w:after="0" w:line="286" w:lineRule="auto"/>
        <w:rPr>
          <w:sz w:val="20"/>
          <w:szCs w:val="20"/>
          <w:color w:val="auto"/>
        </w:rPr>
      </w:pPr>
      <w:r>
        <w:rPr>
          <w:rFonts w:ascii="Arial" w:cs="Arial" w:eastAsia="Arial" w:hAnsi="Arial"/>
          <w:sz w:val="17"/>
          <w:szCs w:val="17"/>
          <w:color w:val="auto"/>
        </w:rPr>
        <w:t>affiliates) may be imputed with non-public information received by the other. Although TPG is not affiliated with Sixth Street, many of the considerations described above apply with respect to the information barrier in place between Sixth Street and TPG, in particular that in certain circumstances the Company may face restrictions on its activities as a result of non-public or otherwise confidential information received from TPG.</w:t>
      </w:r>
    </w:p>
    <w:p>
      <w:pPr>
        <w:spacing w:after="0" w:line="27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76" w:lineRule="exact"/>
        <w:rPr>
          <w:sz w:val="20"/>
          <w:szCs w:val="20"/>
          <w:color w:val="auto"/>
        </w:rPr>
      </w:pPr>
    </w:p>
    <w:p>
      <w:pPr>
        <w:ind w:right="40" w:firstLine="255"/>
        <w:spacing w:after="0" w:line="268" w:lineRule="auto"/>
        <w:rPr>
          <w:sz w:val="20"/>
          <w:szCs w:val="20"/>
          <w:color w:val="auto"/>
        </w:rPr>
      </w:pPr>
      <w:r>
        <w:rPr>
          <w:rFonts w:ascii="Arial" w:cs="Arial" w:eastAsia="Arial" w:hAnsi="Arial"/>
          <w:sz w:val="17"/>
          <w:szCs w:val="17"/>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84"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92"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Additionally, investments of Sixth Street’s funds, including the Company, and other Sixth Street entities have involved and may in the future involve companies that have experienced cyber-events and that, given the rise of cybersecurity incidents, may become involved in future cyber events. Cybersecurity events also could affect other Sixth Street and/or affiliated entities. Such cyber security attacks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176" w:lineRule="exact"/>
        <w:rPr>
          <w:sz w:val="20"/>
          <w:szCs w:val="20"/>
          <w:color w:val="auto"/>
        </w:rPr>
      </w:pPr>
    </w:p>
    <w:p>
      <w:pPr>
        <w:ind w:right="80" w:firstLine="255"/>
        <w:spacing w:after="0" w:line="271" w:lineRule="auto"/>
        <w:rPr>
          <w:sz w:val="20"/>
          <w:szCs w:val="20"/>
          <w:color w:val="auto"/>
        </w:rPr>
      </w:pPr>
      <w:r>
        <w:rPr>
          <w:rFonts w:ascii="Arial" w:cs="Arial" w:eastAsia="Arial" w:hAnsi="Arial"/>
          <w:sz w:val="17"/>
          <w:szCs w:val="17"/>
          <w:color w:val="auto"/>
        </w:rPr>
        <w:t>A cybersecurity breach may cause the Company to lose proprietary information, suffer data corruption or expose information to misuse. Sensitive information which may be breached in the event of a cybersecurity threat includes, without limitation, information regarding the Company’s investment activities and shareholders. Cybersecurity breaches of Sixth Street’s and the Company’s third-party service providers or portfolio investments may also subject the Company to many of the same risks associated with direct cybersecurity breaches. If such events were to materialize, they could, among other things, (i) lead to losses of sensitive information or capabilities essential to Sixth Street’s, the Company’s, and/or the Company’s portfolio company’s operations, (ii) have a material adverse effect on Sixth Street’s, the Company’s and/or the portfolio company’s reputations, financial positions, results of operations or cash flows, (iii) lead to financial losses from remedial actions, loss of business or potential liability, or (iv) lead to the disclosure of Company shareholders’ personal information or other sensitive information.</w:t>
      </w:r>
    </w:p>
    <w:p>
      <w:pPr>
        <w:spacing w:after="0" w:line="178" w:lineRule="exact"/>
        <w:rPr>
          <w:sz w:val="20"/>
          <w:szCs w:val="20"/>
          <w:color w:val="auto"/>
        </w:rPr>
      </w:pPr>
    </w:p>
    <w:p>
      <w:pPr>
        <w:ind w:right="120" w:firstLine="255"/>
        <w:spacing w:after="0" w:line="257" w:lineRule="auto"/>
        <w:rPr>
          <w:sz w:val="20"/>
          <w:szCs w:val="20"/>
          <w:color w:val="auto"/>
        </w:rPr>
      </w:pPr>
      <w:r>
        <w:rPr>
          <w:rFonts w:ascii="Arial" w:cs="Arial" w:eastAsia="Arial" w:hAnsi="Arial"/>
          <w:sz w:val="18"/>
          <w:szCs w:val="18"/>
          <w:color w:val="auto"/>
        </w:rPr>
        <w:t>The failure of these systems and/or of disaster recovery plans for any reason could cause significant interruptions in Sixth Street’s, the Company’s and/or a portfolio company’s operations and result in a failure to maintain the security, confidentiality or privacy of sensitive data, including personal information of any shareholder (and, if applicable, its underlying investors or beneficial owners and/or control persons) or information relating to any portfolio company. Such a failure could result in reputational harm to Sixth Street, the Company and/or the affected portfolio investment, subject any such entity and its affiliates to legal claims and otherwise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right="580"/>
        <w:spacing w:after="0" w:line="277" w:lineRule="auto"/>
        <w:rPr>
          <w:sz w:val="20"/>
          <w:szCs w:val="20"/>
          <w:color w:val="auto"/>
        </w:rPr>
      </w:pPr>
      <w:r>
        <w:rPr>
          <w:rFonts w:ascii="Arial" w:cs="Arial" w:eastAsia="Arial" w:hAnsi="Arial"/>
          <w:sz w:val="18"/>
          <w:szCs w:val="18"/>
          <w:color w:val="auto"/>
        </w:rPr>
        <w:t>adversely affect its business and financial performance. Cybersecurity risks also require us to undertake ongoing preventative measures and to incur compliance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shareholder approval.</w:t>
      </w:r>
    </w:p>
    <w:p>
      <w:pPr>
        <w:spacing w:after="0" w:line="117"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shareholder approval. However, absent shareholder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Shares. Nevertheless, the effects may adversely affect our business and impact our ability to pay dividends.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including the Tax Cuts and Jobs Act may adversely affect our business.</w:t>
      </w:r>
    </w:p>
    <w:p>
      <w:pPr>
        <w:spacing w:after="0" w:line="333"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Recent changes to U.S. tax laws, including the Tax Cuts and Jobs Act enacted on December 22, 2017 (“Tax Reform”) and the Coronavirus Aid, Relief, and Economic Security Act enacted on March 27, 2020 (the “CARES Act”) and the Inflation Reduciton Act, enacted on August 16, 2022 (the "IRA")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In addition, the IRA introduced a corporate alternative minimum tax of 15% of the "adjusted financial statement income" of certain domestic corporations as well as 1% excise tax on the fair market value of stock repurchases by certain domestic corporations, effective for tax years beginning in 2023. Further changes could be made under the new Presidential administration in the United States. Such changes to the tax laws, including (i) changes to interest deductibility, utility of net operating losses and other provisions of Tax Reform, (ii) the corporate alternative minimum tax, excise tax on stock repurchases and other provisions of the IRA or (iii) or changes pursuant to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IRA and other changes in tax laws on the loan market and about the tax consequences of an investment in us.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Compliance with the SEC’s Regulation Best Interest may negatively impact our ability to raise capital, which would harm our ability to achieve our investment objectives.</w:t>
      </w:r>
    </w:p>
    <w:p>
      <w:pPr>
        <w:spacing w:after="0" w:line="278"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Broker-dealers must comply with Regulation Best Interest, which, among other requirements, enhances the prior standard of conduct for broker-dealers and natural persons who are associated persons of a broker-dealer when recommending to a retail customer any securities transaction or investment strategy involving securities to a retail customer. The impact of Regulation Best Interest on broker-dealers participating in our private offering of Common Shares cannot be determined at this time, but it may negatively impact whether broker-dealers and their associated persons recommend the offering to retail customers. If Regulation Best Interest reduces our ability to raise capital in the offering, it would harm our ability to create a diversified portfolio of investments and achieve our investment objectives and would result in our fixed operating costs representing a larger percentage of our gross income.</w:t>
      </w:r>
    </w:p>
    <w:p>
      <w:pPr>
        <w:spacing w:after="0" w:line="16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Our Declaration of Trust includes exclusive forum and jury trial waiver provisions that could limit a shareholder’s ability to bring a claim, make it more expensive or inconvenient for a shareholder to bring a claim, or, if such provisions are deemed inapplicable or unenforceable by a court, cause the Company to incur additional costs associated with such action.</w:t>
      </w:r>
    </w:p>
    <w:p>
      <w:pPr>
        <w:spacing w:after="0" w:line="292" w:lineRule="exact"/>
        <w:rPr>
          <w:sz w:val="20"/>
          <w:szCs w:val="20"/>
          <w:color w:val="auto"/>
        </w:rPr>
      </w:pPr>
    </w:p>
    <w:p>
      <w:pPr>
        <w:ind w:right="100" w:firstLine="255"/>
        <w:spacing w:after="0" w:line="271" w:lineRule="auto"/>
        <w:rPr>
          <w:sz w:val="20"/>
          <w:szCs w:val="20"/>
          <w:color w:val="auto"/>
        </w:rPr>
      </w:pPr>
      <w:r>
        <w:rPr>
          <w:rFonts w:ascii="Arial" w:cs="Arial" w:eastAsia="Arial" w:hAnsi="Arial"/>
          <w:sz w:val="17"/>
          <w:szCs w:val="17"/>
          <w:color w:val="auto"/>
        </w:rPr>
        <w:t>Our Declaration of Trust provides that, to the fullest extent permitted by law, unless we consent in writing to the selection of an alternative forum, the sole and exclusive forum for (i) any derivative action or proceeding brought on behalf of the Company, (ii) any action asserting a claim of breach of a duty owed by any trustee, officer or other agent of the Company to the Company or our shareholders, (iii) any action asserting a claim arising pursuant to any provision of Title 12 of the Delaware Code, Delaware statutory or common law, our Declaration of Trust, or (iv) any action asserting a claim governed by the internal affairs doctrine shall be the Court of Chancery of the State of Delaware or, if such court does not have subject matter jurisdiction thereof, any other court in the State of Delaware with subject matter jurisdiction. As a result, there is a risk that investors in the Company may find it inconvenient or expensive to bring a claim against us or our trustees, officers or other agents. However, these exclusive forum provisions do not apply to claims arising under the federal securities laws.</w:t>
      </w:r>
    </w:p>
    <w:p>
      <w:pPr>
        <w:spacing w:after="0" w:line="70" w:lineRule="exact"/>
        <w:rPr>
          <w:sz w:val="20"/>
          <w:szCs w:val="20"/>
          <w:color w:val="auto"/>
        </w:rPr>
      </w:pPr>
    </w:p>
    <w:p>
      <w:pPr>
        <w:ind w:right="20" w:firstLine="255"/>
        <w:spacing w:after="0" w:line="286" w:lineRule="auto"/>
        <w:rPr>
          <w:sz w:val="20"/>
          <w:szCs w:val="20"/>
          <w:color w:val="auto"/>
        </w:rPr>
      </w:pPr>
      <w:r>
        <w:rPr>
          <w:rFonts w:ascii="Arial" w:cs="Arial" w:eastAsia="Arial" w:hAnsi="Arial"/>
          <w:sz w:val="17"/>
          <w:szCs w:val="17"/>
          <w:color w:val="auto"/>
        </w:rPr>
        <w:t>In addition, our Declaration of Trust provides that no shareholder may maintain a derivative action on behalf of the Company unless holders of a certain percentage of the outstanding shares, as disclosed in our Declaration of Trust, join in the bringing of such action. These provisions of our Declaration of Trust may make it more difficult for shareholders to bring a derivative action than a company without such provisions.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80" w:firstLine="255"/>
        <w:spacing w:after="0" w:line="254" w:lineRule="auto"/>
        <w:rPr>
          <w:sz w:val="20"/>
          <w:szCs w:val="20"/>
          <w:color w:val="auto"/>
        </w:rPr>
      </w:pPr>
      <w:r>
        <w:rPr>
          <w:rFonts w:ascii="Arial" w:cs="Arial" w:eastAsia="Arial" w:hAnsi="Arial"/>
          <w:sz w:val="18"/>
          <w:szCs w:val="18"/>
          <w:color w:val="auto"/>
        </w:rPr>
        <w:t>Our Declaration of Trust also includes an irrevocable waiver of the right to trial by jury in all such claims, suits, actions and proceedings. Any person purchasing or otherwise acquiring any of our Common Shares shall be deemed to have notice of and to have consented to these provisions of our Declaration of Trust. These provisions may limit a shareholder’s ability to bring a claim in a judicial forum or in a manner that it finds favorable for disputes with the Company or the Company’s trustees or officers, which may discourage such lawsuits. Alternatively, if a court were to find the exclusive forum provision or the jury trial waiver provision to be inapplicable or unenforceable in an action, we may incur additional costs associated with resolving such action in other jurisdictions or in other manners, which could have a material adverse effect on our business, financial condition and results of operations.</w:t>
      </w:r>
    </w:p>
    <w:p>
      <w:pPr>
        <w:spacing w:after="0" w:line="87" w:lineRule="exact"/>
        <w:rPr>
          <w:sz w:val="20"/>
          <w:szCs w:val="20"/>
          <w:color w:val="auto"/>
        </w:rPr>
      </w:pPr>
    </w:p>
    <w:p>
      <w:pPr>
        <w:ind w:right="340" w:firstLine="255"/>
        <w:spacing w:after="0" w:line="277" w:lineRule="auto"/>
        <w:rPr>
          <w:sz w:val="20"/>
          <w:szCs w:val="20"/>
          <w:color w:val="auto"/>
        </w:rPr>
      </w:pPr>
      <w:r>
        <w:rPr>
          <w:rFonts w:ascii="Arial" w:cs="Arial" w:eastAsia="Arial" w:hAnsi="Arial"/>
          <w:sz w:val="18"/>
          <w:szCs w:val="18"/>
          <w:color w:val="auto"/>
        </w:rPr>
        <w:t>Notwithstanding any of the foregoing, neither we nor any of our investors are permitted to waive compliance with any provision of the U.S. federal securities laws and the rules and regulations promulgated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shareholder approval is required for certain mergers.</w:t>
      </w:r>
    </w:p>
    <w:p>
      <w:pPr>
        <w:spacing w:after="0" w:line="333"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Our Board of Trustees may undertake to approve mergers between us and certain other funds or vehicles. Subject to the requirements of the 1940 Act, such mergers will not require shareholder approval so investors will not be given an opportunity to vote on these matters unless such mergers are reasonably anticipated to result in a material dilution of the NAV per share of the Company. These mergers may involve funds managed by affiliates of the Adviser. The Board of Trustees may also convert the form and/or jurisdiction of organization, including to take advantage of laws that are more favorable to maintaining board control in the face of dissident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COVID-19 pandemic has materially and adversely affected, and is likely to continue to materially and adversely affect, our portfolio companies and the results of our operations, including our financial results.</w:t>
      </w:r>
    </w:p>
    <w:p>
      <w:pPr>
        <w:spacing w:after="0" w:line="157" w:lineRule="exact"/>
        <w:rPr>
          <w:sz w:val="20"/>
          <w:szCs w:val="20"/>
          <w:color w:val="auto"/>
        </w:rPr>
      </w:pPr>
    </w:p>
    <w:p>
      <w:pPr>
        <w:ind w:firstLine="200"/>
        <w:spacing w:after="0" w:line="269" w:lineRule="auto"/>
        <w:rPr>
          <w:sz w:val="20"/>
          <w:szCs w:val="20"/>
          <w:color w:val="auto"/>
        </w:rPr>
      </w:pPr>
      <w:r>
        <w:rPr>
          <w:rFonts w:ascii="Arial" w:cs="Arial" w:eastAsia="Arial" w:hAnsi="Arial"/>
          <w:sz w:val="17"/>
          <w:szCs w:val="17"/>
          <w:color w:val="auto"/>
        </w:rPr>
        <w:t>The COVID-19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With respect to the U.S. credit markets, and middle market loans and the businesses of our portfolio companies in particular, this outbreak has resulted in, and is likely to continue to result in significant disruption to the businesses of many middle-market loan borrowers including supply chains, demand and practical aspects of their operations, as well as in lay-offs of employees and liquidity issues. We cannot predict when, or if, the impacts of the COVID-19 pandemic may lessen, including whether new variants will emerge and how severe they will be. As a result, these conditions could result in (i) increased draws by some eligible borrowers on revolving lines of credit and/or (ii) increased requests by some borrowers for amendments and waivers of their credit agreements to avoid default, increased defaults by such borrowers and/or increased difficulty in obtaining refinancing at the maturity dates of their loans. This outbreak and its effects are having, and the effects of any future outbreaks could have, an adverse impact on our portfolio companies and us and on the markets and the economy in general, and that impact could be material.</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effects of the COVID-19 pandemic may heighten the other risk factors described in this Annual Report.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and Supply Chain Risk</w:t>
      </w:r>
    </w:p>
    <w:p>
      <w:pPr>
        <w:spacing w:after="0" w:line="200" w:lineRule="exact"/>
        <w:rPr>
          <w:sz w:val="20"/>
          <w:szCs w:val="20"/>
          <w:color w:val="auto"/>
        </w:rPr>
      </w:pPr>
    </w:p>
    <w:p>
      <w:pPr>
        <w:spacing w:after="0" w:line="241" w:lineRule="exact"/>
        <w:rPr>
          <w:sz w:val="20"/>
          <w:szCs w:val="20"/>
          <w:color w:val="auto"/>
        </w:rPr>
      </w:pPr>
    </w:p>
    <w:p>
      <w:pPr>
        <w:ind w:right="120" w:firstLine="255"/>
        <w:spacing w:after="0" w:line="275" w:lineRule="auto"/>
        <w:rPr>
          <w:sz w:val="20"/>
          <w:szCs w:val="20"/>
          <w:color w:val="auto"/>
        </w:rPr>
      </w:pPr>
      <w:r>
        <w:rPr>
          <w:rFonts w:ascii="Arial" w:cs="Arial" w:eastAsia="Arial" w:hAnsi="Arial"/>
          <w:sz w:val="17"/>
          <w:szCs w:val="17"/>
          <w:color w:val="auto"/>
        </w:rPr>
        <w:t>Inflation and rapid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Company's returns.</w:t>
      </w:r>
    </w:p>
    <w:p>
      <w:pPr>
        <w:spacing w:after="0" w:line="68" w:lineRule="exact"/>
        <w:rPr>
          <w:sz w:val="20"/>
          <w:szCs w:val="20"/>
          <w:color w:val="auto"/>
        </w:rPr>
      </w:pPr>
    </w:p>
    <w:p>
      <w:pPr>
        <w:ind w:right="40" w:firstLine="255"/>
        <w:spacing w:after="0" w:line="220" w:lineRule="exact"/>
        <w:rPr>
          <w:sz w:val="20"/>
          <w:szCs w:val="20"/>
          <w:color w:val="auto"/>
        </w:rPr>
      </w:pPr>
      <w:r>
        <w:rPr>
          <w:rFonts w:ascii="Arial" w:cs="Arial" w:eastAsia="Arial" w:hAnsi="Arial"/>
          <w:sz w:val="18"/>
          <w:szCs w:val="18"/>
          <w:color w:val="auto"/>
        </w:rPr>
        <w:t>Economic activity has continued to accelerate across sectors and regions. Nevertheless, due to global supply chain issues, a rise in energy prices and strong consumer demand as economies continue to reopen, inflation is showing signs of acceleration in the U.S. and globally. Inflation is likely to continue in the near to medium</w:t>
      </w:r>
      <w:r>
        <w:rPr>
          <w:rFonts w:ascii="MS PGothic" w:cs="MS PGothic" w:eastAsia="MS PGothic" w:hAnsi="MS PGothic"/>
          <w:sz w:val="18"/>
          <w:szCs w:val="18"/>
          <w:color w:val="auto"/>
        </w:rPr>
        <w:t>‐</w:t>
      </w:r>
      <w:r>
        <w:rPr>
          <w:rFonts w:ascii="Arial" w:cs="Arial" w:eastAsia="Arial" w:hAnsi="Arial"/>
          <w:sz w:val="18"/>
          <w:szCs w:val="18"/>
          <w:color w:val="auto"/>
        </w:rPr>
        <w:t>term, particularly in the U.S., with the possibility that monetary policy may tighten in response. Persistent inflationary pressures could affect our obligors’ profit margins.</w:t>
      </w:r>
    </w:p>
    <w:p>
      <w:pPr>
        <w:spacing w:after="0" w:line="96" w:lineRule="exact"/>
        <w:rPr>
          <w:sz w:val="20"/>
          <w:szCs w:val="20"/>
          <w:color w:val="auto"/>
        </w:rPr>
      </w:pPr>
    </w:p>
    <w:p>
      <w:pPr>
        <w:ind w:right="120" w:firstLine="255"/>
        <w:spacing w:after="0" w:line="257" w:lineRule="auto"/>
        <w:rPr>
          <w:sz w:val="20"/>
          <w:szCs w:val="20"/>
          <w:color w:val="auto"/>
        </w:rPr>
      </w:pPr>
      <w:r>
        <w:rPr>
          <w:rFonts w:ascii="Arial" w:cs="Arial" w:eastAsia="Arial" w:hAnsi="Arial"/>
          <w:sz w:val="18"/>
          <w:szCs w:val="18"/>
          <w:color w:val="auto"/>
        </w:rPr>
        <w:t>Additionally,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the Company's portfolio investments. For example, existing and any additional supply chain and other laws, regulations, or executive orders by either country that restrict or prohibit transactions or impose requirements or limitations on</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spacing w:after="0" w:line="275" w:lineRule="auto"/>
        <w:rPr>
          <w:sz w:val="20"/>
          <w:szCs w:val="20"/>
          <w:color w:val="auto"/>
        </w:rPr>
      </w:pPr>
      <w:r>
        <w:rPr>
          <w:rFonts w:ascii="Arial" w:cs="Arial" w:eastAsia="Arial" w:hAnsi="Arial"/>
          <w:sz w:val="17"/>
          <w:szCs w:val="17"/>
          <w:color w:val="auto"/>
        </w:rPr>
        <w:t>business could impair the ability of U.S.-based companies (in which the Company is likely to invest) to expand into markets in China and the ability of such companies’ to produce or obtain component parts necessary for production. Also,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Company and is portfolio investments.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disruption, volatility and uncertainty in the capital markets and in the economy generally.</w:t>
      </w:r>
    </w:p>
    <w:p>
      <w:pPr>
        <w:spacing w:after="0" w:line="225" w:lineRule="exact"/>
        <w:rPr>
          <w:sz w:val="20"/>
          <w:szCs w:val="20"/>
          <w:color w:val="auto"/>
        </w:rPr>
      </w:pPr>
    </w:p>
    <w:p>
      <w:pPr>
        <w:ind w:right="40" w:firstLine="255"/>
        <w:spacing w:after="0" w:line="270" w:lineRule="auto"/>
        <w:rPr>
          <w:sz w:val="20"/>
          <w:szCs w:val="20"/>
          <w:color w:val="auto"/>
        </w:rPr>
      </w:pPr>
      <w:r>
        <w:rPr>
          <w:rFonts w:ascii="Arial" w:cs="Arial" w:eastAsia="Arial" w:hAnsi="Arial"/>
          <w:sz w:val="17"/>
          <w:szCs w:val="17"/>
          <w:color w:val="auto"/>
        </w:rPr>
        <w:t>The U.S. capital markets have experienced extreme volatility and disruption following the spread of COVID-19 in the United States and globally. Some economists and major investment banks have expressed concern that the continued spread of the virus could lead to a world-wide economic downturn.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81"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current state of the economy and financial markets increases the likelihood of adverse effects on our financial position and results of operations.</w:t>
      </w:r>
    </w:p>
    <w:p>
      <w:pPr>
        <w:spacing w:after="0" w:line="152" w:lineRule="exact"/>
        <w:rPr>
          <w:sz w:val="20"/>
          <w:szCs w:val="20"/>
          <w:color w:val="auto"/>
        </w:rPr>
      </w:pPr>
    </w:p>
    <w:p>
      <w:pPr>
        <w:ind w:right="100" w:firstLine="255"/>
        <w:spacing w:after="0" w:line="289" w:lineRule="auto"/>
        <w:rPr>
          <w:sz w:val="20"/>
          <w:szCs w:val="20"/>
          <w:color w:val="auto"/>
        </w:rPr>
      </w:pPr>
      <w:r>
        <w:rPr>
          <w:rFonts w:ascii="Arial" w:cs="Arial" w:eastAsia="Arial" w:hAnsi="Arial"/>
          <w:sz w:val="16"/>
          <w:szCs w:val="16"/>
          <w:color w:val="auto"/>
        </w:rPr>
        <w:t>The U.S. and global capital markets experienced extreme volatility and disruption in recent years, leading to periods of recessionary conditions and depressed levels of consumer and commercial spending. For instance,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the transition of presidential power in the United States, has led to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207"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0" w:lineRule="exact"/>
        <w:rPr>
          <w:sz w:val="20"/>
          <w:szCs w:val="20"/>
          <w:color w:val="auto"/>
        </w:rPr>
      </w:pPr>
    </w:p>
    <w:p>
      <w:pPr>
        <w:ind w:left="520" w:hanging="257"/>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right="520" w:firstLine="255"/>
        <w:spacing w:after="0" w:line="277"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40"/>
        <w:spacing w:after="0" w:line="255" w:lineRule="auto"/>
        <w:rPr>
          <w:sz w:val="20"/>
          <w:szCs w:val="20"/>
          <w:color w:val="auto"/>
        </w:rPr>
      </w:pPr>
      <w:r>
        <w:rPr>
          <w:rFonts w:ascii="Arial" w:cs="Arial" w:eastAsia="Arial" w:hAnsi="Arial"/>
          <w:sz w:val="18"/>
          <w:szCs w:val="18"/>
          <w:color w:val="auto"/>
        </w:rPr>
        <w:t>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Shares.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92" w:lineRule="exact"/>
        <w:rPr>
          <w:sz w:val="20"/>
          <w:szCs w:val="20"/>
          <w:color w:val="auto"/>
        </w:rPr>
      </w:pPr>
    </w:p>
    <w:p>
      <w:pPr>
        <w:ind w:right="20" w:firstLine="255"/>
        <w:spacing w:after="0" w:line="269" w:lineRule="auto"/>
        <w:rPr>
          <w:sz w:val="20"/>
          <w:szCs w:val="20"/>
          <w:color w:val="auto"/>
        </w:rPr>
      </w:pPr>
      <w:r>
        <w:rPr>
          <w:rFonts w:ascii="Arial" w:cs="Arial" w:eastAsia="Arial" w:hAnsi="Arial"/>
          <w:sz w:val="17"/>
          <w:szCs w:val="17"/>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after raising the target range for the federal funds rate in 2017 and 2018, the Federal Reserve lowered the target rate three times in 2019 and two times in 2020. Following recent heightened inflation, the Federal Reserve raisee the target rate seven times in 2022, raising the fed funds rate by about three percentage points in a six month period. In 2023, it is possible that the Federal Reserve will raise the interest rates further.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182" w:lineRule="exact"/>
        <w:rPr>
          <w:sz w:val="20"/>
          <w:szCs w:val="20"/>
          <w:color w:val="auto"/>
        </w:rPr>
      </w:pPr>
    </w:p>
    <w:p>
      <w:pPr>
        <w:ind w:right="160" w:firstLine="255"/>
        <w:spacing w:after="0" w:line="270" w:lineRule="auto"/>
        <w:rPr>
          <w:sz w:val="20"/>
          <w:szCs w:val="20"/>
          <w:color w:val="auto"/>
        </w:rPr>
      </w:pPr>
      <w:r>
        <w:rPr>
          <w:rFonts w:ascii="Arial" w:cs="Arial" w:eastAsia="Arial" w:hAnsi="Arial"/>
          <w:sz w:val="17"/>
          <w:szCs w:val="17"/>
          <w:color w:val="auto"/>
        </w:rPr>
        <w:t>As a result of the 2022 U.S. election, the Democratic Party currently controls the executive branch of government, the Senate, while the Republican Party controls the House of Representatives. The divided U.S. Congress makes passage of legislation that could significantly affect the regulation of U.S. financial markets less likely. Despite the reduced likelihood of congressional action with respect to financial services, areas subject to potential change or amendment include the Wall Street Reform and Consumer Protection Act, or the Dodd-Frank Act, and the authority of the Federal Reserve and the Financial Stability Oversight Council. Additionally, under the divided control of the Congress, the likelihood of a failure to increase the debt ceiling and a default by the federal government is increased. The United States may also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77" w:lineRule="exact"/>
        <w:rPr>
          <w:sz w:val="20"/>
          <w:szCs w:val="20"/>
          <w:color w:val="auto"/>
        </w:rPr>
      </w:pPr>
    </w:p>
    <w:p>
      <w:pPr>
        <w:ind w:right="140" w:firstLine="255"/>
        <w:spacing w:after="0" w:line="273"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We primarily invest in first-lien debt, second-lien debt, mezzanine and unsecured debt or equity or other securities issued by upper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160" w:firstLine="255"/>
        <w:spacing w:after="0" w:line="270" w:lineRule="auto"/>
        <w:rPr>
          <w:sz w:val="20"/>
          <w:szCs w:val="20"/>
          <w:color w:val="auto"/>
        </w:rPr>
      </w:pPr>
      <w:r>
        <w:rPr>
          <w:rFonts w:ascii="Arial" w:cs="Arial" w:eastAsia="Arial" w:hAnsi="Arial"/>
          <w:sz w:val="17"/>
          <w:szCs w:val="17"/>
          <w:i w:val="1"/>
          <w:iCs w:val="1"/>
          <w:color w:val="auto"/>
        </w:rPr>
        <w:t>First-Lien Debt</w:t>
      </w:r>
      <w:r>
        <w:rPr>
          <w:rFonts w:ascii="Arial" w:cs="Arial" w:eastAsia="Arial" w:hAnsi="Arial"/>
          <w:sz w:val="17"/>
          <w:szCs w:val="17"/>
          <w:color w:val="auto"/>
        </w:rPr>
        <w:t>. When we make a first-lien loan, we generally take a security interest in the available assets of the portfolio company,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81" w:lineRule="exact"/>
        <w:rPr>
          <w:sz w:val="20"/>
          <w:szCs w:val="20"/>
          <w:color w:val="auto"/>
        </w:rPr>
      </w:pPr>
    </w:p>
    <w:p>
      <w:pPr>
        <w:jc w:val="both"/>
        <w:ind w:right="200" w:firstLine="255"/>
        <w:spacing w:after="0" w:line="263" w:lineRule="auto"/>
        <w:rPr>
          <w:sz w:val="20"/>
          <w:szCs w:val="20"/>
          <w:color w:val="auto"/>
        </w:rPr>
      </w:pPr>
      <w:r>
        <w:rPr>
          <w:rFonts w:ascii="Arial" w:cs="Arial" w:eastAsia="Arial" w:hAnsi="Arial"/>
          <w:sz w:val="18"/>
          <w:szCs w:val="18"/>
          <w:i w:val="1"/>
          <w:iCs w:val="1"/>
          <w:color w:val="auto"/>
        </w:rPr>
        <w:t>Second-Lien and Mezzanine Debt</w:t>
      </w:r>
      <w:r>
        <w:rPr>
          <w:rFonts w:ascii="Arial" w:cs="Arial" w:eastAsia="Arial" w:hAnsi="Arial"/>
          <w:sz w:val="18"/>
          <w:szCs w:val="18"/>
          <w:color w:val="auto"/>
        </w:rPr>
        <w:t>. 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4"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i w:val="1"/>
          <w:iCs w:val="1"/>
          <w:color w:val="auto"/>
        </w:rPr>
        <w:t xml:space="preserve">Equity and Other Investments. </w:t>
      </w:r>
      <w:r>
        <w:rPr>
          <w:rFonts w:ascii="Arial" w:cs="Arial" w:eastAsia="Arial" w:hAnsi="Arial"/>
          <w:sz w:val="18"/>
          <w:szCs w:val="18"/>
          <w:color w:val="auto"/>
        </w:rPr>
        <w:t>When we invest in first-lien debt, second-lien debt or mezzanine debt, we may acquire equity securities,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Preferred Shares. </w:t>
      </w:r>
      <w:r>
        <w:rPr>
          <w:rFonts w:ascii="Arial" w:cs="Arial" w:eastAsia="Arial" w:hAnsi="Arial"/>
          <w:sz w:val="18"/>
          <w:szCs w:val="18"/>
          <w:color w:val="auto"/>
        </w:rPr>
        <w:t>To the extent we invest in preferred securities, we may incur particular risks, including:</w:t>
      </w:r>
    </w:p>
    <w:p>
      <w:pPr>
        <w:spacing w:after="0" w:line="117" w:lineRule="exact"/>
        <w:rPr>
          <w:sz w:val="20"/>
          <w:szCs w:val="20"/>
          <w:color w:val="auto"/>
        </w:rPr>
      </w:pPr>
    </w:p>
    <w:p>
      <w:pPr>
        <w:ind w:left="520" w:right="300" w:hanging="257"/>
        <w:spacing w:after="0" w:line="26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75" w:lineRule="exact"/>
        <w:rPr>
          <w:rFonts w:ascii="Arial" w:cs="Arial" w:eastAsia="Arial" w:hAnsi="Arial"/>
          <w:sz w:val="18"/>
          <w:szCs w:val="18"/>
          <w:color w:val="auto"/>
        </w:rPr>
      </w:pPr>
    </w:p>
    <w:p>
      <w:pPr>
        <w:ind w:left="520" w:right="260" w:hanging="257"/>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62" w:lineRule="exact"/>
        <w:rPr>
          <w:rFonts w:ascii="Arial" w:cs="Arial" w:eastAsia="Arial" w:hAnsi="Arial"/>
          <w:sz w:val="18"/>
          <w:szCs w:val="18"/>
          <w:color w:val="auto"/>
        </w:rPr>
      </w:pPr>
    </w:p>
    <w:p>
      <w:pPr>
        <w:jc w:val="both"/>
        <w:ind w:left="520" w:right="60" w:hanging="257"/>
        <w:spacing w:after="0" w:line="26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trustees to the issuer’s board; generally, once all the arrearages have been paid, the preferred security holders no longer have voting rights.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17" w:lineRule="exact"/>
        <w:rPr>
          <w:sz w:val="20"/>
          <w:szCs w:val="20"/>
          <w:color w:val="auto"/>
        </w:rPr>
      </w:pPr>
    </w:p>
    <w:p>
      <w:pPr>
        <w:ind w:left="520" w:right="80" w:hanging="257"/>
        <w:spacing w:after="0" w:line="26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5" w:lineRule="exact"/>
        <w:rPr>
          <w:rFonts w:ascii="Arial" w:cs="Arial" w:eastAsia="Arial" w:hAnsi="Arial"/>
          <w:sz w:val="18"/>
          <w:szCs w:val="18"/>
          <w:color w:val="auto"/>
        </w:rPr>
      </w:pPr>
    </w:p>
    <w:p>
      <w:pPr>
        <w:ind w:left="520" w:hanging="257"/>
        <w:spacing w:after="0" w:line="34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15" w:lineRule="exact"/>
        <w:rPr>
          <w:rFonts w:ascii="Arial" w:cs="Arial" w:eastAsia="Arial" w:hAnsi="Arial"/>
          <w:sz w:val="16"/>
          <w:szCs w:val="16"/>
          <w:color w:val="auto"/>
        </w:rPr>
      </w:pPr>
    </w:p>
    <w:p>
      <w:pPr>
        <w:jc w:val="both"/>
        <w:ind w:left="520" w:right="40" w:hanging="257"/>
        <w:spacing w:after="0" w:line="26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5" w:lineRule="exact"/>
        <w:rPr>
          <w:rFonts w:ascii="Arial" w:cs="Arial" w:eastAsia="Arial" w:hAnsi="Arial"/>
          <w:sz w:val="18"/>
          <w:szCs w:val="18"/>
          <w:color w:val="auto"/>
        </w:rPr>
      </w:pPr>
    </w:p>
    <w:p>
      <w:pPr>
        <w:ind w:left="520" w:right="20" w:hanging="257"/>
        <w:spacing w:after="0" w:line="26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75" w:lineRule="exact"/>
        <w:rPr>
          <w:rFonts w:ascii="Arial" w:cs="Arial" w:eastAsia="Arial" w:hAnsi="Arial"/>
          <w:sz w:val="18"/>
          <w:szCs w:val="18"/>
          <w:color w:val="auto"/>
        </w:rPr>
      </w:pPr>
    </w:p>
    <w:p>
      <w:pPr>
        <w:ind w:left="520" w:right="160" w:hanging="257"/>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62" w:lineRule="exact"/>
        <w:rPr>
          <w:rFonts w:ascii="Arial" w:cs="Arial" w:eastAsia="Arial" w:hAnsi="Arial"/>
          <w:sz w:val="18"/>
          <w:szCs w:val="18"/>
          <w:color w:val="auto"/>
        </w:rPr>
      </w:pPr>
    </w:p>
    <w:p>
      <w:pPr>
        <w:ind w:left="520" w:right="840" w:hanging="257"/>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executive officers, trustees and Adviser may, in the ordinary course of business, be named as defendants in litigation arising from our investments in the portfolio companies;</w:t>
      </w:r>
    </w:p>
    <w:p>
      <w:pPr>
        <w:spacing w:after="0" w:line="62" w:lineRule="exact"/>
        <w:rPr>
          <w:rFonts w:ascii="Arial" w:cs="Arial" w:eastAsia="Arial" w:hAnsi="Arial"/>
          <w:sz w:val="18"/>
          <w:szCs w:val="18"/>
          <w:color w:val="auto"/>
        </w:rPr>
      </w:pPr>
    </w:p>
    <w:p>
      <w:pPr>
        <w:ind w:left="520" w:right="140" w:hanging="257"/>
        <w:spacing w:after="0" w:line="34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left="520" w:right="340" w:hanging="257"/>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386"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b w:val="1"/>
          <w:bCs w:val="1"/>
          <w:i w:val="1"/>
          <w:iCs w:val="1"/>
          <w:color w:val="auto"/>
        </w:rPr>
        <w:t>Subordinated Debt</w:t>
      </w:r>
      <w:r>
        <w:rPr>
          <w:rFonts w:ascii="Arial" w:cs="Arial" w:eastAsia="Arial" w:hAnsi="Arial"/>
          <w:sz w:val="18"/>
          <w:szCs w:val="18"/>
          <w:color w:val="auto"/>
        </w:rPr>
        <w:t>. Our subordinated debt investments will generally rank junior in priority of payment to senior debt and will generally be unsecured.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may resultin a heightened level of risk and volatility or a loss of principal, which could lead to the loss of the entire investment. These investments may involve additional risks that could adversely affect our investment returns. To the extent interest payments associated with such debt are deferred, such debt may be subject to greater fluctuations in valuations, and such debt could subject us and our shareholders to non-cash income. Because we will not receive any principal repayments prior to the maturity of some of our subordinated debt investments, such investments will be of greater risk than amortizing loans.</w:t>
      </w:r>
    </w:p>
    <w:p>
      <w:pPr>
        <w:spacing w:after="0" w:line="300" w:lineRule="exact"/>
        <w:rPr>
          <w:sz w:val="20"/>
          <w:szCs w:val="20"/>
          <w:color w:val="auto"/>
        </w:rPr>
      </w:pPr>
    </w:p>
    <w:p>
      <w:pPr>
        <w:jc w:val="both"/>
        <w:ind w:firstLine="252"/>
        <w:spacing w:after="0" w:line="254" w:lineRule="auto"/>
        <w:rPr>
          <w:sz w:val="20"/>
          <w:szCs w:val="20"/>
          <w:color w:val="auto"/>
        </w:rPr>
      </w:pPr>
      <w:r>
        <w:rPr>
          <w:rFonts w:ascii="Arial" w:cs="Arial" w:eastAsia="Arial" w:hAnsi="Arial"/>
          <w:sz w:val="18"/>
          <w:szCs w:val="18"/>
          <w:b w:val="1"/>
          <w:bCs w:val="1"/>
          <w:i w:val="1"/>
          <w:iCs w:val="1"/>
          <w:color w:val="auto"/>
        </w:rPr>
        <w:t>Non-U.S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Securities</w:t>
      </w:r>
      <w:r>
        <w:rPr>
          <w:rFonts w:ascii="Arial" w:cs="Arial" w:eastAsia="Arial" w:hAnsi="Arial"/>
          <w:sz w:val="18"/>
          <w:szCs w:val="18"/>
          <w:color w:val="auto"/>
        </w:rPr>
        <w:t>. We may invest in non-U.S. securities, which may include securities denominated in U.S. dollars or in non-U.S. currencies,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extent permitted by the 1940 Act. Because evidence of ownership of such securities usually is held outside the United States, we would be subject to additional risks if we invested in non-U.S. securities, which include possible adverse political and economic developments, seizure or nationalization of foreign deposits and adoption of governmental restrictions, which might adversely affect or restrict the payment of principal and interest on the non-U.S. securities to shareholders located outside the country of the issuer, whether from currency blockage or otherwise. Because non-U.S. securities may be purchased with and payable in foreign currencies, the value of these assets as measured in U.S. dollars may be affected unfavorably by changes in currency rates and exchange control regulations.</w:t>
      </w:r>
    </w:p>
    <w:p>
      <w:pPr>
        <w:spacing w:after="0" w:line="303"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b w:val="1"/>
          <w:bCs w:val="1"/>
          <w:i w:val="1"/>
          <w:iCs w:val="1"/>
          <w:color w:val="auto"/>
        </w:rPr>
        <w:t xml:space="preserve">Junior, Unsecured Securities. </w:t>
      </w:r>
      <w:r>
        <w:rPr>
          <w:rFonts w:ascii="Arial" w:cs="Arial" w:eastAsia="Arial" w:hAnsi="Arial"/>
          <w:sz w:val="18"/>
          <w:szCs w:val="18"/>
          <w:color w:val="auto"/>
        </w:rPr>
        <w:t>Our strategy may entail acquiring securities that are junior or unsecured instruments. While this approach can facilitate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obtaining control and then adding value through active management, it also means that certain of the Company’s investments may be unsecured. If a portfolio company becomes financially distressed or insolvent and does not successfully reorganize, we will have no assurance (compared to those distressed securities investors that acquire only fully collateralized positions) that we will recover any of the principal that we have invested. Similarly, investments in “last out” pieces of unitranche loans will be similar to second lien loans in that such investments will be junior in priority to the “first out” piece of the same unitranche loan with respect to payment of principal, interest and other amounts. Consequently, the fact that debt is secured does not guarantee that we will receive principal and interest payments according to the debt’s terms, or at all, or that we will be able to collect on the debt should it be forced to enforce its remedies.</w:t>
      </w:r>
    </w:p>
    <w:p>
      <w:pPr>
        <w:spacing w:after="0" w:line="84" w:lineRule="exact"/>
        <w:rPr>
          <w:sz w:val="20"/>
          <w:szCs w:val="20"/>
          <w:color w:val="auto"/>
        </w:rPr>
      </w:pPr>
    </w:p>
    <w:p>
      <w:pPr>
        <w:ind w:right="40" w:firstLine="255"/>
        <w:spacing w:after="0" w:line="271" w:lineRule="auto"/>
        <w:rPr>
          <w:sz w:val="20"/>
          <w:szCs w:val="20"/>
          <w:color w:val="auto"/>
        </w:rPr>
      </w:pPr>
      <w:r>
        <w:rPr>
          <w:rFonts w:ascii="Arial" w:cs="Arial" w:eastAsia="Arial" w:hAnsi="Arial"/>
          <w:sz w:val="17"/>
          <w:szCs w:val="17"/>
          <w:color w:val="auto"/>
        </w:rPr>
        <w:t>While such junior or unsecured investments may benefit from the same or similar financial and other covenants as those enjoyed by the indebtedness ranking more senior to such investments and may benefit from cross-default provisions and security over the issuer’s assets, some or all of such terms may not be part of particular investments. Moreover, our ability to influence an issuer’s affairs, especially during periods of financial distress or following insolvency, is likely to be substantially less than that of senior creditors. For example, under typical subordination terms, senior creditors are able to block the acceleration of the junior debt or the exercise by junior debt holders of other rights they may have as creditors. Accordingly, we may not be able to take steps to protect investments in a timely manner or at all, and there can be no assurance that our rate of return objectives or any particular investment will be achieved. In addition, the debt securities in which we will invest may not be protected by financial covenants or limitations upon additional indebtedness, may have limited liquidity and are not expected to be rated by a credit rating agency.</w:t>
      </w:r>
    </w:p>
    <w:p>
      <w:pPr>
        <w:spacing w:after="0" w:line="70" w:lineRule="exact"/>
        <w:rPr>
          <w:sz w:val="20"/>
          <w:szCs w:val="20"/>
          <w:color w:val="auto"/>
        </w:rPr>
      </w:pPr>
    </w:p>
    <w:p>
      <w:pPr>
        <w:ind w:right="380" w:firstLine="255"/>
        <w:spacing w:after="0" w:line="277" w:lineRule="auto"/>
        <w:rPr>
          <w:sz w:val="20"/>
          <w:szCs w:val="20"/>
          <w:color w:val="auto"/>
        </w:rPr>
      </w:pPr>
      <w:r>
        <w:rPr>
          <w:rFonts w:ascii="Arial" w:cs="Arial" w:eastAsia="Arial" w:hAnsi="Arial"/>
          <w:sz w:val="18"/>
          <w:szCs w:val="18"/>
          <w:color w:val="auto"/>
        </w:rPr>
        <w:t>Early repayments of our investments may have a material adverse effect on our investment objectives. In addition, depending on fluctuations of the equity markets and other factors, warrants and other equity investments may become worthless.</w:t>
      </w:r>
    </w:p>
    <w:p>
      <w:pPr>
        <w:spacing w:after="0" w:line="62"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There can be no assurance that attempts to provide downside protection through contractual or structural terms with respect to our investments will achieve their desired effect and potential investors should regard an investment in us as being speculative and having a high degree of risk. Furthermore, we have limited flexibility to negotiate terms when purchasing newly issued investments in connection with a syndication of mezzanine or certain other junior or subordinated investments or in the secondary market.</w:t>
      </w:r>
    </w:p>
    <w:p>
      <w:pPr>
        <w:spacing w:after="0" w:line="79" w:lineRule="exact"/>
        <w:rPr>
          <w:sz w:val="20"/>
          <w:szCs w:val="20"/>
          <w:color w:val="auto"/>
        </w:rPr>
      </w:pPr>
    </w:p>
    <w:p>
      <w:pPr>
        <w:ind w:right="260" w:firstLine="255"/>
        <w:spacing w:after="0" w:line="255" w:lineRule="auto"/>
        <w:rPr>
          <w:sz w:val="20"/>
          <w:szCs w:val="20"/>
          <w:color w:val="auto"/>
        </w:rPr>
      </w:pPr>
      <w:r>
        <w:rPr>
          <w:rFonts w:ascii="Arial" w:cs="Arial" w:eastAsia="Arial" w:hAnsi="Arial"/>
          <w:sz w:val="18"/>
          <w:szCs w:val="18"/>
          <w:b w:val="1"/>
          <w:bCs w:val="1"/>
          <w:i w:val="1"/>
          <w:iCs w:val="1"/>
          <w:color w:val="auto"/>
        </w:rPr>
        <w:t>“Covenant-lite” Obligations</w:t>
      </w:r>
      <w:r>
        <w:rPr>
          <w:rFonts w:ascii="Arial" w:cs="Arial" w:eastAsia="Arial" w:hAnsi="Arial"/>
          <w:sz w:val="18"/>
          <w:szCs w:val="18"/>
          <w:color w:val="auto"/>
        </w:rPr>
        <w:t>. We may invest in, or obtain exposure to, obligations that may be “covenant- lite,” which means such obligations lack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financial maintenance covenants.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required under a covenant-heavy loan agreement. Should a loan we hold begin to deteriorate in quality, our ability to negotiate with the borrower may be delayed under a covenant-lite loan compared to a loan with full maintenance covenants. This may in turn delay our ability to seek to recover its investment.</w:t>
      </w:r>
    </w:p>
    <w:p>
      <w:pPr>
        <w:spacing w:after="0" w:line="80" w:lineRule="exact"/>
        <w:rPr>
          <w:sz w:val="20"/>
          <w:szCs w:val="20"/>
          <w:color w:val="auto"/>
        </w:rPr>
      </w:pPr>
    </w:p>
    <w:p>
      <w:pPr>
        <w:ind w:firstLine="255"/>
        <w:spacing w:after="0" w:line="281" w:lineRule="auto"/>
        <w:rPr>
          <w:sz w:val="20"/>
          <w:szCs w:val="20"/>
          <w:color w:val="auto"/>
        </w:rPr>
      </w:pPr>
      <w:r>
        <w:rPr>
          <w:rFonts w:ascii="Arial" w:cs="Arial" w:eastAsia="Arial" w:hAnsi="Arial"/>
          <w:sz w:val="17"/>
          <w:szCs w:val="17"/>
          <w:b w:val="1"/>
          <w:bCs w:val="1"/>
          <w:i w:val="1"/>
          <w:iCs w:val="1"/>
          <w:color w:val="auto"/>
        </w:rPr>
        <w:t>Restructurings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in companies operating in workout or bankruptcy modes present additional legal risks, including fraudulent conveyance,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voidable preference and equitable subordination risks. The level of analytical sophistication, both financial and legal, necessary for successful investment in companies experiencing significant business and financial difficulties is unusually high. There is no assurance that we will correctly evaluate the value of the assets collateralizing our loans or the prospects for a successful reorganization or similar action.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480"/>
        <w:spacing w:after="0" w:line="277" w:lineRule="auto"/>
        <w:rPr>
          <w:sz w:val="20"/>
          <w:szCs w:val="20"/>
          <w:color w:val="auto"/>
        </w:rPr>
      </w:pPr>
      <w:r>
        <w:rPr>
          <w:rFonts w:ascii="Arial" w:cs="Arial" w:eastAsia="Arial" w:hAnsi="Arial"/>
          <w:sz w:val="18"/>
          <w:szCs w:val="18"/>
          <w:b w:val="1"/>
          <w:bCs w:val="1"/>
          <w:i w:val="1"/>
          <w:iCs w:val="1"/>
          <w:color w:val="auto"/>
        </w:rPr>
        <w:t>Investing in upper middle market companies involves a number of significant risks, any one of which could have a material adverse effect on our operating results.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Investments in upper middle market companies involve the same risks that apply generally to investments in larger, more established companies.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such investments have more pronounced risks in that upper middle market companies:</w:t>
      </w:r>
    </w:p>
    <w:p>
      <w:pPr>
        <w:spacing w:after="0" w:line="103" w:lineRule="exact"/>
        <w:rPr>
          <w:sz w:val="20"/>
          <w:szCs w:val="20"/>
          <w:color w:val="auto"/>
        </w:rPr>
      </w:pPr>
    </w:p>
    <w:p>
      <w:pPr>
        <w:ind w:left="1020" w:right="60" w:hanging="503"/>
        <w:spacing w:after="0" w:line="26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have limited financial resources and may be unable to meet their obligations under their debt securities that we hold, which may be accompanied by a deterioration in the value of any collateral and a reduction in the likelihood of us realizing on any guarantees we may have obtained in connection with our investment;</w:t>
      </w:r>
    </w:p>
    <w:p>
      <w:pPr>
        <w:spacing w:after="0" w:line="75" w:lineRule="exact"/>
        <w:rPr>
          <w:rFonts w:ascii="Arial" w:cs="Arial" w:eastAsia="Arial" w:hAnsi="Arial"/>
          <w:sz w:val="18"/>
          <w:szCs w:val="18"/>
          <w:color w:val="auto"/>
        </w:rPr>
      </w:pPr>
    </w:p>
    <w:p>
      <w:pPr>
        <w:ind w:left="1020" w:right="220" w:hanging="503"/>
        <w:spacing w:after="0" w:line="308"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have shorter operating histories, narrower product lines and smaller market shares than larger businesses, which tends to render them more vulnerable to competitors’ actions and changing market conditions, as well as general economic downturns;</w:t>
      </w:r>
    </w:p>
    <w:p>
      <w:pPr>
        <w:spacing w:after="0" w:line="38" w:lineRule="exact"/>
        <w:rPr>
          <w:rFonts w:ascii="Arial" w:cs="Arial" w:eastAsia="Arial" w:hAnsi="Arial"/>
          <w:sz w:val="17"/>
          <w:szCs w:val="17"/>
          <w:color w:val="auto"/>
        </w:rPr>
      </w:pPr>
    </w:p>
    <w:p>
      <w:pPr>
        <w:ind w:left="1020" w:right="260" w:hanging="503"/>
        <w:spacing w:after="0" w:line="342"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5" w:lineRule="exact"/>
        <w:rPr>
          <w:rFonts w:ascii="Arial" w:cs="Arial" w:eastAsia="Arial" w:hAnsi="Arial"/>
          <w:sz w:val="16"/>
          <w:szCs w:val="16"/>
          <w:color w:val="auto"/>
        </w:rPr>
      </w:pPr>
    </w:p>
    <w:p>
      <w:pPr>
        <w:ind w:left="1020" w:right="40" w:hanging="503"/>
        <w:spacing w:after="0" w:line="301"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Trusteesand members of the Adviser may, in the ordinary course of business, be named as defendants in litigation arising from our investments in the portfolio companies; and</w:t>
      </w:r>
    </w:p>
    <w:p>
      <w:pPr>
        <w:spacing w:after="0" w:line="49" w:lineRule="exact"/>
        <w:rPr>
          <w:rFonts w:ascii="Arial" w:cs="Arial" w:eastAsia="Arial" w:hAnsi="Arial"/>
          <w:sz w:val="16"/>
          <w:szCs w:val="16"/>
          <w:color w:val="auto"/>
        </w:rPr>
      </w:pPr>
    </w:p>
    <w:p>
      <w:pPr>
        <w:ind w:left="1020" w:right="68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have difficulty accessing the capital markets to meet future capital needs, which may limit their ability to grow or to repay their outstanding indebtedness upon maturity.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 investment strategy focused primarily on privately-held companies presents certain challenges, including, but not limited to, the lack of available information about these companies.</w:t>
      </w:r>
    </w:p>
    <w:p>
      <w:pPr>
        <w:spacing w:after="0" w:line="278" w:lineRule="exact"/>
        <w:rPr>
          <w:sz w:val="20"/>
          <w:szCs w:val="20"/>
          <w:color w:val="auto"/>
        </w:rPr>
      </w:pPr>
    </w:p>
    <w:p>
      <w:pPr>
        <w:ind w:right="20" w:firstLine="255"/>
        <w:spacing w:after="0" w:line="286" w:lineRule="auto"/>
        <w:rPr>
          <w:sz w:val="20"/>
          <w:szCs w:val="20"/>
          <w:color w:val="auto"/>
        </w:rPr>
      </w:pPr>
      <w:r>
        <w:rPr>
          <w:rFonts w:ascii="Arial" w:cs="Arial" w:eastAsia="Arial" w:hAnsi="Arial"/>
          <w:sz w:val="16"/>
          <w:szCs w:val="16"/>
          <w:color w:val="auto"/>
        </w:rPr>
        <w:t>We intend to invest primarily in privately-held companies. Investments in private companies may pose greater risks than investments in public companies. First, private companies have reduced access to the capital markets, resulting in diminished capital resources and the ability to withstand financial distress. Second, the depth and breadth of experience of management in private companies tends to be less than that at public companies, which makes such companies more likely to depend on the management talents and efforts of a smaller group of persons and/or persons with less depth and breadth of experience. Therefore, the decisions made by such management teams and/or the death, disability, resignation or termination of one or more of these persons could have a material adverse impact on our investments and, in turn, on us. Third, the investments themselves tend to be less liquid. As such, we may have difficulty exiting an investment promptly or at a desired price prior to maturity or outside of a normal repayment schedule. As a result, the relative lack of liquidity and the potential diminished capital resources of our target portfolio companies may affect our investment returns. Fourth, little public information generally exists about private companies. Further, these companies may not have third-party debt ratings or audited financial statements. We must therefore rely on the ability of the Adviser to obtain adequate information through due diligence to evaluate the creditworthiness and potential returns from investing in these companies. The Adviser would typically assess an investment in a portfolio company based on the Adviser’s estimate of the portfolio company’s earnings and enterprise value, among other factors, and these estimates may be based on limited information and may otherwise be inaccurate, causing the Adviser to make different investment decisions than it may have made with more complete information. These companies and their financial information will generally not be subject to the Sarbanes-Oxley Act and other rules that govern public companies. If we are unable to determine all material information about these companies, we may not make a fully informed investment decision, and we may lose money on our investments.</w:t>
      </w:r>
    </w:p>
    <w:p>
      <w:pPr>
        <w:spacing w:after="0" w:line="2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6" w:lineRule="exact"/>
        <w:rPr>
          <w:sz w:val="20"/>
          <w:szCs w:val="20"/>
          <w:color w:val="auto"/>
        </w:rPr>
      </w:pPr>
    </w:p>
    <w:p>
      <w:pPr>
        <w:ind w:right="60" w:firstLine="255"/>
        <w:spacing w:after="0" w:line="255" w:lineRule="auto"/>
        <w:rPr>
          <w:sz w:val="20"/>
          <w:szCs w:val="20"/>
          <w:color w:val="auto"/>
        </w:rPr>
      </w:pPr>
      <w:r>
        <w:rPr>
          <w:rFonts w:ascii="Arial" w:cs="Arial" w:eastAsia="Arial" w:hAnsi="Arial"/>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3" w:name="page44"/>
    <w:bookmarkEnd w:id="43"/>
    <w:p>
      <w:pPr>
        <w:ind w:right="440"/>
        <w:spacing w:after="0" w:line="277" w:lineRule="auto"/>
        <w:rPr>
          <w:sz w:val="20"/>
          <w:szCs w:val="20"/>
          <w:color w:val="auto"/>
        </w:rPr>
      </w:pPr>
      <w:r>
        <w:rPr>
          <w:rFonts w:ascii="Arial" w:cs="Arial" w:eastAsia="Arial" w:hAnsi="Arial"/>
          <w:sz w:val="18"/>
          <w:szCs w:val="18"/>
          <w:color w:val="auto"/>
        </w:rPr>
        <w:t>investments and the type of asset being valued. The participation of the Adviser in our valuation process could result in a conflict of interest, since the Management Fee is based on the value of our gross assets.</w:t>
      </w:r>
    </w:p>
    <w:p>
      <w:pPr>
        <w:spacing w:after="0" w:line="170"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92" w:lineRule="exact"/>
        <w:rPr>
          <w:sz w:val="20"/>
          <w:szCs w:val="20"/>
          <w:color w:val="auto"/>
        </w:rPr>
      </w:pPr>
    </w:p>
    <w:p>
      <w:pPr>
        <w:jc w:val="both"/>
        <w:ind w:right="100" w:firstLine="255"/>
        <w:spacing w:after="0" w:line="311" w:lineRule="auto"/>
        <w:rPr>
          <w:sz w:val="20"/>
          <w:szCs w:val="20"/>
          <w:color w:val="auto"/>
        </w:rPr>
      </w:pPr>
      <w:r>
        <w:rPr>
          <w:rFonts w:ascii="Arial" w:cs="Arial" w:eastAsia="Arial" w:hAnsi="Arial"/>
          <w:sz w:val="16"/>
          <w:szCs w:val="16"/>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jc w:val="both"/>
        <w:ind w:right="20" w:firstLine="255"/>
        <w:spacing w:after="0" w:line="275"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260" w:firstLine="255"/>
        <w:spacing w:after="0" w:line="311"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49" w:lineRule="exact"/>
        <w:rPr>
          <w:sz w:val="20"/>
          <w:szCs w:val="20"/>
          <w:color w:val="auto"/>
        </w:rPr>
      </w:pPr>
    </w:p>
    <w:p>
      <w:pPr>
        <w:ind w:firstLine="255"/>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pay dividends to our shareholders.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firstLine="255"/>
        <w:spacing w:after="0" w:line="255" w:lineRule="auto"/>
        <w:rPr>
          <w:sz w:val="20"/>
          <w:szCs w:val="20"/>
          <w:color w:val="auto"/>
        </w:rPr>
      </w:pPr>
      <w:r>
        <w:rPr>
          <w:rFonts w:ascii="Arial" w:cs="Arial" w:eastAsia="Arial" w:hAnsi="Arial"/>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shareholders.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92" w:lineRule="exact"/>
        <w:rPr>
          <w:sz w:val="20"/>
          <w:szCs w:val="20"/>
          <w:color w:val="auto"/>
        </w:rPr>
      </w:pPr>
    </w:p>
    <w:p>
      <w:pPr>
        <w:jc w:val="center"/>
        <w:ind w:right="340"/>
        <w:spacing w:after="0" w:line="342" w:lineRule="auto"/>
        <w:rPr>
          <w:sz w:val="20"/>
          <w:szCs w:val="20"/>
          <w:color w:val="auto"/>
        </w:rPr>
      </w:pPr>
      <w:r>
        <w:rPr>
          <w:rFonts w:ascii="Arial" w:cs="Arial" w:eastAsia="Arial" w:hAnsi="Arial"/>
          <w:sz w:val="16"/>
          <w:szCs w:val="16"/>
          <w:color w:val="auto"/>
        </w:rPr>
        <w:t>A CLO or other securitization vehicle, if created, also would likely be consolidated in our financial statements and consequently affect our asset coverage ratio, which may limit our ability to incur additional leverage. See “</w:t>
      </w:r>
      <w:r>
        <w:rPr>
          <w:rFonts w:ascii="Arial" w:cs="Arial" w:eastAsia="Arial" w:hAnsi="Arial"/>
          <w:sz w:val="16"/>
          <w:szCs w:val="16"/>
          <w:i w:val="1"/>
          <w:iCs w:val="1"/>
          <w:color w:val="auto"/>
        </w:rPr>
        <w:t>ITEM 1. BUSINESS – Regulation as a Business Development Company.”</w:t>
      </w:r>
    </w:p>
    <w:p>
      <w:pPr>
        <w:spacing w:after="0" w:line="23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80" w:firstLine="255"/>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The majority of our debt investments are based on floating rates, such as, SOFR, EURIBOR, the Federal Funds Rate or the Prime Rate. General interest rate fluctuations may have a substantial negative impact on our investments, the value of our Common Shares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92"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Shares less attractive if we are not able to increase our dividend rate, which could reduce the value of our Common Shares.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Arial" w:cs="Arial" w:eastAsia="Arial" w:hAnsi="Arial"/>
          <w:sz w:val="18"/>
          <w:szCs w:val="18"/>
          <w:i w:val="1"/>
          <w:iCs w:val="1"/>
          <w:color w:val="auto"/>
        </w:rPr>
        <w:t>—Risks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Economic Conditions—Uncertainty about financial stability could have a significant adverse effect on our business, results of operations and financial condition.</w:t>
      </w:r>
      <w:r>
        <w:rPr>
          <w:rFonts w:ascii="Arial" w:cs="Arial" w:eastAsia="Arial" w:hAnsi="Arial"/>
          <w:sz w:val="18"/>
          <w:szCs w:val="18"/>
          <w:color w:val="auto"/>
        </w:rPr>
        <w:t>”</w:t>
      </w:r>
    </w:p>
    <w:p>
      <w:pPr>
        <w:spacing w:after="0" w:line="192"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ind w:right="240" w:firstLine="255"/>
        <w:spacing w:after="0" w:line="263"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Arial" w:cs="Arial" w:eastAsia="Arial" w:hAnsi="Arial"/>
          <w:sz w:val="18"/>
          <w:szCs w:val="18"/>
          <w:i w:val="1"/>
          <w:iCs w:val="1"/>
          <w:color w:val="auto"/>
        </w:rPr>
        <w:t>—Risks Related to Our Portfolio Company Investments—We expose</w:t>
      </w:r>
      <w:r>
        <w:rPr>
          <w:rFonts w:ascii="Arial" w:cs="Arial" w:eastAsia="Arial" w:hAnsi="Arial"/>
          <w:sz w:val="18"/>
          <w:szCs w:val="18"/>
          <w:color w:val="auto"/>
        </w:rPr>
        <w:t xml:space="preserve"> </w:t>
      </w:r>
      <w:r>
        <w:rPr>
          <w:rFonts w:ascii="Arial" w:cs="Arial" w:eastAsia="Arial" w:hAnsi="Arial"/>
          <w:sz w:val="18"/>
          <w:szCs w:val="18"/>
          <w:i w:val="1"/>
          <w:iCs w:val="1"/>
          <w:color w:val="auto"/>
        </w:rPr>
        <w:t>ourselves to risks when we engage in hedging transactions.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280"/>
        <w:spacing w:after="0" w:line="277" w:lineRule="auto"/>
        <w:rPr>
          <w:sz w:val="20"/>
          <w:szCs w:val="20"/>
          <w:color w:val="auto"/>
        </w:rPr>
      </w:pPr>
      <w:r>
        <w:rPr>
          <w:rFonts w:ascii="Arial" w:cs="Arial" w:eastAsia="Arial" w:hAnsi="Arial"/>
          <w:sz w:val="18"/>
          <w:szCs w:val="18"/>
          <w:color w:val="auto"/>
        </w:rPr>
        <w:t>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By originating loans to companies that are experiencing significant financial or business difficulties, we may be exposed to distressed lending risks.</w:t>
      </w:r>
    </w:p>
    <w:p>
      <w:pPr>
        <w:spacing w:after="0" w:line="152" w:lineRule="exact"/>
        <w:rPr>
          <w:sz w:val="20"/>
          <w:szCs w:val="20"/>
          <w:color w:val="auto"/>
        </w:rPr>
      </w:pPr>
    </w:p>
    <w:p>
      <w:pPr>
        <w:ind w:right="140" w:firstLine="255"/>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portfolio companies in some cases may incur debt or issue equity securities that rank equally with, or senior to, our investments in those companies.</w:t>
      </w:r>
    </w:p>
    <w:p>
      <w:pPr>
        <w:spacing w:after="0" w:line="62" w:lineRule="exact"/>
        <w:rPr>
          <w:sz w:val="20"/>
          <w:szCs w:val="20"/>
          <w:color w:val="auto"/>
        </w:rPr>
      </w:pPr>
    </w:p>
    <w:p>
      <w:pPr>
        <w:ind w:right="140" w:firstLine="255"/>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1"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60" w:firstLine="255"/>
        <w:spacing w:after="0" w:line="273"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78"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300" w:firstLine="255"/>
        <w:spacing w:after="0" w:line="259" w:lineRule="auto"/>
        <w:rPr>
          <w:sz w:val="20"/>
          <w:szCs w:val="20"/>
          <w:color w:val="auto"/>
        </w:rPr>
      </w:pPr>
      <w:r>
        <w:rPr>
          <w:rFonts w:ascii="Arial" w:cs="Arial" w:eastAsia="Arial" w:hAnsi="Arial"/>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40" w:lineRule="exact"/>
        <w:rPr>
          <w:sz w:val="20"/>
          <w:szCs w:val="20"/>
          <w:color w:val="auto"/>
        </w:rPr>
      </w:pPr>
    </w:p>
    <w:p>
      <w:pPr>
        <w:ind w:left="520" w:hanging="257"/>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4" w:lineRule="exact"/>
        <w:rPr>
          <w:sz w:val="20"/>
          <w:szCs w:val="20"/>
          <w:color w:val="auto"/>
        </w:rPr>
      </w:pPr>
    </w:p>
    <w:p>
      <w:pPr>
        <w:ind w:right="20" w:firstLine="255"/>
        <w:spacing w:after="0" w:line="301"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or strategic investments that we pursue are subject to risks and uncertainties.</w:t>
      </w:r>
    </w:p>
    <w:p>
      <w:pPr>
        <w:spacing w:after="0" w:line="117"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8"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95"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60" w:firstLine="255"/>
        <w:spacing w:after="0" w:line="273" w:lineRule="auto"/>
        <w:rPr>
          <w:sz w:val="20"/>
          <w:szCs w:val="20"/>
          <w:color w:val="auto"/>
        </w:rPr>
      </w:pPr>
      <w:r>
        <w:rPr>
          <w:rFonts w:ascii="Arial" w:cs="Arial" w:eastAsia="Arial" w:hAnsi="Arial"/>
          <w:sz w:val="17"/>
          <w:szCs w:val="17"/>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as well as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right="20"/>
        <w:spacing w:after="0" w:line="342" w:lineRule="auto"/>
        <w:rPr>
          <w:sz w:val="20"/>
          <w:szCs w:val="20"/>
          <w:color w:val="auto"/>
        </w:rPr>
      </w:pPr>
      <w:r>
        <w:rPr>
          <w:rFonts w:ascii="Arial" w:cs="Arial" w:eastAsia="Arial" w:hAnsi="Arial"/>
          <w:sz w:val="16"/>
          <w:szCs w:val="16"/>
          <w:color w:val="auto"/>
        </w:rPr>
        <w:t>Russia's invasion of Ukraine, among other current events, could also have negative impacts on the the economies of countries in Europe and elsewhere. In addition, interest income derived from loans to foreign companies is not eligible to be distributed to our non-U.S. shareholders free from withholding taxes.</w:t>
      </w:r>
    </w:p>
    <w:p>
      <w:pPr>
        <w:spacing w:after="0" w:line="124"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76" w:lineRule="exact"/>
        <w:rPr>
          <w:sz w:val="20"/>
          <w:szCs w:val="20"/>
          <w:color w:val="auto"/>
        </w:rPr>
      </w:pPr>
    </w:p>
    <w:p>
      <w:pPr>
        <w:ind w:right="260" w:firstLine="255"/>
        <w:spacing w:after="0" w:line="273" w:lineRule="auto"/>
        <w:rPr>
          <w:sz w:val="20"/>
          <w:szCs w:val="20"/>
          <w:color w:val="auto"/>
        </w:rPr>
      </w:pPr>
      <w:r>
        <w:rPr>
          <w:rFonts w:ascii="Arial" w:cs="Arial" w:eastAsia="Arial" w:hAnsi="Arial"/>
          <w:sz w:val="17"/>
          <w:szCs w:val="17"/>
          <w:color w:val="auto"/>
        </w:rPr>
        <w:t>We also have the ability to borrow in certain foreign currencies under the second amended and restated senior secured revolving credit agreement, as amended, with Wells Fargo Bank, National Association, as administrative agent, and certain lenders, which we refer to as the Subscription Facility (as defined below).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Subscription Facility, we may seek to utilize interest rate derivatives to hedge our exposure to changes in the associated rate.</w:t>
      </w:r>
    </w:p>
    <w:p>
      <w:pPr>
        <w:spacing w:after="0" w:line="178" w:lineRule="exact"/>
        <w:rPr>
          <w:sz w:val="20"/>
          <w:szCs w:val="20"/>
          <w:color w:val="auto"/>
        </w:rPr>
      </w:pPr>
    </w:p>
    <w:p>
      <w:pPr>
        <w:ind w:right="240" w:firstLine="255"/>
        <w:spacing w:after="0" w:line="275"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76" w:lineRule="exact"/>
        <w:rPr>
          <w:sz w:val="20"/>
          <w:szCs w:val="20"/>
          <w:color w:val="auto"/>
        </w:rPr>
      </w:pPr>
    </w:p>
    <w:p>
      <w:pPr>
        <w:ind w:right="180" w:firstLine="255"/>
        <w:spacing w:after="0" w:line="254" w:lineRule="auto"/>
        <w:rPr>
          <w:sz w:val="20"/>
          <w:szCs w:val="20"/>
          <w:color w:val="auto"/>
        </w:rPr>
      </w:pPr>
      <w:r>
        <w:rPr>
          <w:rFonts w:ascii="Arial" w:cs="Arial" w:eastAsia="Arial" w:hAnsi="Arial"/>
          <w:sz w:val="18"/>
          <w:szCs w:val="18"/>
          <w:color w:val="auto"/>
        </w:rPr>
        <w:t>The success of our hedging strategy will depend on our ability to correctly identify appropriate exposures for hedging, such as currency exchange rate risk and interest rate risk related to specific portfolio companies. We may enter into fixed-to-floating interest rate swaps to continue to align the interest rates of our liabilities with our investment portfolio, which we expect to consist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firstLine="255"/>
        <w:spacing w:after="0" w:line="269"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shareholders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Arial" w:cs="Arial" w:eastAsia="Arial" w:hAnsi="Arial"/>
          <w:sz w:val="17"/>
          <w:szCs w:val="17"/>
          <w:i w:val="1"/>
          <w:iCs w:val="1"/>
          <w:color w:val="auto"/>
        </w:rPr>
        <w:t>—Risks Related to Our</w:t>
      </w:r>
      <w:r>
        <w:rPr>
          <w:rFonts w:ascii="Arial" w:cs="Arial" w:eastAsia="Arial" w:hAnsi="Arial"/>
          <w:sz w:val="17"/>
          <w:szCs w:val="17"/>
          <w:color w:val="auto"/>
        </w:rPr>
        <w:t xml:space="preserve"> </w:t>
      </w:r>
      <w:r>
        <w:rPr>
          <w:rFonts w:ascii="Arial" w:cs="Arial" w:eastAsia="Arial" w:hAnsi="Arial"/>
          <w:sz w:val="17"/>
          <w:szCs w:val="17"/>
          <w:i w:val="1"/>
          <w:iCs w:val="1"/>
          <w:color w:val="auto"/>
        </w:rPr>
        <w:t>Portfolio Company Investments—The new market structure applicable to derivatives imposed by the Dodd-Frank Act may affect our ability to use over-the-counter (“OTC”) derivatives for hedging purposes</w:t>
      </w:r>
      <w:r>
        <w:rPr>
          <w:rFonts w:ascii="Arial" w:cs="Arial" w:eastAsia="Arial" w:hAnsi="Arial"/>
          <w:sz w:val="17"/>
          <w:szCs w:val="17"/>
          <w:color w:val="auto"/>
        </w:rPr>
        <w:t>.” See also “</w:t>
      </w:r>
      <w:r>
        <w:rPr>
          <w:rFonts w:ascii="Arial" w:cs="Arial" w:eastAsia="Arial" w:hAnsi="Arial"/>
          <w:sz w:val="17"/>
          <w:szCs w:val="17"/>
          <w:i w:val="1"/>
          <w:iCs w:val="1"/>
          <w:color w:val="auto"/>
        </w:rPr>
        <w:t>—Risks Related to Our Portfolio Company Investments—We are exposed to risks associated with changes in interest rates</w:t>
      </w:r>
      <w:r>
        <w:rPr>
          <w:rFonts w:ascii="Arial" w:cs="Arial" w:eastAsia="Arial" w:hAnsi="Arial"/>
          <w:sz w:val="17"/>
          <w:szCs w:val="17"/>
          <w:color w:val="auto"/>
        </w:rPr>
        <w:t>” and “</w:t>
      </w:r>
      <w:r>
        <w:rPr>
          <w:rFonts w:ascii="Arial" w:cs="Arial" w:eastAsia="Arial" w:hAnsi="Arial"/>
          <w:sz w:val="17"/>
          <w:szCs w:val="17"/>
          <w:i w:val="1"/>
          <w:iCs w:val="1"/>
          <w:color w:val="auto"/>
        </w:rPr>
        <w:t>ITEM 7. MANAGEMENT’S DISCUSSION AND ANALYSIS OF FINANCIAL CONDITION AND RESULTS OF OPERATIONS—Results of Operations—Hedging</w:t>
      </w:r>
      <w:r>
        <w:rPr>
          <w:rFonts w:ascii="Arial" w:cs="Arial" w:eastAsia="Arial" w:hAnsi="Arial"/>
          <w:sz w:val="17"/>
          <w:szCs w:val="17"/>
          <w:color w:val="auto"/>
        </w:rPr>
        <w:t>.”</w:t>
      </w:r>
    </w:p>
    <w:p>
      <w:pPr>
        <w:spacing w:after="0" w:line="185"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Finally, the SEC has recently adopted Rule 18f-4, which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new market structure applicable to derivatives imposed by the Dodd-Frank Act may affect our ability to use over-the-counter (“OTC”) derivatives for hedging purposes.</w:t>
      </w:r>
    </w:p>
    <w:p>
      <w:pPr>
        <w:spacing w:after="0" w:line="62" w:lineRule="exact"/>
        <w:rPr>
          <w:sz w:val="20"/>
          <w:szCs w:val="20"/>
          <w:color w:val="auto"/>
        </w:rPr>
      </w:pPr>
    </w:p>
    <w:p>
      <w:pPr>
        <w:jc w:val="both"/>
        <w:ind w:right="100" w:firstLine="255"/>
        <w:spacing w:after="0" w:line="311" w:lineRule="auto"/>
        <w:rPr>
          <w:sz w:val="20"/>
          <w:szCs w:val="20"/>
          <w:color w:val="auto"/>
        </w:rPr>
      </w:pPr>
      <w:r>
        <w:rPr>
          <w:rFonts w:ascii="Arial" w:cs="Arial" w:eastAsia="Arial" w:hAnsi="Arial"/>
          <w:sz w:val="16"/>
          <w:szCs w:val="16"/>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89" w:lineRule="exact"/>
        <w:rPr>
          <w:sz w:val="20"/>
          <w:szCs w:val="20"/>
          <w:color w:val="auto"/>
        </w:rPr>
      </w:pPr>
    </w:p>
    <w:p>
      <w:pPr>
        <w:ind w:firstLine="255"/>
        <w:spacing w:after="0" w:line="288" w:lineRule="auto"/>
        <w:rPr>
          <w:sz w:val="20"/>
          <w:szCs w:val="20"/>
          <w:color w:val="auto"/>
        </w:rPr>
      </w:pPr>
      <w:r>
        <w:rPr>
          <w:rFonts w:ascii="Arial" w:cs="Arial" w:eastAsia="Arial" w:hAnsi="Arial"/>
          <w:sz w:val="16"/>
          <w:szCs w:val="16"/>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68"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-767080</wp:posOffset>
            </wp:positionV>
            <wp:extent cx="285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right="520" w:firstLine="255"/>
        <w:spacing w:after="0" w:line="342" w:lineRule="auto"/>
        <w:rPr>
          <w:sz w:val="20"/>
          <w:szCs w:val="20"/>
          <w:color w:val="auto"/>
        </w:rPr>
      </w:pPr>
      <w:r>
        <w:rPr>
          <w:rFonts w:ascii="Arial" w:cs="Arial" w:eastAsia="Arial" w:hAnsi="Arial"/>
          <w:sz w:val="16"/>
          <w:szCs w:val="16"/>
          <w:color w:val="auto"/>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16" w:lineRule="exact"/>
        <w:rPr>
          <w:sz w:val="20"/>
          <w:szCs w:val="20"/>
          <w:color w:val="auto"/>
        </w:rPr>
      </w:pPr>
    </w:p>
    <w:p>
      <w:pPr>
        <w:ind w:left="520" w:hanging="257"/>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left="520" w:hanging="257"/>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firstLine="255"/>
        <w:spacing w:after="0" w:line="279" w:lineRule="auto"/>
        <w:rPr>
          <w:sz w:val="20"/>
          <w:szCs w:val="20"/>
          <w:color w:val="auto"/>
        </w:rPr>
      </w:pPr>
      <w:r>
        <w:rPr>
          <w:rFonts w:ascii="Arial" w:cs="Arial" w:eastAsia="Arial" w:hAnsi="Arial"/>
          <w:sz w:val="17"/>
          <w:szCs w:val="17"/>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80" w:firstLine="255"/>
        <w:spacing w:after="0" w:line="288"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shareholders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shareholders. These and other issues will be considered by us, to the extent determined necessary, so that we aim to minimize the level of any U.S. federal income or excise tax that we would otherwise incur. See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as a Business Development Company</w:t>
      </w:r>
      <w:r>
        <w:rPr>
          <w:rFonts w:ascii="Arial" w:cs="Arial" w:eastAsia="Arial" w:hAnsi="Arial"/>
          <w:sz w:val="16"/>
          <w:szCs w:val="16"/>
          <w:color w:val="auto"/>
        </w:rPr>
        <w:t>—</w:t>
      </w:r>
      <w:r>
        <w:rPr>
          <w:rFonts w:ascii="Arial" w:cs="Arial" w:eastAsia="Arial" w:hAnsi="Arial"/>
          <w:sz w:val="16"/>
          <w:szCs w:val="16"/>
          <w:i w:val="1"/>
          <w:iCs w:val="1"/>
          <w:color w:val="auto"/>
        </w:rPr>
        <w:t>Regulated Investment Company Classification</w:t>
      </w:r>
      <w:r>
        <w:rPr>
          <w:rFonts w:ascii="Arial" w:cs="Arial" w:eastAsia="Arial" w:hAnsi="Arial"/>
          <w:sz w:val="16"/>
          <w:szCs w:val="16"/>
          <w:color w:val="auto"/>
        </w:rPr>
        <w:t>” for more information.</w:t>
      </w:r>
    </w:p>
    <w:p>
      <w:pPr>
        <w:spacing w:after="0" w:line="276"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41" w:lineRule="exact"/>
        <w:rPr>
          <w:sz w:val="20"/>
          <w:szCs w:val="20"/>
          <w:color w:val="auto"/>
        </w:rPr>
      </w:pPr>
    </w:p>
    <w:p>
      <w:pPr>
        <w:ind w:firstLine="255"/>
        <w:spacing w:after="0" w:line="290" w:lineRule="auto"/>
        <w:rPr>
          <w:sz w:val="20"/>
          <w:szCs w:val="20"/>
          <w:color w:val="auto"/>
        </w:rPr>
      </w:pPr>
      <w:r>
        <w:rPr>
          <w:rFonts w:ascii="Arial" w:cs="Arial" w:eastAsia="Arial" w:hAnsi="Arial"/>
          <w:sz w:val="16"/>
          <w:szCs w:val="16"/>
          <w:color w:val="auto"/>
        </w:rPr>
        <w:t>We expect to be treated as a “publicly offered regulated investment company” as a result of shares of our Common Shares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shareholder that is an individual, trust or estate will be treated as having received a dividend from us in the amount of such U.S. shareholder’s allocable share of the Management Fees and Incentive Fees paid to our Adviser and certain of our other expenses for the calendar year, and these fees and expenses will be treated as miscellaneous itemized deductions of such U.S. shareholder. Miscellaneous itemized deductions generally are not deductible by individuals, trusts or estates for taxable years beginning after December 31, 2017 and before January 1, 2026.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interest.</w:t>
      </w:r>
    </w:p>
    <w:p>
      <w:pPr>
        <w:spacing w:after="0" w:line="117" w:lineRule="exact"/>
        <w:rPr>
          <w:sz w:val="20"/>
          <w:szCs w:val="20"/>
          <w:color w:val="auto"/>
        </w:rPr>
      </w:pPr>
    </w:p>
    <w:p>
      <w:pPr>
        <w:jc w:val="both"/>
        <w:ind w:right="360" w:firstLine="255"/>
        <w:spacing w:after="0" w:line="263"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4" w:lineRule="exact"/>
        <w:rPr>
          <w:sz w:val="20"/>
          <w:szCs w:val="20"/>
          <w:color w:val="auto"/>
        </w:rPr>
      </w:pPr>
    </w:p>
    <w:p>
      <w:pPr>
        <w:ind w:right="460" w:firstLine="255"/>
        <w:spacing w:after="0" w:line="286" w:lineRule="auto"/>
        <w:rPr>
          <w:sz w:val="20"/>
          <w:szCs w:val="20"/>
          <w:color w:val="auto"/>
        </w:rPr>
      </w:pPr>
      <w:r>
        <w:rPr>
          <w:rFonts w:ascii="Arial" w:cs="Arial" w:eastAsia="Arial" w:hAnsi="Arial"/>
          <w:sz w:val="17"/>
          <w:szCs w:val="17"/>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5" w:lineRule="exact"/>
        <w:rPr>
          <w:sz w:val="20"/>
          <w:szCs w:val="20"/>
          <w:color w:val="auto"/>
        </w:rPr>
      </w:pPr>
    </w:p>
    <w:p>
      <w:pPr>
        <w:ind w:right="60" w:firstLine="255"/>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46"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For accounting purposes, any cash dividends to shareholders representing OID income are not treated as coming from paid-in capital, even if the cash to pay them comes from the proceeds of issuances of our Common Shares. As a result, despite the fact that a dividend representing OID income could be paid out of amounts invested by our shareholders, the 1940 Act does not require that shareholders be given notice of this fact by reporting it as a return of capital.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jc w:val="both"/>
        <w:ind w:right="180" w:firstLine="255"/>
        <w:spacing w:after="0" w:line="263" w:lineRule="auto"/>
        <w:rPr>
          <w:sz w:val="20"/>
          <w:szCs w:val="20"/>
          <w:color w:val="auto"/>
        </w:rPr>
      </w:pPr>
      <w:r>
        <w:rPr>
          <w:rFonts w:ascii="Arial" w:cs="Arial" w:eastAsia="Arial" w:hAnsi="Arial"/>
          <w:sz w:val="18"/>
          <w:szCs w:val="18"/>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Shares will have limited liquidity.</w:t>
      </w:r>
    </w:p>
    <w:p>
      <w:pPr>
        <w:spacing w:after="0" w:line="225"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Our Common Shares constitute illiquid investments for which there is not a secondary market and, unless we consummate an Exchange Listing, none is expected to develop. Investment in the Company is suitable only for sophisticated investors and requires the financial ability and willingness to accept the high risks and lack of liquidity inherent in an investment in the Company. A shareholder generally may not sell, assign or transfer its Common Shares without prior written consent of the Adviser, which the Adviser may grant or withhold in its sole discretion. Except in limited circumstances for legal or regulatory purposes, shareholders are not entitled to redeem their shares. Shareholders must be prepared to bear the economic risk of an investment in our Common Shares for an extended period of time.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Shares may not receive dividends or that our dividends may not grow over time.</w:t>
      </w:r>
    </w:p>
    <w:p>
      <w:pPr>
        <w:spacing w:after="0" w:line="117" w:lineRule="exact"/>
        <w:rPr>
          <w:sz w:val="20"/>
          <w:szCs w:val="20"/>
          <w:color w:val="auto"/>
        </w:rPr>
      </w:pPr>
    </w:p>
    <w:p>
      <w:pPr>
        <w:ind w:right="140" w:firstLine="255"/>
        <w:spacing w:after="0" w:line="272" w:lineRule="auto"/>
        <w:rPr>
          <w:sz w:val="20"/>
          <w:szCs w:val="20"/>
          <w:color w:val="auto"/>
        </w:rPr>
      </w:pPr>
      <w:r>
        <w:rPr>
          <w:rFonts w:ascii="Arial" w:cs="Arial" w:eastAsia="Arial" w:hAnsi="Arial"/>
          <w:sz w:val="17"/>
          <w:szCs w:val="17"/>
          <w:color w:val="auto"/>
        </w:rPr>
        <w:t>We intend to continue paying dividends on a quarterly basis to our shareholders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Our Portfolio Company Investments—There are certain risks associated with holding debt obligations that have original issue discount or payment-in-kind interest</w:t>
      </w:r>
      <w:r>
        <w:rPr>
          <w:rFonts w:ascii="Arial" w:cs="Arial" w:eastAsia="Arial" w:hAnsi="Arial"/>
          <w:sz w:val="18"/>
          <w:szCs w:val="18"/>
          <w:color w:val="auto"/>
        </w:rPr>
        <w:t>.”</w:t>
      </w:r>
    </w:p>
    <w:p>
      <w:pPr>
        <w:spacing w:after="0" w:line="188"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jc w:val="both"/>
        <w:ind w:right="80" w:firstLine="255"/>
        <w:spacing w:after="0" w:line="263"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shareholder’s tax basis in his or her shares and then as capital gain. Reducing a shareholder’s tax basis will have the effect of increasing his or her gain (or reducing loss) on a subsequent sale of shares.</w:t>
      </w:r>
    </w:p>
    <w:p>
      <w:pPr>
        <w:spacing w:after="0" w:line="184" w:lineRule="exact"/>
        <w:rPr>
          <w:sz w:val="20"/>
          <w:szCs w:val="20"/>
          <w:color w:val="auto"/>
        </w:rPr>
      </w:pPr>
    </w:p>
    <w:p>
      <w:pPr>
        <w:jc w:val="both"/>
        <w:ind w:right="40" w:firstLine="255"/>
        <w:spacing w:after="0" w:line="296"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61" w:lineRule="exact"/>
        <w:rPr>
          <w:sz w:val="20"/>
          <w:szCs w:val="20"/>
          <w:color w:val="auto"/>
        </w:rPr>
      </w:pPr>
    </w:p>
    <w:p>
      <w:pPr>
        <w:ind w:right="280" w:firstLine="255"/>
        <w:spacing w:after="0" w:line="286" w:lineRule="auto"/>
        <w:rPr>
          <w:sz w:val="20"/>
          <w:szCs w:val="20"/>
          <w:color w:val="auto"/>
        </w:rPr>
      </w:pPr>
      <w:r>
        <w:rPr>
          <w:rFonts w:ascii="Arial" w:cs="Arial" w:eastAsia="Arial" w:hAnsi="Arial"/>
          <w:sz w:val="17"/>
          <w:szCs w:val="17"/>
          <w:color w:val="auto"/>
        </w:rPr>
        <w:t>In addition, the upper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shareholders.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will be subject to Exchange Act filing requirements.</w:t>
      </w:r>
    </w:p>
    <w:p>
      <w:pPr>
        <w:spacing w:after="0" w:line="117"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Because our Common Shares will be registered under the Exchange Act, ownership information for any person who beneficially owns 5% or more of our Common Shares will have to be disclosed in a Schedule 13G or other filings with the SEC. Beneficial</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1" w:name="page52"/>
    <w:bookmarkEnd w:id="51"/>
    <w:p>
      <w:pPr>
        <w:ind w:right="60"/>
        <w:spacing w:after="0" w:line="255" w:lineRule="auto"/>
        <w:rPr>
          <w:sz w:val="20"/>
          <w:szCs w:val="20"/>
          <w:color w:val="auto"/>
        </w:rPr>
      </w:pPr>
      <w:r>
        <w:rPr>
          <w:rFonts w:ascii="Arial" w:cs="Arial" w:eastAsia="Arial" w:hAnsi="Arial"/>
          <w:sz w:val="18"/>
          <w:szCs w:val="18"/>
          <w:color w:val="auto"/>
        </w:rPr>
        <w:t>ownership for these purposes is determined in accordance with the rules of the SEC, and includes having voting or investment power over the securities. In some circumstances, our shareholders who choose to reinvest their dividends may see their percentage stake in the Company increased to more than 5%, thus triggering this filing requirement. Each shareholder is responsible for determining their filing obligations and preparing the filings. In addition, our shareholders who hold more than 10% of a class of our Common Shares may be subject to Section 16(b) of the Exchange Act, which recaptures for the benefit of the Company profits from the purchase and sale of registered stock (and securities convertible or exchangeable into such registered stock) within a six-month period.</w:t>
      </w:r>
    </w:p>
    <w:p>
      <w:pPr>
        <w:spacing w:after="0" w:line="84" w:lineRule="exact"/>
        <w:rPr>
          <w:sz w:val="20"/>
          <w:szCs w:val="20"/>
          <w:color w:val="auto"/>
        </w:rPr>
      </w:pPr>
    </w:p>
    <w:p>
      <w:pPr>
        <w:ind w:right="340" w:firstLine="255"/>
        <w:spacing w:after="0" w:line="342" w:lineRule="auto"/>
        <w:rPr>
          <w:sz w:val="20"/>
          <w:szCs w:val="20"/>
          <w:color w:val="auto"/>
        </w:rPr>
      </w:pPr>
      <w:r>
        <w:rPr>
          <w:rFonts w:ascii="Arial" w:cs="Arial" w:eastAsia="Arial" w:hAnsi="Arial"/>
          <w:sz w:val="16"/>
          <w:szCs w:val="16"/>
          <w:color w:val="auto"/>
        </w:rPr>
        <w:t>Shareholders will bear the responsibility for making all Exchange Act filings to which they may be subject, and are responsible for monitoring their ownership in the Company. Shareholders who fail to make required Exchange Act filings may face enforcement actions and fines from the SEC.</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distributions to shareholders may be funded from expense reimbursements or waivers of investment advisory fees, some of which are subject to repayment pursuant to our Expense Support and Conditional Reimbursement Agreement.</w:t>
      </w:r>
    </w:p>
    <w:p>
      <w:pPr>
        <w:spacing w:after="0" w:line="278" w:lineRule="exact"/>
        <w:rPr>
          <w:sz w:val="20"/>
          <w:szCs w:val="20"/>
          <w:color w:val="auto"/>
        </w:rPr>
      </w:pPr>
    </w:p>
    <w:p>
      <w:pPr>
        <w:ind w:right="120" w:firstLine="255"/>
        <w:spacing w:after="0" w:line="291" w:lineRule="auto"/>
        <w:rPr>
          <w:sz w:val="20"/>
          <w:szCs w:val="20"/>
          <w:color w:val="auto"/>
        </w:rPr>
      </w:pPr>
      <w:r>
        <w:rPr>
          <w:rFonts w:ascii="Arial" w:cs="Arial" w:eastAsia="Arial" w:hAnsi="Arial"/>
          <w:sz w:val="16"/>
          <w:szCs w:val="16"/>
          <w:color w:val="auto"/>
        </w:rPr>
        <w:t>Substantial portions of our distributions may be funded through the reimbursement of certain expenses by our Adviser and its affiliates, including through the waiver of certain investment advisory fees by our Adviser. Any such distributions funded through expense reimbursements or waivers of advisory fees will not be based on our investment performance, and can only be sustained if we achieve positive investment performance in future periods and/or our Adviser and its affiliates continue to make such reimbursements or waivers of such fees. Our future repayments of amounts reimbursed or waived by our Adviser or its affiliates will reduce the distributions that shareholders would otherwise receive in the future. There can be no assurance that we will achieve the performance necessary to be able to pay distributions at a specific rate or at all. Our Adviser and its affiliates have no obligation to waive advisory fees or otherwise reimburse expenses in future periods, except as otherwise disclosed under the terms of this offering.</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portfolio may be an indication of future realized losses, which could reduce our income available for distribution.</w:t>
      </w:r>
    </w:p>
    <w:p>
      <w:pPr>
        <w:spacing w:after="0" w:line="278" w:lineRule="exact"/>
        <w:rPr>
          <w:sz w:val="20"/>
          <w:szCs w:val="20"/>
          <w:color w:val="auto"/>
        </w:rPr>
      </w:pPr>
    </w:p>
    <w:p>
      <w:pPr>
        <w:ind w:right="200" w:firstLine="255"/>
        <w:spacing w:after="0" w:line="275" w:lineRule="auto"/>
        <w:rPr>
          <w:sz w:val="20"/>
          <w:szCs w:val="20"/>
          <w:color w:val="auto"/>
        </w:rPr>
      </w:pPr>
      <w:r>
        <w:rPr>
          <w:rFonts w:ascii="Arial" w:cs="Arial" w:eastAsia="Arial" w:hAnsi="Arial"/>
          <w:sz w:val="17"/>
          <w:szCs w:val="17"/>
          <w:color w:val="auto"/>
        </w:rPr>
        <w:t>As a BDC, we are required to carry our investments at the fair value as determined in good faith pursuant to procedures adopted by, and under the oversight of, our Board of Trustees. Decreases in the fair value of our investments relative to amortized cost will be recorded as unrealized depreciation. Any unrealized losses in our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 In addition, decreases in the fair value of our investments will reduce our NAV.</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right="300" w:firstLine="255"/>
        <w:spacing w:after="0" w:line="263"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severe economic consequences for defaulting investors.</w:t>
      </w:r>
    </w:p>
    <w:p>
      <w:pPr>
        <w:spacing w:after="0" w:line="117" w:lineRule="exact"/>
        <w:rPr>
          <w:sz w:val="20"/>
          <w:szCs w:val="20"/>
          <w:color w:val="auto"/>
        </w:rPr>
      </w:pPr>
    </w:p>
    <w:p>
      <w:pPr>
        <w:ind w:right="140" w:firstLine="255"/>
        <w:spacing w:after="0" w:line="271" w:lineRule="auto"/>
        <w:rPr>
          <w:sz w:val="20"/>
          <w:szCs w:val="20"/>
          <w:color w:val="auto"/>
        </w:rPr>
      </w:pPr>
      <w:r>
        <w:rPr>
          <w:rFonts w:ascii="Arial" w:cs="Arial" w:eastAsia="Arial" w:hAnsi="Arial"/>
          <w:sz w:val="17"/>
          <w:szCs w:val="17"/>
          <w:color w:val="auto"/>
        </w:rPr>
        <w:t>If shareholders fail to fund their commitment obligations or to make required capital contributions when due, the Company’s ability to complete its investment program or otherwise continue operations may be substantially impaired. A shareholder’s failure to fund such amounts when due causes that shareholder to become a defaulting shareholder. A defaulting shareholder will have ten business days to cure its deficiency following the required funding date, after which the defaulting shareholder will forfeit its right to participate in future investments and 50% of its Common Shares will be transferred to the non-defaulting shareholders on a pro rata basis. If a substantial number of shareholders become defaulting shareholders, this may severely limit opportunities for investment diversification and would likely reduce returns to the Company and restrict the Company’s ability to meet loan obligations. Any single defaulting shareholder could cause substantial costs to be incurred by the Company if such default causes the Company to fail to meet its contractual obligations or if the Company must pursue remedial action against such shareholder.</w:t>
      </w:r>
    </w:p>
    <w:p>
      <w:pPr>
        <w:spacing w:after="0" w:line="70" w:lineRule="exact"/>
        <w:rPr>
          <w:sz w:val="20"/>
          <w:szCs w:val="20"/>
          <w:color w:val="auto"/>
        </w:rPr>
      </w:pPr>
    </w:p>
    <w:p>
      <w:pPr>
        <w:ind w:right="80" w:firstLine="255"/>
        <w:spacing w:after="0" w:line="273" w:lineRule="auto"/>
        <w:rPr>
          <w:sz w:val="20"/>
          <w:szCs w:val="20"/>
          <w:color w:val="auto"/>
        </w:rPr>
      </w:pPr>
      <w:r>
        <w:rPr>
          <w:rFonts w:ascii="Arial" w:cs="Arial" w:eastAsia="Arial" w:hAnsi="Arial"/>
          <w:sz w:val="17"/>
          <w:szCs w:val="17"/>
          <w:color w:val="auto"/>
        </w:rPr>
        <w:t>If the Company fails to meet its contractual obligations related to a portfolio investment due to a defaulting shareholder, the relevant portfolio company may have a cause of action against the Company, which may include a claim against assets of the Company other than the Company’s interest in such portfolio company. A creditor of the Company (including a portfolio company with respect to which the Company has failed to meet its contractual obligations) will not be bound to satisfy its claims from the assets attributable to a particular portfolio investment and such creditor generally may seek to satisfy its claims from the assets of the Company as a whole. As a result, if a creditor’s claims relating to a particular portfolio investment exceed the net assets attributable to that portfolio investment, the remaining assets of the Company will likely be subject to such claim.</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Our shareholders will experience dilution in their ownership percentage if they opt out of our dividend reinvestment plan.</w:t>
      </w:r>
    </w:p>
    <w:p>
      <w:pPr>
        <w:spacing w:after="0" w:line="117" w:lineRule="exact"/>
        <w:rPr>
          <w:sz w:val="20"/>
          <w:szCs w:val="20"/>
          <w:color w:val="auto"/>
        </w:rPr>
      </w:pPr>
    </w:p>
    <w:p>
      <w:pPr>
        <w:ind w:right="100" w:firstLine="255"/>
        <w:spacing w:after="0" w:line="275" w:lineRule="auto"/>
        <w:rPr>
          <w:sz w:val="20"/>
          <w:szCs w:val="20"/>
          <w:color w:val="auto"/>
        </w:rPr>
      </w:pPr>
      <w:r>
        <w:rPr>
          <w:rFonts w:ascii="Arial" w:cs="Arial" w:eastAsia="Arial" w:hAnsi="Arial"/>
          <w:sz w:val="17"/>
          <w:szCs w:val="17"/>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shareholders who have not opted out of our dividend reinvestment plan will have their cash distributions automatically reinvested in additional Common Shares, rather than receiving the cash dividend or other distribution. See </w:t>
      </w:r>
      <w:r>
        <w:rPr>
          <w:rFonts w:ascii="Arial" w:cs="Arial" w:eastAsia="Arial" w:hAnsi="Arial"/>
          <w:sz w:val="17"/>
          <w:szCs w:val="17"/>
          <w:i w:val="1"/>
          <w:iCs w:val="1"/>
          <w:color w:val="auto"/>
        </w:rPr>
        <w:t>“ITEM 1. BUSINESS—Dividend Policy</w:t>
      </w:r>
      <w:r>
        <w:rPr>
          <w:rFonts w:ascii="Arial" w:cs="Arial" w:eastAsia="Arial" w:hAnsi="Arial"/>
          <w:sz w:val="17"/>
          <w:szCs w:val="17"/>
          <w:color w:val="auto"/>
        </w:rPr>
        <w:t>” and “</w:t>
      </w:r>
      <w:r>
        <w:rPr>
          <w:rFonts w:ascii="Arial" w:cs="Arial" w:eastAsia="Arial" w:hAnsi="Arial"/>
          <w:sz w:val="17"/>
          <w:szCs w:val="17"/>
          <w:i w:val="1"/>
          <w:iCs w:val="1"/>
          <w:color w:val="auto"/>
        </w:rPr>
        <w:t>ITEM 1.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Dividend Reinvestment Plan</w:t>
      </w:r>
      <w:r>
        <w:rPr>
          <w:rFonts w:ascii="Arial" w:cs="Arial" w:eastAsia="Arial" w:hAnsi="Arial"/>
          <w:sz w:val="17"/>
          <w:szCs w:val="17"/>
          <w:color w:val="auto"/>
        </w:rPr>
        <w:t>” for a description of our dividend policy and obligations.</w:t>
      </w:r>
    </w:p>
    <w:p>
      <w:pPr>
        <w:spacing w:after="0" w:line="68" w:lineRule="exact"/>
        <w:rPr>
          <w:sz w:val="20"/>
          <w:szCs w:val="20"/>
          <w:color w:val="auto"/>
        </w:rPr>
      </w:pPr>
    </w:p>
    <w:p>
      <w:pPr>
        <w:ind w:right="80" w:firstLine="255"/>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after an Exchange Listing will be determined based on the market price of our Common Shares,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our Common Shares than the number of shares associated with the market price of our Common Shares, resulting in dilution for other shareholders. Shareholders that opt out of our dividend reinvestment plan will experience dilution in their ownership percentage of our Common Shares over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considerations for certain benefit plan investors.</w:t>
      </w:r>
    </w:p>
    <w:p>
      <w:pPr>
        <w:spacing w:after="0" w:line="225"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 xml:space="preserve">We intend to conduct our affairs so that our assets should not be deemed to constitute “plan assets” under ERISA and the Plan Asset Regulations. In this regard, until such time, if any, as our Common Shares are considered “publicly-offered securities” within the meaning of the Plan Asset Regulations, we intend to limit investment in our Common Shares by “benefit plan investors” (“Benefit Plan Investors”) to less than 25% of the total value of our Common Shares (within the meaning of the Plan Asset Regulations). </w:t>
      </w:r>
      <w:r>
        <w:rPr>
          <w:rFonts w:ascii="Arial" w:cs="Arial" w:eastAsia="Arial" w:hAnsi="Arial"/>
          <w:sz w:val="18"/>
          <w:szCs w:val="18"/>
          <w:i w:val="1"/>
          <w:iCs w:val="1"/>
          <w:color w:val="auto"/>
        </w:rPr>
        <w:t>Investments.”</w:t>
      </w:r>
    </w:p>
    <w:p>
      <w:pPr>
        <w:spacing w:after="0" w:line="187" w:lineRule="exact"/>
        <w:rPr>
          <w:sz w:val="20"/>
          <w:szCs w:val="20"/>
          <w:color w:val="auto"/>
        </w:rPr>
      </w:pPr>
    </w:p>
    <w:p>
      <w:pPr>
        <w:ind w:right="100" w:firstLine="255"/>
        <w:spacing w:after="0" w:line="285" w:lineRule="auto"/>
        <w:rPr>
          <w:sz w:val="20"/>
          <w:szCs w:val="20"/>
          <w:color w:val="auto"/>
        </w:rPr>
      </w:pPr>
      <w:r>
        <w:rPr>
          <w:rFonts w:ascii="Arial" w:cs="Arial" w:eastAsia="Arial" w:hAnsi="Arial"/>
          <w:sz w:val="16"/>
          <w:szCs w:val="16"/>
          <w:color w:val="auto"/>
        </w:rPr>
        <w:t>If, notwithstanding our intent, the assets of the Company were deemed to constitute “plan assets” of any shareholder that is a Benefit Plan Investor under ERISA or the Plan Asset Regulations, this would result, among other things, in (i) the application of the prudence and other fiduciary responsibility standards of ERISAto investments made by the Company, and (ii) the possibility that certain transactions in which the Company might seek to engage could constitute “prohibited transactions” under ERISA and the Code. If a prohibited transaction occurs for which no exemption is available, the Adviser and/or any other fiduciary that has engaged in the prohibited transaction could be required to (i) restore to the Benefit Plan Investor any profit realized on the transaction and (ii) reimburse the Benefit Plan Investor for any losses suffered by the Benefit Plan Investor as a result of the investment. In addition, each disqualified person (within the meaning of Section 4975 of the Code) involved could be subject to an excise tax equal to 15% of the amount involved in the prohibited transaction for each year the transaction continues and, unless the transaction is corrected within statutorily required periods, to an additional tax of 100%. The fiduciaryof a benefit plan investor who decides to invest in the Company could, under certain circumstances, be liable for prohibited transactions or other violations as a result of their investment in the Company or as co-fiduciaries for actions taken by or on behalf of the Company or the Adviser. With respect to a benefit plan investor that is an individual retirement account (an “IRA”) that invests in the Company, the occurrence of a prohibited transaction involving the individual who established the IRA, or his or her beneficiaries, would cause the IRA to lose its tax-exempt status. In addition, to the extent that the Company represents and/or covenants to any contractual counterparty that (1) the assets of the Company are not assets of the Benefit Plan Investors that invest in the Company and/or (2) the transactions entered into between the Company and the Benefit Plan Investor that invest in the Company do not constitute “prohibited transactions” under ERISA and the Code, and the applicable representation is untrue and/or the applicable covenant is not met, additional liabilities may be incurred, including as a result of the unwinding of the applicable contract.</w:t>
      </w:r>
    </w:p>
    <w:p>
      <w:pPr>
        <w:spacing w:after="0" w:line="176"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Accordingly, until such time, if any, as our Common Shares constitute “publicly traded securities” within the meaning of the Plan Asset Regulations, we have the power, among other things, to (a) reject, in whole or in part, the subscription of any prospective investor to the Company; (b) withhold consent to the transfer of Common Shares, including in circumstances where the Adviser determines necessary or desirable in order to facilitate compliance with ERISA or the Plan Asset Regulations; (c) restrict participation in the dividend reinvestment program such that Benefit Plan Investors are not permitted to participate, and (c) call Drawdown Purchases on a non-pro rata basis, and all Common Shares of the Company shall be subject to such terms and conditions.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firstLine="45"/>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Shares and our ability to pay dividends.</w:t>
      </w:r>
    </w:p>
    <w:p>
      <w:pPr>
        <w:spacing w:after="0" w:line="170"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including certain limited TPG-provided services (such as certain information technology services utilized by the Adviser on our behalf).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87"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outages due to idiosyncratic issues at specific providers;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These events, in turn, could have a meterial adverse effect on our operating results and negatively affect our ability to pay dividends to our shareholders.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225" w:lineRule="exact"/>
        <w:rPr>
          <w:sz w:val="20"/>
          <w:szCs w:val="20"/>
          <w:color w:val="auto"/>
        </w:rPr>
      </w:pPr>
    </w:p>
    <w:p>
      <w:pPr>
        <w:ind w:right="20" w:firstLine="255"/>
        <w:spacing w:after="0" w:line="287"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Arial" w:cs="Arial" w:eastAsia="Arial" w:hAnsi="Arial"/>
          <w:sz w:val="16"/>
          <w:szCs w:val="16"/>
          <w:i w:val="1"/>
          <w:iCs w:val="1"/>
          <w:color w:val="auto"/>
        </w:rPr>
        <w:t>Risks Related to our Portfolio Company Investments.”</w:t>
      </w:r>
    </w:p>
    <w:p>
      <w:pPr>
        <w:spacing w:after="0" w:line="172" w:lineRule="exact"/>
        <w:rPr>
          <w:sz w:val="20"/>
          <w:szCs w:val="20"/>
          <w:color w:val="auto"/>
        </w:rPr>
      </w:pPr>
    </w:p>
    <w:p>
      <w:pPr>
        <w:ind w:right="160" w:firstLine="255"/>
        <w:spacing w:after="0" w:line="301"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Russian invasion of Ukraine may have a material adverse impact on us and our portfolio companies.</w:t>
      </w:r>
    </w:p>
    <w:p>
      <w:pPr>
        <w:spacing w:after="0" w:line="225"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Commencing in 2021, Russian President Vladimir Putin ordered the Russian military to begin massing thousands of military personnel and equipment near its border with Ukraine and in Crimea, representing the largest mobilization since the illegal annexation of Crimea in 2014. President Putin has initiated troop movements into the eastern portion of Ukraine and continues to threaten an all-out invasion of Ukraine. On February 22, 2022, the United States and several European nations announced sanctions against Russia in response to Russia’s actions. On February 24, 2022, President Putin commenced a full-scale invasion of Russia’s pre-positioned forces into Ukraine, which could have a negative impact on the economy and business activity globally (including in the countries in which the Company invests), and therefore could adversely affect the performance of the Company’s investments. Furthermore, the conflict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spacing w:after="0" w:line="301" w:lineRule="auto"/>
        <w:rPr>
          <w:sz w:val="20"/>
          <w:szCs w:val="20"/>
          <w:color w:val="auto"/>
        </w:rPr>
      </w:pPr>
      <w:r>
        <w:rPr>
          <w:rFonts w:ascii="Arial" w:cs="Arial" w:eastAsia="Arial" w:hAnsi="Arial"/>
          <w:sz w:val="16"/>
          <w:szCs w:val="16"/>
          <w:color w:val="auto"/>
        </w:rPr>
        <w:t>between the two nations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Russia or Ukraine, they may have adverse consequences related to the ongoing conflict.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global climate change may adversely affect our business and impact the operations of our portfolio companies.</w:t>
      </w:r>
    </w:p>
    <w:p>
      <w:pPr>
        <w:spacing w:after="0" w:line="225"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pacing w:after="0" w:line="184" w:lineRule="exact"/>
        <w:rPr>
          <w:sz w:val="20"/>
          <w:szCs w:val="20"/>
          <w:color w:val="auto"/>
        </w:rPr>
      </w:pPr>
    </w:p>
    <w:p>
      <w:pPr>
        <w:ind w:right="60" w:firstLine="255"/>
        <w:spacing w:after="0" w:line="289" w:lineRule="auto"/>
        <w:rPr>
          <w:sz w:val="20"/>
          <w:szCs w:val="20"/>
          <w:color w:val="auto"/>
        </w:rPr>
      </w:pPr>
      <w:r>
        <w:rPr>
          <w:rFonts w:ascii="Arial" w:cs="Arial" w:eastAsia="Arial" w:hAnsi="Arial"/>
          <w:sz w:val="16"/>
          <w:szCs w:val="16"/>
          <w:color w:val="auto"/>
        </w:rPr>
        <w:t>New climate change-related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 to comply effectively. At the portfolio company level, while we have increasingly and substantially sought to invest in sectors that are inherently lower carbon intensity (e.g., business services) which decreases transition risk, there are still individual portfolio companies 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166"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Further, significant physical effects of climate change including extreme weather events such as hurricanes or floods, can also have an adverse impact on certain of our portfolio companies and investments, especially our portfolio companies that rely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Risks</w:t>
      </w:r>
    </w:p>
    <w:p>
      <w:pPr>
        <w:spacing w:after="0" w:line="3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income tax if we are unable to qualify as a RIC under Subchapter M of the Code or to satisfy RIC distribution requirements.</w:t>
      </w:r>
    </w:p>
    <w:p>
      <w:pPr>
        <w:spacing w:after="0" w:line="170" w:lineRule="exact"/>
        <w:rPr>
          <w:sz w:val="20"/>
          <w:szCs w:val="20"/>
          <w:color w:val="auto"/>
        </w:rPr>
      </w:pPr>
    </w:p>
    <w:p>
      <w:pPr>
        <w:ind w:right="100" w:firstLine="255"/>
        <w:spacing w:after="0" w:line="311" w:lineRule="auto"/>
        <w:rPr>
          <w:sz w:val="20"/>
          <w:szCs w:val="20"/>
          <w:color w:val="auto"/>
        </w:rPr>
      </w:pPr>
      <w:r>
        <w:rPr>
          <w:rFonts w:ascii="Arial" w:cs="Arial" w:eastAsia="Arial" w:hAnsi="Arial"/>
          <w:sz w:val="16"/>
          <w:szCs w:val="16"/>
          <w:color w:val="auto"/>
        </w:rPr>
        <w:t>To obtain and maintain RIC tax treatment under Subchapter M of the Code, we must, among other things, meet annual distribution, income source and asset diversification requirements. If we do not qualify for or maintain RIC tax treatment for any reason and are subject to corporate income tax, the resulting corporate taxes could substantially reduce our net assets, the amount of income available for distribution and the amount of our distributions.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and representing such income.</w:t>
      </w:r>
    </w:p>
    <w:p>
      <w:pPr>
        <w:spacing w:after="0" w:line="248" w:lineRule="exact"/>
        <w:rPr>
          <w:sz w:val="20"/>
          <w:szCs w:val="20"/>
          <w:color w:val="auto"/>
        </w:rPr>
      </w:pPr>
    </w:p>
    <w:p>
      <w:pPr>
        <w:ind w:firstLine="255"/>
        <w:spacing w:after="0" w:line="291" w:lineRule="auto"/>
        <w:rPr>
          <w:sz w:val="20"/>
          <w:szCs w:val="20"/>
          <w:color w:val="auto"/>
        </w:rPr>
      </w:pPr>
      <w:r>
        <w:rPr>
          <w:rFonts w:ascii="Arial" w:cs="Arial" w:eastAsia="Arial" w:hAnsi="Arial"/>
          <w:sz w:val="16"/>
          <w:szCs w:val="16"/>
          <w:color w:val="auto"/>
        </w:rPr>
        <w:t>For federal income tax purposes, we may be required to recognize taxable income in circumstances in which we do not receive a corresponding payment in cash. For example, if we hold debt obligations that are treated under applicable tax rules as having original issue discount (such as zero coupon securities, debt instruments with PIK interest or, in certain cases, increasing interest rates or debt instruments that were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or we may engage in transactions, including debt modifications or exchanges, that require us to recognize income without the corresponding receipt of cash. We</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5" w:name="page56"/>
    <w:bookmarkEnd w:id="55"/>
    <w:p>
      <w:pPr>
        <w:ind w:right="60"/>
        <w:spacing w:after="0" w:line="263" w:lineRule="auto"/>
        <w:rPr>
          <w:sz w:val="20"/>
          <w:szCs w:val="20"/>
          <w:color w:val="auto"/>
        </w:rPr>
      </w:pPr>
      <w:r>
        <w:rPr>
          <w:rFonts w:ascii="Arial" w:cs="Arial" w:eastAsia="Arial" w:hAnsi="Arial"/>
          <w:sz w:val="18"/>
          <w:szCs w:val="18"/>
          <w:color w:val="auto"/>
        </w:rPr>
        <w:t>anticipate that a portion of our income may constitute original issue discount or other income required to be included in taxable income prior to receipt of cash. Further, we may elect to amortize market discount and include such amounts in our taxable income in the current year, instead of upon disposition, as an election not to do so would limit our ability to deduct interest expenses for tax purposes.</w:t>
      </w:r>
    </w:p>
    <w:p>
      <w:pPr>
        <w:spacing w:after="0" w:line="184"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Because any original issue discount or other amounts accrued will be included in our investment company taxable income for the year of the accrual, we may be required to make a distribution to our shareholders in order to satisfy the annual distribution requirement, even though we will not have received any corresponding cash amount. As a result, we may have difficulty meeting the annual distribution requirement necessary to qualify for and maintain RIC tax treatment under Subchapter M of the Code. We may have to sell some of our investments at times and/or at prices we would not consider advantageous, raise additional debt or equity capital or forgo new investment opportunities for this purpose. If we are not able to obtain cash from other sources, we may not qualify for or maintain RIC tax treatment and thus become subject to corporate-level income tax.</w:t>
      </w: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qualify as a “publicly offered regulated investment company,” as defined in the Code, a non-corporate shareholder will be taxed as though it received a distribution of some of our expenses.</w:t>
      </w:r>
    </w:p>
    <w:p>
      <w:pPr>
        <w:spacing w:after="0" w:line="170" w:lineRule="exact"/>
        <w:rPr>
          <w:sz w:val="20"/>
          <w:szCs w:val="20"/>
          <w:color w:val="auto"/>
        </w:rPr>
      </w:pPr>
    </w:p>
    <w:p>
      <w:pPr>
        <w:ind w:right="40" w:firstLine="255"/>
        <w:spacing w:after="0" w:line="271" w:lineRule="auto"/>
        <w:rPr>
          <w:sz w:val="20"/>
          <w:szCs w:val="20"/>
          <w:color w:val="auto"/>
        </w:rPr>
      </w:pPr>
      <w:r>
        <w:rPr>
          <w:rFonts w:ascii="Arial" w:cs="Arial" w:eastAsia="Arial" w:hAnsi="Arial"/>
          <w:sz w:val="17"/>
          <w:szCs w:val="17"/>
          <w:color w:val="auto"/>
        </w:rPr>
        <w:t>A “publicly offered regulated investment company” or “publicly offered RIC” is a RIC whose shares are either (i) continuously offered pursuant to a public offering within the meaning of Section 4 of the 1933 Act, (ii) regularly traded on an established securities market or (iii) held by at least 500 persons at all times during the taxable year. While we generally expect to qualify as a RIC, we anticipate that we will not qualify as a publicly offered RIC immediately after the commencement of the Private Offering, although we may qualify as a publicly offered RIC upon the completion of the Private Offering. If we are a RIC that is not a publicly offered RIC for any period, a non-corporate shareholder’sallocable portion of our affected expenses, including our Management Fees, will be treated as an additional distribution to the shareholder and will be treated as miscellaneous itemized deductions that are deductible only to the extent permitted by applicable law. Under current law, such expenses will not be deductible by any such shareholder for tax years that begin prior to January 1, 2026 and are deductible subject to limitation thereafter.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investments may be subject to corporate-level income tax.</w:t>
      </w:r>
    </w:p>
    <w:p>
      <w:pPr>
        <w:spacing w:after="0" w:line="225"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We may invest in certain debt and equity investments through taxable subsidiaries and the taxable income of these taxable subsidiaries will be subject to federal and state corporate income taxes. We may invest in certain foreign debt and equity investments which could be subject to foreign taxes (such as income tax, withholding and value added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225" w:lineRule="exact"/>
        <w:rPr>
          <w:sz w:val="20"/>
          <w:szCs w:val="20"/>
          <w:color w:val="auto"/>
        </w:rPr>
      </w:pPr>
    </w:p>
    <w:p>
      <w:pPr>
        <w:ind w:right="280" w:firstLine="255"/>
        <w:spacing w:after="0" w:line="293" w:lineRule="auto"/>
        <w:rPr>
          <w:sz w:val="20"/>
          <w:szCs w:val="20"/>
          <w:color w:val="auto"/>
        </w:rPr>
      </w:pPr>
      <w:r>
        <w:rPr>
          <w:rFonts w:ascii="Arial" w:cs="Arial" w:eastAsia="Arial" w:hAnsi="Arial"/>
          <w:sz w:val="16"/>
          <w:szCs w:val="16"/>
          <w:color w:val="auto"/>
        </w:rPr>
        <w:t>The Company expects to invest in debt securities that are rated below investment grade by rating agencies or that would be rated below investment grade if they were rated. Investments in these types of instruments may present special tax issues for the Company. U.S. federal income tax rules are not entirely clear about issues such as when the Company may cease to accrue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Company, to the extent necessary, to preserve its status as a RIC and to distribute sufficient income to not become subject to U.S. federal income tax.</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regulatory tax changes could adversely affect investors.</w:t>
      </w:r>
    </w:p>
    <w:p>
      <w:pPr>
        <w:spacing w:after="0" w:line="225" w:lineRule="exact"/>
        <w:rPr>
          <w:sz w:val="20"/>
          <w:szCs w:val="20"/>
          <w:color w:val="auto"/>
        </w:rPr>
      </w:pPr>
    </w:p>
    <w:p>
      <w:pPr>
        <w:jc w:val="both"/>
        <w:ind w:right="340" w:firstLine="255"/>
        <w:spacing w:after="0" w:line="259" w:lineRule="auto"/>
        <w:rPr>
          <w:sz w:val="20"/>
          <w:szCs w:val="20"/>
          <w:color w:val="auto"/>
        </w:rPr>
      </w:pPr>
      <w:r>
        <w:rPr>
          <w:rFonts w:ascii="Arial" w:cs="Arial" w:eastAsia="Arial" w:hAnsi="Arial"/>
          <w:sz w:val="18"/>
          <w:szCs w:val="18"/>
          <w:color w:val="auto"/>
        </w:rPr>
        <w:t>At any time, the federal income tax laws governing RICs or the administrative interpretations of those laws or regulations may be amended. Any of those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Common Shares or the value or the resale potential of our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shareholders may be subject to U.S. dividend withholding tax on our distributions.</w:t>
      </w:r>
    </w:p>
    <w:p>
      <w:pPr>
        <w:spacing w:after="0" w:line="225"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A shareholder will be subject to U.S. federal dividend withholding tax on our distributions unless a withholding tax exemption applies. A shareholder may also be subject to U.S. federal withholding tax if it does not comply with applicable U.S. tax requirements to certify its status for U.S. tax purposes. Amounts that are withheld, to the extent in excess of the shareholder’s U.S. federal income tax liability, can generally be recovered by filing a U.S. federal income tax return; however, the administrative burden and cost of filing such a U.S. federal income tax return may outweigh the benefit of recovering such amounts.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maintain our principal executive office at 2100 McKinney Avenue, Suite 1500, Dallas, Texas 75201. We do not own any real estate.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91" w:right="43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58" w:lineRule="exact"/>
        <w:rPr>
          <w:sz w:val="20"/>
          <w:szCs w:val="20"/>
          <w:color w:val="auto"/>
        </w:rPr>
      </w:pPr>
    </w:p>
    <w:p>
      <w:pPr>
        <w:ind w:right="120" w:firstLine="255"/>
        <w:spacing w:after="0" w:line="308" w:lineRule="auto"/>
        <w:rPr>
          <w:sz w:val="20"/>
          <w:szCs w:val="20"/>
          <w:color w:val="auto"/>
        </w:rPr>
      </w:pPr>
      <w:r>
        <w:rPr>
          <w:rFonts w:ascii="Arial" w:cs="Arial" w:eastAsia="Arial" w:hAnsi="Arial"/>
          <w:sz w:val="17"/>
          <w:szCs w:val="17"/>
          <w:color w:val="auto"/>
        </w:rPr>
        <w:t>Until an IPO, our outstanding Common Shares will be offered and sold in transactions exempt from registration under the Securities Act under section 4(2) and Regulation D. There is not currently a public market for our Common Shares, nor can we give any assurance that one will develop.</w:t>
      </w:r>
    </w:p>
    <w:p>
      <w:pPr>
        <w:spacing w:after="0" w:line="38" w:lineRule="exact"/>
        <w:rPr>
          <w:sz w:val="20"/>
          <w:szCs w:val="20"/>
          <w:color w:val="auto"/>
        </w:rPr>
      </w:pPr>
    </w:p>
    <w:p>
      <w:pPr>
        <w:ind w:right="80" w:firstLine="255"/>
        <w:spacing w:after="0" w:line="290" w:lineRule="auto"/>
        <w:rPr>
          <w:sz w:val="20"/>
          <w:szCs w:val="20"/>
          <w:color w:val="auto"/>
        </w:rPr>
      </w:pPr>
      <w:r>
        <w:rPr>
          <w:rFonts w:ascii="Arial" w:cs="Arial" w:eastAsia="Arial" w:hAnsi="Arial"/>
          <w:sz w:val="16"/>
          <w:szCs w:val="16"/>
          <w:color w:val="auto"/>
        </w:rPr>
        <w:t>Because our Common Shares are being acquired by investors in one or more transactions “not involving a public offering,” they are “restricted securities” and may be required to be held indefinitely. Our Common Shares may not be sold, transferred, assigned, pledged or otherwise disposed of unless (i) our consent is granted; and, (ii) the Common Shares are registered under applicable securities laws or specifically exempted from registration (in which case the shareholder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17, 2023, there were approximately 19 holders of record of our Common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940" w:firstLine="255"/>
        <w:spacing w:after="0" w:line="277" w:lineRule="auto"/>
        <w:rPr>
          <w:sz w:val="20"/>
          <w:szCs w:val="20"/>
          <w:color w:val="auto"/>
        </w:rPr>
      </w:pPr>
      <w:r>
        <w:rPr>
          <w:rFonts w:ascii="Arial" w:cs="Arial" w:eastAsia="Arial" w:hAnsi="Arial"/>
          <w:sz w:val="18"/>
          <w:szCs w:val="18"/>
          <w:color w:val="auto"/>
        </w:rPr>
        <w:t>The selected financial data previously required by Item 301 of Regulation S-K has been omitted in reliance on SEC Release No. 33-10890, Management's Discussion and Analysis, Selected Financial Data, and Supplementary Financial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p>
      <w:pPr>
        <w:ind w:right="1220"/>
        <w:spacing w:after="0" w:line="37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2" w:lineRule="exact"/>
        <w:rPr>
          <w:sz w:val="20"/>
          <w:szCs w:val="20"/>
          <w:color w:val="auto"/>
        </w:rPr>
      </w:pPr>
    </w:p>
    <w:p>
      <w:pPr>
        <w:ind w:right="160" w:firstLine="255"/>
        <w:spacing w:after="0" w:line="311" w:lineRule="auto"/>
        <w:rPr>
          <w:sz w:val="20"/>
          <w:szCs w:val="20"/>
          <w:color w:val="auto"/>
        </w:rPr>
      </w:pPr>
      <w:r>
        <w:rPr>
          <w:rFonts w:ascii="Arial" w:cs="Arial" w:eastAsia="Arial" w:hAnsi="Arial"/>
          <w:sz w:val="16"/>
          <w:szCs w:val="16"/>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Sixth Street Lending Partners is a Delaware corporation formed on April 5, 2022. The Adviser is our external manager. We have three wholly owned subsidiaries, SSLP Lending, LLC, a Delaware limited liability company, which has applied for a California finance lender and broker license, Sixth Street LP Holding, LLC and Sixth Street LP Holding II, LLC in which we may hold certain investments.</w:t>
      </w:r>
    </w:p>
    <w:p>
      <w:pPr>
        <w:spacing w:after="0" w:line="184"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We have elected to be regulated as a BDC under the 1940 Act and intend to elect to be treated as a RIC under the Code. As a result, we are required to comply with various statutory and regulatory requirements, such as:</w:t>
      </w:r>
    </w:p>
    <w:p>
      <w:pPr>
        <w:spacing w:after="0" w:line="62" w:lineRule="exact"/>
        <w:rPr>
          <w:sz w:val="20"/>
          <w:szCs w:val="20"/>
          <w:color w:val="auto"/>
        </w:rPr>
      </w:pPr>
    </w:p>
    <w:p>
      <w:pPr>
        <w:ind w:left="520" w:hanging="257"/>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360" w:hanging="257"/>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which are expected returns that are adjusted based on the levels of risk associated with the investments.</w:t>
      </w:r>
    </w:p>
    <w:p>
      <w:pPr>
        <w:spacing w:after="0" w:line="62" w:lineRule="exact"/>
        <w:rPr>
          <w:sz w:val="20"/>
          <w:szCs w:val="20"/>
          <w:color w:val="auto"/>
        </w:rPr>
      </w:pPr>
    </w:p>
    <w:p>
      <w:pPr>
        <w:ind w:right="440" w:firstLine="255"/>
        <w:spacing w:after="0" w:line="263" w:lineRule="auto"/>
        <w:rPr>
          <w:sz w:val="20"/>
          <w:szCs w:val="20"/>
          <w:color w:val="auto"/>
        </w:rPr>
      </w:pPr>
      <w:r>
        <w:rPr>
          <w:rFonts w:ascii="Arial" w:cs="Arial" w:eastAsia="Arial" w:hAnsi="Arial"/>
          <w:sz w:val="18"/>
          <w:szCs w:val="18"/>
          <w:color w:val="auto"/>
        </w:rPr>
        <w:t>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4"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95" w:lineRule="exact"/>
        <w:rPr>
          <w:sz w:val="20"/>
          <w:szCs w:val="20"/>
          <w:color w:val="auto"/>
        </w:rPr>
      </w:pPr>
    </w:p>
    <w:p>
      <w:pPr>
        <w:ind w:right="320" w:firstLine="255"/>
        <w:spacing w:after="0" w:line="277" w:lineRule="auto"/>
        <w:rPr>
          <w:sz w:val="20"/>
          <w:szCs w:val="20"/>
          <w:color w:val="auto"/>
        </w:rPr>
      </w:pPr>
      <w:r>
        <w:rPr>
          <w:rFonts w:ascii="Arial" w:cs="Arial" w:eastAsia="Arial" w:hAnsi="Arial"/>
          <w:sz w:val="18"/>
          <w:szCs w:val="18"/>
          <w:color w:val="auto"/>
        </w:rPr>
        <w:t>We seek to create a portfolio that includes primarily senior secured by primarily investing approximately $200 million to $500 million of capital, on average, in the securities of upper middle-market companies.</w:t>
      </w:r>
    </w:p>
    <w:p>
      <w:pPr>
        <w:spacing w:after="0" w:line="170"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right="60" w:firstLine="255"/>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December 31, 2022, the largest single investment based on fair value represented 17.3% of our total investment portfolio.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ind w:left="260"/>
        <w:spacing w:after="0"/>
        <w:rPr>
          <w:sz w:val="20"/>
          <w:szCs w:val="20"/>
          <w:color w:val="auto"/>
        </w:rPr>
      </w:pPr>
      <w:r>
        <w:rPr>
          <w:rFonts w:ascii="Arial" w:cs="Arial" w:eastAsia="Arial" w:hAnsi="Arial"/>
          <w:sz w:val="17"/>
          <w:szCs w:val="17"/>
          <w:color w:val="auto"/>
        </w:rPr>
        <w:t>As of December 31, 2022, the average investment size in each of our portfolio companies was approximately $80.9 million based on fair value.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160" w:firstLine="255"/>
        <w:spacing w:after="0" w:line="257"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will focus on companies with enterprise values above $750 million. When reviewing potential investments,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 We currently do not limit our focus to any specific industry and we may invest in larger or smaller companies.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2022, the largest industry represented 32.4% of our total investment portfolio based on fair value.</w:t>
      </w:r>
    </w:p>
    <w:p>
      <w:pPr>
        <w:spacing w:after="0" w:line="225" w:lineRule="exact"/>
        <w:rPr>
          <w:sz w:val="20"/>
          <w:szCs w:val="20"/>
          <w:color w:val="auto"/>
        </w:rPr>
      </w:pPr>
    </w:p>
    <w:p>
      <w:pPr>
        <w:ind w:right="120" w:firstLine="255"/>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December 31, 2022,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99.0% of our portfolio was invested in secured debt, including 99.0%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period ended December 31, 2022, the weighted average term on new investment commitments in new portfolio companies was 5.9 years.</w:t>
      </w:r>
    </w:p>
    <w:p>
      <w:pPr>
        <w:spacing w:after="0" w:line="17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will focus on, among other deal dynamics, direct origination of investments, where we identify and lead the investment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184" w:lineRule="exact"/>
        <w:rPr>
          <w:sz w:val="20"/>
          <w:szCs w:val="20"/>
          <w:color w:val="auto"/>
        </w:rPr>
      </w:pPr>
    </w:p>
    <w:p>
      <w:pPr>
        <w:ind w:right="60" w:firstLine="255"/>
        <w:spacing w:after="0" w:line="291"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December 31, 2022, we had call protection on 100% of our debt investments based on fair value, with weighted average call prices of</w:t>
      </w:r>
    </w:p>
    <w:p>
      <w:pPr>
        <w:ind w:right="240"/>
        <w:spacing w:after="0" w:line="255" w:lineRule="auto"/>
        <w:rPr>
          <w:sz w:val="20"/>
          <w:szCs w:val="20"/>
          <w:color w:val="auto"/>
        </w:rPr>
      </w:pPr>
      <w:r>
        <w:rPr>
          <w:rFonts w:ascii="Arial" w:cs="Arial" w:eastAsia="Arial" w:hAnsi="Arial"/>
          <w:sz w:val="18"/>
          <w:szCs w:val="18"/>
          <w:color w:val="auto"/>
        </w:rPr>
        <w:t>104.1% for the first year, 102.1% for the second year and 100.9% for the third year, in each case from the date of the initial investment. As of December 31, 2022, 100% of our debt investments based on fair value bore interest at floating rates, with 100% of these subject to interest rate floors, which we believe helps act as a portfolio-wide hedge against inflation.</w:t>
      </w:r>
    </w:p>
    <w:p>
      <w:pPr>
        <w:spacing w:after="0" w:line="190" w:lineRule="exact"/>
        <w:rPr>
          <w:sz w:val="20"/>
          <w:szCs w:val="20"/>
          <w:color w:val="auto"/>
        </w:rPr>
      </w:pPr>
    </w:p>
    <w:p>
      <w:pPr>
        <w:ind w:right="140" w:firstLine="255"/>
        <w:spacing w:after="0" w:line="342" w:lineRule="auto"/>
        <w:rPr>
          <w:sz w:val="20"/>
          <w:szCs w:val="20"/>
          <w:color w:val="auto"/>
        </w:rPr>
      </w:pPr>
      <w:r>
        <w:rPr>
          <w:rFonts w:ascii="Arial" w:cs="Arial" w:eastAsia="Arial" w:hAnsi="Arial"/>
          <w:sz w:val="16"/>
          <w:szCs w:val="16"/>
          <w:i w:val="1"/>
          <w:iCs w:val="1"/>
          <w:color w:val="auto"/>
        </w:rPr>
        <w:t>Robust mitigation</w:t>
      </w:r>
      <w:r>
        <w:rPr>
          <w:rFonts w:ascii="Arial" w:cs="Arial" w:eastAsia="Arial" w:hAnsi="Arial"/>
          <w:sz w:val="16"/>
          <w:szCs w:val="16"/>
          <w:color w:val="auto"/>
        </w:rPr>
        <w:t>. We will seek to mitigate non-credit-related risk on our returns in several ways, including call protection provisions to protect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income. In addition, most of our investments are floating rate in nature, which we believe helps act as a portfolio-wide hedge against inflation.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and Sixth Street</w:t>
      </w:r>
    </w:p>
    <w:p>
      <w:pPr>
        <w:spacing w:after="0" w:line="117" w:lineRule="exact"/>
        <w:rPr>
          <w:sz w:val="20"/>
          <w:szCs w:val="20"/>
          <w:color w:val="auto"/>
        </w:rPr>
      </w:pPr>
    </w:p>
    <w:p>
      <w:pPr>
        <w:ind w:right="260" w:firstLine="255"/>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92" w:lineRule="exact"/>
        <w:rPr>
          <w:sz w:val="20"/>
          <w:szCs w:val="20"/>
          <w:color w:val="auto"/>
        </w:rPr>
      </w:pPr>
    </w:p>
    <w:p>
      <w:pPr>
        <w:ind w:right="20" w:firstLine="255"/>
        <w:spacing w:after="0" w:line="269" w:lineRule="auto"/>
        <w:rPr>
          <w:sz w:val="20"/>
          <w:szCs w:val="20"/>
          <w:color w:val="auto"/>
        </w:rPr>
      </w:pPr>
      <w:r>
        <w:rPr>
          <w:rFonts w:ascii="Arial" w:cs="Arial" w:eastAsia="Arial" w:hAnsi="Arial"/>
          <w:sz w:val="17"/>
          <w:szCs w:val="17"/>
          <w:color w:val="auto"/>
        </w:rPr>
        <w:t>Sixth Street is a global investment business with approximately $65 billion of assets under management.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475 investment and operating professionals. As of December 31, 2022, 44 of these personnel are dedicated to our business, including 34 investment professionals.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right="20" w:firstLine="255"/>
        <w:spacing w:after="0" w:line="273"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8" w:lineRule="exact"/>
        <w:rPr>
          <w:sz w:val="20"/>
          <w:szCs w:val="20"/>
          <w:color w:val="auto"/>
        </w:rPr>
      </w:pPr>
    </w:p>
    <w:p>
      <w:pPr>
        <w:ind w:right="120" w:firstLine="255"/>
        <w:spacing w:after="0" w:line="301" w:lineRule="auto"/>
        <w:rPr>
          <w:sz w:val="20"/>
          <w:szCs w:val="20"/>
          <w:color w:val="auto"/>
        </w:rPr>
      </w:pPr>
      <w:r>
        <w:rPr>
          <w:rFonts w:ascii="Arial" w:cs="Arial" w:eastAsia="Arial" w:hAnsi="Arial"/>
          <w:sz w:val="16"/>
          <w:szCs w:val="16"/>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15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20" w:firstLine="255"/>
        <w:spacing w:after="0" w:line="311"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9" w:lineRule="exact"/>
        <w:rPr>
          <w:sz w:val="20"/>
          <w:szCs w:val="20"/>
          <w:color w:val="auto"/>
        </w:rPr>
      </w:pPr>
    </w:p>
    <w:p>
      <w:pPr>
        <w:ind w:right="340" w:firstLine="255"/>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upper middle-market companies domiciled in the United States.</w:t>
      </w:r>
    </w:p>
    <w:p>
      <w:pPr>
        <w:spacing w:after="0" w:line="225" w:lineRule="exact"/>
        <w:rPr>
          <w:sz w:val="20"/>
          <w:szCs w:val="20"/>
          <w:color w:val="auto"/>
        </w:rPr>
      </w:pPr>
    </w:p>
    <w:p>
      <w:pPr>
        <w:jc w:val="both"/>
        <w:ind w:right="60" w:firstLine="255"/>
        <w:spacing w:after="0" w:line="311"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upper middle-market companies, the level of merger and acquisition activity for such companies, the general economic environment and the competitive environment for the types of investments we make.</w:t>
      </w:r>
    </w:p>
    <w:p>
      <w:pPr>
        <w:spacing w:after="0" w:line="149"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55"/>
        <w:spacing w:after="0" w:line="279"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December 31, 2022, 100% of these investments based on fair value bore interest at a floating rate, with 100% of these subject to interest rate floors. Interest on debt investments is generally payable quarterly or semiannually.</w:t>
      </w:r>
    </w:p>
    <w:p>
      <w:pPr>
        <w:spacing w:after="0" w:line="171"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right="160"/>
        <w:spacing w:after="0" w:line="277" w:lineRule="auto"/>
        <w:rPr>
          <w:sz w:val="20"/>
          <w:szCs w:val="20"/>
          <w:color w:val="auto"/>
        </w:rPr>
      </w:pPr>
      <w:r>
        <w:rPr>
          <w:rFonts w:ascii="Arial" w:cs="Arial" w:eastAsia="Arial" w:hAnsi="Arial"/>
          <w:sz w:val="18"/>
          <w:szCs w:val="18"/>
          <w:color w:val="auto"/>
        </w:rPr>
        <w:t>period—often are idiosyncratic, and reflect the characteristics of the particular portfolio companies that we invested in or exited during the period and not necessarily any trends in our business.</w:t>
      </w:r>
    </w:p>
    <w:p>
      <w:pPr>
        <w:spacing w:after="0" w:line="170"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1"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76"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6" w:lineRule="exact"/>
        <w:rPr>
          <w:sz w:val="20"/>
          <w:szCs w:val="20"/>
          <w:color w:val="auto"/>
        </w:rPr>
      </w:pPr>
    </w:p>
    <w:p>
      <w:pPr>
        <w:ind w:left="520" w:hanging="257"/>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300" w:hanging="257"/>
        <w:spacing w:after="0" w:line="26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5" w:lineRule="exact"/>
        <w:rPr>
          <w:rFonts w:ascii="Arial" w:cs="Arial" w:eastAsia="Arial" w:hAnsi="Arial"/>
          <w:sz w:val="18"/>
          <w:szCs w:val="18"/>
          <w:color w:val="auto"/>
        </w:rPr>
      </w:pPr>
    </w:p>
    <w:p>
      <w:pPr>
        <w:ind w:left="520" w:hanging="257"/>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of any public offerings of our Common Shares and other securities, including registration and listing fees;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right="40" w:hanging="257"/>
        <w:spacing w:after="0" w:line="301"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49" w:lineRule="exact"/>
        <w:rPr>
          <w:rFonts w:ascii="Arial" w:cs="Arial" w:eastAsia="Arial" w:hAnsi="Arial"/>
          <w:sz w:val="16"/>
          <w:szCs w:val="16"/>
          <w:color w:val="auto"/>
        </w:rPr>
      </w:pPr>
    </w:p>
    <w:p>
      <w:pPr>
        <w:ind w:left="520" w:hanging="257"/>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20" w:hanging="257"/>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left="520" w:hanging="257"/>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Independent Trustee fees and expenses;</w:t>
      </w:r>
    </w:p>
    <w:p>
      <w:pPr>
        <w:spacing w:after="0" w:line="117" w:lineRule="exact"/>
        <w:rPr>
          <w:rFonts w:ascii="Arial" w:cs="Arial" w:eastAsia="Arial" w:hAnsi="Arial"/>
          <w:sz w:val="18"/>
          <w:szCs w:val="18"/>
          <w:color w:val="auto"/>
        </w:rPr>
      </w:pPr>
    </w:p>
    <w:p>
      <w:pPr>
        <w:ind w:left="520" w:right="140" w:hanging="257"/>
        <w:spacing w:after="0" w:line="342"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7"/>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trustees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100" w:firstLine="255"/>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84" w:lineRule="exact"/>
        <w:rPr>
          <w:sz w:val="20"/>
          <w:szCs w:val="20"/>
          <w:color w:val="auto"/>
        </w:rPr>
      </w:pPr>
    </w:p>
    <w:p>
      <w:pPr>
        <w:ind w:right="20" w:firstLine="255"/>
        <w:spacing w:after="0" w:line="279" w:lineRule="auto"/>
        <w:rPr>
          <w:sz w:val="20"/>
          <w:szCs w:val="20"/>
          <w:color w:val="auto"/>
        </w:rPr>
      </w:pPr>
      <w:r>
        <w:rPr>
          <w:rFonts w:ascii="Arial" w:cs="Arial" w:eastAsia="Arial" w:hAnsi="Arial"/>
          <w:sz w:val="17"/>
          <w:szCs w:val="17"/>
          <w:color w:val="auto"/>
        </w:rPr>
        <w:t>Subsequent to the global financial crisis, the implementation of regulatory changes such as Basel III requirements, Leverage Lending Guidance, and the Volker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71" w:lineRule="exact"/>
        <w:rPr>
          <w:sz w:val="20"/>
          <w:szCs w:val="20"/>
          <w:color w:val="auto"/>
        </w:rPr>
      </w:pPr>
    </w:p>
    <w:p>
      <w:pPr>
        <w:jc w:val="both"/>
        <w:ind w:right="200" w:firstLine="255"/>
        <w:spacing w:after="0" w:line="259" w:lineRule="auto"/>
        <w:rPr>
          <w:sz w:val="20"/>
          <w:szCs w:val="20"/>
          <w:color w:val="auto"/>
        </w:rPr>
      </w:pPr>
      <w:r>
        <w:rPr>
          <w:rFonts w:ascii="Arial" w:cs="Arial" w:eastAsia="Arial" w:hAnsi="Arial"/>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87" w:lineRule="exact"/>
        <w:rPr>
          <w:sz w:val="20"/>
          <w:szCs w:val="20"/>
          <w:color w:val="auto"/>
        </w:rPr>
      </w:pPr>
    </w:p>
    <w:p>
      <w:pPr>
        <w:ind w:right="20" w:firstLine="255"/>
        <w:spacing w:after="0" w:line="301"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5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December 31, 2022, our portfolio based on fair value consisted of 99.0% first-lien debt investments, and 1.0% equity and other investments.</w:t>
      </w:r>
    </w:p>
    <w:p>
      <w:pPr>
        <w:spacing w:after="0" w:line="248"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As of December 31, 2022 , our weighted average total yield of debt and income producing securities at fair value (which includes interest income and amortization of fees and discounts) was 12.8% and our weighted average total yield of debt and income-producing securities at amortized cost (which includes interest income and amortization of fees and discounts) was 12.8%.</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2022 , we had investments in 10 portfolio companies, with an aggregate fair value of $808.8 million.</w:t>
      </w:r>
    </w:p>
    <w:p>
      <w:pPr>
        <w:spacing w:after="0" w:line="225"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For the period ended December 31, 2022, the principal amount of new investments funded was $839.3 million in 10 new portfolio companies. For this period, we had no exits or repayments.</w:t>
      </w:r>
    </w:p>
    <w:p>
      <w:pPr>
        <w:spacing w:after="0" w:line="170"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Our investment activity for the period from April 5, 2022 (Inception) through December 31, 2022, is presented below (information presented herein is at par value unless otherwise indicated).</w:t>
      </w:r>
    </w:p>
    <w:p>
      <w:pPr>
        <w:spacing w:after="0" w:line="35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From April 5, 2022 (Inception) through</w:t>
            </w:r>
          </w:p>
        </w:tc>
      </w:tr>
      <w:tr>
        <w:trPr>
          <w:trHeight w:val="185"/>
        </w:trPr>
        <w:tc>
          <w:tcPr>
            <w:tcW w:w="3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Arial" w:cs="Arial" w:eastAsia="Arial" w:hAnsi="Arial"/>
                <w:sz w:val="14"/>
                <w:szCs w:val="14"/>
                <w:color w:val="auto"/>
              </w:rPr>
              <w:t>($ in millions)</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8"/>
              </w:rPr>
              <w:t>December 31, 2022</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320" w:type="dxa"/>
            <w:vAlign w:val="bottom"/>
          </w:tcPr>
          <w:p>
            <w:pPr>
              <w:spacing w:after="0"/>
              <w:rPr>
                <w:sz w:val="20"/>
                <w:szCs w:val="20"/>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Gross originations</w:t>
            </w:r>
          </w:p>
        </w:tc>
        <w:tc>
          <w:tcPr>
            <w:tcW w:w="340" w:type="dxa"/>
            <w:vAlign w:val="bottom"/>
          </w:tcPr>
          <w:p>
            <w:pPr>
              <w:spacing w:after="0"/>
              <w:rPr>
                <w:sz w:val="20"/>
                <w:szCs w:val="20"/>
                <w:color w:val="auto"/>
              </w:rPr>
            </w:pPr>
          </w:p>
        </w:tc>
        <w:tc>
          <w:tcPr>
            <w:tcW w:w="144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1,704.3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618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new investment commitments</w:t>
            </w:r>
          </w:p>
        </w:tc>
        <w:tc>
          <w:tcPr>
            <w:tcW w:w="340" w:type="dxa"/>
            <w:vAlign w:val="bottom"/>
            <w:tcBorders>
              <w:top w:val="single" w:sz="8" w:color="CFF0FC"/>
            </w:tcBorders>
            <w:shd w:val="clear" w:color="auto" w:fill="CFF0FC"/>
          </w:tcPr>
          <w:p>
            <w:pPr>
              <w:spacing w:after="0"/>
              <w:rPr>
                <w:sz w:val="21"/>
                <w:szCs w:val="21"/>
                <w:color w:val="auto"/>
              </w:rPr>
            </w:pPr>
          </w:p>
        </w:tc>
        <w:tc>
          <w:tcPr>
            <w:tcW w:w="760" w:type="dxa"/>
            <w:vAlign w:val="bottom"/>
            <w:tcBorders>
              <w:top w:val="single" w:sz="8" w:color="CFF0FC"/>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1,704.3</w:t>
            </w:r>
          </w:p>
        </w:tc>
        <w:tc>
          <w:tcPr>
            <w:tcW w:w="100" w:type="dxa"/>
            <w:vAlign w:val="bottom"/>
            <w:tcBorders>
              <w:top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3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320" w:type="dxa"/>
            <w:vAlign w:val="bottom"/>
          </w:tcPr>
          <w:p>
            <w:pPr>
              <w:spacing w:after="0"/>
              <w:rPr>
                <w:sz w:val="21"/>
                <w:szCs w:val="21"/>
                <w:color w:val="auto"/>
              </w:rPr>
            </w:pPr>
          </w:p>
        </w:tc>
        <w:tc>
          <w:tcPr>
            <w:tcW w:w="6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First-lien</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320" w:type="dxa"/>
            <w:vAlign w:val="bottom"/>
          </w:tcPr>
          <w:p>
            <w:pPr>
              <w:spacing w:after="0"/>
              <w:rPr>
                <w:sz w:val="20"/>
                <w:szCs w:val="20"/>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Equity and other</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61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3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Number of new investment commitments in new portfolio</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320" w:type="dxa"/>
            <w:vAlign w:val="bottom"/>
          </w:tcPr>
          <w:p>
            <w:pPr>
              <w:spacing w:after="0"/>
              <w:rPr>
                <w:sz w:val="20"/>
                <w:szCs w:val="20"/>
                <w:color w:val="auto"/>
              </w:rPr>
            </w:pPr>
          </w:p>
        </w:tc>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companies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8"/>
        </w:trPr>
        <w:tc>
          <w:tcPr>
            <w:tcW w:w="32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new investment commitment amount in new portfolio</w:t>
            </w: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20" w:type="dxa"/>
            <w:vAlign w:val="bottom"/>
          </w:tcPr>
          <w:p>
            <w:pPr>
              <w:spacing w:after="0"/>
              <w:rPr>
                <w:sz w:val="21"/>
                <w:szCs w:val="21"/>
                <w:color w:val="auto"/>
              </w:rPr>
            </w:pPr>
          </w:p>
        </w:tc>
        <w:tc>
          <w:tcPr>
            <w:tcW w:w="61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companies</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3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Weighted average term for new investment commitments in new</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portfolio companies (in years)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3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b w:val="1"/>
                <w:bCs w:val="1"/>
                <w:color w:val="auto"/>
              </w:rPr>
              <w:t>Percentage of new debt investment commitments at floating</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0"/>
        </w:trPr>
        <w:tc>
          <w:tcPr>
            <w:tcW w:w="320" w:type="dxa"/>
            <w:vAlign w:val="bottom"/>
          </w:tcPr>
          <w:p>
            <w:pPr>
              <w:spacing w:after="0"/>
              <w:rPr>
                <w:sz w:val="23"/>
                <w:szCs w:val="23"/>
                <w:color w:val="auto"/>
              </w:rPr>
            </w:pPr>
          </w:p>
        </w:tc>
        <w:tc>
          <w:tcPr>
            <w:tcW w:w="6180" w:type="dxa"/>
            <w:vAlign w:val="bottom"/>
          </w:tcPr>
          <w:p>
            <w:pPr>
              <w:ind w:left="140"/>
              <w:spacing w:after="0" w:line="270" w:lineRule="exact"/>
              <w:rPr>
                <w:sz w:val="20"/>
                <w:szCs w:val="20"/>
                <w:color w:val="auto"/>
              </w:rPr>
            </w:pPr>
            <w:r>
              <w:rPr>
                <w:rFonts w:ascii="Arial" w:cs="Arial" w:eastAsia="Arial" w:hAnsi="Arial"/>
                <w:sz w:val="18"/>
                <w:szCs w:val="18"/>
                <w:b w:val="1"/>
                <w:bCs w:val="1"/>
                <w:color w:val="auto"/>
              </w:rPr>
              <w:t xml:space="preserve">rates </w:t>
            </w:r>
            <w:r>
              <w:rPr>
                <w:rFonts w:ascii="Arial" w:cs="Arial" w:eastAsia="Arial" w:hAnsi="Arial"/>
                <w:sz w:val="24"/>
                <w:szCs w:val="24"/>
                <w:b w:val="1"/>
                <w:bCs w:val="1"/>
                <w:color w:val="auto"/>
                <w:vertAlign w:val="superscript"/>
              </w:rPr>
              <w:t>(1)</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100.0 %</w:t>
            </w:r>
          </w:p>
        </w:tc>
      </w:tr>
      <w:tr>
        <w:trPr>
          <w:trHeight w:val="234"/>
        </w:trPr>
        <w:tc>
          <w:tcPr>
            <w:tcW w:w="3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11.8 %</w:t>
            </w:r>
          </w:p>
        </w:tc>
      </w:tr>
      <w:tr>
        <w:trPr>
          <w:trHeight w:val="220"/>
        </w:trPr>
        <w:tc>
          <w:tcPr>
            <w:tcW w:w="3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Weighted average spread over reference rate of new floating rate</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7.3 %</w:t>
            </w:r>
          </w:p>
        </w:tc>
      </w:tr>
      <w:tr>
        <w:trPr>
          <w:trHeight w:val="688"/>
        </w:trPr>
        <w:tc>
          <w:tcPr>
            <w:tcW w:w="6500" w:type="dxa"/>
            <w:vAlign w:val="bottom"/>
            <w:gridSpan w:val="2"/>
          </w:tcPr>
          <w:p>
            <w:pPr>
              <w:spacing w:after="0"/>
              <w:rPr>
                <w:sz w:val="20"/>
                <w:szCs w:val="20"/>
                <w:color w:val="auto"/>
              </w:rPr>
            </w:pPr>
            <w:r>
              <w:rPr>
                <w:rFonts w:ascii="Arial" w:cs="Arial" w:eastAsia="Arial" w:hAnsi="Arial"/>
                <w:sz w:val="18"/>
                <w:szCs w:val="18"/>
                <w:color w:val="auto"/>
              </w:rPr>
              <w:t>As of December 31, 2022, our investments consisted of the following:</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3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December 31, 2022</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3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color w:val="auto"/>
              </w:rPr>
              <w:t>($ in millions)</w:t>
            </w:r>
          </w:p>
        </w:tc>
        <w:tc>
          <w:tcPr>
            <w:tcW w:w="3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7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gridSpan w:val="2"/>
          </w:tcPr>
          <w:p>
            <w:pPr>
              <w:spacing w:after="0"/>
              <w:rPr>
                <w:sz w:val="14"/>
                <w:szCs w:val="14"/>
                <w:color w:val="auto"/>
              </w:rPr>
            </w:pPr>
          </w:p>
        </w:tc>
      </w:tr>
      <w:tr>
        <w:trPr>
          <w:trHeight w:val="237"/>
        </w:trPr>
        <w:tc>
          <w:tcPr>
            <w:tcW w:w="320" w:type="dxa"/>
            <w:vAlign w:val="bottom"/>
          </w:tcPr>
          <w:p>
            <w:pPr>
              <w:spacing w:after="0"/>
              <w:rPr>
                <w:sz w:val="20"/>
                <w:szCs w:val="20"/>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801.0</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9"/>
        </w:trPr>
        <w:tc>
          <w:tcPr>
            <w:tcW w:w="320" w:type="dxa"/>
            <w:vAlign w:val="bottom"/>
          </w:tcPr>
          <w:p>
            <w:pPr>
              <w:spacing w:after="0"/>
              <w:rPr>
                <w:sz w:val="24"/>
                <w:szCs w:val="24"/>
                <w:color w:val="auto"/>
              </w:rPr>
            </w:pPr>
          </w:p>
        </w:tc>
        <w:tc>
          <w:tcPr>
            <w:tcW w:w="6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808.8</w:t>
            </w:r>
          </w:p>
        </w:tc>
        <w:tc>
          <w:tcPr>
            <w:tcW w:w="2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809.0</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-3719830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-2056765</wp:posOffset>
            </wp:positionV>
            <wp:extent cx="6412230"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2230" cy="29146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-1610995</wp:posOffset>
            </wp:positionV>
            <wp:extent cx="6412230"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2230" cy="29146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have no non-accrual investments as of December 31, 2022.</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61" w:right="479" w:bottom="1440" w:gutter="0" w:footer="0" w:header="0"/>
        </w:sectPr>
      </w:pPr>
    </w:p>
    <w:bookmarkStart w:id="64" w:name="page65"/>
    <w:bookmarkEnd w:id="64"/>
    <w:p>
      <w:pPr>
        <w:ind w:left="260"/>
        <w:spacing w:after="0"/>
        <w:rPr>
          <w:sz w:val="20"/>
          <w:szCs w:val="20"/>
          <w:color w:val="auto"/>
        </w:rPr>
      </w:pPr>
      <w:r>
        <w:rPr>
          <w:rFonts w:ascii="Arial" w:cs="Arial" w:eastAsia="Arial" w:hAnsi="Arial"/>
          <w:sz w:val="17"/>
          <w:szCs w:val="17"/>
          <w:color w:val="auto"/>
        </w:rPr>
        <w:t>The weighted average yields and interest rates of our performing debt investments at fair value as of December 31, 2022 were as follows:</w:t>
      </w:r>
    </w:p>
    <w:p>
      <w:pPr>
        <w:spacing w:after="0" w:line="24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2022</w:t>
            </w:r>
          </w:p>
        </w:tc>
      </w:tr>
      <w:tr>
        <w:trPr>
          <w:trHeight w:val="187"/>
        </w:trPr>
        <w:tc>
          <w:tcPr>
            <w:tcW w:w="6240" w:type="dxa"/>
            <w:vAlign w:val="bottom"/>
          </w:tcPr>
          <w:p>
            <w:pPr>
              <w:spacing w:after="0" w:line="187" w:lineRule="exact"/>
              <w:rPr>
                <w:sz w:val="20"/>
                <w:szCs w:val="20"/>
                <w:color w:val="auto"/>
              </w:rPr>
            </w:pPr>
            <w:r>
              <w:rPr>
                <w:rFonts w:ascii="Arial" w:cs="Arial" w:eastAsia="Arial" w:hAnsi="Arial"/>
                <w:sz w:val="18"/>
                <w:szCs w:val="18"/>
                <w:color w:val="auto"/>
              </w:rPr>
              <w:t>Weighted average total yield of debt and income</w:t>
            </w:r>
          </w:p>
        </w:tc>
        <w:tc>
          <w:tcPr>
            <w:tcW w:w="1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66"/>
        </w:trPr>
        <w:tc>
          <w:tcPr>
            <w:tcW w:w="6240" w:type="dxa"/>
            <w:vAlign w:val="bottom"/>
          </w:tcPr>
          <w:p>
            <w:pPr>
              <w:ind w:left="140"/>
              <w:spacing w:after="0" w:line="266" w:lineRule="exact"/>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24"/>
                <w:szCs w:val="24"/>
                <w:color w:val="auto"/>
                <w:vertAlign w:val="superscript"/>
              </w:rPr>
              <w:t>(1)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12.4 %</w:t>
            </w: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11.8 %</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Weighted average spread over SOFR of all floating</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rate investments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-865505</wp:posOffset>
            </wp:positionV>
            <wp:extent cx="4989195"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89195" cy="29146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-282575</wp:posOffset>
            </wp:positionV>
            <wp:extent cx="4989195"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89195" cy="291465"/>
                    </a:xfrm>
                    <a:prstGeom prst="rect">
                      <a:avLst/>
                    </a:prstGeom>
                    <a:noFill/>
                  </pic:spPr>
                </pic:pic>
              </a:graphicData>
            </a:graphic>
          </wp:anchor>
        </w:drawing>
      </w:r>
    </w:p>
    <w:p>
      <w:pPr>
        <w:spacing w:after="0" w:line="195"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12.7% at December 31, 2022.</w:t>
      </w:r>
    </w:p>
    <w:p>
      <w:pPr>
        <w:spacing w:after="0" w:line="293" w:lineRule="exact"/>
        <w:rPr>
          <w:sz w:val="20"/>
          <w:szCs w:val="20"/>
          <w:color w:val="auto"/>
        </w:rPr>
      </w:pPr>
    </w:p>
    <w:p>
      <w:pPr>
        <w:jc w:val="both"/>
        <w:ind w:right="100" w:firstLine="255"/>
        <w:spacing w:after="0" w:line="263"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76" w:lineRule="exact"/>
        <w:rPr>
          <w:sz w:val="20"/>
          <w:szCs w:val="20"/>
          <w:color w:val="auto"/>
        </w:rPr>
      </w:pPr>
    </w:p>
    <w:p>
      <w:pPr>
        <w:ind w:left="520" w:hanging="257"/>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0" w:hanging="257"/>
        <w:spacing w:after="0" w:line="277"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6" w:lineRule="exact"/>
        <w:rPr>
          <w:sz w:val="20"/>
          <w:szCs w:val="20"/>
          <w:color w:val="auto"/>
        </w:rPr>
      </w:pPr>
    </w:p>
    <w:p>
      <w:pPr>
        <w:jc w:val="both"/>
        <w:ind w:left="520" w:right="600" w:hanging="257"/>
        <w:spacing w:after="0" w:line="263"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5" w:lineRule="exact"/>
        <w:rPr>
          <w:rFonts w:ascii="Arial" w:cs="Arial" w:eastAsia="Arial" w:hAnsi="Arial"/>
          <w:sz w:val="18"/>
          <w:szCs w:val="18"/>
          <w:color w:val="auto"/>
        </w:rPr>
      </w:pPr>
    </w:p>
    <w:p>
      <w:pPr>
        <w:ind w:left="520" w:right="80" w:hanging="257"/>
        <w:spacing w:after="0" w:line="263"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20" w:right="140" w:hanging="257"/>
        <w:spacing w:after="0" w:line="263"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20" w:right="40" w:hanging="257"/>
        <w:spacing w:after="0" w:line="255"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4" w:lineRule="exact"/>
        <w:rPr>
          <w:rFonts w:ascii="Arial" w:cs="Arial" w:eastAsia="Arial" w:hAnsi="Arial"/>
          <w:sz w:val="18"/>
          <w:szCs w:val="18"/>
          <w:color w:val="auto"/>
        </w:rPr>
      </w:pPr>
    </w:p>
    <w:p>
      <w:pPr>
        <w:ind w:left="520" w:right="240" w:hanging="257"/>
        <w:spacing w:after="0" w:line="279" w:lineRule="auto"/>
        <w:tabs>
          <w:tab w:leader="none" w:pos="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5" w:name="page66"/>
    <w:bookmarkEnd w:id="65"/>
    <w:p>
      <w:pPr>
        <w:ind w:right="140" w:firstLine="255"/>
        <w:spacing w:after="0" w:line="263"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2022. Investment performance ratings are accurate only as of those dates and may change due to subsequent developments relating to a portfolio company’s business or financial condition, market conditions or developments, and other factors.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6"/>
              </w:rPr>
              <w:t>December 31, 2022</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3"/>
        </w:trPr>
        <w:tc>
          <w:tcPr>
            <w:tcW w:w="5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28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1"/>
              </w:rPr>
              <w:t>Investments at</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5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Performance</w:t>
            </w:r>
          </w:p>
        </w:tc>
        <w:tc>
          <w:tcPr>
            <w:tcW w:w="28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8"/>
              </w:rPr>
              <w:t>Fair Value</w:t>
            </w:r>
          </w:p>
        </w:tc>
        <w:tc>
          <w:tcPr>
            <w:tcW w:w="17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9"/>
              </w:rPr>
              <w:t>Percentage of</w:t>
            </w:r>
          </w:p>
        </w:tc>
      </w:tr>
      <w:tr>
        <w:trPr>
          <w:trHeight w:val="185"/>
        </w:trPr>
        <w:tc>
          <w:tcPr>
            <w:tcW w:w="5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Rating</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7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Total Portfolio</w:t>
            </w:r>
          </w:p>
        </w:tc>
      </w:tr>
      <w:tr>
        <w:trPr>
          <w:trHeight w:val="224"/>
        </w:trPr>
        <w:tc>
          <w:tcPr>
            <w:tcW w:w="5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ind w:right="54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710.8</w:t>
            </w:r>
          </w:p>
        </w:tc>
        <w:tc>
          <w:tcPr>
            <w:tcW w:w="3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53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98.0</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5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160" w:type="dxa"/>
            <w:vAlign w:val="bottom"/>
            <w:gridSpan w:val="3"/>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30"/>
        </w:trPr>
        <w:tc>
          <w:tcPr>
            <w:tcW w:w="53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6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9"/>
        </w:trPr>
        <w:tc>
          <w:tcPr>
            <w:tcW w:w="5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720" w:type="dxa"/>
            <w:vAlign w:val="bottom"/>
          </w:tcPr>
          <w:p>
            <w:pPr>
              <w:jc w:val="right"/>
              <w:ind w:right="54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808.8</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r>
      <w:tr>
        <w:trPr>
          <w:trHeight w:val="20"/>
        </w:trPr>
        <w:tc>
          <w:tcPr>
            <w:tcW w:w="5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5969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period from April 5, 2022 (Inception) through December 31, 2022,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From April 5, 2022</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 in millions)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(Inception) through</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Less: Net expenses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investment income before income taxes</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Less: Income taxes, including excise taxes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investment income</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20" w:type="dxa"/>
            <w:vAlign w:val="bottom"/>
          </w:tcPr>
          <w:p>
            <w:pPr>
              <w:spacing w:after="0" w:line="243" w:lineRule="exact"/>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24"/>
                <w:szCs w:val="24"/>
                <w:color w:val="auto"/>
                <w:vertAlign w:val="superscript"/>
              </w:rPr>
              <w:t>(1)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20" w:type="dxa"/>
            <w:vAlign w:val="bottom"/>
            <w:shd w:val="clear" w:color="auto" w:fill="CFF0FC"/>
          </w:tcPr>
          <w:p>
            <w:pPr>
              <w:spacing w:after="0" w:line="243" w:lineRule="exact"/>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24"/>
                <w:szCs w:val="24"/>
                <w:color w:val="auto"/>
                <w:vertAlign w:val="superscript"/>
              </w:rPr>
              <w:t>(1)</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20" w:type="dxa"/>
            <w:vAlign w:val="bottom"/>
            <w:tcBorders>
              <w:top w:val="single" w:sz="8" w:color="CFF0FC"/>
            </w:tcBorders>
          </w:tcPr>
          <w:p>
            <w:pPr>
              <w:ind w:left="18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(1)</w:t>
            </w:r>
          </w:p>
        </w:tc>
        <w:tc>
          <w:tcPr>
            <w:tcW w:w="844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0" w:type="dxa"/>
            <w:vAlign w:val="bottom"/>
            <w:vMerge w:val="continue"/>
          </w:tcPr>
          <w:p>
            <w:pPr>
              <w:spacing w:after="0"/>
              <w:rPr>
                <w:sz w:val="24"/>
                <w:szCs w:val="24"/>
                <w:color w:val="auto"/>
              </w:rPr>
            </w:pPr>
          </w:p>
        </w:tc>
        <w:tc>
          <w:tcPr>
            <w:tcW w:w="84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From April 5, 2022</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 in millions)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(Inception) through</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22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income</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b w:val="1"/>
                <w:bCs w:val="1"/>
                <w:color w:val="auto"/>
              </w:rPr>
              <w:t>Total investment income</w:t>
            </w:r>
          </w:p>
        </w:tc>
        <w:tc>
          <w:tcPr>
            <w:tcW w:w="22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-2202180</wp:posOffset>
            </wp:positionV>
            <wp:extent cx="60325"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-1885315</wp:posOffset>
            </wp:positionV>
            <wp:extent cx="6032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Operating expenses for the period from April 5, 2022 (Inception) through December 31, 2022, were as follows: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From April 5, 2022</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(Inception) through</w:t>
      </w:r>
    </w:p>
    <w:p>
      <w:pPr>
        <w:ind w:left="40"/>
        <w:spacing w:after="0"/>
        <w:rPr>
          <w:sz w:val="20"/>
          <w:szCs w:val="20"/>
          <w:color w:val="auto"/>
        </w:rPr>
      </w:pPr>
      <w:r>
        <w:rPr>
          <w:rFonts w:ascii="Arial" w:cs="Arial" w:eastAsia="Arial" w:hAnsi="Arial"/>
          <w:sz w:val="12"/>
          <w:szCs w:val="12"/>
          <w:b w:val="1"/>
          <w:bCs w:val="1"/>
          <w:color w:val="auto"/>
        </w:rPr>
        <w:t>December 31, 2022</w:t>
      </w:r>
    </w:p>
    <w:p>
      <w:pPr>
        <w:spacing w:after="0" w:line="31" w:lineRule="exact"/>
        <w:rPr>
          <w:sz w:val="20"/>
          <w:szCs w:val="20"/>
          <w:color w:val="auto"/>
        </w:rPr>
      </w:pPr>
    </w:p>
    <w:p>
      <w:pPr>
        <w:sectPr>
          <w:pgSz w:w="11900" w:h="16838" w:orient="portrait"/>
          <w:cols w:equalWidth="0" w:num="2">
            <w:col w:w="8380" w:space="720"/>
            <w:col w:w="214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376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3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9"/>
              </w:rPr>
              <w:t>Incentive fees related to pre-incentive fee net investment</w:t>
            </w:r>
          </w:p>
        </w:tc>
        <w:tc>
          <w:tcPr>
            <w:tcW w:w="37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37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Organizational and offering expense</w:t>
            </w:r>
          </w:p>
        </w:tc>
        <w:tc>
          <w:tcPr>
            <w:tcW w:w="3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37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Trustees' fees</w:t>
            </w:r>
          </w:p>
        </w:tc>
        <w:tc>
          <w:tcPr>
            <w:tcW w:w="3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37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520" w:type="dxa"/>
            <w:vAlign w:val="bottom"/>
          </w:tcPr>
          <w:p>
            <w:pPr>
              <w:ind w:left="180"/>
              <w:spacing w:after="0"/>
              <w:rPr>
                <w:sz w:val="20"/>
                <w:szCs w:val="20"/>
                <w:color w:val="auto"/>
              </w:rPr>
            </w:pPr>
            <w:r>
              <w:rPr>
                <w:rFonts w:ascii="Arial" w:cs="Arial" w:eastAsia="Arial" w:hAnsi="Arial"/>
                <w:sz w:val="18"/>
                <w:szCs w:val="18"/>
                <w:b w:val="1"/>
                <w:bCs w:val="1"/>
                <w:color w:val="auto"/>
              </w:rPr>
              <w:t>Net Expenses</w:t>
            </w:r>
          </w:p>
        </w:tc>
        <w:tc>
          <w:tcPr>
            <w:tcW w:w="45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760" w:type="dxa"/>
            <w:vAlign w:val="bottom"/>
            <w:vMerge w:val="restart"/>
          </w:tcPr>
          <w:p>
            <w:pPr>
              <w:jc w:val="right"/>
              <w:ind w:right="3050"/>
              <w:spacing w:after="0"/>
              <w:rPr>
                <w:sz w:val="20"/>
                <w:szCs w:val="20"/>
                <w:color w:val="auto"/>
              </w:rPr>
            </w:pPr>
            <w:r>
              <w:rPr>
                <w:rFonts w:ascii="Arial" w:cs="Arial" w:eastAsia="Arial" w:hAnsi="Arial"/>
                <w:sz w:val="18"/>
                <w:szCs w:val="18"/>
                <w:color w:val="auto"/>
              </w:rPr>
              <w:t>66</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-616585</wp:posOffset>
            </wp:positionV>
            <wp:extent cx="603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intend to elect to be treated as a RIC under Subchapter M of the Code, and we intend to operate in a manner so as to continue net realized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w:t>
      </w:r>
    </w:p>
    <w:p>
      <w:pPr>
        <w:spacing w:after="0" w:line="188" w:lineRule="exact"/>
        <w:rPr>
          <w:sz w:val="20"/>
          <w:szCs w:val="20"/>
          <w:color w:val="auto"/>
        </w:rPr>
      </w:pPr>
    </w:p>
    <w:p>
      <w:pPr>
        <w:ind w:right="80" w:firstLine="255"/>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period ended December 31, 2022, we recorded a net expense of $0.2 million, for U.S. federal excise tax and other taxes.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right="420" w:firstLine="255"/>
        <w:spacing w:after="0" w:line="277" w:lineRule="auto"/>
        <w:rPr>
          <w:sz w:val="20"/>
          <w:szCs w:val="20"/>
          <w:color w:val="auto"/>
        </w:rPr>
      </w:pPr>
      <w:r>
        <w:rPr>
          <w:rFonts w:ascii="Arial" w:cs="Arial" w:eastAsia="Arial" w:hAnsi="Arial"/>
          <w:sz w:val="18"/>
          <w:szCs w:val="18"/>
          <w:color w:val="auto"/>
        </w:rPr>
        <w:t>The following table summarizes our net realized and unrealized gains (losses) for the period from April 5, 2022 (Inception) through December 31, 2022:</w:t>
      </w: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6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23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97"/>
              </w:rPr>
              <w:t>From April 5, 2022 (Inception)</w:t>
            </w:r>
          </w:p>
        </w:tc>
        <w:tc>
          <w:tcPr>
            <w:tcW w:w="0" w:type="dxa"/>
            <w:vAlign w:val="bottom"/>
          </w:tcPr>
          <w:p>
            <w:pPr>
              <w:spacing w:after="0"/>
              <w:rPr>
                <w:sz w:val="1"/>
                <w:szCs w:val="1"/>
                <w:color w:val="auto"/>
              </w:rPr>
            </w:pPr>
          </w:p>
        </w:tc>
      </w:tr>
      <w:tr>
        <w:trPr>
          <w:trHeight w:val="119"/>
        </w:trPr>
        <w:tc>
          <w:tcPr>
            <w:tcW w:w="76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through December 31, 2022</w:t>
            </w:r>
          </w:p>
        </w:tc>
        <w:tc>
          <w:tcPr>
            <w:tcW w:w="0" w:type="dxa"/>
            <w:vAlign w:val="bottom"/>
          </w:tcPr>
          <w:p>
            <w:pPr>
              <w:spacing w:after="0"/>
              <w:rPr>
                <w:sz w:val="1"/>
                <w:szCs w:val="1"/>
                <w:color w:val="auto"/>
              </w:rPr>
            </w:pPr>
          </w:p>
        </w:tc>
      </w:tr>
      <w:tr>
        <w:trPr>
          <w:trHeight w:val="66"/>
        </w:trPr>
        <w:tc>
          <w:tcPr>
            <w:tcW w:w="7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Net realized gains (losses) on foreign currency borrowings</w:t>
            </w: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Realized Gains (Losses)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(losses) on investments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Change in unrealized gains (losses) on investments</w:t>
            </w:r>
          </w:p>
        </w:tc>
        <w:tc>
          <w:tcPr>
            <w:tcW w:w="180" w:type="dxa"/>
            <w:vAlign w:val="bottom"/>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foreign currency borrowings</w:t>
            </w:r>
          </w:p>
        </w:tc>
        <w:tc>
          <w:tcPr>
            <w:tcW w:w="180" w:type="dxa"/>
            <w:vAlign w:val="bottom"/>
            <w:shd w:val="clear" w:color="auto" w:fill="CFF0FC"/>
          </w:tcPr>
          <w:p>
            <w:pPr>
              <w:spacing w:after="0"/>
              <w:rPr>
                <w:sz w:val="21"/>
                <w:szCs w:val="21"/>
                <w:color w:val="auto"/>
              </w:rPr>
            </w:pP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Unrealized gains (losses) on foreign currency cash</w:t>
            </w: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 on Foreign Currency Transactions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-1619250</wp:posOffset>
            </wp:positionV>
            <wp:extent cx="60325"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firstLine="300"/>
        <w:spacing w:after="0" w:line="263" w:lineRule="auto"/>
        <w:rPr>
          <w:sz w:val="20"/>
          <w:szCs w:val="20"/>
          <w:color w:val="auto"/>
        </w:rPr>
      </w:pPr>
      <w:r>
        <w:rPr>
          <w:rFonts w:ascii="Arial" w:cs="Arial" w:eastAsia="Arial" w:hAnsi="Arial"/>
          <w:sz w:val="18"/>
          <w:szCs w:val="18"/>
          <w:color w:val="auto"/>
        </w:rPr>
        <w:t>For the period ended December 31, 2022, we had net realized losses on foreign currency transactions of $0.1 million. For the period from April 5, 2022 (Inception) through December 31, 2022, we had net realized losses on foreign currency borrowings of less than $0.1 million. The net realized losses on foreign currency borrowings were a result of payments on our revolving credit facility.</w:t>
      </w:r>
    </w:p>
    <w:p>
      <w:pPr>
        <w:spacing w:after="0" w:line="184"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For the period ended December 31, 2022 we had $2.7 million in unrealized gains on seven portfolio company investments, which was offset by $2.9 million in unrealized losses on three portfolio company investments. Unrealized losses for the period ended December 31, 2022 resulted from an decrease in fair value, primarily due to changes in credit spreads.</w:t>
      </w:r>
    </w:p>
    <w:p>
      <w:pPr>
        <w:spacing w:after="0" w:line="184" w:lineRule="exact"/>
        <w:rPr>
          <w:sz w:val="20"/>
          <w:szCs w:val="20"/>
          <w:color w:val="auto"/>
        </w:rPr>
      </w:pPr>
    </w:p>
    <w:p>
      <w:pPr>
        <w:ind w:right="120" w:firstLine="255"/>
        <w:spacing w:after="0" w:line="342" w:lineRule="auto"/>
        <w:rPr>
          <w:sz w:val="20"/>
          <w:szCs w:val="20"/>
          <w:color w:val="auto"/>
        </w:rPr>
      </w:pPr>
      <w:r>
        <w:rPr>
          <w:rFonts w:ascii="Arial" w:cs="Arial" w:eastAsia="Arial" w:hAnsi="Arial"/>
          <w:sz w:val="16"/>
          <w:szCs w:val="16"/>
          <w:color w:val="auto"/>
        </w:rPr>
        <w:t>For the period ended December 31, 2022 we had unrealized losses on foreign currency borrowings of $1.5 million, primarily as a result of fluctuations in the GBP and EUR exchange rates. For the period ended December 31, 2022 we had no deferred tax asset or liability for unrealized gains or losses.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Foreign Currency Hedging</w:t>
      </w:r>
    </w:p>
    <w:p>
      <w:pPr>
        <w:spacing w:after="0" w:line="117" w:lineRule="exact"/>
        <w:rPr>
          <w:sz w:val="20"/>
          <w:szCs w:val="20"/>
          <w:color w:val="auto"/>
        </w:rPr>
      </w:pPr>
    </w:p>
    <w:p>
      <w:pPr>
        <w:ind w:right="120" w:firstLine="255"/>
        <w:spacing w:after="0" w:line="254" w:lineRule="auto"/>
        <w:rPr>
          <w:sz w:val="20"/>
          <w:szCs w:val="20"/>
          <w:color w:val="auto"/>
        </w:rPr>
      </w:pPr>
      <w:r>
        <w:rPr>
          <w:rFonts w:ascii="Arial" w:cs="Arial" w:eastAsia="Arial" w:hAnsi="Arial"/>
          <w:sz w:val="18"/>
          <w:szCs w:val="18"/>
          <w:color w:val="auto"/>
        </w:rPr>
        <w:t>Our current approach to hedging the foreign currency exposure in our non-U.S. dollar denominated investments is primarily to borrow the par amount in local currency under our Subscription Facility to fund these investments. For the period from April 5, 2022 (Inception) through December 31, 2022, we had $1.5 million, of unrealized losses, on the translation of our non-U.S. dollar denominated debt into U.S. dollars; such amounts approximate the corresponding unrealized gains on the translation of our non-U.S. dollar denominated investments into U.S. dollars for the period from April 5, 2022 (Inception) through December 31, 2022. See Note 2 for additional disclosure regarding our accounting for foreign currency. See Note 7 for additional disclosure regarding the amounts of outstanding debt denominated in each foreign currency at December 31, 2022. See our consolidated schedule of investments for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additional disclosure regarding the foreign currency amounts (in both par and fair value) of our non-U.S. dollar denominated investments.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7"/>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60" w:firstLine="255"/>
        <w:spacing w:after="0" w:line="284"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Arial" w:cs="Arial" w:eastAsia="Arial" w:hAnsi="Arial"/>
          <w:sz w:val="16"/>
          <w:szCs w:val="16"/>
          <w:i w:val="1"/>
          <w:iCs w:val="1"/>
          <w:color w:val="auto"/>
        </w:rPr>
        <w:t>Key Components of Our Results of Operations —Leverage</w:t>
      </w:r>
      <w:r>
        <w:rPr>
          <w:rFonts w:ascii="Arial" w:cs="Arial" w:eastAsia="Arial" w:hAnsi="Arial"/>
          <w:sz w:val="16"/>
          <w:szCs w:val="16"/>
          <w:color w:val="auto"/>
        </w:rPr>
        <w:t>” above. As of December 31, 2022, our asset coverage ratio was</w:t>
      </w:r>
    </w:p>
    <w:p>
      <w:pPr>
        <w:spacing w:after="0" w:line="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201.6%.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90" w:lineRule="exact"/>
        <w:rPr>
          <w:sz w:val="20"/>
          <w:szCs w:val="20"/>
          <w:color w:val="auto"/>
        </w:rPr>
      </w:pPr>
    </w:p>
    <w:p>
      <w:pPr>
        <w:jc w:val="both"/>
        <w:ind w:right="220" w:firstLine="255"/>
        <w:spacing w:after="0" w:line="263" w:lineRule="auto"/>
        <w:rPr>
          <w:sz w:val="20"/>
          <w:szCs w:val="20"/>
          <w:color w:val="auto"/>
        </w:rPr>
      </w:pPr>
      <w:r>
        <w:rPr>
          <w:rFonts w:ascii="Arial" w:cs="Arial" w:eastAsia="Arial" w:hAnsi="Arial"/>
          <w:sz w:val="18"/>
          <w:szCs w:val="18"/>
          <w:color w:val="auto"/>
        </w:rPr>
        <w:t>Cash and cash equivalents as of December 31, 2022, taken together with cash available under our credit facilities, is expected to be sufficient for our investing activities and to conduct our operations in the near term. As of December 31, 2022, we had approximately $162.0 million of availability on our Subscription Facility, subject to asset coverage limitations.</w:t>
      </w:r>
    </w:p>
    <w:p>
      <w:pPr>
        <w:spacing w:after="0" w:line="184" w:lineRule="exact"/>
        <w:rPr>
          <w:sz w:val="20"/>
          <w:szCs w:val="20"/>
          <w:color w:val="auto"/>
        </w:rPr>
      </w:pPr>
    </w:p>
    <w:p>
      <w:pPr>
        <w:ind w:right="220" w:firstLine="255"/>
        <w:spacing w:after="0" w:line="275" w:lineRule="auto"/>
        <w:rPr>
          <w:sz w:val="20"/>
          <w:szCs w:val="20"/>
          <w:color w:val="auto"/>
        </w:rPr>
      </w:pPr>
      <w:r>
        <w:rPr>
          <w:rFonts w:ascii="Arial" w:cs="Arial" w:eastAsia="Arial" w:hAnsi="Arial"/>
          <w:sz w:val="17"/>
          <w:szCs w:val="17"/>
          <w:color w:val="auto"/>
        </w:rPr>
        <w:t>As of December 31, 2022, we had $274.6 million in cash and cash equivalents. During the year ended December 31, 2022, we used $800.4 million in cash from operating activities as a result of purchases and originations of investments of $808.3 million which was partially offset by an increase in net assets resulting from operations of $3.8 million and other operating activity of $4.1 million. Lastly, cash provided by financing activities was $1,075.0 million during the period, consisting of borrowings of $816.5 million and proceeds from the issuance of Common Shares of $542.9 million which was partially offset by repayments on debt and deferred financing costs of $284.4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225" w:lineRule="exact"/>
        <w:rPr>
          <w:sz w:val="20"/>
          <w:szCs w:val="20"/>
          <w:color w:val="auto"/>
        </w:rPr>
      </w:pPr>
    </w:p>
    <w:p>
      <w:pPr>
        <w:ind w:right="340" w:firstLine="255"/>
        <w:spacing w:after="0" w:line="277" w:lineRule="auto"/>
        <w:rPr>
          <w:sz w:val="20"/>
          <w:szCs w:val="20"/>
          <w:color w:val="auto"/>
        </w:rPr>
      </w:pPr>
      <w:r>
        <w:rPr>
          <w:rFonts w:ascii="Arial" w:cs="Arial" w:eastAsia="Arial" w:hAnsi="Arial"/>
          <w:sz w:val="18"/>
          <w:szCs w:val="18"/>
          <w:color w:val="auto"/>
        </w:rPr>
        <w:t>The following table summarizes the total Shares issued and proceeds received related to the Company's initial capitalization and capital drawdowns delivered pursuant to the Subscription Agreements for the period ended December 31, 2022.</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Common Share Issuance Date</w:t>
            </w:r>
          </w:p>
        </w:tc>
        <w:tc>
          <w:tcPr>
            <w:tcW w:w="700" w:type="dxa"/>
            <w:vAlign w:val="bottom"/>
          </w:tcPr>
          <w:p>
            <w:pPr>
              <w:spacing w:after="0"/>
              <w:rPr>
                <w:sz w:val="14"/>
                <w:szCs w:val="14"/>
                <w:color w:val="auto"/>
              </w:rPr>
            </w:pPr>
          </w:p>
        </w:tc>
        <w:tc>
          <w:tcPr>
            <w:tcW w:w="1840" w:type="dxa"/>
            <w:vAlign w:val="bottom"/>
          </w:tcPr>
          <w:p>
            <w:pPr>
              <w:jc w:val="right"/>
              <w:ind w:right="19"/>
              <w:spacing w:after="0"/>
              <w:rPr>
                <w:sz w:val="20"/>
                <w:szCs w:val="20"/>
                <w:color w:val="auto"/>
              </w:rPr>
            </w:pPr>
            <w:r>
              <w:rPr>
                <w:rFonts w:ascii="Arial" w:cs="Arial" w:eastAsia="Arial" w:hAnsi="Arial"/>
                <w:sz w:val="14"/>
                <w:szCs w:val="14"/>
                <w:b w:val="1"/>
                <w:bCs w:val="1"/>
                <w:color w:val="auto"/>
                <w:w w:val="92"/>
              </w:rPr>
              <w:t>Number of Common Shares</w:t>
            </w: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1"/>
              </w:rPr>
              <w:t>Proceeds Received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4320" w:type="dxa"/>
            <w:vAlign w:val="bottom"/>
            <w:tcBorders>
              <w:bottom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18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Issued</w:t>
            </w:r>
          </w:p>
        </w:tc>
        <w:tc>
          <w:tcPr>
            <w:tcW w:w="1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32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June 24, 2022 </w:t>
            </w:r>
            <w:r>
              <w:rPr>
                <w:rFonts w:ascii="Arial" w:cs="Arial" w:eastAsia="Arial" w:hAnsi="Arial"/>
                <w:sz w:val="24"/>
                <w:szCs w:val="24"/>
                <w:color w:val="auto"/>
                <w:vertAlign w:val="superscript"/>
              </w:rPr>
              <w:t>(1)</w:t>
            </w:r>
          </w:p>
        </w:tc>
        <w:tc>
          <w:tcPr>
            <w:tcW w:w="70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7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August 31, 2022</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2,205,694</w:t>
            </w: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0" w:type="dxa"/>
            <w:vAlign w:val="bottom"/>
          </w:tcPr>
          <w:p>
            <w:pPr>
              <w:spacing w:after="0"/>
              <w:rPr>
                <w:sz w:val="21"/>
                <w:szCs w:val="21"/>
                <w:color w:val="auto"/>
              </w:rPr>
            </w:pPr>
          </w:p>
        </w:tc>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September 28, 2022</w:t>
            </w:r>
          </w:p>
        </w:tc>
        <w:tc>
          <w:tcPr>
            <w:tcW w:w="2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5,080,906</w:t>
            </w:r>
          </w:p>
        </w:tc>
        <w:tc>
          <w:tcPr>
            <w:tcW w:w="17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FF0FC"/>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October 27, 2022</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7,598,252</w:t>
            </w: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0" w:type="dxa"/>
            <w:vAlign w:val="bottom"/>
          </w:tcPr>
          <w:p>
            <w:pPr>
              <w:spacing w:after="0"/>
              <w:rPr>
                <w:sz w:val="21"/>
                <w:szCs w:val="21"/>
                <w:color w:val="auto"/>
              </w:rPr>
            </w:pPr>
          </w:p>
        </w:tc>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December 13, 2022</w:t>
            </w:r>
          </w:p>
        </w:tc>
        <w:tc>
          <w:tcPr>
            <w:tcW w:w="2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3,998,385</w:t>
            </w:r>
          </w:p>
        </w:tc>
        <w:tc>
          <w:tcPr>
            <w:tcW w:w="17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December 28, 2022</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2,997,591</w:t>
            </w: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60" w:type="dxa"/>
            <w:vAlign w:val="bottom"/>
          </w:tcPr>
          <w:p>
            <w:pPr>
              <w:spacing w:after="0"/>
              <w:rPr>
                <w:sz w:val="24"/>
                <w:szCs w:val="24"/>
                <w:color w:val="auto"/>
              </w:rPr>
            </w:pPr>
          </w:p>
        </w:tc>
        <w:tc>
          <w:tcPr>
            <w:tcW w:w="43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21,882,028</w:t>
            </w:r>
          </w:p>
        </w:tc>
        <w:tc>
          <w:tcPr>
            <w:tcW w:w="17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(1)</w:t>
            </w:r>
          </w:p>
        </w:tc>
        <w:tc>
          <w:tcPr>
            <w:tcW w:w="4320" w:type="dxa"/>
            <w:vAlign w:val="bottom"/>
          </w:tcPr>
          <w:p>
            <w:pPr>
              <w:ind w:left="60"/>
              <w:spacing w:after="0"/>
              <w:rPr>
                <w:sz w:val="20"/>
                <w:szCs w:val="20"/>
                <w:color w:val="auto"/>
              </w:rPr>
            </w:pPr>
            <w:r>
              <w:rPr>
                <w:rFonts w:ascii="Arial" w:cs="Arial" w:eastAsia="Arial" w:hAnsi="Arial"/>
                <w:sz w:val="18"/>
                <w:szCs w:val="18"/>
                <w:color w:val="auto"/>
              </w:rPr>
              <w:t>Amounts round to less than $0.1</w:t>
            </w: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540" w:type="dxa"/>
            <w:vAlign w:val="bottom"/>
            <w:gridSpan w:val="2"/>
          </w:tcPr>
          <w:p>
            <w:pPr>
              <w:jc w:val="right"/>
              <w:ind w:right="1519"/>
              <w:spacing w:after="0"/>
              <w:rPr>
                <w:sz w:val="20"/>
                <w:szCs w:val="20"/>
                <w:color w:val="auto"/>
              </w:rPr>
            </w:pPr>
            <w:r>
              <w:rPr>
                <w:rFonts w:ascii="Arial" w:cs="Arial" w:eastAsia="Arial" w:hAnsi="Arial"/>
                <w:sz w:val="18"/>
                <w:szCs w:val="18"/>
                <w:color w:val="auto"/>
              </w:rPr>
              <w:t>68</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-591185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-574040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-591185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-574040</wp:posOffset>
            </wp:positionV>
            <wp:extent cx="59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December 31, 2022:</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1"/>
        </w:trPr>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ind w:right="119"/>
              <w:spacing w:after="0" w:line="141" w:lineRule="exact"/>
              <w:rPr>
                <w:sz w:val="20"/>
                <w:szCs w:val="20"/>
                <w:color w:val="auto"/>
              </w:rPr>
            </w:pPr>
            <w:r>
              <w:rPr>
                <w:rFonts w:ascii="Arial" w:cs="Arial" w:eastAsia="Arial" w:hAnsi="Arial"/>
                <w:sz w:val="14"/>
                <w:szCs w:val="14"/>
                <w:b w:val="1"/>
                <w:bCs w:val="1"/>
                <w:color w:val="auto"/>
                <w:w w:val="95"/>
              </w:rPr>
              <w:t>Aggregate Principal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Arial" w:cs="Arial" w:eastAsia="Arial" w:hAnsi="Arial"/>
                <w:sz w:val="14"/>
                <w:szCs w:val="14"/>
                <w:b w:val="1"/>
                <w:bCs w:val="1"/>
                <w:color w:val="auto"/>
                <w:w w:val="96"/>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59"/>
              <w:spacing w:after="0" w:line="141"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239"/>
              <w:spacing w:after="0" w:line="141"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r>
      <w:tr>
        <w:trPr>
          <w:trHeight w:val="204"/>
        </w:trPr>
        <w:tc>
          <w:tcPr>
            <w:tcW w:w="422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Amount Committed</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9"/>
              <w:spacing w:after="0" w:line="204" w:lineRule="exact"/>
              <w:rPr>
                <w:sz w:val="20"/>
                <w:szCs w:val="20"/>
                <w:color w:val="auto"/>
              </w:rPr>
            </w:pPr>
            <w:r>
              <w:rPr>
                <w:rFonts w:ascii="Arial" w:cs="Arial" w:eastAsia="Arial" w:hAnsi="Arial"/>
                <w:sz w:val="14"/>
                <w:szCs w:val="14"/>
                <w:b w:val="1"/>
                <w:bCs w:val="1"/>
                <w:color w:val="auto"/>
                <w:w w:val="93"/>
              </w:rPr>
              <w:t xml:space="preserve">Available </w:t>
            </w:r>
            <w:r>
              <w:rPr>
                <w:rFonts w:ascii="Arial" w:cs="Arial" w:eastAsia="Arial" w:hAnsi="Arial"/>
                <w:sz w:val="19"/>
                <w:szCs w:val="19"/>
                <w:b w:val="1"/>
                <w:bCs w:val="1"/>
                <w:color w:val="auto"/>
                <w:w w:val="93"/>
                <w:vertAlign w:val="superscript"/>
              </w:rPr>
              <w:t>(1)</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9"/>
              <w:spacing w:after="0" w:line="204"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9"/>
                <w:szCs w:val="19"/>
                <w:b w:val="1"/>
                <w:bCs w:val="1"/>
                <w:color w:val="auto"/>
                <w:vertAlign w:val="superscript"/>
              </w:rPr>
              <w:t>(2)</w:t>
            </w:r>
          </w:p>
        </w:tc>
        <w:tc>
          <w:tcPr>
            <w:tcW w:w="100" w:type="dxa"/>
            <w:vAlign w:val="bottom"/>
          </w:tcPr>
          <w:p>
            <w:pPr>
              <w:spacing w:after="0"/>
              <w:rPr>
                <w:sz w:val="17"/>
                <w:szCs w:val="17"/>
                <w:color w:val="auto"/>
              </w:rPr>
            </w:pPr>
          </w:p>
        </w:tc>
      </w:tr>
      <w:tr>
        <w:trPr>
          <w:trHeight w:val="237"/>
        </w:trPr>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Subscription Facility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Total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162.0</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-187960</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-187960</wp:posOffset>
            </wp:positionV>
            <wp:extent cx="60325"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5969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left="520" w:right="540" w:hanging="512"/>
        <w:spacing w:after="0" w:line="258"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Subscription Facility (as defined below) and asset coverage requirements.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carrying value of the Subscription Facility (as defined below) is presented net of deferred financing costs of $3.9 million.</w:t>
      </w:r>
    </w:p>
    <w:p>
      <w:pPr>
        <w:spacing w:after="0" w:line="200" w:lineRule="exact"/>
        <w:rPr>
          <w:sz w:val="20"/>
          <w:szCs w:val="20"/>
          <w:color w:val="auto"/>
        </w:rPr>
      </w:pPr>
    </w:p>
    <w:p>
      <w:pPr>
        <w:spacing w:after="0" w:line="227"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As of December 31, 2022 we were in compliance with the terms of our debt arrangements. We intend to continue to utilize our credit facility to fund investments and for other general corporate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Facility</w:t>
      </w:r>
    </w:p>
    <w:p>
      <w:pPr>
        <w:spacing w:after="0" w:line="117" w:lineRule="exact"/>
        <w:rPr>
          <w:sz w:val="20"/>
          <w:szCs w:val="20"/>
          <w:color w:val="auto"/>
        </w:rPr>
      </w:pPr>
    </w:p>
    <w:p>
      <w:pPr>
        <w:ind w:right="380" w:firstLine="255"/>
        <w:spacing w:after="0" w:line="308" w:lineRule="auto"/>
        <w:rPr>
          <w:sz w:val="20"/>
          <w:szCs w:val="20"/>
          <w:color w:val="auto"/>
        </w:rPr>
      </w:pPr>
      <w:r>
        <w:rPr>
          <w:rFonts w:ascii="Arial" w:cs="Arial" w:eastAsia="Arial" w:hAnsi="Arial"/>
          <w:sz w:val="17"/>
          <w:szCs w:val="17"/>
          <w:color w:val="auto"/>
        </w:rPr>
        <w:t>On September 1, 2022, (the "Closing Date"), the Company entered into a revolving credit agreement (the "Subscription Facility") with Wells Fargo Bank, National Association, as administrative agent (the "Administrative Agent"), letter of credit issuer, lead arranger and as a lender.</w:t>
      </w:r>
    </w:p>
    <w:p>
      <w:pPr>
        <w:spacing w:after="0" w:line="146"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As of September 30, 2022, aggregate commitments under the facility were $400 million. Pursuant to an amendment to the Subscription Facility dated as of December 21, 2022 (the “Subscription Facility First Amendment”), the aggregate commitments under the facility were increased to $700 million, with the increased amount being brought in by the joinder of State Street Bank and Trust Company as a new lender, subject to availability under the borrowing base, which is based on unfunded capital commitments. Pursuant to lender joinder agreements dated January 18, 2023 and January 27, 2023, aggregate commitments under the facility were increased to $800 million and $850 million, respectively.</w:t>
      </w:r>
    </w:p>
    <w:p>
      <w:pPr>
        <w:spacing w:after="0" w:line="176" w:lineRule="exact"/>
        <w:rPr>
          <w:sz w:val="20"/>
          <w:szCs w:val="20"/>
          <w:color w:val="auto"/>
        </w:rPr>
      </w:pPr>
    </w:p>
    <w:p>
      <w:pPr>
        <w:ind w:right="80" w:firstLine="255"/>
        <w:spacing w:after="0" w:line="275" w:lineRule="auto"/>
        <w:rPr>
          <w:sz w:val="20"/>
          <w:szCs w:val="20"/>
          <w:color w:val="auto"/>
        </w:rPr>
      </w:pPr>
      <w:r>
        <w:rPr>
          <w:rFonts w:ascii="Arial" w:cs="Arial" w:eastAsia="Arial" w:hAnsi="Arial"/>
          <w:sz w:val="17"/>
          <w:szCs w:val="17"/>
          <w:color w:val="auto"/>
        </w:rPr>
        <w:t>The Subscription Facility will mature upon the earliest of: (i) August 30, 2024 (the "Stated Maturity"); (ii) the date upon which the Administrative Agent declares the obligations under the Subscription Facility due and payable after the occurrence of an event of default; (iii) forty-five (45) 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Stated Maturity Date may be extended by up to 364 days, subject to satisfaction of customary conditions.</w:t>
      </w:r>
    </w:p>
    <w:p>
      <w:pPr>
        <w:spacing w:after="0" w:line="176" w:lineRule="exact"/>
        <w:rPr>
          <w:sz w:val="20"/>
          <w:szCs w:val="20"/>
          <w:color w:val="auto"/>
        </w:rPr>
      </w:pPr>
    </w:p>
    <w:p>
      <w:pPr>
        <w:ind w:right="40" w:firstLine="255"/>
        <w:spacing w:after="0" w:line="290" w:lineRule="auto"/>
        <w:rPr>
          <w:sz w:val="20"/>
          <w:szCs w:val="20"/>
          <w:color w:val="auto"/>
        </w:rPr>
      </w:pPr>
      <w:r>
        <w:rPr>
          <w:rFonts w:ascii="Arial" w:cs="Arial" w:eastAsia="Arial" w:hAnsi="Arial"/>
          <w:sz w:val="16"/>
          <w:szCs w:val="16"/>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p>
    <w:p>
      <w:pPr>
        <w:spacing w:after="0" w:line="165" w:lineRule="exact"/>
        <w:rPr>
          <w:sz w:val="20"/>
          <w:szCs w:val="20"/>
          <w:color w:val="auto"/>
        </w:rPr>
      </w:pPr>
    </w:p>
    <w:p>
      <w:pPr>
        <w:ind w:right="240" w:firstLine="255"/>
        <w:spacing w:after="0" w:line="263" w:lineRule="auto"/>
        <w:rPr>
          <w:sz w:val="20"/>
          <w:szCs w:val="20"/>
          <w:color w:val="auto"/>
        </w:rPr>
      </w:pPr>
      <w:r>
        <w:rPr>
          <w:rFonts w:ascii="Arial" w:cs="Arial" w:eastAsia="Arial" w:hAnsi="Arial"/>
          <w:sz w:val="18"/>
          <w:szCs w:val="18"/>
          <w:color w:val="auto"/>
        </w:rPr>
        <w:t>We may borrow amounts in U.S. dollars or certain other permitted currencies. As of December 31, 2022, we had outstanding debt denominated in British pounds (GBP) of 10.3 million, and Euro (EUR) of 13.5 million on our Subscription Facility, included in the Outstanding Principal amount in the table above.</w:t>
      </w:r>
    </w:p>
    <w:p>
      <w:pPr>
        <w:spacing w:after="0" w:line="184" w:lineRule="exact"/>
        <w:rPr>
          <w:sz w:val="20"/>
          <w:szCs w:val="20"/>
          <w:color w:val="auto"/>
        </w:rPr>
      </w:pPr>
    </w:p>
    <w:p>
      <w:pPr>
        <w:ind w:right="380" w:firstLine="255"/>
        <w:spacing w:after="0" w:line="263" w:lineRule="auto"/>
        <w:rPr>
          <w:sz w:val="20"/>
          <w:szCs w:val="20"/>
          <w:color w:val="auto"/>
        </w:rPr>
      </w:pPr>
      <w:r>
        <w:rPr>
          <w:rFonts w:ascii="Arial" w:cs="Arial" w:eastAsia="Arial" w:hAnsi="Arial"/>
          <w:sz w:val="18"/>
          <w:szCs w:val="18"/>
          <w:color w:val="auto"/>
        </w:rPr>
        <w:t>The Subscription Facility also provides for the issuance of letters of credit up to an aggregate amount of 10% of the Maximum Commitment. As of December 31, 2022 , we had no outstanding letters of credit issued through the Subscription Facility. The amount available for borrowing under the Subscription Facility is reduced by any letters of credit issued through the Subscription Facility.</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ind w:right="480" w:firstLine="255"/>
        <w:spacing w:after="0" w:line="277" w:lineRule="auto"/>
        <w:rPr>
          <w:sz w:val="20"/>
          <w:szCs w:val="20"/>
          <w:color w:val="auto"/>
        </w:rPr>
      </w:pPr>
      <w:r>
        <w:rPr>
          <w:rFonts w:ascii="Arial" w:cs="Arial" w:eastAsia="Arial" w:hAnsi="Arial"/>
          <w:sz w:val="18"/>
          <w:szCs w:val="18"/>
          <w:color w:val="auto"/>
        </w:rPr>
        <w:t>The Subscription Facility includes customary events of default, as well as customary covenants, including restrictions on certain distributions and financial covenants.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00" w:firstLine="255"/>
        <w:spacing w:after="0" w:line="255" w:lineRule="auto"/>
        <w:rPr>
          <w:sz w:val="20"/>
          <w:szCs w:val="20"/>
          <w:color w:val="auto"/>
        </w:rPr>
      </w:pPr>
      <w:r>
        <w:rPr>
          <w:rFonts w:ascii="Arial" w:cs="Arial" w:eastAsia="Arial" w:hAnsi="Arial"/>
          <w:sz w:val="18"/>
          <w:szCs w:val="18"/>
          <w:color w:val="auto"/>
        </w:rPr>
        <w:t>On January 9, 2023 (the "Revolving Credit Facility Closing Date"),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aggregate commitments under the facility were $600 million and includes an uncommitted accordion feature that allows us, under certain circumstances, to increase the size of the facility up to $1 billion. The Revolving Credit Facility will mature on January 19, 2028 (the "Revolving Credit Facility Maturity Date"). The Company may borrow amounts in U.S. dollars or certain other permitted currencies.</w:t>
      </w:r>
    </w:p>
    <w:p>
      <w:pPr>
        <w:spacing w:after="0" w:line="82"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Borrowings under the Revolving Credit Facility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120" w:firstLine="255"/>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December 31, 2022, we had the following commitments to fund investments in current portfolio companies: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7180" w:type="dxa"/>
            <w:vAlign w:val="bottom"/>
          </w:tcPr>
          <w:p>
            <w:pPr>
              <w:spacing w:after="0"/>
              <w:rPr>
                <w:sz w:val="20"/>
                <w:szCs w:val="20"/>
                <w:color w:val="auto"/>
              </w:rPr>
            </w:pPr>
            <w:r>
              <w:rPr>
                <w:rFonts w:ascii="Arial" w:cs="Arial" w:eastAsia="Arial" w:hAnsi="Arial"/>
                <w:sz w:val="18"/>
                <w:szCs w:val="18"/>
                <w:color w:val="auto"/>
              </w:rPr>
              <w:t>($ in millions)</w:t>
            </w:r>
          </w:p>
        </w:tc>
        <w:tc>
          <w:tcPr>
            <w:tcW w:w="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December 31, 2022</w:t>
            </w:r>
          </w:p>
        </w:tc>
        <w:tc>
          <w:tcPr>
            <w:tcW w:w="80" w:type="dxa"/>
            <w:vAlign w:val="bottom"/>
          </w:tcPr>
          <w:p>
            <w:pPr>
              <w:spacing w:after="0"/>
              <w:rPr>
                <w:sz w:val="21"/>
                <w:szCs w:val="21"/>
                <w:color w:val="auto"/>
              </w:rPr>
            </w:pPr>
          </w:p>
        </w:tc>
      </w:tr>
      <w:tr>
        <w:trPr>
          <w:trHeight w:val="237"/>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Avalara, Inc. - Revolver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FF0FC"/>
          </w:tcPr>
          <w:p>
            <w:pPr>
              <w:spacing w:after="0"/>
              <w:rPr>
                <w:sz w:val="20"/>
                <w:szCs w:val="20"/>
                <w:color w:val="auto"/>
              </w:rPr>
            </w:pPr>
          </w:p>
        </w:tc>
      </w:tr>
      <w:tr>
        <w:trPr>
          <w:trHeight w:val="237"/>
        </w:trPr>
        <w:tc>
          <w:tcPr>
            <w:tcW w:w="7180" w:type="dxa"/>
            <w:vAlign w:val="bottom"/>
          </w:tcPr>
          <w:p>
            <w:pPr>
              <w:spacing w:after="0"/>
              <w:rPr>
                <w:sz w:val="20"/>
                <w:szCs w:val="20"/>
                <w:color w:val="auto"/>
              </w:rPr>
            </w:pPr>
            <w:r>
              <w:rPr>
                <w:rFonts w:ascii="Arial" w:cs="Arial" w:eastAsia="Arial" w:hAnsi="Arial"/>
                <w:sz w:val="18"/>
                <w:szCs w:val="18"/>
                <w:color w:val="auto"/>
              </w:rPr>
              <w:t>BTRS Holdings, Inc. - Delayed Draw &amp; Revolver</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0"/>
                <w:szCs w:val="20"/>
                <w:color w:val="auto"/>
              </w:rPr>
            </w:pPr>
          </w:p>
        </w:tc>
      </w:tr>
      <w:tr>
        <w:trPr>
          <w:trHeight w:val="249"/>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Erling Lux Bidco SARL - Delayed Draw &amp; Revolver</w:t>
            </w:r>
          </w:p>
        </w:tc>
        <w:tc>
          <w:tcPr>
            <w:tcW w:w="1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21"/>
                <w:szCs w:val="21"/>
                <w:color w:val="auto"/>
              </w:rPr>
            </w:pPr>
          </w:p>
        </w:tc>
      </w:tr>
      <w:tr>
        <w:trPr>
          <w:trHeight w:val="237"/>
        </w:trPr>
        <w:tc>
          <w:tcPr>
            <w:tcW w:w="7180" w:type="dxa"/>
            <w:vAlign w:val="bottom"/>
          </w:tcPr>
          <w:p>
            <w:pPr>
              <w:spacing w:after="0"/>
              <w:rPr>
                <w:sz w:val="20"/>
                <w:szCs w:val="20"/>
                <w:color w:val="auto"/>
              </w:rPr>
            </w:pPr>
            <w:r>
              <w:rPr>
                <w:rFonts w:ascii="Arial" w:cs="Arial" w:eastAsia="Arial" w:hAnsi="Arial"/>
                <w:sz w:val="18"/>
                <w:szCs w:val="18"/>
                <w:color w:val="auto"/>
              </w:rPr>
              <w:t>Hornetsecurity Holding GmbH - Delayed Draw &amp; Revolver</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r>
      <w:tr>
        <w:trPr>
          <w:trHeight w:val="249"/>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OutSystems Luxco SARL - Delayed Draw</w:t>
            </w:r>
          </w:p>
        </w:tc>
        <w:tc>
          <w:tcPr>
            <w:tcW w:w="1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21"/>
                <w:szCs w:val="21"/>
                <w:color w:val="auto"/>
              </w:rPr>
            </w:pPr>
          </w:p>
        </w:tc>
      </w:tr>
      <w:tr>
        <w:trPr>
          <w:trHeight w:val="237"/>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Ping Identity Holding Corp. - Revolver</w:t>
            </w: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FF0FC"/>
            </w:tcBorders>
          </w:tcPr>
          <w:p>
            <w:pPr>
              <w:spacing w:after="0"/>
              <w:rPr>
                <w:sz w:val="20"/>
                <w:szCs w:val="20"/>
                <w:color w:val="auto"/>
              </w:rPr>
            </w:pPr>
          </w:p>
        </w:tc>
      </w:tr>
      <w:tr>
        <w:trPr>
          <w:trHeight w:val="283"/>
        </w:trPr>
        <w:tc>
          <w:tcPr>
            <w:tcW w:w="7180" w:type="dxa"/>
            <w:vAlign w:val="bottom"/>
            <w:tcBorders>
              <w:bottom w:val="single" w:sz="8" w:color="CFF0FC"/>
            </w:tcBorders>
            <w:shd w:val="clear" w:color="auto" w:fill="CFF0FC"/>
          </w:tcPr>
          <w:p>
            <w:pPr>
              <w:ind w:left="180"/>
              <w:spacing w:after="0" w:line="243" w:lineRule="exact"/>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24"/>
                <w:szCs w:val="24"/>
                <w:b w:val="1"/>
                <w:bCs w:val="1"/>
                <w:color w:val="auto"/>
                <w:vertAlign w:val="superscript"/>
              </w:rPr>
              <w:t>(1)(2)</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both"/>
        <w:ind w:left="520" w:right="280" w:hanging="512"/>
        <w:spacing w:after="0" w:line="263"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8" w:lineRule="exact"/>
        <w:rPr>
          <w:rFonts w:ascii="Arial" w:cs="Arial" w:eastAsia="Arial" w:hAnsi="Arial"/>
          <w:sz w:val="18"/>
          <w:szCs w:val="18"/>
          <w:color w:val="auto"/>
        </w:rPr>
      </w:pPr>
    </w:p>
    <w:p>
      <w:pPr>
        <w:ind w:left="520" w:right="680" w:hanging="512"/>
        <w:spacing w:after="0" w:line="277"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estimate of the fair value of the current investments in these portfolio companies includes an analysis of the fair value of any unfunded commitments.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As of December 31, 2022, we did not have any unfunded commitments to fund investments to new borrowers that were not current portfolio companies as of such date.</w:t>
      </w:r>
    </w:p>
    <w:p>
      <w:pPr>
        <w:spacing w:after="0" w:line="170"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320" w:firstLine="255"/>
        <w:spacing w:after="0" w:line="263"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spacing w:after="0" w:line="272" w:lineRule="auto"/>
        <w:rPr>
          <w:sz w:val="20"/>
          <w:szCs w:val="20"/>
          <w:color w:val="auto"/>
        </w:rPr>
      </w:pPr>
      <w:r>
        <w:rPr>
          <w:rFonts w:ascii="Arial" w:cs="Arial" w:eastAsia="Arial" w:hAnsi="Arial"/>
          <w:sz w:val="17"/>
          <w:szCs w:val="17"/>
          <w:color w:val="auto"/>
        </w:rPr>
        <w:t>Board) of expenses incurred by it in performing its obligations under the Administration Agreement,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Administrative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December 31, 2022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91"/>
              </w:rPr>
              <w:t>Payments Due by Period</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1"/>
              <w:spacing w:after="0" w:line="160" w:lineRule="exact"/>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40" w:type="dxa"/>
            <w:vAlign w:val="bottom"/>
          </w:tcPr>
          <w:p>
            <w:pPr>
              <w:spacing w:after="0"/>
              <w:rPr>
                <w:sz w:val="16"/>
                <w:szCs w:val="16"/>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1 year</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rPr>
              <w:t>After 5 years</w:t>
            </w:r>
          </w:p>
        </w:tc>
        <w:tc>
          <w:tcPr>
            <w:tcW w:w="100" w:type="dxa"/>
            <w:vAlign w:val="bottom"/>
          </w:tcPr>
          <w:p>
            <w:pPr>
              <w:spacing w:after="0"/>
              <w:rPr>
                <w:sz w:val="16"/>
                <w:szCs w:val="16"/>
                <w:color w:val="auto"/>
              </w:rPr>
            </w:pPr>
          </w:p>
        </w:tc>
      </w:tr>
      <w:tr>
        <w:trPr>
          <w:trHeight w:val="236"/>
        </w:trPr>
        <w:tc>
          <w:tcPr>
            <w:tcW w:w="50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Subscription Facility</w:t>
            </w: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220" w:type="dxa"/>
            <w:vAlign w:val="bottom"/>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37"/>
        </w:trPr>
        <w:tc>
          <w:tcPr>
            <w:tcW w:w="51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Contractual Obligations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140" w:firstLine="255"/>
        <w:spacing w:after="0" w:line="342" w:lineRule="auto"/>
        <w:rPr>
          <w:sz w:val="20"/>
          <w:szCs w:val="20"/>
          <w:color w:val="auto"/>
        </w:rPr>
      </w:pPr>
      <w:r>
        <w:rPr>
          <w:rFonts w:ascii="Arial" w:cs="Arial" w:eastAsia="Arial" w:hAnsi="Arial"/>
          <w:sz w:val="16"/>
          <w:szCs w:val="16"/>
          <w:color w:val="auto"/>
        </w:rPr>
        <w:t>We intend to elect to be regulated and qualify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240" w:hanging="257"/>
        <w:spacing w:after="0" w:line="308"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38" w:lineRule="exact"/>
        <w:rPr>
          <w:rFonts w:ascii="Arial" w:cs="Arial" w:eastAsia="Arial" w:hAnsi="Arial"/>
          <w:sz w:val="17"/>
          <w:szCs w:val="17"/>
          <w:color w:val="auto"/>
        </w:rPr>
      </w:pPr>
    </w:p>
    <w:p>
      <w:pPr>
        <w:ind w:left="520" w:right="320" w:hanging="257"/>
        <w:spacing w:after="0" w:line="277"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70"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As a RIC, we (but not our shareholders) generally will not be subject to U.S. federal income tax on investment company taxable income and net capital gains that we distribute to our shareholders.</w:t>
      </w:r>
    </w:p>
    <w:p>
      <w:pPr>
        <w:spacing w:after="0" w:line="170" w:lineRule="exact"/>
        <w:rPr>
          <w:sz w:val="20"/>
          <w:szCs w:val="20"/>
          <w:color w:val="auto"/>
        </w:rPr>
      </w:pPr>
    </w:p>
    <w:p>
      <w:pPr>
        <w:jc w:val="both"/>
        <w:ind w:right="260" w:firstLine="255"/>
        <w:spacing w:after="0" w:line="263"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4"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6" w:lineRule="exact"/>
        <w:rPr>
          <w:sz w:val="20"/>
          <w:szCs w:val="20"/>
          <w:color w:val="auto"/>
        </w:rPr>
      </w:pPr>
    </w:p>
    <w:p>
      <w:pPr>
        <w:ind w:left="520" w:hanging="257"/>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60" w:hanging="257"/>
        <w:spacing w:after="0" w:line="27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We intend to pay quarterly dividends to our shareholders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4"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shareholders for U.S. federal income tax purposes. Thus, the source of a</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480"/>
        <w:spacing w:after="0" w:line="277" w:lineRule="auto"/>
        <w:rPr>
          <w:sz w:val="20"/>
          <w:szCs w:val="20"/>
          <w:color w:val="auto"/>
        </w:rPr>
      </w:pPr>
      <w:r>
        <w:rPr>
          <w:rFonts w:ascii="Arial" w:cs="Arial" w:eastAsia="Arial" w:hAnsi="Arial"/>
          <w:sz w:val="18"/>
          <w:szCs w:val="18"/>
          <w:color w:val="auto"/>
        </w:rPr>
        <w:t>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spacing w:after="0" w:line="170"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7"/>
          <w:szCs w:val="17"/>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shares of Common Shares will be subject to the same U.S. federal, state and local tax consequences as if they received cash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7"/>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5"/>
        <w:spacing w:after="0" w:line="301" w:lineRule="auto"/>
        <w:rPr>
          <w:sz w:val="20"/>
          <w:szCs w:val="20"/>
          <w:color w:val="auto"/>
        </w:rPr>
      </w:pPr>
      <w:r>
        <w:rPr>
          <w:rFonts w:ascii="Arial" w:cs="Arial" w:eastAsia="Arial" w:hAnsi="Arial"/>
          <w:sz w:val="16"/>
          <w:szCs w:val="16"/>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Arial" w:cs="Arial" w:eastAsia="Arial" w:hAnsi="Arial"/>
          <w:sz w:val="16"/>
          <w:szCs w:val="16"/>
          <w:i w:val="1"/>
          <w:iCs w:val="1"/>
          <w:color w:val="auto"/>
        </w:rPr>
        <w:t>"ITEM 1A. RISK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1"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right="660" w:firstLine="255"/>
        <w:spacing w:after="0" w:line="277"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 and in combination of:</w:t>
      </w:r>
    </w:p>
    <w:p>
      <w:pPr>
        <w:spacing w:after="0" w:line="62" w:lineRule="exact"/>
        <w:rPr>
          <w:sz w:val="20"/>
          <w:szCs w:val="20"/>
          <w:color w:val="auto"/>
        </w:rPr>
      </w:pPr>
    </w:p>
    <w:p>
      <w:pPr>
        <w:ind w:left="520" w:hanging="257"/>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value of the portfolio company’s net debt and equity);</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17" w:lineRule="exact"/>
        <w:rPr>
          <w:rFonts w:ascii="Arial" w:cs="Arial" w:eastAsia="Arial" w:hAnsi="Arial"/>
          <w:sz w:val="18"/>
          <w:szCs w:val="18"/>
          <w:color w:val="auto"/>
        </w:rPr>
      </w:pPr>
    </w:p>
    <w:p>
      <w:pPr>
        <w:ind w:left="520" w:hanging="257"/>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17" w:lineRule="exact"/>
        <w:rPr>
          <w:rFonts w:ascii="Arial" w:cs="Arial" w:eastAsia="Arial" w:hAnsi="Arial"/>
          <w:sz w:val="18"/>
          <w:szCs w:val="18"/>
          <w:color w:val="auto"/>
        </w:rPr>
      </w:pPr>
    </w:p>
    <w:p>
      <w:pPr>
        <w:ind w:left="520" w:right="320" w:hanging="257"/>
        <w:spacing w:after="0" w:line="277"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520" w:firstLine="255"/>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60" w:hanging="257"/>
        <w:spacing w:after="0" w:line="277"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380" w:hanging="257"/>
        <w:spacing w:after="0" w:line="277"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7"/>
        <w:spacing w:after="0" w:line="263"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December 31, 2022,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71" w:lineRule="exact"/>
        <w:rPr>
          <w:sz w:val="20"/>
          <w:szCs w:val="20"/>
          <w:color w:val="auto"/>
        </w:rPr>
      </w:pPr>
    </w:p>
    <w:p>
      <w:pPr>
        <w:ind w:right="180" w:firstLine="255"/>
        <w:spacing w:after="0" w:line="254" w:lineRule="auto"/>
        <w:rPr>
          <w:sz w:val="20"/>
          <w:szCs w:val="20"/>
          <w:color w:val="auto"/>
        </w:rPr>
      </w:pPr>
      <w:r>
        <w:rPr>
          <w:rFonts w:ascii="Arial" w:cs="Arial" w:eastAsia="Arial" w:hAnsi="Arial"/>
          <w:sz w:val="18"/>
          <w:szCs w:val="18"/>
          <w:color w:val="auto"/>
        </w:rPr>
        <w:t xml:space="preserve">We apply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84" w:lineRule="exact"/>
        <w:rPr>
          <w:sz w:val="20"/>
          <w:szCs w:val="20"/>
          <w:color w:val="auto"/>
        </w:rPr>
      </w:pPr>
    </w:p>
    <w:p>
      <w:pPr>
        <w:ind w:left="520" w:hanging="257"/>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17" w:lineRule="exact"/>
        <w:rPr>
          <w:rFonts w:ascii="Arial" w:cs="Arial" w:eastAsia="Arial" w:hAnsi="Arial"/>
          <w:sz w:val="18"/>
          <w:szCs w:val="18"/>
          <w:color w:val="auto"/>
        </w:rPr>
      </w:pPr>
    </w:p>
    <w:p>
      <w:pPr>
        <w:ind w:left="520" w:right="580" w:hanging="257"/>
        <w:spacing w:after="0" w:line="277"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8"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our consolidated financial statements included in this Form 10-K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3" w:name="page74"/>
    <w:bookmarkEnd w:id="73"/>
    <w:p>
      <w:pPr>
        <w:ind w:right="18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4"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We have elected to be treated as a BDC under the 1940 Act. We also intend to be treated as a RIC under the Code. So long as we maintain our status as a RIC, we will generally not pay corporate-level U.S. federal income or excise taxes on any ordinary income or capital gains that we distribute at least annually to our shareholders as dividends. As a result, any tax liability related to income earned and distributed by us represents obligations of our shareholders and will not be reflected in our consolidated financial statements.</w:t>
      </w:r>
    </w:p>
    <w:p>
      <w:pPr>
        <w:spacing w:after="0" w:line="187" w:lineRule="exact"/>
        <w:rPr>
          <w:sz w:val="20"/>
          <w:szCs w:val="20"/>
          <w:color w:val="auto"/>
        </w:rPr>
      </w:pPr>
    </w:p>
    <w:p>
      <w:pPr>
        <w:ind w:right="100" w:firstLine="255"/>
        <w:spacing w:after="0" w:line="273" w:lineRule="auto"/>
        <w:rPr>
          <w:sz w:val="20"/>
          <w:szCs w:val="20"/>
          <w:color w:val="auto"/>
        </w:rPr>
      </w:pPr>
      <w:r>
        <w:rPr>
          <w:rFonts w:ascii="Arial" w:cs="Arial" w:eastAsia="Arial" w:hAnsi="Arial"/>
          <w:sz w:val="17"/>
          <w:szCs w:val="17"/>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2022, the Company did not have any uncertain tax positions that met the recognition or measurement criteria, nor did the Company have any unrecognized tax benefits.</w:t>
      </w:r>
    </w:p>
    <w:p>
      <w:pPr>
        <w:spacing w:after="0" w:line="178"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5"/>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9" w:lineRule="exact"/>
        <w:rPr>
          <w:sz w:val="20"/>
          <w:szCs w:val="20"/>
          <w:color w:val="auto"/>
        </w:rPr>
      </w:pPr>
    </w:p>
    <w:p>
      <w:pPr>
        <w:ind w:right="520" w:firstLine="255"/>
        <w:spacing w:after="0" w:line="263"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right="160" w:firstLine="255"/>
        <w:spacing w:after="0" w:line="277" w:lineRule="auto"/>
        <w:rPr>
          <w:sz w:val="20"/>
          <w:szCs w:val="20"/>
          <w:color w:val="auto"/>
        </w:rPr>
      </w:pPr>
      <w:r>
        <w:rPr>
          <w:rFonts w:ascii="Arial" w:cs="Arial" w:eastAsia="Arial" w:hAnsi="Arial"/>
          <w:sz w:val="18"/>
          <w:szCs w:val="18"/>
          <w:color w:val="auto"/>
        </w:rPr>
        <w:t>As of December 31, 2022, 100% of our debt investments based on fair value in our portfolio bore interest at floating rates, with 100% of these subject to interest rate floors.</w:t>
      </w:r>
    </w:p>
    <w:p>
      <w:pPr>
        <w:spacing w:after="0" w:line="170"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Assuming that our consolidated balance sheet as of December 31, 2022 were to remain constant and that we took no actions to alter our existing interest rate sensitivity, the following table shows the annualized impact of hypothetical base rate changes in interest rates: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568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68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Interest Income</w:t>
            </w:r>
          </w:p>
        </w:tc>
        <w:tc>
          <w:tcPr>
            <w:tcW w:w="1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Interest Expense</w:t>
            </w:r>
          </w:p>
        </w:tc>
        <w:tc>
          <w:tcPr>
            <w:tcW w:w="180" w:type="dxa"/>
            <w:vAlign w:val="bottom"/>
          </w:tcPr>
          <w:p>
            <w:pPr>
              <w:spacing w:after="0"/>
              <w:rPr>
                <w:sz w:val="16"/>
                <w:szCs w:val="16"/>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Net Income</w:t>
            </w:r>
          </w:p>
        </w:tc>
      </w:tr>
      <w:tr>
        <w:trPr>
          <w:trHeight w:val="237"/>
        </w:trPr>
        <w:tc>
          <w:tcPr>
            <w:tcW w:w="5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Up 200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(6.1 )</w:t>
            </w:r>
          </w:p>
        </w:tc>
      </w:tr>
      <w:tr>
        <w:trPr>
          <w:trHeight w:val="24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Down 25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(0.5 )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4" w:lineRule="exact"/>
        <w:rPr>
          <w:sz w:val="20"/>
          <w:szCs w:val="20"/>
          <w:color w:val="auto"/>
        </w:rPr>
      </w:pPr>
    </w:p>
    <w:p>
      <w:pPr>
        <w:ind w:right="240" w:firstLine="255"/>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20" w:firstLine="255"/>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Subscription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Subscription Facility, we may seek to utilize interest rate derivatives to hedge our exposure to changes in the associated rate.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Page</w:t>
            </w:r>
          </w:p>
        </w:tc>
      </w:tr>
      <w:tr>
        <w:trPr>
          <w:trHeight w:val="183"/>
        </w:trPr>
        <w:tc>
          <w:tcPr>
            <w:tcW w:w="20" w:type="dxa"/>
            <w:vAlign w:val="bottom"/>
          </w:tcPr>
          <w:p>
            <w:pPr>
              <w:spacing w:after="0"/>
              <w:rPr>
                <w:sz w:val="15"/>
                <w:szCs w:val="15"/>
                <w:color w:val="auto"/>
              </w:rPr>
            </w:pPr>
          </w:p>
        </w:tc>
        <w:tc>
          <w:tcPr>
            <w:tcW w:w="4220" w:type="dxa"/>
            <w:vAlign w:val="bottom"/>
            <w:tcBorders>
              <w:bottom w:val="single" w:sz="8" w:color="0000FF"/>
            </w:tcBorders>
            <w:gridSpan w:val="3"/>
          </w:tcPr>
          <w:p>
            <w:pPr>
              <w:spacing w:after="0" w:line="183" w:lineRule="exact"/>
              <w:rPr>
                <w:sz w:val="20"/>
                <w:szCs w:val="20"/>
                <w:color w:val="auto"/>
              </w:rPr>
            </w:pPr>
            <w:r>
              <w:rPr>
                <w:rFonts w:ascii="Arial" w:cs="Arial" w:eastAsia="Arial" w:hAnsi="Arial"/>
                <w:sz w:val="18"/>
                <w:szCs w:val="18"/>
                <w:color w:val="0000FF"/>
                <w:w w:val="91"/>
              </w:rPr>
              <w:t>Report of Independent Registered Public Accounting Firm</w:t>
            </w:r>
          </w:p>
        </w:tc>
        <w:tc>
          <w:tcPr>
            <w:tcW w:w="5880" w:type="dxa"/>
            <w:vAlign w:val="bottom"/>
            <w:gridSpan w:val="5"/>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F-2</w:t>
            </w:r>
          </w:p>
        </w:tc>
      </w:tr>
      <w:tr>
        <w:trPr>
          <w:trHeight w:val="372"/>
        </w:trPr>
        <w:tc>
          <w:tcPr>
            <w:tcW w:w="20" w:type="dxa"/>
            <w:vAlign w:val="bottom"/>
            <w:tcBorders>
              <w:bottom w:val="single" w:sz="8" w:color="0000FF"/>
            </w:tcBorders>
          </w:tcPr>
          <w:p>
            <w:pPr>
              <w:spacing w:after="0"/>
              <w:rPr>
                <w:sz w:val="24"/>
                <w:szCs w:val="24"/>
                <w:color w:val="auto"/>
              </w:rPr>
            </w:pPr>
          </w:p>
        </w:tc>
        <w:tc>
          <w:tcPr>
            <w:tcW w:w="39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FF"/>
                <w:w w:val="89"/>
              </w:rPr>
              <w:t>Consolidated Balance Sheet as of December 31, 2022</w:t>
            </w:r>
          </w:p>
        </w:tc>
        <w:tc>
          <w:tcPr>
            <w:tcW w:w="618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72"/>
        </w:trPr>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0000FF"/>
              </w:rPr>
              <w:t>Consolidated Statement of Operations for the period from April 5, 2022 (Inception) through December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72"/>
        </w:trPr>
        <w:tc>
          <w:tcPr>
            <w:tcW w:w="20" w:type="dxa"/>
            <w:vAlign w:val="bottom"/>
            <w:tcBorders>
              <w:top w:val="single" w:sz="8" w:color="0000EE"/>
              <w:bottom w:val="single" w:sz="8" w:color="0000FF"/>
            </w:tcBorders>
          </w:tcPr>
          <w:p>
            <w:pPr>
              <w:spacing w:after="0"/>
              <w:rPr>
                <w:sz w:val="24"/>
                <w:szCs w:val="24"/>
                <w:color w:val="auto"/>
              </w:rPr>
            </w:pPr>
          </w:p>
        </w:tc>
        <w:tc>
          <w:tcPr>
            <w:tcW w:w="4660" w:type="dxa"/>
            <w:vAlign w:val="bottom"/>
            <w:tcBorders>
              <w:top w:val="single" w:sz="8" w:color="0000FF"/>
              <w:bottom w:val="single" w:sz="8" w:color="0000EE"/>
            </w:tcBorders>
            <w:gridSpan w:val="4"/>
          </w:tcPr>
          <w:p>
            <w:pPr>
              <w:spacing w:after="0"/>
              <w:rPr>
                <w:sz w:val="20"/>
                <w:szCs w:val="20"/>
                <w:color w:val="auto"/>
              </w:rPr>
            </w:pPr>
            <w:r>
              <w:rPr>
                <w:rFonts w:ascii="Arial" w:cs="Arial" w:eastAsia="Arial" w:hAnsi="Arial"/>
                <w:sz w:val="18"/>
                <w:szCs w:val="18"/>
                <w:color w:val="0000FF"/>
                <w:w w:val="90"/>
              </w:rPr>
              <w:t>Consolidated Schedule of Investments as of December 31, 2022</w:t>
            </w:r>
          </w:p>
        </w:tc>
        <w:tc>
          <w:tcPr>
            <w:tcW w:w="3420" w:type="dxa"/>
            <w:vAlign w:val="bottom"/>
            <w:tcBorders>
              <w:top w:val="single" w:sz="8" w:color="0000FF"/>
            </w:tcBorders>
            <w:gridSpan w:val="3"/>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71"/>
        </w:trPr>
        <w:tc>
          <w:tcPr>
            <w:tcW w:w="20" w:type="dxa"/>
            <w:vAlign w:val="bottom"/>
            <w:tcBorders>
              <w:bottom w:val="single" w:sz="8" w:color="0000EE"/>
            </w:tcBorders>
          </w:tcPr>
          <w:p>
            <w:pPr>
              <w:spacing w:after="0"/>
              <w:rPr>
                <w:sz w:val="24"/>
                <w:szCs w:val="24"/>
                <w:color w:val="auto"/>
              </w:rPr>
            </w:pPr>
          </w:p>
        </w:tc>
        <w:tc>
          <w:tcPr>
            <w:tcW w:w="79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Consolidated Statement of Changes in Net Assets from April 5, 2022 (Inception) through December 31, 2022</w:t>
            </w:r>
          </w:p>
        </w:tc>
        <w:tc>
          <w:tcPr>
            <w:tcW w:w="220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72"/>
        </w:trPr>
        <w:tc>
          <w:tcPr>
            <w:tcW w:w="20" w:type="dxa"/>
            <w:vAlign w:val="bottom"/>
            <w:tcBorders>
              <w:bottom w:val="single" w:sz="8" w:color="0000EE"/>
            </w:tcBorders>
          </w:tcPr>
          <w:p>
            <w:pPr>
              <w:spacing w:after="0"/>
              <w:rPr>
                <w:sz w:val="24"/>
                <w:szCs w:val="24"/>
                <w:color w:val="auto"/>
              </w:rPr>
            </w:pPr>
          </w:p>
        </w:tc>
        <w:tc>
          <w:tcPr>
            <w:tcW w:w="71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Consolidated Statement of Cash Flows from April 5, 2022 (Inception) through December 31, 2022</w:t>
            </w:r>
          </w:p>
        </w:tc>
        <w:tc>
          <w:tcPr>
            <w:tcW w:w="298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72"/>
        </w:trPr>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898"/>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gridSpan w:val="4"/>
          </w:tcPr>
          <w:p>
            <w:pPr>
              <w:ind w:left="820"/>
              <w:spacing w:after="0"/>
              <w:rPr>
                <w:sz w:val="20"/>
                <w:szCs w:val="20"/>
                <w:color w:val="auto"/>
              </w:rPr>
            </w:pPr>
            <w:r>
              <w:rPr>
                <w:rFonts w:ascii="Arial" w:cs="Arial" w:eastAsia="Arial" w:hAnsi="Arial"/>
                <w:sz w:val="18"/>
                <w:szCs w:val="18"/>
                <w:color w:val="auto"/>
              </w:rPr>
              <w:t>F-1</w:t>
            </w:r>
          </w:p>
        </w:tc>
        <w:tc>
          <w:tcPr>
            <w:tcW w:w="1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Trustees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Lending Partners: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consolidated balance sheet of Sixth Street Lending Partners and subsidiaries (the Company), including the consolidated schedule of investments, as of December 31, 2022, the related consolidated statements of operations, changes in net assets, and cash flows for the period from April 5, 2022 (inception) to December 31, 2022, and the related notes (collectively, the consolidated financial statements). In our opinion, the consolidated financial statements present fairly, in all material respects, the financial position of the Company as of December 31, 2022, and the results of its operations, changes in its net assets, and its cash flows for the period from April 5, 2022 (inception) to December 31, 2022, in conformity with U.S. generally accepted accounting principles.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2022, by correspondence with custodians, or by other appropriate auditing measures.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Pr>
          <w:p>
            <w:pPr>
              <w:jc w:val="right"/>
              <w:ind w:right="612"/>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r>
      <w:tr>
        <w:trPr>
          <w:trHeight w:val="185"/>
        </w:trPr>
        <w:tc>
          <w:tcPr>
            <w:tcW w:w="8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92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Non-controlled, non-affiliated investments (amortized cost of $809,029)</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808,801</w:t>
            </w:r>
          </w:p>
        </w:tc>
        <w:tc>
          <w:tcPr>
            <w:tcW w:w="100" w:type="dxa"/>
            <w:vAlign w:val="bottom"/>
            <w:shd w:val="clear" w:color="auto" w:fill="CFF0FC"/>
          </w:tcPr>
          <w:p>
            <w:pPr>
              <w:spacing w:after="0"/>
              <w:rPr>
                <w:sz w:val="21"/>
                <w:szCs w:val="21"/>
                <w:color w:val="auto"/>
              </w:rPr>
            </w:pPr>
          </w:p>
        </w:tc>
      </w:tr>
      <w:tr>
        <w:trPr>
          <w:trHeight w:val="237"/>
        </w:trPr>
        <w:tc>
          <w:tcPr>
            <w:tcW w:w="8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274,612</w:t>
            </w:r>
          </w:p>
        </w:tc>
        <w:tc>
          <w:tcPr>
            <w:tcW w:w="100" w:type="dxa"/>
            <w:vAlign w:val="bottom"/>
          </w:tcPr>
          <w:p>
            <w:pPr>
              <w:spacing w:after="0"/>
              <w:rPr>
                <w:sz w:val="20"/>
                <w:szCs w:val="20"/>
                <w:color w:val="auto"/>
              </w:rPr>
            </w:pPr>
          </w:p>
        </w:tc>
      </w:tr>
      <w:tr>
        <w:trPr>
          <w:trHeight w:val="249"/>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receivable</w:t>
            </w:r>
          </w:p>
        </w:tc>
        <w:tc>
          <w:tcPr>
            <w:tcW w:w="4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100" w:type="dxa"/>
            <w:vAlign w:val="bottom"/>
            <w:shd w:val="clear" w:color="auto" w:fill="CFF0FC"/>
          </w:tcPr>
          <w:p>
            <w:pPr>
              <w:spacing w:after="0"/>
              <w:rPr>
                <w:sz w:val="21"/>
                <w:szCs w:val="21"/>
                <w:color w:val="auto"/>
              </w:rPr>
            </w:pPr>
          </w:p>
        </w:tc>
      </w:tr>
      <w:tr>
        <w:trPr>
          <w:trHeight w:val="237"/>
        </w:trPr>
        <w:tc>
          <w:tcPr>
            <w:tcW w:w="892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r>
      <w:tr>
        <w:trPr>
          <w:trHeight w:val="283"/>
        </w:trPr>
        <w:tc>
          <w:tcPr>
            <w:tcW w:w="89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1,091,712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89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(net of deferred financing costs of $3,911)</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534,080</w:t>
            </w:r>
          </w:p>
        </w:tc>
        <w:tc>
          <w:tcPr>
            <w:tcW w:w="100" w:type="dxa"/>
            <w:vAlign w:val="bottom"/>
            <w:shd w:val="clear" w:color="auto" w:fill="CFF0FC"/>
          </w:tcPr>
          <w:p>
            <w:pPr>
              <w:spacing w:after="0"/>
              <w:rPr>
                <w:sz w:val="21"/>
                <w:szCs w:val="21"/>
                <w:color w:val="auto"/>
              </w:rPr>
            </w:pPr>
          </w:p>
        </w:tc>
      </w:tr>
      <w:tr>
        <w:trPr>
          <w:trHeight w:val="237"/>
        </w:trPr>
        <w:tc>
          <w:tcPr>
            <w:tcW w:w="8920" w:type="dxa"/>
            <w:vAlign w:val="bottom"/>
          </w:tcPr>
          <w:p>
            <w:pPr>
              <w:ind w:left="20"/>
              <w:spacing w:after="0"/>
              <w:rPr>
                <w:sz w:val="20"/>
                <w:szCs w:val="20"/>
                <w:color w:val="auto"/>
              </w:rPr>
            </w:pPr>
            <w:r>
              <w:rPr>
                <w:rFonts w:ascii="Arial" w:cs="Arial" w:eastAsia="Arial" w:hAnsi="Arial"/>
                <w:sz w:val="18"/>
                <w:szCs w:val="18"/>
                <w:color w:val="auto"/>
              </w:rPr>
              <w:t>Management fees payable to affiliate</w:t>
            </w:r>
          </w:p>
        </w:tc>
        <w:tc>
          <w:tcPr>
            <w:tcW w:w="4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r>
      <w:tr>
        <w:trPr>
          <w:trHeight w:val="249"/>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Incentive fees on net investment income payable to affiliate</w:t>
            </w:r>
          </w:p>
        </w:tc>
        <w:tc>
          <w:tcPr>
            <w:tcW w:w="4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FF0FC"/>
          </w:tcPr>
          <w:p>
            <w:pPr>
              <w:spacing w:after="0"/>
              <w:rPr>
                <w:sz w:val="21"/>
                <w:szCs w:val="21"/>
                <w:color w:val="auto"/>
              </w:rPr>
            </w:pPr>
          </w:p>
        </w:tc>
      </w:tr>
      <w:tr>
        <w:trPr>
          <w:trHeight w:val="237"/>
        </w:trPr>
        <w:tc>
          <w:tcPr>
            <w:tcW w:w="8920" w:type="dxa"/>
            <w:vAlign w:val="bottom"/>
          </w:tcPr>
          <w:p>
            <w:pPr>
              <w:ind w:left="20"/>
              <w:spacing w:after="0"/>
              <w:rPr>
                <w:sz w:val="20"/>
                <w:szCs w:val="20"/>
                <w:color w:val="auto"/>
              </w:rPr>
            </w:pPr>
            <w:r>
              <w:rPr>
                <w:rFonts w:ascii="Arial" w:cs="Arial" w:eastAsia="Arial" w:hAnsi="Arial"/>
                <w:sz w:val="18"/>
                <w:szCs w:val="18"/>
                <w:color w:val="auto"/>
              </w:rPr>
              <w:t>Other payables to affiliate</w:t>
            </w:r>
          </w:p>
        </w:tc>
        <w:tc>
          <w:tcPr>
            <w:tcW w:w="4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0"/>
                <w:szCs w:val="20"/>
                <w:color w:val="auto"/>
              </w:rPr>
            </w:pPr>
          </w:p>
        </w:tc>
      </w:tr>
      <w:tr>
        <w:trPr>
          <w:trHeight w:val="243"/>
        </w:trPr>
        <w:tc>
          <w:tcPr>
            <w:tcW w:w="8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8920" w:type="dxa"/>
            <w:vAlign w:val="bottom"/>
          </w:tcPr>
          <w:p>
            <w:pPr>
              <w:ind w:left="380"/>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545,001</w:t>
            </w:r>
          </w:p>
        </w:tc>
        <w:tc>
          <w:tcPr>
            <w:tcW w:w="100" w:type="dxa"/>
            <w:vAlign w:val="bottom"/>
          </w:tcPr>
          <w:p>
            <w:pPr>
              <w:spacing w:after="0"/>
              <w:rPr>
                <w:sz w:val="20"/>
                <w:szCs w:val="20"/>
                <w:color w:val="auto"/>
              </w:rPr>
            </w:pPr>
          </w:p>
        </w:tc>
      </w:tr>
      <w:tr>
        <w:trPr>
          <w:trHeight w:val="241"/>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7)</w:t>
            </w:r>
          </w:p>
        </w:tc>
        <w:tc>
          <w:tcPr>
            <w:tcW w:w="40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920" w:type="dxa"/>
            <w:vAlign w:val="bottom"/>
          </w:tcPr>
          <w:p>
            <w:pPr>
              <w:ind w:left="20"/>
              <w:spacing w:after="0"/>
              <w:rPr>
                <w:sz w:val="20"/>
                <w:szCs w:val="20"/>
                <w:color w:val="auto"/>
              </w:rPr>
            </w:pPr>
            <w:r>
              <w:rPr>
                <w:rFonts w:ascii="Arial" w:cs="Arial" w:eastAsia="Arial" w:hAnsi="Arial"/>
                <w:sz w:val="18"/>
                <w:szCs w:val="18"/>
                <w:b w:val="1"/>
                <w:bCs w:val="1"/>
                <w:color w:val="auto"/>
              </w:rPr>
              <w:t>Net Assets</w:t>
            </w: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shares, $0.001 par value; unlimited shares authorized, 21,882,028</w:t>
            </w:r>
          </w:p>
        </w:tc>
        <w:tc>
          <w:tcPr>
            <w:tcW w:w="40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89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shares issued and outstanding</w:t>
            </w:r>
          </w:p>
        </w:tc>
        <w:tc>
          <w:tcPr>
            <w:tcW w:w="40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1"/>
                <w:szCs w:val="21"/>
                <w:color w:val="auto"/>
              </w:rPr>
            </w:pPr>
          </w:p>
        </w:tc>
      </w:tr>
      <w:tr>
        <w:trPr>
          <w:trHeight w:val="237"/>
        </w:trPr>
        <w:tc>
          <w:tcPr>
            <w:tcW w:w="89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542,596</w:t>
            </w:r>
          </w:p>
        </w:tc>
        <w:tc>
          <w:tcPr>
            <w:tcW w:w="100" w:type="dxa"/>
            <w:vAlign w:val="bottom"/>
          </w:tcPr>
          <w:p>
            <w:pPr>
              <w:spacing w:after="0"/>
              <w:rPr>
                <w:sz w:val="20"/>
                <w:szCs w:val="20"/>
                <w:color w:val="auto"/>
              </w:rPr>
            </w:pPr>
          </w:p>
        </w:tc>
      </w:tr>
      <w:tr>
        <w:trPr>
          <w:trHeight w:val="243"/>
        </w:trPr>
        <w:tc>
          <w:tcPr>
            <w:tcW w:w="8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Distributable earnings</w:t>
            </w:r>
          </w:p>
        </w:tc>
        <w:tc>
          <w:tcPr>
            <w:tcW w:w="40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8920" w:type="dxa"/>
            <w:vAlign w:val="bottom"/>
          </w:tcPr>
          <w:p>
            <w:pPr>
              <w:ind w:left="380"/>
              <w:spacing w:after="0"/>
              <w:rPr>
                <w:sz w:val="20"/>
                <w:szCs w:val="20"/>
                <w:color w:val="auto"/>
              </w:rPr>
            </w:pPr>
            <w:r>
              <w:rPr>
                <w:rFonts w:ascii="Arial" w:cs="Arial" w:eastAsia="Arial" w:hAnsi="Arial"/>
                <w:sz w:val="18"/>
                <w:szCs w:val="18"/>
                <w:b w:val="1"/>
                <w:bCs w:val="1"/>
                <w:color w:val="auto"/>
              </w:rPr>
              <w:t>Total Net Assets</w:t>
            </w: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546,711</w:t>
            </w:r>
          </w:p>
        </w:tc>
        <w:tc>
          <w:tcPr>
            <w:tcW w:w="100" w:type="dxa"/>
            <w:vAlign w:val="bottom"/>
          </w:tcPr>
          <w:p>
            <w:pPr>
              <w:spacing w:after="0"/>
              <w:rPr>
                <w:sz w:val="20"/>
                <w:szCs w:val="20"/>
                <w:color w:val="auto"/>
              </w:rPr>
            </w:pPr>
          </w:p>
        </w:tc>
      </w:tr>
      <w:tr>
        <w:trPr>
          <w:trHeight w:val="281"/>
        </w:trPr>
        <w:tc>
          <w:tcPr>
            <w:tcW w:w="89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 and Net Assets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1,091,712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8920" w:type="dxa"/>
            <w:vAlign w:val="bottom"/>
          </w:tcPr>
          <w:p>
            <w:pPr>
              <w:ind w:left="380"/>
              <w:spacing w:after="0"/>
              <w:rPr>
                <w:sz w:val="20"/>
                <w:szCs w:val="20"/>
                <w:color w:val="auto"/>
              </w:rPr>
            </w:pPr>
            <w:r>
              <w:rPr>
                <w:rFonts w:ascii="Arial" w:cs="Arial" w:eastAsia="Arial" w:hAnsi="Arial"/>
                <w:sz w:val="18"/>
                <w:szCs w:val="18"/>
                <w:b w:val="1"/>
                <w:bCs w:val="1"/>
                <w:color w:val="auto"/>
              </w:rPr>
              <w:t>Net Asset Value Per Share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-2562860</wp:posOffset>
            </wp:positionV>
            <wp:extent cx="68580"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ind w:left="4480"/>
        <w:spacing w:after="0"/>
        <w:rPr>
          <w:sz w:val="20"/>
          <w:szCs w:val="20"/>
          <w:color w:val="auto"/>
        </w:rPr>
      </w:pPr>
      <w:r>
        <w:rPr>
          <w:rFonts w:ascii="Arial" w:cs="Arial" w:eastAsia="Arial" w:hAnsi="Arial"/>
          <w:sz w:val="18"/>
          <w:szCs w:val="18"/>
          <w:b w:val="1"/>
          <w:bCs w:val="1"/>
          <w:color w:val="auto"/>
        </w:rPr>
        <w:t>Sixth Street Lending Partners</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From April 5, 2022 (Inception)</w:t>
            </w:r>
          </w:p>
        </w:tc>
      </w:tr>
      <w:tr>
        <w:trPr>
          <w:trHeight w:val="175"/>
        </w:trPr>
        <w:tc>
          <w:tcPr>
            <w:tcW w:w="8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through</w:t>
            </w:r>
          </w:p>
        </w:tc>
      </w:tr>
      <w:tr>
        <w:trPr>
          <w:trHeight w:val="185"/>
        </w:trPr>
        <w:tc>
          <w:tcPr>
            <w:tcW w:w="8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 2022</w:t>
            </w:r>
          </w:p>
        </w:tc>
      </w:tr>
      <w:tr>
        <w:trPr>
          <w:trHeight w:val="169"/>
        </w:trPr>
        <w:tc>
          <w:tcPr>
            <w:tcW w:w="8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top w:val="single" w:sz="8" w:color="auto"/>
            </w:tcBorders>
            <w:shd w:val="clear" w:color="auto" w:fill="CFF0FC"/>
          </w:tcPr>
          <w:p>
            <w:pPr>
              <w:spacing w:after="0"/>
              <w:rPr>
                <w:sz w:val="14"/>
                <w:szCs w:val="14"/>
                <w:color w:val="auto"/>
              </w:rPr>
            </w:pPr>
          </w:p>
        </w:tc>
        <w:tc>
          <w:tcPr>
            <w:tcW w:w="20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75"/>
        </w:trPr>
        <w:tc>
          <w:tcPr>
            <w:tcW w:w="8720" w:type="dxa"/>
            <w:vAlign w:val="bottom"/>
          </w:tcPr>
          <w:p>
            <w:pPr>
              <w:ind w:left="20"/>
              <w:spacing w:after="0"/>
              <w:rPr>
                <w:sz w:val="20"/>
                <w:szCs w:val="20"/>
                <w:color w:val="auto"/>
              </w:rPr>
            </w:pPr>
            <w:r>
              <w:rPr>
                <w:rFonts w:ascii="Arial" w:cs="Arial" w:eastAsia="Arial" w:hAnsi="Arial"/>
                <w:sz w:val="14"/>
                <w:szCs w:val="14"/>
                <w:color w:val="auto"/>
              </w:rPr>
              <w:t>Investment income from non-controlled, non-affiliated investments:</w:t>
            </w: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8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from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17,050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5"/>
        </w:trPr>
        <w:tc>
          <w:tcPr>
            <w:tcW w:w="872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8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Total Investment Income</w:t>
            </w:r>
          </w:p>
        </w:tc>
        <w:tc>
          <w:tcPr>
            <w:tcW w:w="100" w:type="dxa"/>
            <w:vAlign w:val="bottom"/>
            <w:tcBorders>
              <w:bottom w:val="single" w:sz="8" w:color="auto"/>
            </w:tcBorders>
            <w:shd w:val="clear" w:color="auto" w:fill="CFF0FC"/>
          </w:tcPr>
          <w:p>
            <w:pPr>
              <w:spacing w:after="0"/>
              <w:rPr>
                <w:sz w:val="14"/>
                <w:szCs w:val="14"/>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17,154</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r>
      <w:tr>
        <w:trPr>
          <w:trHeight w:val="169"/>
        </w:trPr>
        <w:tc>
          <w:tcPr>
            <w:tcW w:w="87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5"/>
        </w:trPr>
        <w:tc>
          <w:tcPr>
            <w:tcW w:w="8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FF0FC"/>
          </w:tcPr>
          <w:p>
            <w:pPr>
              <w:spacing w:after="0"/>
              <w:rPr>
                <w:sz w:val="15"/>
                <w:szCs w:val="15"/>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5,233</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6"/>
        </w:trPr>
        <w:tc>
          <w:tcPr>
            <w:tcW w:w="8720" w:type="dxa"/>
            <w:vAlign w:val="bottom"/>
          </w:tcPr>
          <w:p>
            <w:pPr>
              <w:ind w:left="20"/>
              <w:spacing w:after="0"/>
              <w:rPr>
                <w:sz w:val="20"/>
                <w:szCs w:val="20"/>
                <w:color w:val="auto"/>
              </w:rPr>
            </w:pPr>
            <w:r>
              <w:rPr>
                <w:rFonts w:ascii="Arial" w:cs="Arial" w:eastAsia="Arial" w:hAnsi="Arial"/>
                <w:sz w:val="14"/>
                <w:szCs w:val="14"/>
                <w:color w:val="auto"/>
              </w:rPr>
              <w:t>Management fees</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2,668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8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Incentive fees on net investment income</w:t>
            </w:r>
          </w:p>
        </w:tc>
        <w:tc>
          <w:tcPr>
            <w:tcW w:w="100" w:type="dxa"/>
            <w:vAlign w:val="bottom"/>
            <w:shd w:val="clear" w:color="auto" w:fill="CFF0FC"/>
          </w:tcPr>
          <w:p>
            <w:pPr>
              <w:spacing w:after="0"/>
              <w:rPr>
                <w:sz w:val="15"/>
                <w:szCs w:val="15"/>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5"/>
        </w:trPr>
        <w:tc>
          <w:tcPr>
            <w:tcW w:w="8720" w:type="dxa"/>
            <w:vAlign w:val="bottom"/>
          </w:tcPr>
          <w:p>
            <w:pPr>
              <w:ind w:left="20"/>
              <w:spacing w:after="0"/>
              <w:rPr>
                <w:sz w:val="20"/>
                <w:szCs w:val="20"/>
                <w:color w:val="auto"/>
              </w:rPr>
            </w:pPr>
            <w:r>
              <w:rPr>
                <w:rFonts w:ascii="Arial" w:cs="Arial" w:eastAsia="Arial" w:hAnsi="Arial"/>
                <w:sz w:val="14"/>
                <w:szCs w:val="14"/>
                <w:color w:val="auto"/>
              </w:rPr>
              <w:t>Organizational expense</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2,160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8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Offering expense</w:t>
            </w:r>
          </w:p>
        </w:tc>
        <w:tc>
          <w:tcPr>
            <w:tcW w:w="100" w:type="dxa"/>
            <w:vAlign w:val="bottom"/>
            <w:shd w:val="clear" w:color="auto" w:fill="CFF0FC"/>
          </w:tcPr>
          <w:p>
            <w:pPr>
              <w:spacing w:after="0"/>
              <w:rPr>
                <w:sz w:val="15"/>
                <w:szCs w:val="15"/>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5"/>
        </w:trPr>
        <w:tc>
          <w:tcPr>
            <w:tcW w:w="872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963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8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Trustees’ fees</w:t>
            </w:r>
          </w:p>
        </w:tc>
        <w:tc>
          <w:tcPr>
            <w:tcW w:w="100" w:type="dxa"/>
            <w:vAlign w:val="bottom"/>
            <w:shd w:val="clear" w:color="auto" w:fill="CFF0FC"/>
          </w:tcPr>
          <w:p>
            <w:pPr>
              <w:spacing w:after="0"/>
              <w:rPr>
                <w:sz w:val="15"/>
                <w:szCs w:val="15"/>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5"/>
        </w:trPr>
        <w:tc>
          <w:tcPr>
            <w:tcW w:w="8720" w:type="dxa"/>
            <w:vAlign w:val="bottom"/>
          </w:tcPr>
          <w:p>
            <w:pPr>
              <w:ind w:left="20"/>
              <w:spacing w:after="0"/>
              <w:rPr>
                <w:sz w:val="20"/>
                <w:szCs w:val="20"/>
                <w:color w:val="auto"/>
              </w:rPr>
            </w:pPr>
            <w:r>
              <w:rPr>
                <w:rFonts w:ascii="Arial" w:cs="Arial" w:eastAsia="Arial" w:hAnsi="Arial"/>
                <w:sz w:val="14"/>
                <w:szCs w:val="14"/>
                <w:color w:val="auto"/>
              </w:rPr>
              <w:t>Other general and administrative</w:t>
            </w: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8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expenses</w:t>
            </w:r>
          </w:p>
        </w:tc>
        <w:tc>
          <w:tcPr>
            <w:tcW w:w="100" w:type="dxa"/>
            <w:vAlign w:val="bottom"/>
            <w:tcBorders>
              <w:bottom w:val="single" w:sz="8" w:color="auto"/>
            </w:tcBorders>
            <w:shd w:val="clear" w:color="auto" w:fill="CFF0FC"/>
          </w:tcPr>
          <w:p>
            <w:pPr>
              <w:spacing w:after="0"/>
              <w:rPr>
                <w:sz w:val="14"/>
                <w:szCs w:val="14"/>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13,336</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r>
      <w:tr>
        <w:trPr>
          <w:trHeight w:val="169"/>
        </w:trPr>
        <w:tc>
          <w:tcPr>
            <w:tcW w:w="8720" w:type="dxa"/>
            <w:vAlign w:val="bottom"/>
          </w:tcPr>
          <w:p>
            <w:pPr>
              <w:ind w:left="20"/>
              <w:spacing w:after="0"/>
              <w:rPr>
                <w:sz w:val="20"/>
                <w:szCs w:val="20"/>
                <w:color w:val="auto"/>
              </w:rPr>
            </w:pPr>
            <w:r>
              <w:rPr>
                <w:rFonts w:ascii="Arial" w:cs="Arial" w:eastAsia="Arial" w:hAnsi="Arial"/>
                <w:sz w:val="14"/>
                <w:szCs w:val="14"/>
                <w:color w:val="auto"/>
              </w:rPr>
              <w:t>Management fees waived (Note 3)</w:t>
            </w:r>
          </w:p>
        </w:tc>
        <w:tc>
          <w:tcPr>
            <w:tcW w:w="1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(1,992 )</w:t>
            </w:r>
          </w:p>
        </w:tc>
        <w:tc>
          <w:tcPr>
            <w:tcW w:w="240" w:type="dxa"/>
            <w:vAlign w:val="bottom"/>
          </w:tcPr>
          <w:p>
            <w:pPr>
              <w:spacing w:after="0"/>
              <w:rPr>
                <w:sz w:val="14"/>
                <w:szCs w:val="14"/>
                <w:color w:val="auto"/>
              </w:rPr>
            </w:pPr>
          </w:p>
        </w:tc>
      </w:tr>
      <w:tr>
        <w:trPr>
          <w:trHeight w:val="169"/>
        </w:trPr>
        <w:tc>
          <w:tcPr>
            <w:tcW w:w="8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Net Expenses</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11,344</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r>
      <w:tr>
        <w:trPr>
          <w:trHeight w:val="169"/>
        </w:trPr>
        <w:tc>
          <w:tcPr>
            <w:tcW w:w="8720" w:type="dxa"/>
            <w:vAlign w:val="bottom"/>
          </w:tcPr>
          <w:p>
            <w:pPr>
              <w:ind w:left="20"/>
              <w:spacing w:after="0"/>
              <w:rPr>
                <w:sz w:val="20"/>
                <w:szCs w:val="20"/>
                <w:color w:val="auto"/>
              </w:rPr>
            </w:pPr>
            <w:r>
              <w:rPr>
                <w:rFonts w:ascii="Arial" w:cs="Arial" w:eastAsia="Arial" w:hAnsi="Arial"/>
                <w:sz w:val="14"/>
                <w:szCs w:val="14"/>
                <w:b w:val="1"/>
                <w:bCs w:val="1"/>
                <w:color w:val="auto"/>
              </w:rPr>
              <w:t>Net Investment Income Before Income Taxes</w:t>
            </w:r>
          </w:p>
        </w:tc>
        <w:tc>
          <w:tcPr>
            <w:tcW w:w="1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5,810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5"/>
        </w:trPr>
        <w:tc>
          <w:tcPr>
            <w:tcW w:w="8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taxes, including excise taxes</w:t>
            </w:r>
          </w:p>
        </w:tc>
        <w:tc>
          <w:tcPr>
            <w:tcW w:w="100" w:type="dxa"/>
            <w:vAlign w:val="bottom"/>
            <w:tcBorders>
              <w:bottom w:val="single" w:sz="8" w:color="auto"/>
            </w:tcBorders>
            <w:shd w:val="clear" w:color="auto" w:fill="CFF0FC"/>
          </w:tcPr>
          <w:p>
            <w:pPr>
              <w:spacing w:after="0"/>
              <w:rPr>
                <w:sz w:val="15"/>
                <w:szCs w:val="15"/>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r>
      <w:tr>
        <w:trPr>
          <w:trHeight w:val="169"/>
        </w:trPr>
        <w:tc>
          <w:tcPr>
            <w:tcW w:w="8720" w:type="dxa"/>
            <w:vAlign w:val="bottom"/>
          </w:tcPr>
          <w:p>
            <w:pPr>
              <w:ind w:left="20"/>
              <w:spacing w:after="0"/>
              <w:rPr>
                <w:sz w:val="20"/>
                <w:szCs w:val="20"/>
                <w:color w:val="auto"/>
              </w:rPr>
            </w:pPr>
            <w:r>
              <w:rPr>
                <w:rFonts w:ascii="Arial" w:cs="Arial" w:eastAsia="Arial" w:hAnsi="Arial"/>
                <w:sz w:val="14"/>
                <w:szCs w:val="14"/>
                <w:b w:val="1"/>
                <w:bCs w:val="1"/>
                <w:color w:val="auto"/>
              </w:rPr>
              <w:t>Net Investment Income</w:t>
            </w:r>
          </w:p>
        </w:tc>
        <w:tc>
          <w:tcPr>
            <w:tcW w:w="1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5,590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6"/>
        </w:trPr>
        <w:tc>
          <w:tcPr>
            <w:tcW w:w="8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Unrealized and Realized Gains (Losses)</w:t>
            </w:r>
          </w:p>
        </w:tc>
        <w:tc>
          <w:tcPr>
            <w:tcW w:w="100" w:type="dxa"/>
            <w:vAlign w:val="bottom"/>
            <w:shd w:val="clear" w:color="auto" w:fill="CFF0FC"/>
          </w:tcPr>
          <w:p>
            <w:pPr>
              <w:spacing w:after="0"/>
              <w:rPr>
                <w:sz w:val="15"/>
                <w:szCs w:val="15"/>
                <w:color w:val="auto"/>
              </w:rPr>
            </w:pPr>
          </w:p>
        </w:tc>
        <w:tc>
          <w:tcPr>
            <w:tcW w:w="2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5"/>
        </w:trPr>
        <w:tc>
          <w:tcPr>
            <w:tcW w:w="8720" w:type="dxa"/>
            <w:vAlign w:val="bottom"/>
          </w:tcPr>
          <w:p>
            <w:pPr>
              <w:ind w:left="20"/>
              <w:spacing w:after="0"/>
              <w:rPr>
                <w:sz w:val="20"/>
                <w:szCs w:val="20"/>
                <w:color w:val="auto"/>
              </w:rPr>
            </w:pPr>
            <w:r>
              <w:rPr>
                <w:rFonts w:ascii="Arial" w:cs="Arial" w:eastAsia="Arial" w:hAnsi="Arial"/>
                <w:sz w:val="14"/>
                <w:szCs w:val="14"/>
                <w:color w:val="auto"/>
              </w:rPr>
              <w:t>Net change in unrealized gains (losses):</w:t>
            </w: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8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100" w:type="dxa"/>
            <w:vAlign w:val="bottom"/>
            <w:shd w:val="clear" w:color="auto" w:fill="CFF0FC"/>
          </w:tcPr>
          <w:p>
            <w:pPr>
              <w:spacing w:after="0"/>
              <w:rPr>
                <w:sz w:val="15"/>
                <w:szCs w:val="15"/>
                <w:color w:val="auto"/>
              </w:rPr>
            </w:pP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(229 )</w:t>
            </w:r>
          </w:p>
        </w:tc>
        <w:tc>
          <w:tcPr>
            <w:tcW w:w="240" w:type="dxa"/>
            <w:vAlign w:val="bottom"/>
            <w:shd w:val="clear" w:color="auto" w:fill="CFF0FC"/>
          </w:tcPr>
          <w:p>
            <w:pPr>
              <w:spacing w:after="0"/>
              <w:rPr>
                <w:sz w:val="15"/>
                <w:szCs w:val="15"/>
                <w:color w:val="auto"/>
              </w:rPr>
            </w:pPr>
          </w:p>
        </w:tc>
      </w:tr>
      <w:tr>
        <w:trPr>
          <w:trHeight w:val="175"/>
        </w:trPr>
        <w:tc>
          <w:tcPr>
            <w:tcW w:w="8720" w:type="dxa"/>
            <w:vAlign w:val="bottom"/>
          </w:tcPr>
          <w:p>
            <w:pPr>
              <w:ind w:left="20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100" w:type="dxa"/>
            <w:vAlign w:val="bottom"/>
          </w:tcPr>
          <w:p>
            <w:pPr>
              <w:spacing w:after="0"/>
              <w:rPr>
                <w:sz w:val="15"/>
                <w:szCs w:val="15"/>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(1,434 )</w:t>
            </w:r>
          </w:p>
        </w:tc>
        <w:tc>
          <w:tcPr>
            <w:tcW w:w="240" w:type="dxa"/>
            <w:vAlign w:val="bottom"/>
          </w:tcPr>
          <w:p>
            <w:pPr>
              <w:spacing w:after="0"/>
              <w:rPr>
                <w:sz w:val="15"/>
                <w:szCs w:val="15"/>
                <w:color w:val="auto"/>
              </w:rPr>
            </w:pPr>
          </w:p>
        </w:tc>
      </w:tr>
      <w:tr>
        <w:trPr>
          <w:trHeight w:val="169"/>
        </w:trPr>
        <w:tc>
          <w:tcPr>
            <w:tcW w:w="872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Total net change in unrealized gains (losses)</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69"/>
        </w:trPr>
        <w:tc>
          <w:tcPr>
            <w:tcW w:w="8720" w:type="dxa"/>
            <w:vAlign w:val="bottom"/>
          </w:tcPr>
          <w:p>
            <w:pPr>
              <w:ind w:left="20"/>
              <w:spacing w:after="0"/>
              <w:rPr>
                <w:sz w:val="20"/>
                <w:szCs w:val="20"/>
                <w:color w:val="auto"/>
              </w:rPr>
            </w:pPr>
            <w:r>
              <w:rPr>
                <w:rFonts w:ascii="Arial" w:cs="Arial" w:eastAsia="Arial" w:hAnsi="Arial"/>
                <w:sz w:val="14"/>
                <w:szCs w:val="14"/>
                <w:color w:val="auto"/>
              </w:rPr>
              <w:t>Realized gains (losses):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5"/>
        </w:trPr>
        <w:tc>
          <w:tcPr>
            <w:tcW w:w="8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transactions</w:t>
            </w:r>
          </w:p>
        </w:tc>
        <w:tc>
          <w:tcPr>
            <w:tcW w:w="100" w:type="dxa"/>
            <w:vAlign w:val="bottom"/>
            <w:shd w:val="clear" w:color="auto" w:fill="CFF0FC"/>
          </w:tcPr>
          <w:p>
            <w:pPr>
              <w:spacing w:after="0"/>
              <w:rPr>
                <w:sz w:val="15"/>
                <w:szCs w:val="15"/>
                <w:color w:val="auto"/>
              </w:rPr>
            </w:pP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(80 )</w:t>
            </w:r>
          </w:p>
        </w:tc>
        <w:tc>
          <w:tcPr>
            <w:tcW w:w="240" w:type="dxa"/>
            <w:vAlign w:val="bottom"/>
            <w:shd w:val="clear" w:color="auto" w:fill="CFF0FC"/>
          </w:tcPr>
          <w:p>
            <w:pPr>
              <w:spacing w:after="0"/>
              <w:rPr>
                <w:sz w:val="15"/>
                <w:szCs w:val="15"/>
                <w:color w:val="auto"/>
              </w:rPr>
            </w:pPr>
          </w:p>
        </w:tc>
      </w:tr>
      <w:tr>
        <w:trPr>
          <w:trHeight w:val="20"/>
        </w:trPr>
        <w:tc>
          <w:tcPr>
            <w:tcW w:w="87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69"/>
        </w:trPr>
        <w:tc>
          <w:tcPr>
            <w:tcW w:w="8720" w:type="dxa"/>
            <w:vAlign w:val="bottom"/>
          </w:tcPr>
          <w:p>
            <w:pPr>
              <w:ind w:left="560"/>
              <w:spacing w:after="0"/>
              <w:rPr>
                <w:sz w:val="20"/>
                <w:szCs w:val="20"/>
                <w:color w:val="auto"/>
              </w:rPr>
            </w:pPr>
            <w:r>
              <w:rPr>
                <w:rFonts w:ascii="Arial" w:cs="Arial" w:eastAsia="Arial" w:hAnsi="Arial"/>
                <w:sz w:val="14"/>
                <w:szCs w:val="14"/>
                <w:color w:val="auto"/>
              </w:rPr>
              <w:t>Total net realized gains (losses)</w:t>
            </w:r>
          </w:p>
        </w:tc>
        <w:tc>
          <w:tcPr>
            <w:tcW w:w="1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(80 )</w:t>
            </w:r>
          </w:p>
        </w:tc>
        <w:tc>
          <w:tcPr>
            <w:tcW w:w="240" w:type="dxa"/>
            <w:vAlign w:val="bottom"/>
          </w:tcPr>
          <w:p>
            <w:pPr>
              <w:spacing w:after="0"/>
              <w:rPr>
                <w:sz w:val="14"/>
                <w:szCs w:val="14"/>
                <w:color w:val="auto"/>
              </w:rPr>
            </w:pPr>
          </w:p>
        </w:tc>
      </w:tr>
      <w:tr>
        <w:trPr>
          <w:trHeight w:val="169"/>
        </w:trPr>
        <w:tc>
          <w:tcPr>
            <w:tcW w:w="8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Total Net Unrealized and Realized Gains (Losses)</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r>
      <w:tr>
        <w:trPr>
          <w:trHeight w:val="169"/>
        </w:trPr>
        <w:tc>
          <w:tcPr>
            <w:tcW w:w="8720" w:type="dxa"/>
            <w:vAlign w:val="bottom"/>
          </w:tcPr>
          <w:p>
            <w:pPr>
              <w:ind w:left="740"/>
              <w:spacing w:after="0"/>
              <w:rPr>
                <w:sz w:val="20"/>
                <w:szCs w:val="20"/>
                <w:color w:val="auto"/>
              </w:rPr>
            </w:pPr>
            <w:r>
              <w:rPr>
                <w:rFonts w:ascii="Arial" w:cs="Arial" w:eastAsia="Arial" w:hAnsi="Arial"/>
                <w:sz w:val="14"/>
                <w:szCs w:val="14"/>
                <w:b w:val="1"/>
                <w:bCs w:val="1"/>
                <w:color w:val="auto"/>
              </w:rPr>
              <w:t>Increase (decrease) in Net Assets Resulting from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6"/>
        </w:trPr>
        <w:tc>
          <w:tcPr>
            <w:tcW w:w="872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Earnings per common share—basic and diluted</w:t>
            </w:r>
          </w:p>
        </w:tc>
        <w:tc>
          <w:tcPr>
            <w:tcW w:w="1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20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0.55</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r>
      <w:tr>
        <w:trPr>
          <w:trHeight w:val="169"/>
        </w:trPr>
        <w:tc>
          <w:tcPr>
            <w:tcW w:w="8720" w:type="dxa"/>
            <w:vAlign w:val="bottom"/>
          </w:tcPr>
          <w:p>
            <w:pPr>
              <w:ind w:left="20"/>
              <w:spacing w:after="0"/>
              <w:rPr>
                <w:sz w:val="20"/>
                <w:szCs w:val="20"/>
                <w:color w:val="auto"/>
              </w:rPr>
            </w:pPr>
            <w:r>
              <w:rPr>
                <w:rFonts w:ascii="Arial" w:cs="Arial" w:eastAsia="Arial" w:hAnsi="Arial"/>
                <w:sz w:val="14"/>
                <w:szCs w:val="14"/>
                <w:color w:val="auto"/>
              </w:rPr>
              <w:t>Weighted average shares of common shares outstanding—basic and diluted</w:t>
            </w: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7,034,869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-3145155</wp:posOffset>
            </wp:positionV>
            <wp:extent cx="68580" cy="120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-2014220</wp:posOffset>
            </wp:positionV>
            <wp:extent cx="6858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-1773555</wp:posOffset>
            </wp:positionV>
            <wp:extent cx="6858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-1542415</wp:posOffset>
            </wp:positionV>
            <wp:extent cx="6858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-989330</wp:posOffset>
            </wp:positionV>
            <wp:extent cx="7132320" cy="2527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25273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-625475</wp:posOffset>
            </wp:positionV>
            <wp:extent cx="6858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-385445</wp:posOffset>
            </wp:positionV>
            <wp:extent cx="6858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-128270</wp:posOffset>
            </wp:positionV>
            <wp:extent cx="68580"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center"/>
        <w:ind w:right="40"/>
        <w:spacing w:after="0"/>
        <w:rPr>
          <w:sz w:val="20"/>
          <w:szCs w:val="20"/>
          <w:color w:val="auto"/>
        </w:rPr>
      </w:pPr>
      <w:r>
        <w:rPr>
          <w:rFonts w:ascii="Arial" w:cs="Arial" w:eastAsia="Arial" w:hAnsi="Arial"/>
          <w:sz w:val="18"/>
          <w:szCs w:val="18"/>
          <w:b w:val="1"/>
          <w:bCs w:val="1"/>
          <w:color w:val="auto"/>
        </w:rPr>
        <w:t>Sixth Street Lending Partners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Schedule of Investments as of December 31, 2022</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5"/>
              </w:rPr>
              <w:t>Reference</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6"/>
                <w:szCs w:val="16"/>
                <w:b w:val="1"/>
                <w:bCs w:val="1"/>
                <w:color w:val="auto"/>
                <w:vertAlign w:val="superscript"/>
              </w:rPr>
              <w:t>(1)(9)</w:t>
            </w:r>
          </w:p>
        </w:tc>
        <w:tc>
          <w:tcPr>
            <w:tcW w:w="80" w:type="dxa"/>
            <w:vAlign w:val="bottom"/>
          </w:tcPr>
          <w:p>
            <w:pPr>
              <w:spacing w:after="0"/>
              <w:rPr>
                <w:sz w:val="11"/>
                <w:szCs w:val="11"/>
                <w:color w:val="auto"/>
              </w:rPr>
            </w:pPr>
          </w:p>
        </w:tc>
        <w:tc>
          <w:tcPr>
            <w:tcW w:w="2760" w:type="dxa"/>
            <w:vAlign w:val="bottom"/>
            <w:vMerge w:val="restart"/>
          </w:tcPr>
          <w:p>
            <w:pPr>
              <w:ind w:left="108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87"/>
              </w:rPr>
              <w:t>Acquisition</w:t>
            </w:r>
          </w:p>
        </w:tc>
        <w:tc>
          <w:tcPr>
            <w:tcW w:w="80" w:type="dxa"/>
            <w:vAlign w:val="bottom"/>
          </w:tcPr>
          <w:p>
            <w:pPr>
              <w:spacing w:after="0"/>
              <w:rPr>
                <w:sz w:val="11"/>
                <w:szCs w:val="11"/>
                <w:color w:val="auto"/>
              </w:rPr>
            </w:pPr>
          </w:p>
        </w:tc>
        <w:tc>
          <w:tcPr>
            <w:tcW w:w="70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87"/>
              </w:rPr>
              <w:t>Rate and</w:t>
            </w:r>
          </w:p>
        </w:tc>
        <w:tc>
          <w:tcPr>
            <w:tcW w:w="180" w:type="dxa"/>
            <w:vAlign w:val="bottom"/>
          </w:tcPr>
          <w:p>
            <w:pPr>
              <w:spacing w:after="0"/>
              <w:rPr>
                <w:sz w:val="11"/>
                <w:szCs w:val="11"/>
                <w:color w:val="auto"/>
              </w:rPr>
            </w:pPr>
          </w:p>
        </w:tc>
        <w:tc>
          <w:tcPr>
            <w:tcW w:w="1040" w:type="dxa"/>
            <w:vAlign w:val="bottom"/>
            <w:gridSpan w:val="3"/>
            <w:vMerge w:val="restart"/>
          </w:tcPr>
          <w:p>
            <w:pPr>
              <w:jc w:val="right"/>
              <w:ind w:right="217"/>
              <w:spacing w:after="0"/>
              <w:rPr>
                <w:sz w:val="20"/>
                <w:szCs w:val="20"/>
                <w:color w:val="auto"/>
              </w:rPr>
            </w:pPr>
            <w:r>
              <w:rPr>
                <w:rFonts w:ascii="Arial" w:cs="Arial" w:eastAsia="Arial" w:hAnsi="Arial"/>
                <w:sz w:val="13"/>
                <w:szCs w:val="13"/>
                <w:b w:val="1"/>
                <w:bCs w:val="1"/>
                <w:color w:val="auto"/>
                <w:w w:val="93"/>
              </w:rPr>
              <w:t>Interest Rate</w:t>
            </w:r>
          </w:p>
        </w:tc>
        <w:tc>
          <w:tcPr>
            <w:tcW w:w="680" w:type="dxa"/>
            <w:vAlign w:val="bottom"/>
          </w:tcPr>
          <w:p>
            <w:pPr>
              <w:jc w:val="right"/>
              <w:ind w:right="38"/>
              <w:spacing w:after="0" w:line="132" w:lineRule="exact"/>
              <w:rPr>
                <w:sz w:val="20"/>
                <w:szCs w:val="20"/>
                <w:color w:val="auto"/>
              </w:rPr>
            </w:pPr>
            <w:r>
              <w:rPr>
                <w:rFonts w:ascii="Arial" w:cs="Arial" w:eastAsia="Arial" w:hAnsi="Arial"/>
                <w:sz w:val="13"/>
                <w:szCs w:val="13"/>
                <w:b w:val="1"/>
                <w:bCs w:val="1"/>
                <w:color w:val="auto"/>
                <w:w w:val="88"/>
              </w:rPr>
              <w:t>Amortized</w:t>
            </w:r>
          </w:p>
        </w:tc>
        <w:tc>
          <w:tcPr>
            <w:tcW w:w="18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1"/>
                <w:szCs w:val="11"/>
                <w:color w:val="auto"/>
              </w:rPr>
            </w:pPr>
          </w:p>
        </w:tc>
        <w:tc>
          <w:tcPr>
            <w:tcW w:w="980" w:type="dxa"/>
            <w:vAlign w:val="bottom"/>
            <w:gridSpan w:val="3"/>
          </w:tcPr>
          <w:p>
            <w:pPr>
              <w:jc w:val="center"/>
              <w:ind w:right="140"/>
              <w:spacing w:after="0" w:line="132" w:lineRule="exact"/>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70"/>
        </w:trPr>
        <w:tc>
          <w:tcPr>
            <w:tcW w:w="2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6"/>
              </w:rPr>
              <w:t>Spread</w:t>
            </w:r>
          </w:p>
        </w:tc>
        <w:tc>
          <w:tcPr>
            <w:tcW w:w="1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680" w:type="dxa"/>
            <w:vAlign w:val="bottom"/>
          </w:tcPr>
          <w:p>
            <w:pPr>
              <w:jc w:val="right"/>
              <w:ind w:right="98"/>
              <w:spacing w:after="0" w:line="170" w:lineRule="exact"/>
              <w:rPr>
                <w:sz w:val="20"/>
                <w:szCs w:val="20"/>
                <w:color w:val="auto"/>
              </w:rPr>
            </w:pPr>
            <w:r>
              <w:rPr>
                <w:rFonts w:ascii="Arial" w:cs="Arial" w:eastAsia="Arial" w:hAnsi="Arial"/>
                <w:sz w:val="19"/>
                <w:szCs w:val="19"/>
                <w:b w:val="1"/>
                <w:bCs w:val="1"/>
                <w:color w:val="auto"/>
                <w:vertAlign w:val="subscript"/>
              </w:rPr>
              <w:t>Cost</w:t>
            </w:r>
            <w:r>
              <w:rPr>
                <w:rFonts w:ascii="Arial" w:cs="Arial" w:eastAsia="Arial" w:hAnsi="Arial"/>
                <w:sz w:val="7"/>
                <w:szCs w:val="7"/>
                <w:b w:val="1"/>
                <w:bCs w:val="1"/>
                <w:color w:val="auto"/>
              </w:rPr>
              <w:t xml:space="preserve"> (2)(7)</w:t>
            </w:r>
          </w:p>
        </w:tc>
        <w:tc>
          <w:tcPr>
            <w:tcW w:w="880" w:type="dxa"/>
            <w:vAlign w:val="bottom"/>
            <w:gridSpan w:val="2"/>
          </w:tcPr>
          <w:p>
            <w:pPr>
              <w:jc w:val="right"/>
              <w:ind w:right="237"/>
              <w:spacing w:after="0"/>
              <w:rPr>
                <w:sz w:val="20"/>
                <w:szCs w:val="20"/>
                <w:color w:val="auto"/>
              </w:rPr>
            </w:pPr>
            <w:r>
              <w:rPr>
                <w:rFonts w:ascii="Arial" w:cs="Arial" w:eastAsia="Arial" w:hAnsi="Arial"/>
                <w:sz w:val="8"/>
                <w:szCs w:val="8"/>
                <w:b w:val="1"/>
                <w:bCs w:val="1"/>
                <w:color w:val="auto"/>
              </w:rPr>
              <w:t>(6)</w:t>
            </w:r>
          </w:p>
        </w:tc>
        <w:tc>
          <w:tcPr>
            <w:tcW w:w="16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156"/>
        </w:trPr>
        <w:tc>
          <w:tcPr>
            <w:tcW w:w="2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Debt Investments</w:t>
            </w:r>
          </w:p>
        </w:tc>
        <w:tc>
          <w:tcPr>
            <w:tcW w:w="80" w:type="dxa"/>
            <w:vAlign w:val="bottom"/>
            <w:shd w:val="clear" w:color="auto" w:fill="CFF0FC"/>
          </w:tcPr>
          <w:p>
            <w:pPr>
              <w:spacing w:after="0"/>
              <w:rPr>
                <w:sz w:val="13"/>
                <w:szCs w:val="13"/>
                <w:color w:val="auto"/>
              </w:rPr>
            </w:pPr>
          </w:p>
        </w:tc>
        <w:tc>
          <w:tcPr>
            <w:tcW w:w="276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Business services</w:t>
            </w: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8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Hornetsecurity Holding GmbH </w:t>
            </w:r>
            <w:r>
              <w:rPr>
                <w:rFonts w:ascii="Arial" w:cs="Arial" w:eastAsia="Arial" w:hAnsi="Arial"/>
                <w:sz w:val="15"/>
                <w:szCs w:val="15"/>
                <w:color w:val="auto"/>
                <w:vertAlign w:val="superscript"/>
              </w:rPr>
              <w:t>(3)(4)</w:t>
            </w:r>
          </w:p>
        </w:tc>
        <w:tc>
          <w:tcPr>
            <w:tcW w:w="80" w:type="dxa"/>
            <w:vAlign w:val="bottom"/>
            <w:shd w:val="clear" w:color="auto" w:fill="CFF0FC"/>
          </w:tcPr>
          <w:p>
            <w:pPr>
              <w:spacing w:after="0"/>
              <w:rPr>
                <w:sz w:val="11"/>
                <w:szCs w:val="11"/>
                <w:color w:val="auto"/>
              </w:rPr>
            </w:pPr>
          </w:p>
        </w:tc>
        <w:tc>
          <w:tcPr>
            <w:tcW w:w="27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rPr>
              <w:t>First-lien loan (EUR 3,150 par, due 11/2029)</w:t>
            </w:r>
          </w:p>
        </w:tc>
        <w:tc>
          <w:tcPr>
            <w:tcW w:w="96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11/14/2022</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E + 6.50%</w:t>
            </w:r>
          </w:p>
        </w:tc>
        <w:tc>
          <w:tcPr>
            <w:tcW w:w="1220" w:type="dxa"/>
            <w:vAlign w:val="bottom"/>
            <w:gridSpan w:val="4"/>
            <w:shd w:val="clear" w:color="auto" w:fill="CFF0FC"/>
          </w:tcPr>
          <w:p>
            <w:pPr>
              <w:jc w:val="right"/>
              <w:spacing w:after="0" w:line="134" w:lineRule="exact"/>
              <w:rPr>
                <w:sz w:val="20"/>
                <w:szCs w:val="20"/>
                <w:color w:val="auto"/>
              </w:rPr>
            </w:pPr>
            <w:r>
              <w:rPr>
                <w:rFonts w:ascii="Arial" w:cs="Arial" w:eastAsia="Arial" w:hAnsi="Arial"/>
                <w:sz w:val="13"/>
                <w:szCs w:val="13"/>
                <w:color w:val="auto"/>
              </w:rPr>
              <w:t>8.26 % $</w:t>
            </w:r>
          </w:p>
        </w:tc>
        <w:tc>
          <w:tcPr>
            <w:tcW w:w="6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3,139</w:t>
            </w:r>
          </w:p>
        </w:tc>
        <w:tc>
          <w:tcPr>
            <w:tcW w:w="880" w:type="dxa"/>
            <w:vAlign w:val="bottom"/>
            <w:gridSpan w:val="2"/>
            <w:shd w:val="clear" w:color="auto" w:fill="CFF0FC"/>
          </w:tcPr>
          <w:p>
            <w:pPr>
              <w:jc w:val="right"/>
              <w:ind w:right="577"/>
              <w:spacing w:after="0" w:line="134" w:lineRule="exact"/>
              <w:rPr>
                <w:sz w:val="20"/>
                <w:szCs w:val="20"/>
                <w:color w:val="auto"/>
              </w:rPr>
            </w:pPr>
            <w:r>
              <w:rPr>
                <w:rFonts w:ascii="Arial" w:cs="Arial" w:eastAsia="Arial" w:hAnsi="Arial"/>
                <w:sz w:val="13"/>
                <w:szCs w:val="13"/>
                <w:color w:val="auto"/>
              </w:rPr>
              <w:t>$</w:t>
            </w:r>
          </w:p>
        </w:tc>
        <w:tc>
          <w:tcPr>
            <w:tcW w:w="110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0.6 %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3,213</w:t>
            </w: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ind w:left="40"/>
              <w:spacing w:after="0"/>
              <w:rPr>
                <w:sz w:val="20"/>
                <w:szCs w:val="20"/>
                <w:color w:val="auto"/>
              </w:rPr>
            </w:pPr>
            <w:r>
              <w:rPr>
                <w:rFonts w:ascii="Arial" w:cs="Arial" w:eastAsia="Arial" w:hAnsi="Arial"/>
                <w:sz w:val="13"/>
                <w:szCs w:val="13"/>
                <w:color w:val="auto"/>
                <w:w w:val="88"/>
              </w:rPr>
              <w:t>(EUR 3,011)</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80" w:type="dxa"/>
            <w:vAlign w:val="bottom"/>
          </w:tcPr>
          <w:p>
            <w:pPr>
              <w:ind w:left="20"/>
              <w:spacing w:after="0" w:line="134" w:lineRule="exact"/>
              <w:rPr>
                <w:sz w:val="20"/>
                <w:szCs w:val="20"/>
                <w:color w:val="auto"/>
              </w:rPr>
            </w:pPr>
            <w:r>
              <w:rPr>
                <w:rFonts w:ascii="Arial" w:cs="Arial" w:eastAsia="Arial" w:hAnsi="Arial"/>
                <w:sz w:val="12"/>
                <w:szCs w:val="12"/>
                <w:color w:val="auto"/>
              </w:rPr>
              <w:t>OutSystems Luxco SARL</w:t>
            </w:r>
            <w:r>
              <w:rPr>
                <w:rFonts w:ascii="Arial" w:cs="Arial" w:eastAsia="Arial" w:hAnsi="Arial"/>
                <w:sz w:val="15"/>
                <w:szCs w:val="15"/>
                <w:color w:val="auto"/>
                <w:vertAlign w:val="superscript"/>
              </w:rPr>
              <w:t>(3)(4)(5)</w:t>
            </w:r>
          </w:p>
        </w:tc>
        <w:tc>
          <w:tcPr>
            <w:tcW w:w="80" w:type="dxa"/>
            <w:vAlign w:val="bottom"/>
          </w:tcPr>
          <w:p>
            <w:pPr>
              <w:spacing w:after="0"/>
              <w:rPr>
                <w:sz w:val="11"/>
                <w:szCs w:val="11"/>
                <w:color w:val="auto"/>
              </w:rPr>
            </w:pPr>
          </w:p>
        </w:tc>
        <w:tc>
          <w:tcPr>
            <w:tcW w:w="2760" w:type="dxa"/>
            <w:vAlign w:val="bottom"/>
          </w:tcPr>
          <w:p>
            <w:pPr>
              <w:ind w:left="20"/>
              <w:spacing w:after="0" w:line="134" w:lineRule="exact"/>
              <w:rPr>
                <w:sz w:val="20"/>
                <w:szCs w:val="20"/>
                <w:color w:val="auto"/>
              </w:rPr>
            </w:pPr>
            <w:r>
              <w:rPr>
                <w:rFonts w:ascii="Arial" w:cs="Arial" w:eastAsia="Arial" w:hAnsi="Arial"/>
                <w:sz w:val="13"/>
                <w:szCs w:val="13"/>
                <w:color w:val="auto"/>
              </w:rPr>
              <w:t>First-lien loan (EUR 3,004 par, due 12/2028)</w:t>
            </w:r>
          </w:p>
        </w:tc>
        <w:tc>
          <w:tcPr>
            <w:tcW w:w="9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12/8/2022</w:t>
            </w: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E + 5.75%</w:t>
            </w:r>
          </w:p>
        </w:tc>
        <w:tc>
          <w:tcPr>
            <w:tcW w:w="1120" w:type="dxa"/>
            <w:vAlign w:val="bottom"/>
            <w:gridSpan w:val="3"/>
          </w:tcPr>
          <w:p>
            <w:pPr>
              <w:jc w:val="right"/>
              <w:ind w:right="20"/>
              <w:spacing w:after="0" w:line="134" w:lineRule="exact"/>
              <w:rPr>
                <w:sz w:val="20"/>
                <w:szCs w:val="20"/>
                <w:color w:val="auto"/>
              </w:rPr>
            </w:pPr>
            <w:r>
              <w:rPr>
                <w:rFonts w:ascii="Arial" w:cs="Arial" w:eastAsia="Arial" w:hAnsi="Arial"/>
                <w:sz w:val="13"/>
                <w:szCs w:val="13"/>
                <w:color w:val="auto"/>
              </w:rPr>
              <w:t>7.74 %</w:t>
            </w:r>
          </w:p>
        </w:tc>
        <w:tc>
          <w:tcPr>
            <w:tcW w:w="10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3,060</w:t>
            </w:r>
          </w:p>
        </w:tc>
        <w:tc>
          <w:tcPr>
            <w:tcW w:w="88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3,112</w:t>
            </w:r>
          </w:p>
        </w:tc>
        <w:tc>
          <w:tcPr>
            <w:tcW w:w="110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0.6 %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91"/>
              </w:rPr>
              <w:t>(EUR 2,916)</w:t>
            </w: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7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6,199</w:t>
            </w:r>
          </w:p>
        </w:tc>
        <w:tc>
          <w:tcPr>
            <w:tcW w:w="1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6,326</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Chemicals</w:t>
            </w: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78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Erling Lux Bidco SARL </w:t>
            </w:r>
            <w:r>
              <w:rPr>
                <w:rFonts w:ascii="Arial" w:cs="Arial" w:eastAsia="Arial" w:hAnsi="Arial"/>
                <w:sz w:val="15"/>
                <w:szCs w:val="15"/>
                <w:color w:val="auto"/>
                <w:vertAlign w:val="superscript"/>
              </w:rPr>
              <w:t>(3)(4)</w:t>
            </w:r>
          </w:p>
        </w:tc>
        <w:tc>
          <w:tcPr>
            <w:tcW w:w="80" w:type="dxa"/>
            <w:vAlign w:val="bottom"/>
            <w:shd w:val="clear" w:color="auto" w:fill="CFF0FC"/>
          </w:tcPr>
          <w:p>
            <w:pPr>
              <w:spacing w:after="0"/>
              <w:rPr>
                <w:sz w:val="11"/>
                <w:szCs w:val="11"/>
                <w:color w:val="auto"/>
              </w:rPr>
            </w:pPr>
          </w:p>
        </w:tc>
        <w:tc>
          <w:tcPr>
            <w:tcW w:w="27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rPr>
              <w:t>First-lien loan (EUR 7,239 par, due 9/2028)</w:t>
            </w:r>
          </w:p>
        </w:tc>
        <w:tc>
          <w:tcPr>
            <w:tcW w:w="96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9/6/2022</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E + 6.75%</w:t>
            </w:r>
          </w:p>
        </w:tc>
        <w:tc>
          <w:tcPr>
            <w:tcW w:w="1120" w:type="dxa"/>
            <w:vAlign w:val="bottom"/>
            <w:gridSpan w:val="3"/>
            <w:shd w:val="clear" w:color="auto" w:fill="CFF0FC"/>
          </w:tcPr>
          <w:p>
            <w:pPr>
              <w:jc w:val="right"/>
              <w:ind w:right="20"/>
              <w:spacing w:after="0" w:line="134" w:lineRule="exact"/>
              <w:rPr>
                <w:sz w:val="20"/>
                <w:szCs w:val="20"/>
                <w:color w:val="auto"/>
              </w:rPr>
            </w:pPr>
            <w:r>
              <w:rPr>
                <w:rFonts w:ascii="Arial" w:cs="Arial" w:eastAsia="Arial" w:hAnsi="Arial"/>
                <w:sz w:val="13"/>
                <w:szCs w:val="13"/>
                <w:color w:val="auto"/>
              </w:rPr>
              <w:t>8.73 %</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6,907</w:t>
            </w:r>
          </w:p>
        </w:tc>
        <w:tc>
          <w:tcPr>
            <w:tcW w:w="88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7,326</w:t>
            </w:r>
          </w:p>
        </w:tc>
        <w:tc>
          <w:tcPr>
            <w:tcW w:w="110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1.3 %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(EUR 6,864)</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60" w:type="dxa"/>
            <w:vAlign w:val="bottom"/>
          </w:tcPr>
          <w:p>
            <w:pPr>
              <w:ind w:left="20"/>
              <w:spacing w:after="0" w:line="134" w:lineRule="exact"/>
              <w:rPr>
                <w:sz w:val="20"/>
                <w:szCs w:val="20"/>
                <w:color w:val="auto"/>
              </w:rPr>
            </w:pPr>
            <w:r>
              <w:rPr>
                <w:rFonts w:ascii="Arial" w:cs="Arial" w:eastAsia="Arial" w:hAnsi="Arial"/>
                <w:sz w:val="13"/>
                <w:szCs w:val="13"/>
                <w:color w:val="auto"/>
              </w:rPr>
              <w:t>First-lien loan (GBP 10,217 par, due 9/2028)</w:t>
            </w:r>
          </w:p>
        </w:tc>
        <w:tc>
          <w:tcPr>
            <w:tcW w:w="9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9/6/2022</w:t>
            </w: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S + 6.75%</w:t>
            </w:r>
          </w:p>
        </w:tc>
        <w:tc>
          <w:tcPr>
            <w:tcW w:w="1120" w:type="dxa"/>
            <w:vAlign w:val="bottom"/>
            <w:gridSpan w:val="3"/>
          </w:tcPr>
          <w:p>
            <w:pPr>
              <w:jc w:val="right"/>
              <w:ind w:right="20"/>
              <w:spacing w:after="0" w:line="134" w:lineRule="exact"/>
              <w:rPr>
                <w:sz w:val="20"/>
                <w:szCs w:val="20"/>
                <w:color w:val="auto"/>
              </w:rPr>
            </w:pPr>
            <w:r>
              <w:rPr>
                <w:rFonts w:ascii="Arial" w:cs="Arial" w:eastAsia="Arial" w:hAnsi="Arial"/>
                <w:sz w:val="13"/>
                <w:szCs w:val="13"/>
                <w:color w:val="auto"/>
              </w:rPr>
              <w:t>10.20 %</w:t>
            </w:r>
          </w:p>
        </w:tc>
        <w:tc>
          <w:tcPr>
            <w:tcW w:w="10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11,245</w:t>
            </w:r>
          </w:p>
        </w:tc>
        <w:tc>
          <w:tcPr>
            <w:tcW w:w="88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11,922</w:t>
            </w:r>
          </w:p>
        </w:tc>
        <w:tc>
          <w:tcPr>
            <w:tcW w:w="110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2.1 %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w w:val="88"/>
              </w:rPr>
              <w:t>(GBP 9,911)</w:t>
            </w: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7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18,152</w:t>
            </w:r>
          </w:p>
        </w:tc>
        <w:tc>
          <w:tcPr>
            <w:tcW w:w="1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19,248</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Financial Services</w:t>
            </w: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78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BTRS Holdings, Inc. </w:t>
            </w:r>
            <w:r>
              <w:rPr>
                <w:rFonts w:ascii="Arial" w:cs="Arial" w:eastAsia="Arial" w:hAnsi="Arial"/>
                <w:sz w:val="15"/>
                <w:szCs w:val="15"/>
                <w:color w:val="auto"/>
                <w:vertAlign w:val="superscript"/>
              </w:rPr>
              <w:t>(3)</w:t>
            </w:r>
          </w:p>
        </w:tc>
        <w:tc>
          <w:tcPr>
            <w:tcW w:w="80" w:type="dxa"/>
            <w:vAlign w:val="bottom"/>
            <w:shd w:val="clear" w:color="auto" w:fill="CFF0FC"/>
          </w:tcPr>
          <w:p>
            <w:pPr>
              <w:spacing w:after="0"/>
              <w:rPr>
                <w:sz w:val="11"/>
                <w:szCs w:val="11"/>
                <w:color w:val="auto"/>
              </w:rPr>
            </w:pPr>
          </w:p>
        </w:tc>
        <w:tc>
          <w:tcPr>
            <w:tcW w:w="27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rPr>
              <w:t>First-lien loan ($135,540 par, due 12/2028)</w:t>
            </w:r>
          </w:p>
        </w:tc>
        <w:tc>
          <w:tcPr>
            <w:tcW w:w="96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12/16/2022</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SOFR +</w:t>
            </w:r>
          </w:p>
        </w:tc>
        <w:tc>
          <w:tcPr>
            <w:tcW w:w="1120" w:type="dxa"/>
            <w:vAlign w:val="bottom"/>
            <w:gridSpan w:val="3"/>
            <w:shd w:val="clear" w:color="auto" w:fill="CFF0FC"/>
          </w:tcPr>
          <w:p>
            <w:pPr>
              <w:jc w:val="right"/>
              <w:ind w:right="20"/>
              <w:spacing w:after="0" w:line="134" w:lineRule="exact"/>
              <w:rPr>
                <w:sz w:val="20"/>
                <w:szCs w:val="20"/>
                <w:color w:val="auto"/>
              </w:rPr>
            </w:pPr>
            <w:r>
              <w:rPr>
                <w:rFonts w:ascii="Arial" w:cs="Arial" w:eastAsia="Arial" w:hAnsi="Arial"/>
                <w:sz w:val="13"/>
                <w:szCs w:val="13"/>
                <w:color w:val="auto"/>
              </w:rPr>
              <w:t>12.50 %</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131,066</w:t>
            </w:r>
          </w:p>
        </w:tc>
        <w:tc>
          <w:tcPr>
            <w:tcW w:w="88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130,290</w:t>
            </w:r>
          </w:p>
        </w:tc>
        <w:tc>
          <w:tcPr>
            <w:tcW w:w="110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23.8 %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8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Ping Identity Holding Corp. </w:t>
            </w:r>
            <w:r>
              <w:rPr>
                <w:rFonts w:ascii="Arial" w:cs="Arial" w:eastAsia="Arial" w:hAnsi="Arial"/>
                <w:sz w:val="15"/>
                <w:szCs w:val="15"/>
                <w:color w:val="auto"/>
                <w:vertAlign w:val="superscript"/>
              </w:rPr>
              <w:t>(3)</w:t>
            </w:r>
          </w:p>
        </w:tc>
        <w:tc>
          <w:tcPr>
            <w:tcW w:w="80" w:type="dxa"/>
            <w:vAlign w:val="bottom"/>
          </w:tcPr>
          <w:p>
            <w:pPr>
              <w:spacing w:after="0"/>
              <w:rPr>
                <w:sz w:val="11"/>
                <w:szCs w:val="11"/>
                <w:color w:val="auto"/>
              </w:rPr>
            </w:pPr>
          </w:p>
        </w:tc>
        <w:tc>
          <w:tcPr>
            <w:tcW w:w="2760" w:type="dxa"/>
            <w:vAlign w:val="bottom"/>
          </w:tcPr>
          <w:p>
            <w:pPr>
              <w:ind w:left="20"/>
              <w:spacing w:after="0" w:line="134" w:lineRule="exact"/>
              <w:rPr>
                <w:sz w:val="20"/>
                <w:szCs w:val="20"/>
                <w:color w:val="auto"/>
              </w:rPr>
            </w:pPr>
            <w:r>
              <w:rPr>
                <w:rFonts w:ascii="Arial" w:cs="Arial" w:eastAsia="Arial" w:hAnsi="Arial"/>
                <w:sz w:val="13"/>
                <w:szCs w:val="13"/>
                <w:color w:val="auto"/>
              </w:rPr>
              <w:t>First-lien loan ($136,364 par, due 10/2029)</w:t>
            </w:r>
          </w:p>
        </w:tc>
        <w:tc>
          <w:tcPr>
            <w:tcW w:w="9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10/17/2022</w:t>
            </w: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120" w:type="dxa"/>
            <w:vAlign w:val="bottom"/>
            <w:gridSpan w:val="3"/>
          </w:tcPr>
          <w:p>
            <w:pPr>
              <w:jc w:val="right"/>
              <w:ind w:right="20"/>
              <w:spacing w:after="0" w:line="134" w:lineRule="exact"/>
              <w:rPr>
                <w:sz w:val="20"/>
                <w:szCs w:val="20"/>
                <w:color w:val="auto"/>
              </w:rPr>
            </w:pPr>
            <w:r>
              <w:rPr>
                <w:rFonts w:ascii="Arial" w:cs="Arial" w:eastAsia="Arial" w:hAnsi="Arial"/>
                <w:sz w:val="13"/>
                <w:szCs w:val="13"/>
                <w:color w:val="auto"/>
              </w:rPr>
              <w:t>11.32 %</w:t>
            </w:r>
          </w:p>
        </w:tc>
        <w:tc>
          <w:tcPr>
            <w:tcW w:w="10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132,727</w:t>
            </w:r>
          </w:p>
        </w:tc>
        <w:tc>
          <w:tcPr>
            <w:tcW w:w="88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131,864</w:t>
            </w:r>
          </w:p>
        </w:tc>
        <w:tc>
          <w:tcPr>
            <w:tcW w:w="110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24.1 %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7.00%</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7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263,793</w:t>
            </w:r>
          </w:p>
        </w:tc>
        <w:tc>
          <w:tcPr>
            <w:tcW w:w="1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262,154</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Human Resource Support Services</w:t>
            </w: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78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Bswift, LLC </w:t>
            </w:r>
            <w:r>
              <w:rPr>
                <w:rFonts w:ascii="Arial" w:cs="Arial" w:eastAsia="Arial" w:hAnsi="Arial"/>
                <w:sz w:val="15"/>
                <w:szCs w:val="15"/>
                <w:color w:val="auto"/>
                <w:vertAlign w:val="superscript"/>
              </w:rPr>
              <w:t>(3)(5)</w:t>
            </w:r>
          </w:p>
        </w:tc>
        <w:tc>
          <w:tcPr>
            <w:tcW w:w="80" w:type="dxa"/>
            <w:vAlign w:val="bottom"/>
            <w:shd w:val="clear" w:color="auto" w:fill="CFF0FC"/>
          </w:tcPr>
          <w:p>
            <w:pPr>
              <w:spacing w:after="0"/>
              <w:rPr>
                <w:sz w:val="11"/>
                <w:szCs w:val="11"/>
                <w:color w:val="auto"/>
              </w:rPr>
            </w:pPr>
          </w:p>
        </w:tc>
        <w:tc>
          <w:tcPr>
            <w:tcW w:w="27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rPr>
              <w:t>First-lien loan ($142,394 par, due 11/2028)</w:t>
            </w:r>
          </w:p>
        </w:tc>
        <w:tc>
          <w:tcPr>
            <w:tcW w:w="96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11/7/2022</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SOFR +</w:t>
            </w:r>
          </w:p>
        </w:tc>
        <w:tc>
          <w:tcPr>
            <w:tcW w:w="1120" w:type="dxa"/>
            <w:vAlign w:val="bottom"/>
            <w:gridSpan w:val="3"/>
            <w:shd w:val="clear" w:color="auto" w:fill="CFF0FC"/>
          </w:tcPr>
          <w:p>
            <w:pPr>
              <w:jc w:val="right"/>
              <w:ind w:right="20"/>
              <w:spacing w:after="0" w:line="134" w:lineRule="exact"/>
              <w:rPr>
                <w:sz w:val="20"/>
                <w:szCs w:val="20"/>
                <w:color w:val="auto"/>
              </w:rPr>
            </w:pPr>
            <w:r>
              <w:rPr>
                <w:rFonts w:ascii="Arial" w:cs="Arial" w:eastAsia="Arial" w:hAnsi="Arial"/>
                <w:sz w:val="13"/>
                <w:szCs w:val="13"/>
                <w:color w:val="auto"/>
              </w:rPr>
              <w:t>10.81 %</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138,019</w:t>
            </w:r>
          </w:p>
        </w:tc>
        <w:tc>
          <w:tcPr>
            <w:tcW w:w="88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138,477</w:t>
            </w:r>
          </w:p>
        </w:tc>
        <w:tc>
          <w:tcPr>
            <w:tcW w:w="110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25.3 %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6.63%</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Internet Services</w:t>
            </w: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8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SMA Technologies Holdings, LLC </w:t>
            </w:r>
            <w:r>
              <w:rPr>
                <w:rFonts w:ascii="Arial" w:cs="Arial" w:eastAsia="Arial" w:hAnsi="Arial"/>
                <w:sz w:val="15"/>
                <w:szCs w:val="15"/>
                <w:color w:val="auto"/>
                <w:vertAlign w:val="superscript"/>
              </w:rPr>
              <w:t>(3)(5)</w:t>
            </w:r>
          </w:p>
        </w:tc>
        <w:tc>
          <w:tcPr>
            <w:tcW w:w="80" w:type="dxa"/>
            <w:vAlign w:val="bottom"/>
          </w:tcPr>
          <w:p>
            <w:pPr>
              <w:spacing w:after="0"/>
              <w:rPr>
                <w:sz w:val="11"/>
                <w:szCs w:val="11"/>
                <w:color w:val="auto"/>
              </w:rPr>
            </w:pPr>
          </w:p>
        </w:tc>
        <w:tc>
          <w:tcPr>
            <w:tcW w:w="2760" w:type="dxa"/>
            <w:vAlign w:val="bottom"/>
          </w:tcPr>
          <w:p>
            <w:pPr>
              <w:ind w:left="20"/>
              <w:spacing w:after="0" w:line="134" w:lineRule="exact"/>
              <w:rPr>
                <w:sz w:val="20"/>
                <w:szCs w:val="20"/>
                <w:color w:val="auto"/>
              </w:rPr>
            </w:pPr>
            <w:r>
              <w:rPr>
                <w:rFonts w:ascii="Arial" w:cs="Arial" w:eastAsia="Arial" w:hAnsi="Arial"/>
                <w:sz w:val="13"/>
                <w:szCs w:val="13"/>
                <w:color w:val="auto"/>
              </w:rPr>
              <w:t>First-lien loan ($5,667 par, due 10/2028)</w:t>
            </w:r>
          </w:p>
        </w:tc>
        <w:tc>
          <w:tcPr>
            <w:tcW w:w="9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10/31/2022</w:t>
            </w: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120" w:type="dxa"/>
            <w:vAlign w:val="bottom"/>
            <w:gridSpan w:val="3"/>
          </w:tcPr>
          <w:p>
            <w:pPr>
              <w:jc w:val="right"/>
              <w:ind w:right="20"/>
              <w:spacing w:after="0" w:line="134" w:lineRule="exact"/>
              <w:rPr>
                <w:sz w:val="20"/>
                <w:szCs w:val="20"/>
                <w:color w:val="auto"/>
              </w:rPr>
            </w:pPr>
            <w:r>
              <w:rPr>
                <w:rFonts w:ascii="Arial" w:cs="Arial" w:eastAsia="Arial" w:hAnsi="Arial"/>
                <w:sz w:val="13"/>
                <w:szCs w:val="13"/>
                <w:color w:val="auto"/>
              </w:rPr>
              <w:t>11.07 %</w:t>
            </w:r>
          </w:p>
        </w:tc>
        <w:tc>
          <w:tcPr>
            <w:tcW w:w="10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5,424</w:t>
            </w:r>
          </w:p>
        </w:tc>
        <w:tc>
          <w:tcPr>
            <w:tcW w:w="88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5,426</w:t>
            </w:r>
          </w:p>
        </w:tc>
        <w:tc>
          <w:tcPr>
            <w:tcW w:w="110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1.0 %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6.75%</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Manufacturing</w:t>
            </w: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80" w:type="dxa"/>
            <w:vAlign w:val="bottom"/>
            <w:shd w:val="clear" w:color="auto" w:fill="CFF0FC"/>
          </w:tcPr>
          <w:p>
            <w:pPr>
              <w:ind w:left="20"/>
              <w:spacing w:after="0" w:line="134" w:lineRule="exact"/>
              <w:rPr>
                <w:sz w:val="20"/>
                <w:szCs w:val="20"/>
                <w:color w:val="auto"/>
              </w:rPr>
            </w:pPr>
            <w:r>
              <w:rPr>
                <w:rFonts w:ascii="Arial" w:cs="Arial" w:eastAsia="Arial" w:hAnsi="Arial"/>
                <w:sz w:val="12"/>
                <w:szCs w:val="12"/>
                <w:color w:val="auto"/>
              </w:rPr>
              <w:t xml:space="preserve">Avalara, Inc. </w:t>
            </w:r>
            <w:r>
              <w:rPr>
                <w:rFonts w:ascii="Arial" w:cs="Arial" w:eastAsia="Arial" w:hAnsi="Arial"/>
                <w:sz w:val="15"/>
                <w:szCs w:val="15"/>
                <w:color w:val="auto"/>
                <w:vertAlign w:val="superscript"/>
              </w:rPr>
              <w:t>(3)</w:t>
            </w:r>
          </w:p>
        </w:tc>
        <w:tc>
          <w:tcPr>
            <w:tcW w:w="80" w:type="dxa"/>
            <w:vAlign w:val="bottom"/>
            <w:shd w:val="clear" w:color="auto" w:fill="CFF0FC"/>
          </w:tcPr>
          <w:p>
            <w:pPr>
              <w:spacing w:after="0"/>
              <w:rPr>
                <w:sz w:val="11"/>
                <w:szCs w:val="11"/>
                <w:color w:val="auto"/>
              </w:rPr>
            </w:pPr>
          </w:p>
        </w:tc>
        <w:tc>
          <w:tcPr>
            <w:tcW w:w="276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rPr>
              <w:t>First-lien loan ($136,364 par, due 10/2028)</w:t>
            </w:r>
          </w:p>
        </w:tc>
        <w:tc>
          <w:tcPr>
            <w:tcW w:w="96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10/19/2022</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SOFR +</w:t>
            </w:r>
          </w:p>
        </w:tc>
        <w:tc>
          <w:tcPr>
            <w:tcW w:w="1120" w:type="dxa"/>
            <w:vAlign w:val="bottom"/>
            <w:gridSpan w:val="3"/>
            <w:shd w:val="clear" w:color="auto" w:fill="CFF0FC"/>
          </w:tcPr>
          <w:p>
            <w:pPr>
              <w:jc w:val="right"/>
              <w:ind w:right="20"/>
              <w:spacing w:after="0" w:line="134" w:lineRule="exact"/>
              <w:rPr>
                <w:sz w:val="20"/>
                <w:szCs w:val="20"/>
                <w:color w:val="auto"/>
              </w:rPr>
            </w:pPr>
            <w:r>
              <w:rPr>
                <w:rFonts w:ascii="Arial" w:cs="Arial" w:eastAsia="Arial" w:hAnsi="Arial"/>
                <w:sz w:val="13"/>
                <w:szCs w:val="13"/>
                <w:color w:val="auto"/>
              </w:rPr>
              <w:t>11.83 %</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132,740</w:t>
            </w:r>
          </w:p>
        </w:tc>
        <w:tc>
          <w:tcPr>
            <w:tcW w:w="88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131,489</w:t>
            </w:r>
          </w:p>
        </w:tc>
        <w:tc>
          <w:tcPr>
            <w:tcW w:w="1100" w:type="dxa"/>
            <w:vAlign w:val="bottom"/>
            <w:gridSpan w:val="3"/>
            <w:shd w:val="clear" w:color="auto" w:fill="CFF0FC"/>
          </w:tcPr>
          <w:p>
            <w:pPr>
              <w:jc w:val="right"/>
              <w:spacing w:after="0" w:line="134" w:lineRule="exact"/>
              <w:rPr>
                <w:sz w:val="20"/>
                <w:szCs w:val="20"/>
                <w:color w:val="auto"/>
              </w:rPr>
            </w:pPr>
            <w:r>
              <w:rPr>
                <w:rFonts w:ascii="Arial" w:cs="Arial" w:eastAsia="Arial" w:hAnsi="Arial"/>
                <w:sz w:val="13"/>
                <w:szCs w:val="13"/>
                <w:color w:val="auto"/>
              </w:rPr>
              <w:t>24.1 %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7.25%</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Retail and Consumer Products</w:t>
            </w: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80" w:type="dxa"/>
            <w:vAlign w:val="bottom"/>
          </w:tcPr>
          <w:p>
            <w:pPr>
              <w:ind w:left="20"/>
              <w:spacing w:after="0" w:line="134" w:lineRule="exact"/>
              <w:rPr>
                <w:sz w:val="20"/>
                <w:szCs w:val="20"/>
                <w:color w:val="auto"/>
              </w:rPr>
            </w:pPr>
            <w:r>
              <w:rPr>
                <w:rFonts w:ascii="Arial" w:cs="Arial" w:eastAsia="Arial" w:hAnsi="Arial"/>
                <w:sz w:val="12"/>
                <w:szCs w:val="12"/>
                <w:color w:val="auto"/>
              </w:rPr>
              <w:t xml:space="preserve">Bed Bath and Beyond Inc. </w:t>
            </w:r>
            <w:r>
              <w:rPr>
                <w:rFonts w:ascii="Arial" w:cs="Arial" w:eastAsia="Arial" w:hAnsi="Arial"/>
                <w:sz w:val="15"/>
                <w:szCs w:val="15"/>
                <w:color w:val="auto"/>
                <w:vertAlign w:val="superscript"/>
              </w:rPr>
              <w:t>(3)</w:t>
            </w:r>
          </w:p>
        </w:tc>
        <w:tc>
          <w:tcPr>
            <w:tcW w:w="80" w:type="dxa"/>
            <w:vAlign w:val="bottom"/>
          </w:tcPr>
          <w:p>
            <w:pPr>
              <w:spacing w:after="0"/>
              <w:rPr>
                <w:sz w:val="11"/>
                <w:szCs w:val="11"/>
                <w:color w:val="auto"/>
              </w:rPr>
            </w:pPr>
          </w:p>
        </w:tc>
        <w:tc>
          <w:tcPr>
            <w:tcW w:w="2760" w:type="dxa"/>
            <w:vAlign w:val="bottom"/>
          </w:tcPr>
          <w:p>
            <w:pPr>
              <w:ind w:left="20"/>
              <w:spacing w:after="0" w:line="134" w:lineRule="exact"/>
              <w:rPr>
                <w:sz w:val="20"/>
                <w:szCs w:val="20"/>
                <w:color w:val="auto"/>
              </w:rPr>
            </w:pPr>
            <w:r>
              <w:rPr>
                <w:rFonts w:ascii="Arial" w:cs="Arial" w:eastAsia="Arial" w:hAnsi="Arial"/>
                <w:sz w:val="13"/>
                <w:szCs w:val="13"/>
                <w:color w:val="auto"/>
                <w:w w:val="98"/>
              </w:rPr>
              <w:t>ABL FILO term loan ($100,000 par, due 8/2027)</w:t>
            </w:r>
          </w:p>
        </w:tc>
        <w:tc>
          <w:tcPr>
            <w:tcW w:w="9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9/2/2022</w:t>
            </w: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SOFR +</w:t>
            </w:r>
          </w:p>
        </w:tc>
        <w:tc>
          <w:tcPr>
            <w:tcW w:w="1120" w:type="dxa"/>
            <w:vAlign w:val="bottom"/>
            <w:gridSpan w:val="3"/>
          </w:tcPr>
          <w:p>
            <w:pPr>
              <w:jc w:val="right"/>
              <w:ind w:right="20"/>
              <w:spacing w:after="0" w:line="134" w:lineRule="exact"/>
              <w:rPr>
                <w:sz w:val="20"/>
                <w:szCs w:val="20"/>
                <w:color w:val="auto"/>
              </w:rPr>
            </w:pPr>
            <w:r>
              <w:rPr>
                <w:rFonts w:ascii="Arial" w:cs="Arial" w:eastAsia="Arial" w:hAnsi="Arial"/>
                <w:sz w:val="13"/>
                <w:szCs w:val="13"/>
                <w:color w:val="auto"/>
              </w:rPr>
              <w:t>12.30 %</w:t>
            </w:r>
          </w:p>
        </w:tc>
        <w:tc>
          <w:tcPr>
            <w:tcW w:w="10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97,199</w:t>
            </w:r>
          </w:p>
        </w:tc>
        <w:tc>
          <w:tcPr>
            <w:tcW w:w="88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98,000</w:t>
            </w:r>
          </w:p>
        </w:tc>
        <w:tc>
          <w:tcPr>
            <w:tcW w:w="110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17.9 %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7.90%</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80" w:type="dxa"/>
            <w:vAlign w:val="bottom"/>
            <w:shd w:val="clear" w:color="auto" w:fill="CFF0FC"/>
          </w:tcPr>
          <w:p>
            <w:pPr>
              <w:ind w:left="20"/>
              <w:spacing w:after="0" w:line="137" w:lineRule="exact"/>
              <w:rPr>
                <w:sz w:val="20"/>
                <w:szCs w:val="20"/>
                <w:color w:val="auto"/>
              </w:rPr>
            </w:pPr>
            <w:r>
              <w:rPr>
                <w:rFonts w:ascii="Arial" w:cs="Arial" w:eastAsia="Arial" w:hAnsi="Arial"/>
                <w:sz w:val="12"/>
                <w:szCs w:val="12"/>
                <w:color w:val="auto"/>
              </w:rPr>
              <w:t xml:space="preserve">Commercehub, Inc. </w:t>
            </w:r>
            <w:r>
              <w:rPr>
                <w:rFonts w:ascii="Arial" w:cs="Arial" w:eastAsia="Arial" w:hAnsi="Arial"/>
                <w:sz w:val="15"/>
                <w:szCs w:val="15"/>
                <w:color w:val="auto"/>
                <w:vertAlign w:val="superscript"/>
              </w:rPr>
              <w:t>(3)</w:t>
            </w:r>
          </w:p>
        </w:tc>
        <w:tc>
          <w:tcPr>
            <w:tcW w:w="80" w:type="dxa"/>
            <w:vAlign w:val="bottom"/>
            <w:shd w:val="clear" w:color="auto" w:fill="CFF0FC"/>
          </w:tcPr>
          <w:p>
            <w:pPr>
              <w:spacing w:after="0"/>
              <w:rPr>
                <w:sz w:val="11"/>
                <w:szCs w:val="11"/>
                <w:color w:val="auto"/>
              </w:rPr>
            </w:pPr>
          </w:p>
        </w:tc>
        <w:tc>
          <w:tcPr>
            <w:tcW w:w="2760" w:type="dxa"/>
            <w:vAlign w:val="bottom"/>
            <w:shd w:val="clear" w:color="auto" w:fill="CFF0FC"/>
          </w:tcPr>
          <w:p>
            <w:pPr>
              <w:ind w:left="20"/>
              <w:spacing w:after="0" w:line="137" w:lineRule="exact"/>
              <w:rPr>
                <w:sz w:val="20"/>
                <w:szCs w:val="20"/>
                <w:color w:val="auto"/>
              </w:rPr>
            </w:pPr>
            <w:r>
              <w:rPr>
                <w:rFonts w:ascii="Arial" w:cs="Arial" w:eastAsia="Arial" w:hAnsi="Arial"/>
                <w:sz w:val="13"/>
                <w:szCs w:val="13"/>
                <w:color w:val="auto"/>
              </w:rPr>
              <w:t>First-lien loan ($150,000 par, due 12/2027)</w:t>
            </w:r>
          </w:p>
        </w:tc>
        <w:tc>
          <w:tcPr>
            <w:tcW w:w="960" w:type="dxa"/>
            <w:vAlign w:val="bottom"/>
            <w:gridSpan w:val="2"/>
            <w:shd w:val="clear" w:color="auto" w:fill="CFF0FC"/>
          </w:tcPr>
          <w:p>
            <w:pPr>
              <w:jc w:val="right"/>
              <w:spacing w:after="0" w:line="137" w:lineRule="exact"/>
              <w:rPr>
                <w:sz w:val="20"/>
                <w:szCs w:val="20"/>
                <w:color w:val="auto"/>
              </w:rPr>
            </w:pPr>
            <w:r>
              <w:rPr>
                <w:rFonts w:ascii="Arial" w:cs="Arial" w:eastAsia="Arial" w:hAnsi="Arial"/>
                <w:sz w:val="13"/>
                <w:szCs w:val="13"/>
                <w:color w:val="auto"/>
              </w:rPr>
              <w:t>11/15/2022</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7" w:lineRule="exact"/>
              <w:rPr>
                <w:sz w:val="20"/>
                <w:szCs w:val="20"/>
                <w:color w:val="auto"/>
              </w:rPr>
            </w:pPr>
            <w:r>
              <w:rPr>
                <w:rFonts w:ascii="Arial" w:cs="Arial" w:eastAsia="Arial" w:hAnsi="Arial"/>
                <w:sz w:val="13"/>
                <w:szCs w:val="13"/>
                <w:color w:val="auto"/>
              </w:rPr>
              <w:t>SOFR +</w:t>
            </w:r>
          </w:p>
        </w:tc>
        <w:tc>
          <w:tcPr>
            <w:tcW w:w="1120" w:type="dxa"/>
            <w:vAlign w:val="bottom"/>
            <w:gridSpan w:val="3"/>
            <w:shd w:val="clear" w:color="auto" w:fill="CFF0FC"/>
          </w:tcPr>
          <w:p>
            <w:pPr>
              <w:jc w:val="right"/>
              <w:ind w:right="20"/>
              <w:spacing w:after="0" w:line="137" w:lineRule="exact"/>
              <w:rPr>
                <w:sz w:val="20"/>
                <w:szCs w:val="20"/>
                <w:color w:val="auto"/>
              </w:rPr>
            </w:pPr>
            <w:r>
              <w:rPr>
                <w:rFonts w:ascii="Arial" w:cs="Arial" w:eastAsia="Arial" w:hAnsi="Arial"/>
                <w:sz w:val="13"/>
                <w:szCs w:val="13"/>
                <w:color w:val="auto"/>
              </w:rPr>
              <w:t>11.03 %</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7" w:lineRule="exact"/>
              <w:rPr>
                <w:sz w:val="20"/>
                <w:szCs w:val="20"/>
                <w:color w:val="auto"/>
              </w:rPr>
            </w:pPr>
            <w:r>
              <w:rPr>
                <w:rFonts w:ascii="Arial" w:cs="Arial" w:eastAsia="Arial" w:hAnsi="Arial"/>
                <w:sz w:val="13"/>
                <w:szCs w:val="13"/>
                <w:color w:val="auto"/>
              </w:rPr>
              <w:t>139,697</w:t>
            </w:r>
          </w:p>
        </w:tc>
        <w:tc>
          <w:tcPr>
            <w:tcW w:w="880" w:type="dxa"/>
            <w:vAlign w:val="bottom"/>
            <w:gridSpan w:val="2"/>
            <w:shd w:val="clear" w:color="auto" w:fill="CFF0FC"/>
          </w:tcPr>
          <w:p>
            <w:pPr>
              <w:jc w:val="right"/>
              <w:spacing w:after="0" w:line="137" w:lineRule="exact"/>
              <w:rPr>
                <w:sz w:val="20"/>
                <w:szCs w:val="20"/>
                <w:color w:val="auto"/>
              </w:rPr>
            </w:pPr>
            <w:r>
              <w:rPr>
                <w:rFonts w:ascii="Arial" w:cs="Arial" w:eastAsia="Arial" w:hAnsi="Arial"/>
                <w:sz w:val="13"/>
                <w:szCs w:val="13"/>
                <w:color w:val="auto"/>
              </w:rPr>
              <w:t>139,875</w:t>
            </w:r>
          </w:p>
        </w:tc>
        <w:tc>
          <w:tcPr>
            <w:tcW w:w="1100" w:type="dxa"/>
            <w:vAlign w:val="bottom"/>
            <w:gridSpan w:val="3"/>
            <w:shd w:val="clear" w:color="auto" w:fill="CFF0FC"/>
          </w:tcPr>
          <w:p>
            <w:pPr>
              <w:jc w:val="right"/>
              <w:spacing w:after="0" w:line="137" w:lineRule="exact"/>
              <w:rPr>
                <w:sz w:val="20"/>
                <w:szCs w:val="20"/>
                <w:color w:val="auto"/>
              </w:rPr>
            </w:pPr>
            <w:r>
              <w:rPr>
                <w:rFonts w:ascii="Arial" w:cs="Arial" w:eastAsia="Arial" w:hAnsi="Arial"/>
                <w:sz w:val="13"/>
                <w:szCs w:val="13"/>
                <w:color w:val="auto"/>
              </w:rPr>
              <w:t>25.6 %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7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6.50%</w:t>
            </w:r>
          </w:p>
        </w:tc>
        <w:tc>
          <w:tcPr>
            <w:tcW w:w="1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236,896</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237,875</w:t>
            </w:r>
          </w:p>
        </w:tc>
        <w:tc>
          <w:tcPr>
            <w:tcW w:w="1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 xml:space="preserve">43.5 </w:t>
            </w:r>
            <w:r>
              <w:rPr>
                <w:rFonts w:ascii="Arial" w:cs="Arial" w:eastAsia="Arial" w:hAnsi="Arial"/>
                <w:sz w:val="13"/>
                <w:szCs w:val="13"/>
                <w:color w:val="auto"/>
                <w:highlight w:val="white"/>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7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Total Debt Investments</w:t>
            </w: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801,223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800,995</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 xml:space="preserve">146.4 </w:t>
            </w:r>
            <w:r>
              <w:rPr>
                <w:rFonts w:ascii="Arial" w:cs="Arial" w:eastAsia="Arial" w:hAnsi="Arial"/>
                <w:sz w:val="13"/>
                <w:szCs w:val="13"/>
                <w:color w:val="auto"/>
                <w:highlight w:val="white"/>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Equity and Other Investments</w:t>
            </w: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b w:val="1"/>
                <w:bCs w:val="1"/>
                <w:color w:val="auto"/>
              </w:rPr>
              <w:t>Human Resource Support Services</w:t>
            </w: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20"/>
              <w:spacing w:after="0" w:line="162" w:lineRule="exact"/>
              <w:rPr>
                <w:sz w:val="20"/>
                <w:szCs w:val="20"/>
                <w:color w:val="auto"/>
              </w:rPr>
            </w:pPr>
            <w:r>
              <w:rPr>
                <w:rFonts w:ascii="Arial" w:cs="Arial" w:eastAsia="Arial" w:hAnsi="Arial"/>
                <w:sz w:val="13"/>
                <w:szCs w:val="13"/>
                <w:color w:val="auto"/>
              </w:rPr>
              <w:t xml:space="preserve">Bswift, LLC </w:t>
            </w:r>
            <w:r>
              <w:rPr>
                <w:rFonts w:ascii="Arial" w:cs="Arial" w:eastAsia="Arial" w:hAnsi="Arial"/>
                <w:sz w:val="16"/>
                <w:szCs w:val="16"/>
                <w:color w:val="auto"/>
                <w:vertAlign w:val="superscript"/>
              </w:rPr>
              <w:t>(8)(10)</w:t>
            </w: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A-1 Units (7,606,491 units)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11/7/2022</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7,606</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7,606</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1.4 %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Internet Services</w:t>
            </w: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Arial" w:cs="Arial" w:eastAsia="Arial" w:hAnsi="Arial"/>
                <w:sz w:val="13"/>
                <w:szCs w:val="13"/>
                <w:color w:val="auto"/>
              </w:rPr>
              <w:t xml:space="preserve">SMA Technologies Holdings, LLC </w:t>
            </w:r>
            <w:r>
              <w:rPr>
                <w:rFonts w:ascii="Arial" w:cs="Arial" w:eastAsia="Arial" w:hAnsi="Arial"/>
                <w:sz w:val="16"/>
                <w:szCs w:val="16"/>
                <w:color w:val="auto"/>
                <w:vertAlign w:val="superscript"/>
              </w:rPr>
              <w:t>(8)(10)</w:t>
            </w:r>
          </w:p>
        </w:tc>
        <w:tc>
          <w:tcPr>
            <w:tcW w:w="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rPr>
              <w:t>Class A Units (200 units)</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11/21/2022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200</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B Units (142,038 units)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11/21/2022</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7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200</w:t>
            </w:r>
          </w:p>
        </w:tc>
        <w:tc>
          <w:tcPr>
            <w:tcW w:w="1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 xml:space="preserve">0.0 </w:t>
            </w:r>
            <w:r>
              <w:rPr>
                <w:rFonts w:ascii="Arial" w:cs="Arial" w:eastAsia="Arial" w:hAnsi="Arial"/>
                <w:sz w:val="13"/>
                <w:szCs w:val="13"/>
                <w:color w:val="auto"/>
                <w:highlight w:val="white"/>
              </w:rPr>
              <w:t>%</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7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780" w:type="dxa"/>
            <w:vAlign w:val="bottom"/>
          </w:tcPr>
          <w:p>
            <w:pPr>
              <w:ind w:left="20"/>
              <w:spacing w:after="0" w:line="124" w:lineRule="exact"/>
              <w:rPr>
                <w:sz w:val="20"/>
                <w:szCs w:val="20"/>
                <w:color w:val="auto"/>
              </w:rPr>
            </w:pPr>
            <w:r>
              <w:rPr>
                <w:rFonts w:ascii="Arial" w:cs="Arial" w:eastAsia="Arial" w:hAnsi="Arial"/>
                <w:sz w:val="13"/>
                <w:szCs w:val="13"/>
                <w:b w:val="1"/>
                <w:bCs w:val="1"/>
                <w:color w:val="auto"/>
              </w:rPr>
              <w:t>Total Equity and Other</w:t>
            </w:r>
          </w:p>
        </w:tc>
        <w:tc>
          <w:tcPr>
            <w:tcW w:w="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3"/>
                <w:szCs w:val="13"/>
                <w:color w:val="auto"/>
              </w:rPr>
              <w:t>7,806</w:t>
            </w: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color w:val="auto"/>
              </w:rPr>
              <w:t>7,806</w:t>
            </w:r>
          </w:p>
        </w:tc>
        <w:tc>
          <w:tcPr>
            <w:tcW w:w="1100" w:type="dxa"/>
            <w:vAlign w:val="bottom"/>
            <w:gridSpan w:val="3"/>
          </w:tcPr>
          <w:p>
            <w:pPr>
              <w:jc w:val="right"/>
              <w:spacing w:after="0" w:line="124" w:lineRule="exact"/>
              <w:rPr>
                <w:sz w:val="20"/>
                <w:szCs w:val="20"/>
                <w:color w:val="auto"/>
              </w:rPr>
            </w:pPr>
            <w:r>
              <w:rPr>
                <w:rFonts w:ascii="Arial" w:cs="Arial" w:eastAsia="Arial" w:hAnsi="Arial"/>
                <w:sz w:val="13"/>
                <w:szCs w:val="13"/>
                <w:color w:val="auto"/>
              </w:rPr>
              <w:t>1.4 %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120"/>
              <w:spacing w:after="0"/>
              <w:rPr>
                <w:sz w:val="20"/>
                <w:szCs w:val="20"/>
                <w:color w:val="auto"/>
              </w:rPr>
            </w:pPr>
            <w:r>
              <w:rPr>
                <w:rFonts w:ascii="Arial" w:cs="Arial" w:eastAsia="Arial" w:hAnsi="Arial"/>
                <w:sz w:val="13"/>
                <w:szCs w:val="13"/>
                <w:b w:val="1"/>
                <w:bCs w:val="1"/>
                <w:color w:val="auto"/>
              </w:rPr>
              <w:t>Investments</w:t>
            </w: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Investments</w:t>
            </w:r>
          </w:p>
        </w:tc>
        <w:tc>
          <w:tcPr>
            <w:tcW w:w="80" w:type="dxa"/>
            <w:vAlign w:val="bottom"/>
            <w:tcBorders>
              <w:bottom w:val="single" w:sz="8" w:color="CFF0FC"/>
            </w:tcBorders>
            <w:shd w:val="clear" w:color="auto" w:fill="CFF0FC"/>
          </w:tcPr>
          <w:p>
            <w:pPr>
              <w:spacing w:after="0"/>
              <w:rPr>
                <w:sz w:val="17"/>
                <w:szCs w:val="17"/>
                <w:color w:val="auto"/>
              </w:rPr>
            </w:pPr>
          </w:p>
        </w:tc>
        <w:tc>
          <w:tcPr>
            <w:tcW w:w="27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gridSpan w:val="3"/>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809,029</w:t>
            </w:r>
          </w:p>
        </w:tc>
        <w:tc>
          <w:tcPr>
            <w:tcW w:w="1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   808,801</w:t>
            </w:r>
          </w:p>
        </w:tc>
        <w:tc>
          <w:tcPr>
            <w:tcW w:w="1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147.8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74"/>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-4671695</wp:posOffset>
            </wp:positionV>
            <wp:extent cx="68580" cy="1117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-4671695</wp:posOffset>
            </wp:positionV>
            <wp:extent cx="68580" cy="1117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-4671695</wp:posOffset>
            </wp:positionV>
            <wp:extent cx="68580" cy="1117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-4071620</wp:posOffset>
            </wp:positionV>
            <wp:extent cx="68580" cy="1117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-4071620</wp:posOffset>
            </wp:positionV>
            <wp:extent cx="68580" cy="1117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-4071620</wp:posOffset>
            </wp:positionV>
            <wp:extent cx="68580" cy="1117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-3479800</wp:posOffset>
            </wp:positionV>
            <wp:extent cx="68580" cy="1117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-3479800</wp:posOffset>
            </wp:positionV>
            <wp:extent cx="68580" cy="1117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1117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-1816735</wp:posOffset>
            </wp:positionV>
            <wp:extent cx="6858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-1816735</wp:posOffset>
            </wp:positionV>
            <wp:extent cx="68580" cy="120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-1593850</wp:posOffset>
            </wp:positionV>
            <wp:extent cx="68580" cy="120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-1593850</wp:posOffset>
            </wp:positionV>
            <wp:extent cx="68580" cy="120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-548005</wp:posOffset>
            </wp:positionV>
            <wp:extent cx="6858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-548005</wp:posOffset>
            </wp:positionV>
            <wp:extent cx="68580"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-325120</wp:posOffset>
            </wp:positionV>
            <wp:extent cx="68580" cy="1974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-325120</wp:posOffset>
            </wp:positionV>
            <wp:extent cx="68580" cy="1974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1974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0" w:lineRule="exact"/>
        <w:rPr>
          <w:sz w:val="20"/>
          <w:szCs w:val="20"/>
          <w:color w:val="auto"/>
        </w:rPr>
      </w:pPr>
    </w:p>
    <w:p>
      <w:pPr>
        <w:ind w:left="520" w:right="140" w:hanging="512"/>
        <w:spacing w:after="0" w:line="258"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more than 25% of its outstanding voting securities and/or had the power to exercise control over the management or policies of</w:t>
      </w:r>
    </w:p>
    <w:p>
      <w:pPr>
        <w:spacing w:after="0" w:line="9" w:lineRule="exact"/>
        <w:rPr>
          <w:rFonts w:ascii="Arial" w:cs="Arial" w:eastAsia="Arial" w:hAnsi="Arial"/>
          <w:sz w:val="18"/>
          <w:szCs w:val="18"/>
          <w:color w:val="auto"/>
        </w:rPr>
      </w:pPr>
    </w:p>
    <w:p>
      <w:pPr>
        <w:ind w:left="520" w:right="240"/>
        <w:spacing w:after="0" w:line="250" w:lineRule="auto"/>
        <w:rPr>
          <w:rFonts w:ascii="Arial" w:cs="Arial" w:eastAsia="Arial" w:hAnsi="Arial"/>
          <w:sz w:val="18"/>
          <w:szCs w:val="18"/>
          <w:color w:val="auto"/>
        </w:rPr>
      </w:pPr>
      <w:r>
        <w:rPr>
          <w:rFonts w:ascii="Arial" w:cs="Arial" w:eastAsia="Arial" w:hAnsi="Arial"/>
          <w:sz w:val="18"/>
          <w:szCs w:val="18"/>
          <w:color w:val="auto"/>
        </w:rPr>
        <w:t>such portfolio company. As of December 31, 2022, the Company does not “control” any of the portfolio companies. Also under the Investment Company Act of 1940, as amended (the “1940 Act”), the Company would be deemed to be an "Affiliated Person" of a portfolio company if the Company owns more than 5% of the portfolio company's outstanding voting securities. As of December 31, 2022, the Company does not identify any of its portfolio companies as affiliates.</w:t>
      </w:r>
    </w:p>
    <w:p>
      <w:pPr>
        <w:spacing w:after="0" w:line="1" w:lineRule="exact"/>
        <w:rPr>
          <w:rFonts w:ascii="Arial" w:cs="Arial" w:eastAsia="Arial" w:hAnsi="Arial"/>
          <w:sz w:val="18"/>
          <w:szCs w:val="18"/>
          <w:color w:val="auto"/>
        </w:rPr>
      </w:pPr>
    </w:p>
    <w:p>
      <w:pPr>
        <w:ind w:left="520" w:right="40" w:hanging="512"/>
        <w:spacing w:after="0" w:line="260"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80" w:name="page81"/>
    <w:bookmarkEnd w:id="80"/>
    <w:p>
      <w:pPr>
        <w:ind w:left="512" w:hanging="512"/>
        <w:spacing w:after="0"/>
        <w:tabs>
          <w:tab w:leader="none" w:pos="5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w:t>
      </w:r>
    </w:p>
    <w:p>
      <w:pPr>
        <w:spacing w:after="0" w:line="23" w:lineRule="exact"/>
        <w:rPr>
          <w:rFonts w:ascii="Arial" w:cs="Arial" w:eastAsia="Arial" w:hAnsi="Arial"/>
          <w:sz w:val="18"/>
          <w:szCs w:val="18"/>
          <w:color w:val="auto"/>
        </w:rPr>
      </w:pPr>
    </w:p>
    <w:p>
      <w:pPr>
        <w:ind w:left="512" w:right="20"/>
        <w:spacing w:after="0" w:line="265" w:lineRule="auto"/>
        <w:rPr>
          <w:rFonts w:ascii="Arial" w:cs="Arial" w:eastAsia="Arial" w:hAnsi="Arial"/>
          <w:sz w:val="18"/>
          <w:szCs w:val="18"/>
          <w:color w:val="auto"/>
        </w:rPr>
      </w:pPr>
      <w:r>
        <w:rPr>
          <w:rFonts w:ascii="Arial" w:cs="Arial" w:eastAsia="Arial" w:hAnsi="Arial"/>
          <w:sz w:val="17"/>
          <w:szCs w:val="17"/>
          <w:color w:val="auto"/>
        </w:rPr>
        <w:t>may be determined by reference to either Euro Interbank Offer Rate (“Euribor” or “E”),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2022.</w:t>
      </w:r>
    </w:p>
    <w:p>
      <w:pPr>
        <w:ind w:left="512" w:hanging="512"/>
        <w:spacing w:after="0" w:line="265" w:lineRule="auto"/>
        <w:tabs>
          <w:tab w:leader="none" w:pos="51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2.3% of total assets as of December 31, 2022.</w:t>
      </w:r>
    </w:p>
    <w:p>
      <w:pPr>
        <w:ind w:left="512" w:right="20" w:hanging="512"/>
        <w:spacing w:after="0" w:line="265" w:lineRule="auto"/>
        <w:tabs>
          <w:tab w:leader="none" w:pos="512"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12" w:right="2100" w:hanging="512"/>
        <w:spacing w:after="0" w:line="250" w:lineRule="auto"/>
        <w:tabs>
          <w:tab w:leader="none" w:pos="5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5 for further information related to investments at fair value.</w:t>
      </w:r>
    </w:p>
    <w:p>
      <w:pPr>
        <w:spacing w:after="0" w:line="1" w:lineRule="exact"/>
        <w:rPr>
          <w:rFonts w:ascii="Arial" w:cs="Arial" w:eastAsia="Arial" w:hAnsi="Arial"/>
          <w:sz w:val="18"/>
          <w:szCs w:val="18"/>
          <w:color w:val="auto"/>
        </w:rPr>
      </w:pPr>
    </w:p>
    <w:p>
      <w:pPr>
        <w:ind w:left="512" w:hanging="512"/>
        <w:spacing w:after="0" w:line="250" w:lineRule="auto"/>
        <w:tabs>
          <w:tab w:leader="none" w:pos="5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of December 31, 2022, the estimated cost basis of investments for U.S. federal tax purposes was $810,241 resulting in estimated gross unrealized gains and losses of $2,806 and $5,681, respectfully.</w:t>
      </w:r>
    </w:p>
    <w:p>
      <w:pPr>
        <w:ind w:left="512" w:hanging="512"/>
        <w:spacing w:after="0"/>
        <w:tabs>
          <w:tab w:leader="none" w:pos="5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investment is non-income producing.</w:t>
      </w:r>
    </w:p>
    <w:p>
      <w:pPr>
        <w:spacing w:after="0" w:line="9" w:lineRule="exact"/>
        <w:rPr>
          <w:rFonts w:ascii="Arial" w:cs="Arial" w:eastAsia="Arial" w:hAnsi="Arial"/>
          <w:sz w:val="18"/>
          <w:szCs w:val="18"/>
          <w:color w:val="auto"/>
        </w:rPr>
      </w:pPr>
    </w:p>
    <w:p>
      <w:pPr>
        <w:ind w:left="512" w:hanging="512"/>
        <w:spacing w:after="0"/>
        <w:tabs>
          <w:tab w:leader="none" w:pos="5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9" w:lineRule="exact"/>
        <w:rPr>
          <w:rFonts w:ascii="Arial" w:cs="Arial" w:eastAsia="Arial" w:hAnsi="Arial"/>
          <w:sz w:val="18"/>
          <w:szCs w:val="18"/>
          <w:color w:val="auto"/>
        </w:rPr>
      </w:pPr>
    </w:p>
    <w:p>
      <w:pPr>
        <w:ind w:left="512" w:right="200" w:hanging="512"/>
        <w:spacing w:after="0" w:line="255" w:lineRule="auto"/>
        <w:tabs>
          <w:tab w:leader="none" w:pos="5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and may be deemed to be "restricted securities" under the Securities Act. As of December 31, 2022, the aggregate fair value of these securities is $7,806, or 1.4% of the Company's net assets.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92710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Sixth Street Lending Partners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Changes in Net Assets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860" w:type="dxa"/>
            <w:vAlign w:val="bottom"/>
          </w:tcPr>
          <w:p>
            <w:pPr>
              <w:spacing w:after="0"/>
              <w:rPr>
                <w:sz w:val="14"/>
                <w:szCs w:val="14"/>
                <w:color w:val="auto"/>
              </w:rPr>
            </w:pPr>
          </w:p>
        </w:tc>
        <w:tc>
          <w:tcPr>
            <w:tcW w:w="178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Common Shares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6"/>
        </w:trPr>
        <w:tc>
          <w:tcPr>
            <w:tcW w:w="4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40"/>
              <w:spacing w:after="0" w:line="126" w:lineRule="exact"/>
              <w:rPr>
                <w:sz w:val="20"/>
                <w:szCs w:val="20"/>
                <w:color w:val="auto"/>
              </w:rPr>
            </w:pPr>
            <w:r>
              <w:rPr>
                <w:rFonts w:ascii="Arial" w:cs="Arial" w:eastAsia="Arial" w:hAnsi="Arial"/>
                <w:sz w:val="13"/>
                <w:szCs w:val="13"/>
                <w:b w:val="1"/>
                <w:bCs w:val="1"/>
                <w:color w:val="auto"/>
              </w:rPr>
              <w:t>Par</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gridSpan w:val="2"/>
          </w:tcPr>
          <w:p>
            <w:pPr>
              <w:jc w:val="right"/>
              <w:ind w:right="580"/>
              <w:spacing w:after="0" w:line="126" w:lineRule="exact"/>
              <w:rPr>
                <w:sz w:val="20"/>
                <w:szCs w:val="20"/>
                <w:color w:val="auto"/>
              </w:rPr>
            </w:pPr>
            <w:r>
              <w:rPr>
                <w:rFonts w:ascii="Arial" w:cs="Arial" w:eastAsia="Arial" w:hAnsi="Arial"/>
                <w:sz w:val="13"/>
                <w:szCs w:val="13"/>
                <w:b w:val="1"/>
                <w:bCs w:val="1"/>
                <w:color w:val="auto"/>
              </w:rPr>
              <w:t>Paid in Capital in</w:t>
            </w:r>
          </w:p>
        </w:tc>
        <w:tc>
          <w:tcPr>
            <w:tcW w:w="120" w:type="dxa"/>
            <w:vAlign w:val="bottom"/>
          </w:tcPr>
          <w:p>
            <w:pPr>
              <w:spacing w:after="0"/>
              <w:rPr>
                <w:sz w:val="10"/>
                <w:szCs w:val="10"/>
                <w:color w:val="auto"/>
              </w:rPr>
            </w:pPr>
          </w:p>
        </w:tc>
        <w:tc>
          <w:tcPr>
            <w:tcW w:w="1180" w:type="dxa"/>
            <w:vAlign w:val="bottom"/>
            <w:gridSpan w:val="2"/>
          </w:tcPr>
          <w:p>
            <w:pPr>
              <w:jc w:val="right"/>
              <w:ind w:right="420"/>
              <w:spacing w:after="0" w:line="126" w:lineRule="exact"/>
              <w:rPr>
                <w:sz w:val="20"/>
                <w:szCs w:val="20"/>
                <w:color w:val="auto"/>
              </w:rPr>
            </w:pPr>
            <w:r>
              <w:rPr>
                <w:rFonts w:ascii="Arial" w:cs="Arial" w:eastAsia="Arial" w:hAnsi="Arial"/>
                <w:sz w:val="13"/>
                <w:szCs w:val="13"/>
                <w:b w:val="1"/>
                <w:bCs w:val="1"/>
                <w:color w:val="auto"/>
                <w:w w:val="93"/>
              </w:rPr>
              <w:t>Distributable</w:t>
            </w:r>
          </w:p>
        </w:tc>
        <w:tc>
          <w:tcPr>
            <w:tcW w:w="180" w:type="dxa"/>
            <w:vAlign w:val="bottom"/>
          </w:tcPr>
          <w:p>
            <w:pPr>
              <w:spacing w:after="0"/>
              <w:rPr>
                <w:sz w:val="10"/>
                <w:szCs w:val="10"/>
                <w:color w:val="auto"/>
              </w:rPr>
            </w:pPr>
          </w:p>
        </w:tc>
        <w:tc>
          <w:tcPr>
            <w:tcW w:w="1000" w:type="dxa"/>
            <w:vAlign w:val="bottom"/>
            <w:gridSpan w:val="2"/>
          </w:tcPr>
          <w:p>
            <w:pPr>
              <w:jc w:val="right"/>
              <w:ind w:right="400"/>
              <w:spacing w:after="0" w:line="126" w:lineRule="exact"/>
              <w:rPr>
                <w:sz w:val="20"/>
                <w:szCs w:val="20"/>
                <w:color w:val="auto"/>
              </w:rPr>
            </w:pPr>
            <w:r>
              <w:rPr>
                <w:rFonts w:ascii="Arial" w:cs="Arial" w:eastAsia="Arial" w:hAnsi="Arial"/>
                <w:sz w:val="13"/>
                <w:szCs w:val="13"/>
                <w:b w:val="1"/>
                <w:bCs w:val="1"/>
                <w:color w:val="auto"/>
              </w:rPr>
              <w:t>Total Net</w:t>
            </w:r>
          </w:p>
        </w:tc>
      </w:tr>
      <w:tr>
        <w:trPr>
          <w:trHeight w:val="165"/>
        </w:trPr>
        <w:tc>
          <w:tcPr>
            <w:tcW w:w="4860" w:type="dxa"/>
            <w:vAlign w:val="bottom"/>
          </w:tcPr>
          <w:p>
            <w:pPr>
              <w:spacing w:after="0"/>
              <w:rPr>
                <w:sz w:val="14"/>
                <w:szCs w:val="14"/>
                <w:color w:val="auto"/>
              </w:rPr>
            </w:pPr>
          </w:p>
        </w:tc>
        <w:tc>
          <w:tcPr>
            <w:tcW w:w="84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Excess of Par</w:t>
            </w:r>
          </w:p>
        </w:tc>
        <w:tc>
          <w:tcPr>
            <w:tcW w:w="1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Earnings</w:t>
            </w:r>
          </w:p>
        </w:tc>
        <w:tc>
          <w:tcPr>
            <w:tcW w:w="1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Assets</w:t>
            </w:r>
          </w:p>
        </w:tc>
      </w:tr>
      <w:tr>
        <w:trPr>
          <w:trHeight w:val="157"/>
        </w:trPr>
        <w:tc>
          <w:tcPr>
            <w:tcW w:w="48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April 5, 2022 (Inception)</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FF0FC"/>
          </w:tcPr>
          <w:p>
            <w:pPr>
              <w:ind w:left="460"/>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r>
      <w:tr>
        <w:trPr>
          <w:trHeight w:val="168"/>
        </w:trPr>
        <w:tc>
          <w:tcPr>
            <w:tcW w:w="4860" w:type="dxa"/>
            <w:vAlign w:val="bottom"/>
          </w:tcPr>
          <w:p>
            <w:pPr>
              <w:ind w:left="100"/>
              <w:spacing w:after="0"/>
              <w:rPr>
                <w:sz w:val="20"/>
                <w:szCs w:val="20"/>
                <w:color w:val="auto"/>
              </w:rPr>
            </w:pPr>
            <w:r>
              <w:rPr>
                <w:rFonts w:ascii="Arial" w:cs="Arial" w:eastAsia="Arial" w:hAnsi="Arial"/>
                <w:sz w:val="13"/>
                <w:szCs w:val="13"/>
                <w:color w:val="auto"/>
              </w:rPr>
              <w:t>Net increase (decrease) in net assets resulting from operations: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4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investment income</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5,590</w:t>
            </w:r>
          </w:p>
        </w:tc>
        <w:tc>
          <w:tcPr>
            <w:tcW w:w="100" w:type="dxa"/>
            <w:vAlign w:val="bottom"/>
            <w:shd w:val="clear" w:color="auto" w:fill="CFF0FC"/>
          </w:tcPr>
          <w:p>
            <w:pPr>
              <w:spacing w:after="0"/>
              <w:rPr>
                <w:sz w:val="15"/>
                <w:szCs w:val="15"/>
                <w:color w:val="auto"/>
              </w:rPr>
            </w:pPr>
          </w:p>
        </w:tc>
      </w:tr>
      <w:tr>
        <w:trPr>
          <w:trHeight w:val="134"/>
        </w:trPr>
        <w:tc>
          <w:tcPr>
            <w:tcW w:w="4860" w:type="dxa"/>
            <w:vAlign w:val="bottom"/>
          </w:tcPr>
          <w:p>
            <w:pPr>
              <w:ind w:left="160"/>
              <w:spacing w:after="0" w:line="134" w:lineRule="exact"/>
              <w:rPr>
                <w:sz w:val="20"/>
                <w:szCs w:val="20"/>
                <w:color w:val="auto"/>
              </w:rPr>
            </w:pPr>
            <w:r>
              <w:rPr>
                <w:rFonts w:ascii="Arial" w:cs="Arial" w:eastAsia="Arial" w:hAnsi="Arial"/>
                <w:sz w:val="13"/>
                <w:szCs w:val="13"/>
                <w:color w:val="auto"/>
              </w:rPr>
              <w:t>Net change in unrealized gains (losses) on investments and</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860" w:type="dxa"/>
            <w:vAlign w:val="bottom"/>
          </w:tcPr>
          <w:p>
            <w:pPr>
              <w:ind w:left="260"/>
              <w:spacing w:after="0"/>
              <w:rPr>
                <w:sz w:val="20"/>
                <w:szCs w:val="20"/>
                <w:color w:val="auto"/>
              </w:rPr>
            </w:pPr>
            <w:r>
              <w:rPr>
                <w:rFonts w:ascii="Arial" w:cs="Arial" w:eastAsia="Arial" w:hAnsi="Arial"/>
                <w:sz w:val="13"/>
                <w:szCs w:val="13"/>
                <w:color w:val="auto"/>
              </w:rPr>
              <w:t>foreign currency translation</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60"/>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(1,663 )</w:t>
            </w:r>
          </w:p>
        </w:tc>
        <w:tc>
          <w:tcPr>
            <w:tcW w:w="1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(1,663 )</w:t>
            </w:r>
          </w:p>
        </w:tc>
      </w:tr>
      <w:tr>
        <w:trPr>
          <w:trHeight w:val="136"/>
        </w:trPr>
        <w:tc>
          <w:tcPr>
            <w:tcW w:w="486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rPr>
              <w:t>Net realized gains (losses) on investments and foreign</w:t>
            </w: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3"/>
        </w:trPr>
        <w:tc>
          <w:tcPr>
            <w:tcW w:w="4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currency transactions</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3"/>
                <w:szCs w:val="13"/>
                <w:color w:val="auto"/>
                <w:w w:val="76"/>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(80 )</w:t>
            </w: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(80 )</w:t>
            </w:r>
          </w:p>
        </w:tc>
      </w:tr>
      <w:tr>
        <w:trPr>
          <w:trHeight w:val="168"/>
        </w:trPr>
        <w:tc>
          <w:tcPr>
            <w:tcW w:w="4860" w:type="dxa"/>
            <w:vAlign w:val="bottom"/>
          </w:tcPr>
          <w:p>
            <w:pPr>
              <w:ind w:left="100"/>
              <w:spacing w:after="0"/>
              <w:rPr>
                <w:sz w:val="20"/>
                <w:szCs w:val="20"/>
                <w:color w:val="auto"/>
              </w:rPr>
            </w:pPr>
            <w:r>
              <w:rPr>
                <w:rFonts w:ascii="Arial" w:cs="Arial" w:eastAsia="Arial" w:hAnsi="Arial"/>
                <w:sz w:val="13"/>
                <w:szCs w:val="13"/>
                <w:color w:val="auto"/>
              </w:rPr>
              <w:t>Increase (decrease) in net assets Resulting from Capital share Transactions: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4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Issuance of Common Shares</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21,882,028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ind w:left="460"/>
              <w:spacing w:after="0"/>
              <w:rPr>
                <w:sz w:val="20"/>
                <w:szCs w:val="20"/>
                <w:color w:val="auto"/>
              </w:rPr>
            </w:pPr>
            <w:r>
              <w:rPr>
                <w:rFonts w:ascii="Arial" w:cs="Arial" w:eastAsia="Arial" w:hAnsi="Arial"/>
                <w:sz w:val="12"/>
                <w:szCs w:val="12"/>
                <w:color w:val="auto"/>
                <w:w w:val="74"/>
              </w:rPr>
              <w:t>22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542,842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542,864</w:t>
            </w:r>
          </w:p>
        </w:tc>
        <w:tc>
          <w:tcPr>
            <w:tcW w:w="100" w:type="dxa"/>
            <w:vAlign w:val="bottom"/>
            <w:shd w:val="clear" w:color="auto" w:fill="CFF0FC"/>
          </w:tcPr>
          <w:p>
            <w:pPr>
              <w:spacing w:after="0"/>
              <w:rPr>
                <w:sz w:val="15"/>
                <w:szCs w:val="15"/>
                <w:color w:val="auto"/>
              </w:rPr>
            </w:pPr>
          </w:p>
        </w:tc>
      </w:tr>
      <w:tr>
        <w:trPr>
          <w:trHeight w:val="161"/>
        </w:trPr>
        <w:tc>
          <w:tcPr>
            <w:tcW w:w="4860" w:type="dxa"/>
            <w:vAlign w:val="bottom"/>
          </w:tcPr>
          <w:p>
            <w:pPr>
              <w:ind w:left="100"/>
              <w:spacing w:after="0"/>
              <w:rPr>
                <w:sz w:val="20"/>
                <w:szCs w:val="20"/>
                <w:color w:val="auto"/>
              </w:rPr>
            </w:pPr>
            <w:r>
              <w:rPr>
                <w:rFonts w:ascii="Arial" w:cs="Arial" w:eastAsia="Arial" w:hAnsi="Arial"/>
                <w:sz w:val="13"/>
                <w:szCs w:val="13"/>
                <w:color w:val="auto"/>
              </w:rPr>
              <w:t>Tax reclassification of shareholders' equity in accordance with GAAP</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60"/>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3"/>
                <w:szCs w:val="13"/>
                <w:color w:val="auto"/>
              </w:rPr>
              <w:t>(246 )</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96"/>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21,882,028</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2"/>
                <w:szCs w:val="12"/>
                <w:b w:val="1"/>
                <w:bCs w:val="1"/>
                <w:color w:val="auto"/>
                <w:w w:val="74"/>
              </w:rPr>
              <w:t>22</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542,596</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4,093</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546,711</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-25400</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8940" w:type="dxa"/>
            <w:vAlign w:val="bottom"/>
          </w:tcPr>
          <w:p>
            <w:pPr>
              <w:ind w:left="4480"/>
              <w:spacing w:after="0"/>
              <w:rPr>
                <w:sz w:val="20"/>
                <w:szCs w:val="20"/>
                <w:color w:val="auto"/>
              </w:rPr>
            </w:pPr>
            <w:r>
              <w:rPr>
                <w:rFonts w:ascii="Arial" w:cs="Arial" w:eastAsia="Arial" w:hAnsi="Arial"/>
                <w:sz w:val="18"/>
                <w:szCs w:val="18"/>
                <w:b w:val="1"/>
                <w:bCs w:val="1"/>
                <w:color w:val="auto"/>
              </w:rPr>
              <w:t>Sixth Street Lending Partners</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tcPr>
          <w:p>
            <w:pPr>
              <w:ind w:left="4120"/>
              <w:spacing w:after="0"/>
              <w:rPr>
                <w:sz w:val="20"/>
                <w:szCs w:val="20"/>
                <w:color w:val="auto"/>
              </w:rPr>
            </w:pPr>
            <w:r>
              <w:rPr>
                <w:rFonts w:ascii="Arial" w:cs="Arial" w:eastAsia="Arial" w:hAnsi="Arial"/>
                <w:sz w:val="18"/>
                <w:szCs w:val="18"/>
                <w:b w:val="1"/>
                <w:bCs w:val="1"/>
                <w:color w:val="auto"/>
              </w:rPr>
              <w:t>Consolidated Statement of Cash Flows</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940" w:type="dxa"/>
            <w:vAlign w:val="bottom"/>
          </w:tcPr>
          <w:p>
            <w:pPr>
              <w:ind w:left="4680"/>
              <w:spacing w:after="0"/>
              <w:rPr>
                <w:sz w:val="20"/>
                <w:szCs w:val="20"/>
                <w:color w:val="auto"/>
              </w:rPr>
            </w:pPr>
            <w:r>
              <w:rPr>
                <w:rFonts w:ascii="Arial" w:cs="Arial" w:eastAsia="Arial" w:hAnsi="Arial"/>
                <w:sz w:val="18"/>
                <w:szCs w:val="18"/>
                <w:b w:val="1"/>
                <w:bCs w:val="1"/>
                <w:color w:val="auto"/>
              </w:rPr>
              <w:t>(Amounts in thousands)</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8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5"/>
              </w:rPr>
              <w:t>From April 5, 2022 (Inception)</w:t>
            </w:r>
          </w:p>
        </w:tc>
      </w:tr>
      <w:tr>
        <w:trPr>
          <w:trHeight w:val="175"/>
        </w:trPr>
        <w:tc>
          <w:tcPr>
            <w:tcW w:w="8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0"/>
              </w:rPr>
              <w:t>through</w:t>
            </w:r>
          </w:p>
        </w:tc>
      </w:tr>
      <w:tr>
        <w:trPr>
          <w:trHeight w:val="185"/>
        </w:trPr>
        <w:tc>
          <w:tcPr>
            <w:tcW w:w="8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1"/>
              </w:rPr>
              <w:t>December 31, 2022</w:t>
            </w:r>
          </w:p>
        </w:tc>
      </w:tr>
      <w:tr>
        <w:trPr>
          <w:trHeight w:val="23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FF0FC"/>
          </w:tcPr>
          <w:p>
            <w:pPr>
              <w:spacing w:after="0"/>
              <w:rPr>
                <w:sz w:val="20"/>
                <w:szCs w:val="20"/>
                <w:color w:val="auto"/>
              </w:rPr>
            </w:pPr>
          </w:p>
        </w:tc>
        <w:tc>
          <w:tcPr>
            <w:tcW w:w="2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0"/>
                <w:szCs w:val="20"/>
                <w:color w:val="auto"/>
              </w:rPr>
            </w:pPr>
          </w:p>
        </w:tc>
      </w:tr>
      <w:tr>
        <w:trPr>
          <w:trHeight w:val="221"/>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12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8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net cash provided by (used in) operating activities:</w:t>
            </w:r>
          </w:p>
        </w:tc>
        <w:tc>
          <w:tcPr>
            <w:tcW w:w="120" w:type="dxa"/>
            <w:vAlign w:val="bottom"/>
            <w:shd w:val="clear" w:color="auto" w:fill="CFF0FC"/>
          </w:tcPr>
          <w:p>
            <w:pPr>
              <w:spacing w:after="0"/>
              <w:rPr>
                <w:sz w:val="21"/>
                <w:szCs w:val="21"/>
                <w:color w:val="auto"/>
              </w:rPr>
            </w:pPr>
          </w:p>
        </w:tc>
        <w:tc>
          <w:tcPr>
            <w:tcW w:w="2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8940" w:type="dxa"/>
            <w:vAlign w:val="bottom"/>
          </w:tcPr>
          <w:p>
            <w:pPr>
              <w:ind w:left="380"/>
              <w:spacing w:after="0"/>
              <w:rPr>
                <w:sz w:val="20"/>
                <w:szCs w:val="20"/>
                <w:color w:val="auto"/>
              </w:rPr>
            </w:pPr>
            <w:r>
              <w:rPr>
                <w:rFonts w:ascii="Arial" w:cs="Arial" w:eastAsia="Arial" w:hAnsi="Arial"/>
                <w:sz w:val="18"/>
                <w:szCs w:val="18"/>
                <w:color w:val="auto"/>
              </w:rPr>
              <w:t>Net change in unrealized (gains) losses on investments</w:t>
            </w:r>
          </w:p>
        </w:tc>
        <w:tc>
          <w:tcPr>
            <w:tcW w:w="1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r>
      <w:tr>
        <w:trPr>
          <w:trHeight w:val="249"/>
        </w:trPr>
        <w:tc>
          <w:tcPr>
            <w:tcW w:w="8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change in unrealized (gains) losses on foreign currency transactions</w:t>
            </w:r>
          </w:p>
        </w:tc>
        <w:tc>
          <w:tcPr>
            <w:tcW w:w="12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21"/>
                <w:szCs w:val="21"/>
                <w:color w:val="auto"/>
              </w:rPr>
            </w:pPr>
          </w:p>
        </w:tc>
      </w:tr>
      <w:tr>
        <w:trPr>
          <w:trHeight w:val="237"/>
        </w:trPr>
        <w:tc>
          <w:tcPr>
            <w:tcW w:w="8940" w:type="dxa"/>
            <w:vAlign w:val="bottom"/>
          </w:tcPr>
          <w:p>
            <w:pPr>
              <w:ind w:left="380"/>
              <w:spacing w:after="0"/>
              <w:rPr>
                <w:sz w:val="20"/>
                <w:szCs w:val="20"/>
                <w:color w:val="auto"/>
              </w:rPr>
            </w:pPr>
            <w:r>
              <w:rPr>
                <w:rFonts w:ascii="Arial" w:cs="Arial" w:eastAsia="Arial" w:hAnsi="Arial"/>
                <w:sz w:val="18"/>
                <w:szCs w:val="18"/>
                <w:color w:val="auto"/>
              </w:rPr>
              <w:t>Net realized (gains) losses on foreign currency transactions</w:t>
            </w:r>
          </w:p>
        </w:tc>
        <w:tc>
          <w:tcPr>
            <w:tcW w:w="1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r>
        <w:trPr>
          <w:trHeight w:val="249"/>
        </w:trPr>
        <w:tc>
          <w:tcPr>
            <w:tcW w:w="8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amortization of discount on investments</w:t>
            </w:r>
          </w:p>
        </w:tc>
        <w:tc>
          <w:tcPr>
            <w:tcW w:w="12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(770 )</w:t>
            </w:r>
          </w:p>
        </w:tc>
      </w:tr>
      <w:tr>
        <w:trPr>
          <w:trHeight w:val="237"/>
        </w:trPr>
        <w:tc>
          <w:tcPr>
            <w:tcW w:w="894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r>
      <w:tr>
        <w:trPr>
          <w:trHeight w:val="249"/>
        </w:trPr>
        <w:tc>
          <w:tcPr>
            <w:tcW w:w="8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Purchases and originations of investments, net</w:t>
            </w:r>
          </w:p>
        </w:tc>
        <w:tc>
          <w:tcPr>
            <w:tcW w:w="12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(808,259 )</w:t>
            </w:r>
          </w:p>
        </w:tc>
      </w:tr>
      <w:tr>
        <w:trPr>
          <w:trHeight w:val="237"/>
        </w:trPr>
        <w:tc>
          <w:tcPr>
            <w:tcW w:w="89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receivable</w:t>
            </w:r>
          </w:p>
        </w:tc>
        <w:tc>
          <w:tcPr>
            <w:tcW w:w="12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(7,814 )</w:t>
            </w:r>
          </w:p>
        </w:tc>
      </w:tr>
      <w:tr>
        <w:trPr>
          <w:trHeight w:val="237"/>
        </w:trPr>
        <w:tc>
          <w:tcPr>
            <w:tcW w:w="894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(485 )</w:t>
            </w:r>
          </w:p>
        </w:tc>
      </w:tr>
      <w:tr>
        <w:trPr>
          <w:trHeight w:val="249"/>
        </w:trPr>
        <w:tc>
          <w:tcPr>
            <w:tcW w:w="8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Management fees payable to affiliate</w:t>
            </w:r>
          </w:p>
        </w:tc>
        <w:tc>
          <w:tcPr>
            <w:tcW w:w="12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FF0FC"/>
          </w:tcPr>
          <w:p>
            <w:pPr>
              <w:spacing w:after="0"/>
              <w:rPr>
                <w:sz w:val="21"/>
                <w:szCs w:val="21"/>
                <w:color w:val="auto"/>
              </w:rPr>
            </w:pPr>
          </w:p>
        </w:tc>
      </w:tr>
      <w:tr>
        <w:trPr>
          <w:trHeight w:val="237"/>
        </w:trPr>
        <w:tc>
          <w:tcPr>
            <w:tcW w:w="8940" w:type="dxa"/>
            <w:vAlign w:val="bottom"/>
          </w:tcPr>
          <w:p>
            <w:pPr>
              <w:ind w:left="380"/>
              <w:spacing w:after="0"/>
              <w:rPr>
                <w:sz w:val="20"/>
                <w:szCs w:val="20"/>
                <w:color w:val="auto"/>
              </w:rPr>
            </w:pPr>
            <w:r>
              <w:rPr>
                <w:rFonts w:ascii="Arial" w:cs="Arial" w:eastAsia="Arial" w:hAnsi="Arial"/>
                <w:sz w:val="18"/>
                <w:szCs w:val="18"/>
                <w:color w:val="auto"/>
              </w:rPr>
              <w:t>Incentive fees on net investment income payable to affiliate</w:t>
            </w:r>
          </w:p>
        </w:tc>
        <w:tc>
          <w:tcPr>
            <w:tcW w:w="1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0"/>
                <w:szCs w:val="20"/>
                <w:color w:val="auto"/>
              </w:rPr>
            </w:pPr>
          </w:p>
        </w:tc>
      </w:tr>
      <w:tr>
        <w:trPr>
          <w:trHeight w:val="249"/>
        </w:trPr>
        <w:tc>
          <w:tcPr>
            <w:tcW w:w="8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payables to affiliate</w:t>
            </w:r>
          </w:p>
        </w:tc>
        <w:tc>
          <w:tcPr>
            <w:tcW w:w="12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100" w:type="dxa"/>
            <w:vAlign w:val="bottom"/>
            <w:shd w:val="clear" w:color="auto" w:fill="CFF0FC"/>
          </w:tcPr>
          <w:p>
            <w:pPr>
              <w:spacing w:after="0"/>
              <w:rPr>
                <w:sz w:val="21"/>
                <w:szCs w:val="21"/>
                <w:color w:val="auto"/>
              </w:rPr>
            </w:pPr>
          </w:p>
        </w:tc>
      </w:tr>
      <w:tr>
        <w:trPr>
          <w:trHeight w:val="237"/>
        </w:trPr>
        <w:tc>
          <w:tcPr>
            <w:tcW w:w="894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20"/>
                <w:szCs w:val="20"/>
                <w:color w:val="auto"/>
              </w:rPr>
            </w:pPr>
          </w:p>
        </w:tc>
      </w:tr>
      <w:tr>
        <w:trPr>
          <w:trHeight w:val="238"/>
        </w:trPr>
        <w:tc>
          <w:tcPr>
            <w:tcW w:w="8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auto"/>
            </w:tcBorders>
            <w:shd w:val="clear" w:color="auto" w:fill="CFF0FC"/>
          </w:tcPr>
          <w:p>
            <w:pPr>
              <w:spacing w:after="0"/>
              <w:rPr>
                <w:sz w:val="20"/>
                <w:szCs w:val="20"/>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(800,417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 on debt</w:t>
            </w:r>
          </w:p>
        </w:tc>
        <w:tc>
          <w:tcPr>
            <w:tcW w:w="12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816,536</w:t>
            </w:r>
          </w:p>
        </w:tc>
        <w:tc>
          <w:tcPr>
            <w:tcW w:w="100" w:type="dxa"/>
            <w:vAlign w:val="bottom"/>
            <w:shd w:val="clear" w:color="auto" w:fill="CFF0FC"/>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Repayments on debt</w:t>
            </w:r>
          </w:p>
        </w:tc>
        <w:tc>
          <w:tcPr>
            <w:tcW w:w="12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(280,000 )</w:t>
            </w: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financing costs</w:t>
            </w:r>
          </w:p>
        </w:tc>
        <w:tc>
          <w:tcPr>
            <w:tcW w:w="12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(4,371 )</w:t>
            </w: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Proceeds from issuance of common shares</w:t>
            </w: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542,864</w:t>
            </w:r>
          </w:p>
        </w:tc>
        <w:tc>
          <w:tcPr>
            <w:tcW w:w="100" w:type="dxa"/>
            <w:vAlign w:val="bottom"/>
          </w:tcPr>
          <w:p>
            <w:pPr>
              <w:spacing w:after="0"/>
              <w:rPr>
                <w:sz w:val="20"/>
                <w:szCs w:val="20"/>
                <w:color w:val="auto"/>
              </w:rPr>
            </w:pPr>
          </w:p>
        </w:tc>
      </w:tr>
      <w:tr>
        <w:trPr>
          <w:trHeight w:val="238"/>
        </w:trPr>
        <w:tc>
          <w:tcPr>
            <w:tcW w:w="8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bottom w:val="single" w:sz="8" w:color="auto"/>
            </w:tcBorders>
            <w:shd w:val="clear" w:color="auto" w:fill="CFF0FC"/>
          </w:tcPr>
          <w:p>
            <w:pPr>
              <w:spacing w:after="0"/>
              <w:rPr>
                <w:sz w:val="20"/>
                <w:szCs w:val="20"/>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1,075,029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8940" w:type="dxa"/>
            <w:vAlign w:val="bottom"/>
          </w:tcPr>
          <w:p>
            <w:pPr>
              <w:ind w:left="3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274,612</w:t>
            </w:r>
          </w:p>
        </w:tc>
        <w:tc>
          <w:tcPr>
            <w:tcW w:w="100" w:type="dxa"/>
            <w:vAlign w:val="bottom"/>
          </w:tcPr>
          <w:p>
            <w:pPr>
              <w:spacing w:after="0"/>
              <w:rPr>
                <w:sz w:val="20"/>
                <w:szCs w:val="20"/>
                <w:color w:val="auto"/>
              </w:rPr>
            </w:pPr>
          </w:p>
        </w:tc>
      </w:tr>
      <w:tr>
        <w:trPr>
          <w:trHeight w:val="234"/>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FF0FC"/>
          </w:tcPr>
          <w:p>
            <w:pPr>
              <w:spacing w:after="0"/>
              <w:rPr>
                <w:sz w:val="20"/>
                <w:szCs w:val="20"/>
                <w:color w:val="auto"/>
              </w:rPr>
            </w:pPr>
          </w:p>
        </w:tc>
        <w:tc>
          <w:tcPr>
            <w:tcW w:w="2180" w:type="dxa"/>
            <w:vAlign w:val="bottom"/>
            <w:gridSpan w:val="2"/>
            <w:shd w:val="clear" w:color="auto" w:fill="CFF0FC"/>
          </w:tcPr>
          <w:p>
            <w:pPr>
              <w:jc w:val="right"/>
              <w:ind w:right="41"/>
              <w:spacing w:after="0"/>
              <w:rPr>
                <w:sz w:val="20"/>
                <w:szCs w:val="20"/>
                <w:color w:val="auto"/>
              </w:rPr>
            </w:pPr>
            <w:r>
              <w:rPr>
                <w:rFonts w:ascii="Arial" w:cs="Arial" w:eastAsia="Arial" w:hAnsi="Arial"/>
                <w:sz w:val="13"/>
                <w:szCs w:val="13"/>
                <w:color w:val="auto"/>
              </w:rPr>
              <w:t>—</w:t>
            </w:r>
          </w:p>
        </w:tc>
      </w:tr>
      <w:tr>
        <w:trPr>
          <w:trHeight w:val="232"/>
        </w:trPr>
        <w:tc>
          <w:tcPr>
            <w:tcW w:w="8940" w:type="dxa"/>
            <w:vAlign w:val="bottom"/>
            <w:tcBorders>
              <w:top w:val="single" w:sz="8" w:color="CFF0FC"/>
            </w:tcBorders>
          </w:tcPr>
          <w:p>
            <w:pPr>
              <w:ind w:left="38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274,612</w:t>
            </w:r>
          </w:p>
        </w:tc>
        <w:tc>
          <w:tcPr>
            <w:tcW w:w="100" w:type="dxa"/>
            <w:vAlign w:val="bottom"/>
            <w:tcBorders>
              <w:top w:val="single" w:sz="8" w:color="CFF0FC"/>
            </w:tcBorders>
          </w:tcPr>
          <w:p>
            <w:pPr>
              <w:spacing w:after="0"/>
              <w:rPr>
                <w:sz w:val="20"/>
                <w:szCs w:val="20"/>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Information:</w:t>
            </w:r>
          </w:p>
        </w:tc>
        <w:tc>
          <w:tcPr>
            <w:tcW w:w="12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940" w:type="dxa"/>
            <w:vAlign w:val="bottom"/>
          </w:tcPr>
          <w:p>
            <w:pPr>
              <w:ind w:left="380"/>
              <w:spacing w:after="0"/>
              <w:rPr>
                <w:sz w:val="20"/>
                <w:szCs w:val="20"/>
                <w:color w:val="auto"/>
              </w:rPr>
            </w:pPr>
            <w:r>
              <w:rPr>
                <w:rFonts w:ascii="Arial" w:cs="Arial" w:eastAsia="Arial" w:hAnsi="Arial"/>
                <w:sz w:val="18"/>
                <w:szCs w:val="18"/>
                <w:color w:val="auto"/>
              </w:rPr>
              <w:t>Interest paid during the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-1739900</wp:posOffset>
            </wp:positionV>
            <wp:extent cx="6858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Sixth Street Lending Partners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intends to elect to be treated as a regulated investment company (“RIC”) under Subchapter M of the Internal Revenue Code of 1986, as amended (the “Code”). The Company is managed by Sixth Street Lending Partners Advisers, LLC (the “Adviser”). On May 12, 2022, the Company formed a wholly-owned subsidiary, Sixth Street LP Holding, LLC, a Delaware limited liability company. On May 12, 2022, the Company formed a wholly-owned subsidiary, SSLP Lending, LLC, a Delaware limited liability company. On December 8, 2022, the Company formed a wholly-owned subsidiary, Sixth Street LP Holding II, LLC, a Delaware limited liability company.</w:t>
      </w:r>
    </w:p>
    <w:p>
      <w:pPr>
        <w:spacing w:after="0" w:line="166"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shares up to the amount of their respective Capital Commitments on an as-needed basis each time the Company delivers a notice to the investors.</w:t>
      </w:r>
    </w:p>
    <w:p>
      <w:pPr>
        <w:spacing w:after="0" w:line="164"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The Company completed its initial closing of capital commitments and commenced its loan origination and investment activities on August 31, 2022 ("Commencement of Operations"), the date of receipt of the initial drawdown from investors in the Private Offering.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firstLine="255"/>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920" w:firstLine="255"/>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 w:firstLine="255"/>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20" w:firstLine="255"/>
        <w:spacing w:after="0" w:line="301" w:lineRule="auto"/>
        <w:rPr>
          <w:sz w:val="20"/>
          <w:szCs w:val="20"/>
          <w:color w:val="auto"/>
        </w:rPr>
      </w:pPr>
      <w:r>
        <w:rPr>
          <w:rFonts w:ascii="Arial" w:cs="Arial" w:eastAsia="Arial" w:hAnsi="Arial"/>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ind w:right="100"/>
        <w:spacing w:after="0" w:line="259" w:lineRule="auto"/>
        <w:rPr>
          <w:sz w:val="20"/>
          <w:szCs w:val="20"/>
          <w:color w:val="auto"/>
        </w:rPr>
      </w:pPr>
      <w:r>
        <w:rPr>
          <w:rFonts w:ascii="Arial" w:cs="Arial" w:eastAsia="Arial" w:hAnsi="Arial"/>
          <w:sz w:val="18"/>
          <w:szCs w:val="18"/>
          <w:color w:val="auto"/>
        </w:rPr>
        <w:t>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7"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p>
    <w:p>
      <w:pPr>
        <w:spacing w:after="0" w:line="176"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80" w:hanging="257"/>
        <w:spacing w:after="0" w:line="277"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420" w:hanging="257"/>
        <w:spacing w:after="0" w:line="277"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100" w:hanging="257"/>
        <w:spacing w:after="0" w:line="263"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jc w:val="both"/>
        <w:ind w:right="14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December 31, 2022,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1"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6" w:name="page87"/>
    <w:bookmarkEnd w:id="86"/>
    <w:p>
      <w:pPr>
        <w:ind w:right="120"/>
        <w:spacing w:after="0" w:line="277" w:lineRule="auto"/>
        <w:rPr>
          <w:sz w:val="20"/>
          <w:szCs w:val="20"/>
          <w:color w:val="auto"/>
        </w:rPr>
      </w:pPr>
      <w:r>
        <w:rPr>
          <w:rFonts w:ascii="Arial" w:cs="Arial" w:eastAsia="Arial" w:hAnsi="Arial"/>
          <w:sz w:val="18"/>
          <w:szCs w:val="18"/>
          <w:color w:val="auto"/>
        </w:rPr>
        <w:t>hierarchy that prioritizes and ranks the level of observability of inputs used in determination of fair value. In accordance with ASC Topic 820, these levels are summarized below:</w:t>
      </w:r>
    </w:p>
    <w:p>
      <w:pPr>
        <w:spacing w:after="0" w:line="62" w:lineRule="exact"/>
        <w:rPr>
          <w:sz w:val="20"/>
          <w:szCs w:val="20"/>
          <w:color w:val="auto"/>
        </w:rPr>
      </w:pPr>
    </w:p>
    <w:p>
      <w:pPr>
        <w:ind w:left="520" w:hanging="257"/>
        <w:spacing w:after="0"/>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28" w:lineRule="exact"/>
        <w:rPr>
          <w:rFonts w:ascii="Arial" w:cs="Arial" w:eastAsia="Arial" w:hAnsi="Arial"/>
          <w:sz w:val="17"/>
          <w:szCs w:val="17"/>
          <w:color w:val="auto"/>
        </w:rPr>
      </w:pPr>
    </w:p>
    <w:p>
      <w:pPr>
        <w:ind w:left="520" w:right="580" w:hanging="257"/>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20" w:firstLine="255"/>
        <w:spacing w:after="0" w:line="253"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6"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2"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580" w:hanging="257"/>
        <w:spacing w:after="0" w:line="277"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hanging="257"/>
        <w:spacing w:after="0" w:line="277"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4" w:lineRule="exact"/>
        <w:rPr>
          <w:sz w:val="20"/>
          <w:szCs w:val="20"/>
          <w:color w:val="auto"/>
        </w:rPr>
      </w:pPr>
    </w:p>
    <w:p>
      <w:pPr>
        <w:ind w:right="140" w:firstLine="255"/>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 and Offering Expenses</w:t>
      </w:r>
    </w:p>
    <w:p>
      <w:pPr>
        <w:spacing w:after="0" w:line="117" w:lineRule="exact"/>
        <w:rPr>
          <w:sz w:val="20"/>
          <w:szCs w:val="20"/>
          <w:color w:val="auto"/>
        </w:rPr>
      </w:pPr>
    </w:p>
    <w:p>
      <w:pPr>
        <w:jc w:val="both"/>
        <w:ind w:right="120" w:firstLine="255"/>
        <w:spacing w:after="0" w:line="263" w:lineRule="auto"/>
        <w:rPr>
          <w:sz w:val="20"/>
          <w:szCs w:val="20"/>
          <w:color w:val="auto"/>
        </w:rPr>
      </w:pPr>
      <w:r>
        <w:rPr>
          <w:rFonts w:ascii="Arial" w:cs="Arial" w:eastAsia="Arial" w:hAnsi="Arial"/>
          <w:sz w:val="18"/>
          <w:szCs w:val="18"/>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7" w:name="page88"/>
    <w:bookmarkEnd w:id="87"/>
    <w:p>
      <w:pPr>
        <w:jc w:val="both"/>
        <w:ind w:right="260" w:firstLine="255"/>
        <w:spacing w:after="0" w:line="263" w:lineRule="auto"/>
        <w:rPr>
          <w:sz w:val="20"/>
          <w:szCs w:val="20"/>
          <w:color w:val="auto"/>
        </w:rPr>
      </w:pPr>
      <w:r>
        <w:rPr>
          <w:rFonts w:ascii="Arial" w:cs="Arial" w:eastAsia="Arial" w:hAnsi="Arial"/>
          <w:sz w:val="18"/>
          <w:szCs w:val="18"/>
          <w:color w:val="auto"/>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spacing w:after="0" w:line="76"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87"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As of December 31, 2022, the Company incurred less than $0.1 million of organization and offering costs in excess of 0.10% of the Company’s total Capital Commitments, all of which have been borne by the Adviser and is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460" w:firstLine="255"/>
        <w:spacing w:after="0" w:line="263" w:lineRule="auto"/>
        <w:rPr>
          <w:sz w:val="20"/>
          <w:szCs w:val="20"/>
          <w:color w:val="auto"/>
        </w:rPr>
      </w:pPr>
      <w:r>
        <w:rPr>
          <w:rFonts w:ascii="Arial" w:cs="Arial" w:eastAsia="Arial" w:hAnsi="Arial"/>
          <w:sz w:val="18"/>
          <w:szCs w:val="18"/>
          <w:color w:val="auto"/>
        </w:rPr>
        <w:t>The Company's earnings per share (“EPS”) amounts have been computed based on the weighted-average number of shares of Common Shares outstanding for the period. Basic EPS is computed by dividing net increase (decrease) in net assets resulting from operations by the weighted average number of shares of Common Shares outstanding during the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The Company intends to elect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p>
    <w:p>
      <w:pPr>
        <w:spacing w:after="0" w:line="188" w:lineRule="exact"/>
        <w:rPr>
          <w:sz w:val="20"/>
          <w:szCs w:val="20"/>
          <w:color w:val="auto"/>
        </w:rPr>
      </w:pPr>
    </w:p>
    <w:p>
      <w:pPr>
        <w:ind w:right="40" w:firstLine="255"/>
        <w:spacing w:after="0" w:line="273" w:lineRule="auto"/>
        <w:rPr>
          <w:sz w:val="20"/>
          <w:szCs w:val="20"/>
          <w:color w:val="auto"/>
        </w:rPr>
      </w:pPr>
      <w:r>
        <w:rPr>
          <w:rFonts w:ascii="Arial" w:cs="Arial" w:eastAsia="Arial" w:hAnsi="Arial"/>
          <w:sz w:val="17"/>
          <w:szCs w:val="17"/>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2022, the Company did not have any uncertain tax positions that met the recognition or measurement criteria, nor did the Company have any unrecognized tax benefits.</w:t>
      </w:r>
    </w:p>
    <w:p>
      <w:pPr>
        <w:spacing w:after="0" w:line="178" w:lineRule="exact"/>
        <w:rPr>
          <w:sz w:val="20"/>
          <w:szCs w:val="20"/>
          <w:color w:val="auto"/>
        </w:rPr>
      </w:pPr>
    </w:p>
    <w:p>
      <w:pPr>
        <w:ind w:right="60" w:firstLine="255"/>
        <w:spacing w:after="0" w:line="301" w:lineRule="auto"/>
        <w:rPr>
          <w:sz w:val="20"/>
          <w:szCs w:val="20"/>
          <w:color w:val="auto"/>
        </w:rPr>
      </w:pPr>
      <w:r>
        <w:rPr>
          <w:rFonts w:ascii="Arial" w:cs="Arial" w:eastAsia="Arial" w:hAnsi="Arial"/>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period ended December 31, 2022, the Company recorded a net expense of $0.2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Shareholders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84"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The Board has adopted a dividend reinvestment plan, pursuant to which the Company will reinvest all cash dividends or distributions declared by the Board on behalf of investors who do not elect to receive their cash dividends or distributions in cash as provided below. As a result, if the Board authorizes, and the Company declares, a cash dividend or distribution, then shareholders who have not elected to “opt out” of the dividend reinvestment plan will have their cash dividends or distributions automatically reinvested in additional Common Shares as described below. See Note 10 for further information related to dividends.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333"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Management does not believe any recently issued, but not yet effective, accounting standards, if currently adopted, would have a material effect on the accompanying financial statement.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56" w:lineRule="exact"/>
        <w:rPr>
          <w:sz w:val="20"/>
          <w:szCs w:val="20"/>
          <w:color w:val="auto"/>
        </w:rPr>
      </w:pPr>
    </w:p>
    <w:p>
      <w:pPr>
        <w:ind w:right="60" w:firstLine="255"/>
        <w:spacing w:after="0" w:line="269" w:lineRule="auto"/>
        <w:rPr>
          <w:sz w:val="20"/>
          <w:szCs w:val="20"/>
          <w:color w:val="auto"/>
        </w:rPr>
      </w:pPr>
      <w:r>
        <w:rPr>
          <w:rFonts w:ascii="Arial" w:cs="Arial" w:eastAsia="Arial" w:hAnsi="Arial"/>
          <w:sz w:val="17"/>
          <w:szCs w:val="17"/>
          <w:color w:val="auto"/>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79"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For the period from April 5, 2022 (Inception) through December 31, 2022, the Company has incurred $0.5 million for administrative services payable to the Adviser under the terms of the Administration Agreement, which is included in other general and administrative expenses in the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120" w:firstLine="255"/>
        <w:spacing w:after="0" w:line="257" w:lineRule="auto"/>
        <w:rPr>
          <w:sz w:val="20"/>
          <w:szCs w:val="20"/>
          <w:color w:val="auto"/>
        </w:rPr>
      </w:pPr>
      <w:r>
        <w:rPr>
          <w:rFonts w:ascii="Arial" w:cs="Arial" w:eastAsia="Arial" w:hAnsi="Arial"/>
          <w:sz w:val="18"/>
          <w:szCs w:val="18"/>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an incentive fee (the "Incentive Fee").</w:t>
      </w:r>
    </w:p>
    <w:p>
      <w:pPr>
        <w:spacing w:after="0" w:line="80"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period ended December 31, 2022, Management Fees (gross of waivers) were $2.7 million.</w:t>
      </w:r>
    </w:p>
    <w:p>
      <w:pPr>
        <w:spacing w:after="0" w:line="225"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period from April 5, 2022 (Inception) through December 31, 2022, Management Fees of $2.0 million have been waived. Any waived Management Fees are not subject to recoupment by the Adviser.</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60" w:hanging="257"/>
        <w:spacing w:after="0" w:line="259"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will equal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78" w:lineRule="exact"/>
        <w:rPr>
          <w:rFonts w:ascii="Arial" w:cs="Arial" w:eastAsia="Arial" w:hAnsi="Arial"/>
          <w:sz w:val="18"/>
          <w:szCs w:val="18"/>
          <w:color w:val="auto"/>
        </w:rPr>
      </w:pPr>
    </w:p>
    <w:p>
      <w:pPr>
        <w:ind w:left="520" w:right="20"/>
        <w:spacing w:after="0" w:line="263" w:lineRule="auto"/>
        <w:rPr>
          <w:rFonts w:ascii="Arial" w:cs="Arial" w:eastAsia="Arial" w:hAnsi="Arial"/>
          <w:sz w:val="18"/>
          <w:szCs w:val="18"/>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0" w:name="page91"/>
    <w:bookmarkEnd w:id="90"/>
    <w:p>
      <w:pPr>
        <w:jc w:val="both"/>
        <w:ind w:left="520" w:right="60"/>
        <w:spacing w:after="0" w:line="259" w:lineRule="auto"/>
        <w:rPr>
          <w:sz w:val="20"/>
          <w:szCs w:val="20"/>
          <w:color w:val="auto"/>
        </w:rPr>
      </w:pPr>
      <w:r>
        <w:rPr>
          <w:rFonts w:ascii="Arial" w:cs="Arial" w:eastAsia="Arial" w:hAnsi="Arial"/>
          <w:sz w:val="18"/>
          <w:szCs w:val="18"/>
          <w:color w:val="auto"/>
        </w:rPr>
        <w:t>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295" w:lineRule="exact"/>
        <w:rPr>
          <w:sz w:val="20"/>
          <w:szCs w:val="20"/>
          <w:color w:val="auto"/>
        </w:rPr>
      </w:pPr>
    </w:p>
    <w:p>
      <w:pPr>
        <w:ind w:left="520" w:right="40" w:hanging="257"/>
        <w:spacing w:after="0" w:line="284" w:lineRule="auto"/>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Exchange Listing, equal 12.5% of cumulative realized capital gains from the inception of the Company to the end of such fiscal year, less the aggregate amount of any previously paid capital gain Incentive Fee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w:t>
      </w:r>
    </w:p>
    <w:p>
      <w:pPr>
        <w:spacing w:after="0" w:line="4"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12.5% and the portion of the Company’s realized capital gains that accrued following an Exchange Listing will be subject to an Incentive Fee rate of</w:t>
      </w:r>
    </w:p>
    <w:p>
      <w:pPr>
        <w:spacing w:after="0" w:line="3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17.5%.</w:t>
      </w:r>
    </w:p>
    <w:p>
      <w:pPr>
        <w:spacing w:after="0" w:line="103" w:lineRule="exact"/>
        <w:rPr>
          <w:sz w:val="20"/>
          <w:szCs w:val="20"/>
          <w:color w:val="auto"/>
        </w:rPr>
      </w:pPr>
    </w:p>
    <w:p>
      <w:pPr>
        <w:ind w:right="460" w:firstLine="225"/>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spacing w:after="0" w:line="38"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46"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For the period ended December 31, 2022, Incentive Fees on net investment income were $1.0 million. For the period ended December 31, 2022 there was no accrual of Capital Gains Incentive Fees.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Support Agreement</w:t>
      </w:r>
    </w:p>
    <w:p>
      <w:pPr>
        <w:spacing w:after="0" w:line="225" w:lineRule="exact"/>
        <w:rPr>
          <w:sz w:val="20"/>
          <w:szCs w:val="20"/>
          <w:color w:val="auto"/>
        </w:rPr>
      </w:pPr>
    </w:p>
    <w:p>
      <w:pPr>
        <w:ind w:right="20" w:firstLine="255"/>
        <w:spacing w:after="0" w:line="268" w:lineRule="auto"/>
        <w:rPr>
          <w:sz w:val="20"/>
          <w:szCs w:val="20"/>
          <w:color w:val="auto"/>
        </w:rPr>
      </w:pPr>
      <w:r>
        <w:rPr>
          <w:rFonts w:ascii="Arial" w:cs="Arial" w:eastAsia="Arial" w:hAnsi="Arial"/>
          <w:sz w:val="17"/>
          <w:szCs w:val="17"/>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86" w:lineRule="exact"/>
        <w:rPr>
          <w:sz w:val="20"/>
          <w:szCs w:val="20"/>
          <w:color w:val="auto"/>
        </w:rPr>
      </w:pPr>
    </w:p>
    <w:p>
      <w:pPr>
        <w:ind w:right="960" w:firstLine="255"/>
        <w:spacing w:after="0" w:line="308" w:lineRule="auto"/>
        <w:rPr>
          <w:sz w:val="20"/>
          <w:szCs w:val="20"/>
          <w:color w:val="auto"/>
        </w:rPr>
      </w:pPr>
      <w:r>
        <w:rPr>
          <w:rFonts w:ascii="Arial" w:cs="Arial" w:eastAsia="Arial" w:hAnsi="Arial"/>
          <w:sz w:val="17"/>
          <w:szCs w:val="17"/>
          <w:color w:val="auto"/>
        </w:rPr>
        <w:t>As of December 31, 2022, the Adviser has not provided any written commitments for Expense Payments. The Company has not made any Reimbursement Payments to the Adviser. The Company may or may not reimburse remaining expense support in the future.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80" w:firstLine="255"/>
        <w:spacing w:after="0" w:line="291"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1" w:name="page92"/>
    <w:bookmarkEnd w:id="91"/>
    <w:p>
      <w:pPr>
        <w:ind w:left="260"/>
        <w:spacing w:after="0"/>
        <w:rPr>
          <w:sz w:val="20"/>
          <w:szCs w:val="20"/>
          <w:color w:val="auto"/>
        </w:rPr>
      </w:pPr>
      <w:r>
        <w:rPr>
          <w:rFonts w:ascii="Arial" w:cs="Arial" w:eastAsia="Arial" w:hAnsi="Arial"/>
          <w:sz w:val="18"/>
          <w:szCs w:val="18"/>
          <w:color w:val="auto"/>
        </w:rPr>
        <w:t>Investments at fair value consisted of the following at December 31, 2022:</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December 31, 2022</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 xml:space="preserve">Amortized Cost </w:t>
            </w:r>
            <w:r>
              <w:rPr>
                <w:rFonts w:ascii="Arial" w:cs="Arial" w:eastAsia="Arial" w:hAnsi="Arial"/>
                <w:sz w:val="19"/>
                <w:szCs w:val="19"/>
                <w:b w:val="1"/>
                <w:bCs w:val="1"/>
                <w:color w:val="auto"/>
                <w:w w:val="92"/>
                <w:vertAlign w:val="superscript"/>
              </w:rPr>
              <w:t>(1)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100" w:type="dxa"/>
            <w:vAlign w:val="bottom"/>
            <w:gridSpan w:val="2"/>
          </w:tcPr>
          <w:p>
            <w:pPr>
              <w:jc w:val="right"/>
              <w:ind w:right="15"/>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w w:val="96"/>
              </w:rPr>
              <w:t>Gain (Loss)</w:t>
            </w:r>
          </w:p>
        </w:tc>
        <w:tc>
          <w:tcPr>
            <w:tcW w:w="0" w:type="dxa"/>
            <w:vAlign w:val="bottom"/>
          </w:tcPr>
          <w:p>
            <w:pPr>
              <w:spacing w:after="0"/>
              <w:rPr>
                <w:sz w:val="1"/>
                <w:szCs w:val="1"/>
                <w:color w:val="auto"/>
              </w:rPr>
            </w:pPr>
          </w:p>
        </w:tc>
      </w:tr>
      <w:tr>
        <w:trPr>
          <w:trHeight w:val="237"/>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801,223</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800,995</w:t>
            </w: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51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b w:val="1"/>
                <w:bCs w:val="1"/>
                <w:color w:val="auto"/>
              </w:rPr>
              <w:t>Total Investments</w:t>
            </w: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809,029</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808,801</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-25400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20" w:right="120" w:hanging="512"/>
        <w:spacing w:after="0" w:line="277"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December 31, 2022 is as follows:</w:t>
      </w:r>
    </w:p>
    <w:p>
      <w:pPr>
        <w:spacing w:after="0" w:line="257"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3"/>
          </w:tcPr>
          <w:p>
            <w:pPr>
              <w:jc w:val="right"/>
              <w:ind w:right="318"/>
              <w:spacing w:after="0"/>
              <w:rPr>
                <w:sz w:val="20"/>
                <w:szCs w:val="20"/>
                <w:color w:val="auto"/>
              </w:rPr>
            </w:pPr>
            <w:r>
              <w:rPr>
                <w:rFonts w:ascii="Arial" w:cs="Arial" w:eastAsia="Arial" w:hAnsi="Arial"/>
                <w:sz w:val="14"/>
                <w:szCs w:val="14"/>
                <w:b w:val="1"/>
                <w:bCs w:val="1"/>
                <w:color w:val="auto"/>
              </w:rPr>
              <w:t>December 31, 2022</w:t>
            </w:r>
          </w:p>
        </w:tc>
      </w:tr>
      <w:tr>
        <w:trPr>
          <w:trHeight w:val="224"/>
        </w:trPr>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Business Services</w:t>
            </w:r>
          </w:p>
        </w:tc>
        <w:tc>
          <w:tcPr>
            <w:tcW w:w="2000" w:type="dxa"/>
            <w:vAlign w:val="bottom"/>
          </w:tcPr>
          <w:p>
            <w:pPr>
              <w:spacing w:after="0"/>
              <w:rPr>
                <w:sz w:val="19"/>
                <w:szCs w:val="19"/>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Chemicals</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Financial Services</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32.4 %</w:t>
            </w:r>
          </w:p>
        </w:tc>
      </w:tr>
      <w:tr>
        <w:trPr>
          <w:trHeight w:val="243"/>
        </w:trPr>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18.0 %</w:t>
            </w:r>
          </w:p>
        </w:tc>
      </w:tr>
      <w:tr>
        <w:trPr>
          <w:trHeight w:val="243"/>
        </w:trPr>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Internet Services</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Manufacturing</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16.3 %</w:t>
            </w:r>
          </w:p>
        </w:tc>
      </w:tr>
      <w:tr>
        <w:trPr>
          <w:trHeight w:val="250"/>
        </w:trPr>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29.4 %</w:t>
            </w:r>
          </w:p>
        </w:tc>
      </w:tr>
      <w:tr>
        <w:trPr>
          <w:trHeight w:val="237"/>
        </w:trPr>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000" w:type="dxa"/>
            <w:vAlign w:val="bottom"/>
          </w:tcPr>
          <w:p>
            <w:pPr>
              <w:spacing w:after="0"/>
              <w:rPr>
                <w:sz w:val="20"/>
                <w:szCs w:val="20"/>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13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5740" w:type="dxa"/>
            <w:vAlign w:val="bottom"/>
            <w:gridSpan w:val="3"/>
          </w:tcPr>
          <w:p>
            <w:pPr>
              <w:spacing w:after="0"/>
              <w:rPr>
                <w:sz w:val="20"/>
                <w:szCs w:val="20"/>
                <w:color w:val="auto"/>
              </w:rPr>
            </w:pPr>
            <w:r>
              <w:rPr>
                <w:rFonts w:ascii="Arial" w:cs="Arial" w:eastAsia="Arial" w:hAnsi="Arial"/>
                <w:sz w:val="18"/>
                <w:szCs w:val="18"/>
                <w:color w:val="auto"/>
                <w:w w:val="91"/>
              </w:rPr>
              <w:t>The geographic composition of investments at fair value at December 31, 2022</w:t>
            </w:r>
          </w:p>
        </w:tc>
        <w:tc>
          <w:tcPr>
            <w:tcW w:w="3700" w:type="dxa"/>
            <w:vAlign w:val="bottom"/>
            <w:gridSpan w:val="5"/>
          </w:tcPr>
          <w:p>
            <w:pPr>
              <w:jc w:val="right"/>
              <w:ind w:right="2638"/>
              <w:spacing w:after="0"/>
              <w:rPr>
                <w:sz w:val="20"/>
                <w:szCs w:val="20"/>
                <w:color w:val="auto"/>
              </w:rPr>
            </w:pPr>
            <w:r>
              <w:rPr>
                <w:rFonts w:ascii="Arial" w:cs="Arial" w:eastAsia="Arial" w:hAnsi="Arial"/>
                <w:sz w:val="18"/>
                <w:szCs w:val="18"/>
                <w:color w:val="auto"/>
                <w:w w:val="96"/>
              </w:rPr>
              <w:t>is as follows:</w:t>
            </w:r>
          </w:p>
        </w:tc>
      </w:tr>
      <w:tr>
        <w:trPr>
          <w:trHeight w:val="418"/>
        </w:trPr>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3"/>
          </w:tcPr>
          <w:p>
            <w:pPr>
              <w:jc w:val="right"/>
              <w:ind w:right="278"/>
              <w:spacing w:after="0"/>
              <w:rPr>
                <w:sz w:val="20"/>
                <w:szCs w:val="20"/>
                <w:color w:val="auto"/>
              </w:rPr>
            </w:pPr>
            <w:r>
              <w:rPr>
                <w:rFonts w:ascii="Arial" w:cs="Arial" w:eastAsia="Arial" w:hAnsi="Arial"/>
                <w:sz w:val="14"/>
                <w:szCs w:val="14"/>
                <w:b w:val="1"/>
                <w:bCs w:val="1"/>
                <w:color w:val="auto"/>
              </w:rPr>
              <w:t>December 31, 2022</w:t>
            </w:r>
          </w:p>
        </w:tc>
      </w:tr>
      <w:tr>
        <w:trPr>
          <w:trHeight w:val="237"/>
        </w:trPr>
        <w:tc>
          <w:tcPr>
            <w:tcW w:w="1380" w:type="dxa"/>
            <w:vAlign w:val="bottom"/>
          </w:tcPr>
          <w:p>
            <w:pPr>
              <w:spacing w:after="0"/>
              <w:rPr>
                <w:sz w:val="20"/>
                <w:szCs w:val="20"/>
                <w:color w:val="auto"/>
              </w:rPr>
            </w:pPr>
          </w:p>
        </w:tc>
        <w:tc>
          <w:tcPr>
            <w:tcW w:w="4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0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right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Midwest</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18.1 %</w:t>
            </w:r>
          </w:p>
        </w:tc>
      </w:tr>
      <w:tr>
        <w:trPr>
          <w:trHeight w:val="242"/>
        </w:trPr>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Northeast</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45.5 %</w:t>
            </w:r>
          </w:p>
        </w:tc>
      </w:tr>
      <w:tr>
        <w:trPr>
          <w:trHeight w:val="243"/>
        </w:trPr>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South</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West</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32.5 %</w:t>
            </w:r>
          </w:p>
        </w:tc>
      </w:tr>
      <w:tr>
        <w:trPr>
          <w:trHeight w:val="243"/>
        </w:trPr>
        <w:tc>
          <w:tcPr>
            <w:tcW w:w="138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138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0.4 %</w:t>
            </w:r>
          </w:p>
        </w:tc>
      </w:tr>
      <w:tr>
        <w:trPr>
          <w:trHeight w:val="250"/>
        </w:trPr>
        <w:tc>
          <w:tcPr>
            <w:tcW w:w="1380" w:type="dxa"/>
            <w:vAlign w:val="bottom"/>
          </w:tcPr>
          <w:p>
            <w:pPr>
              <w:spacing w:after="0"/>
              <w:rPr>
                <w:sz w:val="21"/>
                <w:szCs w:val="21"/>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Norway</w:t>
            </w:r>
          </w:p>
        </w:tc>
        <w:tc>
          <w:tcPr>
            <w:tcW w:w="3700" w:type="dxa"/>
            <w:vAlign w:val="bottom"/>
            <w:gridSpan w:val="5"/>
          </w:tcPr>
          <w:p>
            <w:pPr>
              <w:jc w:val="right"/>
              <w:spacing w:after="0"/>
              <w:rPr>
                <w:sz w:val="20"/>
                <w:szCs w:val="20"/>
                <w:color w:val="auto"/>
              </w:rPr>
            </w:pPr>
            <w:r>
              <w:rPr>
                <w:rFonts w:ascii="Arial" w:cs="Arial" w:eastAsia="Arial" w:hAnsi="Arial"/>
                <w:sz w:val="18"/>
                <w:szCs w:val="18"/>
                <w:color w:val="auto"/>
              </w:rPr>
              <w:t>2.4 %</w:t>
            </w:r>
          </w:p>
        </w:tc>
      </w:tr>
      <w:tr>
        <w:trPr>
          <w:trHeight w:val="237"/>
        </w:trPr>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2020" w:type="dxa"/>
            <w:vAlign w:val="bottom"/>
            <w:gridSpan w:val="2"/>
          </w:tcPr>
          <w:p>
            <w:pPr>
              <w:spacing w:after="0"/>
              <w:rPr>
                <w:sz w:val="20"/>
                <w:szCs w:val="20"/>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20"/>
        </w:trPr>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-3256915</wp:posOffset>
            </wp:positionV>
            <wp:extent cx="498919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-2948305</wp:posOffset>
            </wp:positionV>
            <wp:extent cx="4989195"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-2639695</wp:posOffset>
            </wp:positionV>
            <wp:extent cx="498919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-2331085</wp:posOffset>
            </wp:positionV>
            <wp:extent cx="4989195"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-1113790</wp:posOffset>
            </wp:positionV>
            <wp:extent cx="5057775"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-805180</wp:posOffset>
            </wp:positionV>
            <wp:extent cx="5057775"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-496570</wp:posOffset>
            </wp:positionV>
            <wp:extent cx="5057775"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-187960</wp:posOffset>
            </wp:positionV>
            <wp:extent cx="505777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57775" cy="18859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Fair Value Hierarchy at December 31, 2022</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First-lien debt investments</w:t>
            </w:r>
          </w:p>
        </w:tc>
        <w:tc>
          <w:tcPr>
            <w:tcW w:w="860" w:type="dxa"/>
            <w:vAlign w:val="bottom"/>
            <w:tcBorders>
              <w:top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800,995</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800,995</w:t>
            </w:r>
          </w:p>
        </w:tc>
        <w:tc>
          <w:tcPr>
            <w:tcW w:w="100" w:type="dxa"/>
            <w:vAlign w:val="bottom"/>
            <w:shd w:val="clear" w:color="auto" w:fill="CFF0FC"/>
          </w:tcPr>
          <w:p>
            <w:pPr>
              <w:spacing w:after="0"/>
              <w:rPr>
                <w:sz w:val="20"/>
                <w:szCs w:val="20"/>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Equity and other investments</w:t>
            </w: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100" w:type="dxa"/>
            <w:vAlign w:val="bottom"/>
          </w:tcPr>
          <w:p>
            <w:pPr>
              <w:spacing w:after="0"/>
              <w:rPr>
                <w:sz w:val="20"/>
                <w:szCs w:val="20"/>
                <w:color w:val="auto"/>
              </w:rPr>
            </w:pPr>
          </w:p>
        </w:tc>
      </w:tr>
      <w:tr>
        <w:trPr>
          <w:trHeight w:val="278"/>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808,801</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808,801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ind w:right="2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period from April 5, 2022 (Inception) through December 31,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80" w:type="dxa"/>
            <w:vAlign w:val="bottom"/>
            <w:gridSpan w:val="6"/>
          </w:tcPr>
          <w:p>
            <w:pPr>
              <w:jc w:val="center"/>
              <w:ind w:left="758"/>
              <w:spacing w:after="0"/>
              <w:rPr>
                <w:sz w:val="20"/>
                <w:szCs w:val="20"/>
                <w:color w:val="auto"/>
              </w:rPr>
            </w:pPr>
            <w:r>
              <w:rPr>
                <w:rFonts w:ascii="Arial" w:cs="Arial" w:eastAsia="Arial" w:hAnsi="Arial"/>
                <w:sz w:val="14"/>
                <w:szCs w:val="14"/>
                <w:b w:val="1"/>
                <w:bCs w:val="1"/>
                <w:color w:val="auto"/>
                <w:w w:val="93"/>
              </w:rPr>
              <w:t>As of and for the Period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8"/>
              </w:rPr>
              <w:t>First-lien</w:t>
            </w:r>
          </w:p>
        </w:tc>
        <w:tc>
          <w:tcPr>
            <w:tcW w:w="200" w:type="dxa"/>
            <w:vAlign w:val="bottom"/>
          </w:tcPr>
          <w:p>
            <w:pPr>
              <w:spacing w:after="0"/>
              <w:rPr>
                <w:sz w:val="11"/>
                <w:szCs w:val="11"/>
                <w:color w:val="auto"/>
              </w:rPr>
            </w:pPr>
          </w:p>
        </w:tc>
        <w:tc>
          <w:tcPr>
            <w:tcW w:w="108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8"/>
              </w:rPr>
              <w:t>Equity</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3"/>
              </w:rPr>
              <w:t>and other</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6"/>
                <w:szCs w:val="16"/>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Purchases or originations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800,453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unrealized gains (losses)</w:t>
            </w: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(228 )</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Net amortization of discount on investments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Balance, End of Period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800,995</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7,806</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808,801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-187960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The following table presents information with respect to the net change in unrealized gains or losses on investments for which Level 3 inputs were used in determining fair value that are still held by the Company at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2"/>
          </w:tcPr>
          <w:p>
            <w:pPr>
              <w:jc w:val="center"/>
              <w:ind w:right="47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75"/>
        </w:trPr>
        <w:tc>
          <w:tcPr>
            <w:tcW w:w="7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2"/>
          </w:tcPr>
          <w:p>
            <w:pPr>
              <w:jc w:val="center"/>
              <w:ind w:right="490"/>
              <w:spacing w:after="0"/>
              <w:rPr>
                <w:sz w:val="20"/>
                <w:szCs w:val="20"/>
                <w:color w:val="auto"/>
              </w:rPr>
            </w:pPr>
            <w:r>
              <w:rPr>
                <w:rFonts w:ascii="Arial" w:cs="Arial" w:eastAsia="Arial" w:hAnsi="Arial"/>
                <w:sz w:val="14"/>
                <w:szCs w:val="14"/>
                <w:b w:val="1"/>
                <w:bCs w:val="1"/>
                <w:color w:val="auto"/>
                <w:w w:val="87"/>
              </w:rPr>
              <w:t>Gains (Losses)</w:t>
            </w:r>
          </w:p>
        </w:tc>
      </w:tr>
      <w:tr>
        <w:trPr>
          <w:trHeight w:val="176"/>
        </w:trPr>
        <w:tc>
          <w:tcPr>
            <w:tcW w:w="7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2"/>
          </w:tcPr>
          <w:p>
            <w:pPr>
              <w:jc w:val="center"/>
              <w:ind w:right="470"/>
              <w:spacing w:after="0"/>
              <w:rPr>
                <w:sz w:val="20"/>
                <w:szCs w:val="20"/>
                <w:color w:val="auto"/>
              </w:rPr>
            </w:pPr>
            <w:r>
              <w:rPr>
                <w:rFonts w:ascii="Arial" w:cs="Arial" w:eastAsia="Arial" w:hAnsi="Arial"/>
                <w:sz w:val="14"/>
                <w:szCs w:val="14"/>
                <w:b w:val="1"/>
                <w:bCs w:val="1"/>
                <w:color w:val="auto"/>
                <w:w w:val="95"/>
              </w:rPr>
              <w:t>From April 5, 2022 (Inception) through</w:t>
            </w:r>
          </w:p>
        </w:tc>
      </w:tr>
      <w:tr>
        <w:trPr>
          <w:trHeight w:val="176"/>
        </w:trPr>
        <w:tc>
          <w:tcPr>
            <w:tcW w:w="7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2"/>
          </w:tcPr>
          <w:p>
            <w:pPr>
              <w:jc w:val="center"/>
              <w:ind w:right="490"/>
              <w:spacing w:after="0"/>
              <w:rPr>
                <w:sz w:val="20"/>
                <w:szCs w:val="20"/>
                <w:color w:val="auto"/>
              </w:rPr>
            </w:pPr>
            <w:r>
              <w:rPr>
                <w:rFonts w:ascii="Arial" w:cs="Arial" w:eastAsia="Arial" w:hAnsi="Arial"/>
                <w:sz w:val="14"/>
                <w:szCs w:val="14"/>
                <w:b w:val="1"/>
                <w:bCs w:val="1"/>
                <w:color w:val="auto"/>
                <w:w w:val="92"/>
              </w:rPr>
              <w:t>December 31, 2022 on</w:t>
            </w:r>
          </w:p>
        </w:tc>
      </w:tr>
      <w:tr>
        <w:trPr>
          <w:trHeight w:val="175"/>
        </w:trPr>
        <w:tc>
          <w:tcPr>
            <w:tcW w:w="7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2"/>
          </w:tcPr>
          <w:p>
            <w:pPr>
              <w:jc w:val="center"/>
              <w:ind w:right="490"/>
              <w:spacing w:after="0"/>
              <w:rPr>
                <w:sz w:val="20"/>
                <w:szCs w:val="20"/>
                <w:color w:val="auto"/>
              </w:rPr>
            </w:pPr>
            <w:r>
              <w:rPr>
                <w:rFonts w:ascii="Arial" w:cs="Arial" w:eastAsia="Arial" w:hAnsi="Arial"/>
                <w:sz w:val="14"/>
                <w:szCs w:val="14"/>
                <w:b w:val="1"/>
                <w:bCs w:val="1"/>
                <w:color w:val="auto"/>
                <w:w w:val="93"/>
              </w:rPr>
              <w:t>Investments Held at</w:t>
            </w:r>
          </w:p>
        </w:tc>
      </w:tr>
      <w:tr>
        <w:trPr>
          <w:trHeight w:val="185"/>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00" w:type="dxa"/>
            <w:vAlign w:val="bottom"/>
            <w:gridSpan w:val="2"/>
          </w:tcPr>
          <w:p>
            <w:pPr>
              <w:jc w:val="center"/>
              <w:ind w:right="490"/>
              <w:spacing w:after="0"/>
              <w:rPr>
                <w:sz w:val="20"/>
                <w:szCs w:val="20"/>
                <w:color w:val="auto"/>
              </w:rPr>
            </w:pPr>
            <w:r>
              <w:rPr>
                <w:rFonts w:ascii="Arial" w:cs="Arial" w:eastAsia="Arial" w:hAnsi="Arial"/>
                <w:sz w:val="14"/>
                <w:szCs w:val="14"/>
                <w:b w:val="1"/>
                <w:bCs w:val="1"/>
                <w:color w:val="auto"/>
                <w:w w:val="91"/>
              </w:rPr>
              <w:t>December 31, 2022</w:t>
            </w:r>
          </w:p>
        </w:tc>
      </w:tr>
      <w:tr>
        <w:trPr>
          <w:trHeight w:val="23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First-lien debt investments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3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The following tables present the fair value of Level 3 Investments and the significant unobservable inputs used in the valuations as of December 31, 2022. The tables are not intended to be all-inclusive, but instead capture the significant unobservable inputs relevant to the Company’s determination of fair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5"/>
              </w:rPr>
              <w:t>December 31, 2022</w:t>
            </w: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vMerge w:val="restart"/>
          </w:tcPr>
          <w:p>
            <w:pPr>
              <w:jc w:val="right"/>
              <w:ind w:right="464"/>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1"/>
                <w:szCs w:val="11"/>
                <w:color w:val="auto"/>
              </w:rPr>
            </w:pPr>
          </w:p>
        </w:tc>
        <w:tc>
          <w:tcPr>
            <w:tcW w:w="19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Unobservable</w:t>
            </w:r>
          </w:p>
        </w:tc>
        <w:tc>
          <w:tcPr>
            <w:tcW w:w="184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6"/>
                <w:szCs w:val="16"/>
                <w:color w:val="auto"/>
              </w:rPr>
            </w:pPr>
          </w:p>
        </w:tc>
        <w:tc>
          <w:tcPr>
            <w:tcW w:w="16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Average)</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800,995</w:t>
            </w: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464"/>
              <w:spacing w:after="0"/>
              <w:rPr>
                <w:sz w:val="20"/>
                <w:szCs w:val="20"/>
                <w:color w:val="auto"/>
              </w:rPr>
            </w:pPr>
            <w:r>
              <w:rPr>
                <w:rFonts w:ascii="Arial" w:cs="Arial" w:eastAsia="Arial" w:hAnsi="Arial"/>
                <w:sz w:val="16"/>
                <w:szCs w:val="16"/>
                <w:color w:val="auto"/>
                <w:w w:val="90"/>
              </w:rPr>
              <w:t>Income approach</w:t>
            </w:r>
          </w:p>
        </w:tc>
        <w:tc>
          <w:tcPr>
            <w:tcW w:w="120" w:type="dxa"/>
            <w:vAlign w:val="bottom"/>
            <w:shd w:val="clear" w:color="auto" w:fill="CFF0FC"/>
          </w:tcPr>
          <w:p>
            <w:pPr>
              <w:spacing w:after="0"/>
              <w:rPr>
                <w:sz w:val="19"/>
                <w:szCs w:val="19"/>
                <w:color w:val="auto"/>
              </w:rPr>
            </w:pPr>
          </w:p>
        </w:tc>
        <w:tc>
          <w:tcPr>
            <w:tcW w:w="19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Discount rate</w:t>
            </w:r>
          </w:p>
        </w:tc>
        <w:tc>
          <w:tcPr>
            <w:tcW w:w="1840" w:type="dxa"/>
            <w:vAlign w:val="bottom"/>
            <w:shd w:val="clear" w:color="auto" w:fill="CFF0FC"/>
          </w:tcPr>
          <w:p>
            <w:pPr>
              <w:jc w:val="center"/>
              <w:ind w:right="84"/>
              <w:spacing w:after="0"/>
              <w:rPr>
                <w:sz w:val="20"/>
                <w:szCs w:val="20"/>
                <w:color w:val="auto"/>
              </w:rPr>
            </w:pPr>
            <w:r>
              <w:rPr>
                <w:rFonts w:ascii="Arial" w:cs="Arial" w:eastAsia="Arial" w:hAnsi="Arial"/>
                <w:sz w:val="16"/>
                <w:szCs w:val="16"/>
                <w:color w:val="auto"/>
                <w:w w:val="93"/>
              </w:rPr>
              <w:t>9.3% — 15.1% (13.1%)</w:t>
            </w:r>
          </w:p>
        </w:tc>
        <w:tc>
          <w:tcPr>
            <w:tcW w:w="100" w:type="dxa"/>
            <w:vAlign w:val="bottom"/>
            <w:shd w:val="clear" w:color="auto" w:fill="CFF0FC"/>
          </w:tcPr>
          <w:p>
            <w:pPr>
              <w:spacing w:after="0"/>
              <w:rPr>
                <w:sz w:val="19"/>
                <w:szCs w:val="19"/>
                <w:color w:val="auto"/>
              </w:rPr>
            </w:pPr>
          </w:p>
        </w:tc>
        <w:tc>
          <w:tcPr>
            <w:tcW w:w="1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26"/>
        </w:trPr>
        <w:tc>
          <w:tcPr>
            <w:tcW w:w="2780" w:type="dxa"/>
            <w:vAlign w:val="bottom"/>
          </w:tcPr>
          <w:p>
            <w:pPr>
              <w:ind w:left="20"/>
              <w:spacing w:after="0"/>
              <w:rPr>
                <w:sz w:val="20"/>
                <w:szCs w:val="20"/>
                <w:color w:val="auto"/>
              </w:rPr>
            </w:pPr>
            <w:r>
              <w:rPr>
                <w:rFonts w:ascii="Arial" w:cs="Arial" w:eastAsia="Arial" w:hAnsi="Arial"/>
                <w:sz w:val="16"/>
                <w:szCs w:val="16"/>
                <w:color w:val="auto"/>
              </w:rPr>
              <w:t>Equity and other investments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7,806</w:t>
            </w:r>
          </w:p>
        </w:tc>
        <w:tc>
          <w:tcPr>
            <w:tcW w:w="240" w:type="dxa"/>
            <w:vAlign w:val="bottom"/>
          </w:tcPr>
          <w:p>
            <w:pPr>
              <w:spacing w:after="0"/>
              <w:rPr>
                <w:sz w:val="19"/>
                <w:szCs w:val="19"/>
                <w:color w:val="auto"/>
              </w:rPr>
            </w:pPr>
          </w:p>
        </w:tc>
        <w:tc>
          <w:tcPr>
            <w:tcW w:w="1680" w:type="dxa"/>
            <w:vAlign w:val="bottom"/>
          </w:tcPr>
          <w:p>
            <w:pPr>
              <w:jc w:val="right"/>
              <w:ind w:right="524"/>
              <w:spacing w:after="0"/>
              <w:rPr>
                <w:sz w:val="20"/>
                <w:szCs w:val="20"/>
                <w:color w:val="auto"/>
              </w:rPr>
            </w:pPr>
            <w:r>
              <w:rPr>
                <w:rFonts w:ascii="Arial" w:cs="Arial" w:eastAsia="Arial" w:hAnsi="Arial"/>
                <w:sz w:val="16"/>
                <w:szCs w:val="16"/>
                <w:color w:val="auto"/>
                <w:w w:val="97"/>
              </w:rPr>
              <w:t>Market Multiple</w:t>
            </w:r>
          </w:p>
        </w:tc>
        <w:tc>
          <w:tcPr>
            <w:tcW w:w="120" w:type="dxa"/>
            <w:vAlign w:val="bottom"/>
          </w:tcPr>
          <w:p>
            <w:pPr>
              <w:spacing w:after="0"/>
              <w:rPr>
                <w:sz w:val="19"/>
                <w:szCs w:val="19"/>
                <w:color w:val="auto"/>
              </w:rPr>
            </w:pPr>
          </w:p>
        </w:tc>
        <w:tc>
          <w:tcPr>
            <w:tcW w:w="1920" w:type="dxa"/>
            <w:vAlign w:val="bottom"/>
            <w:gridSpan w:val="3"/>
          </w:tcPr>
          <w:p>
            <w:pPr>
              <w:ind w:left="20"/>
              <w:spacing w:after="0"/>
              <w:rPr>
                <w:sz w:val="20"/>
                <w:szCs w:val="20"/>
                <w:color w:val="auto"/>
              </w:rPr>
            </w:pPr>
            <w:r>
              <w:rPr>
                <w:rFonts w:ascii="Arial" w:cs="Arial" w:eastAsia="Arial" w:hAnsi="Arial"/>
                <w:sz w:val="16"/>
                <w:szCs w:val="16"/>
                <w:color w:val="auto"/>
              </w:rPr>
              <w:t>Comparable multiple</w:t>
            </w:r>
          </w:p>
        </w:tc>
        <w:tc>
          <w:tcPr>
            <w:tcW w:w="1840" w:type="dxa"/>
            <w:vAlign w:val="bottom"/>
          </w:tcPr>
          <w:p>
            <w:pPr>
              <w:jc w:val="center"/>
              <w:ind w:right="84"/>
              <w:spacing w:after="0"/>
              <w:rPr>
                <w:sz w:val="20"/>
                <w:szCs w:val="20"/>
                <w:color w:val="auto"/>
              </w:rPr>
            </w:pPr>
            <w:r>
              <w:rPr>
                <w:rFonts w:ascii="Arial" w:cs="Arial" w:eastAsia="Arial" w:hAnsi="Arial"/>
                <w:sz w:val="16"/>
                <w:szCs w:val="16"/>
                <w:color w:val="auto"/>
                <w:w w:val="93"/>
              </w:rPr>
              <w:t>5.8% — 13.5% (13.3%)</w:t>
            </w:r>
          </w:p>
        </w:tc>
        <w:tc>
          <w:tcPr>
            <w:tcW w:w="100" w:type="dxa"/>
            <w:vAlign w:val="bottom"/>
          </w:tcPr>
          <w:p>
            <w:pPr>
              <w:spacing w:after="0"/>
              <w:rPr>
                <w:sz w:val="19"/>
                <w:szCs w:val="19"/>
                <w:color w:val="auto"/>
              </w:rPr>
            </w:pPr>
          </w:p>
        </w:tc>
        <w:tc>
          <w:tcPr>
            <w:tcW w:w="1660" w:type="dxa"/>
            <w:vAlign w:val="bottom"/>
          </w:tcPr>
          <w:p>
            <w:pPr>
              <w:ind w:left="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60"/>
        </w:trPr>
        <w:tc>
          <w:tcPr>
            <w:tcW w:w="2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808,801</w:t>
            </w:r>
          </w:p>
        </w:tc>
        <w:tc>
          <w:tcPr>
            <w:tcW w:w="240" w:type="dxa"/>
            <w:vAlign w:val="bottom"/>
            <w:tcBorders>
              <w:bottom w:val="single" w:sz="8" w:color="CFF0FC"/>
            </w:tcBorders>
            <w:shd w:val="clear" w:color="auto" w:fill="CFF0FC"/>
          </w:tcPr>
          <w:p>
            <w:pPr>
              <w:spacing w:after="0"/>
              <w:rPr>
                <w:sz w:val="22"/>
                <w:szCs w:val="22"/>
                <w:color w:val="auto"/>
              </w:rPr>
            </w:pPr>
          </w:p>
        </w:tc>
        <w:tc>
          <w:tcPr>
            <w:tcW w:w="16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8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-25400</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-8255</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398" w:lineRule="exact"/>
        <w:rPr>
          <w:sz w:val="20"/>
          <w:szCs w:val="20"/>
          <w:color w:val="auto"/>
        </w:rPr>
      </w:pPr>
    </w:p>
    <w:p>
      <w:pPr>
        <w:ind w:right="280" w:firstLine="255"/>
        <w:spacing w:after="0" w:line="275"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6" w:lineRule="exact"/>
        <w:rPr>
          <w:sz w:val="20"/>
          <w:szCs w:val="20"/>
          <w:color w:val="auto"/>
        </w:rPr>
      </w:pPr>
    </w:p>
    <w:p>
      <w:pPr>
        <w:ind w:right="240" w:firstLine="255"/>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600" w:firstLine="255"/>
        <w:spacing w:after="0" w:line="277" w:lineRule="auto"/>
        <w:rPr>
          <w:sz w:val="20"/>
          <w:szCs w:val="20"/>
          <w:color w:val="auto"/>
        </w:rPr>
      </w:pPr>
      <w:r>
        <w:rPr>
          <w:rFonts w:ascii="Arial" w:cs="Arial" w:eastAsia="Arial" w:hAnsi="Arial"/>
          <w:sz w:val="18"/>
          <w:szCs w:val="18"/>
          <w:color w:val="auto"/>
        </w:rPr>
        <w:t>The fair value of the Company’s Subscription Facility, which is categorized as Level 3 within the fair value hierarchy, as of December 31, 2022, approximates its carrying value as the outstanding balance is callable at carrying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820" w:firstLine="255"/>
        <w:spacing w:after="0" w:line="277" w:lineRule="auto"/>
        <w:rPr>
          <w:sz w:val="20"/>
          <w:szCs w:val="20"/>
          <w:color w:val="auto"/>
        </w:rPr>
      </w:pPr>
      <w:r>
        <w:rPr>
          <w:rFonts w:ascii="Arial" w:cs="Arial" w:eastAsia="Arial" w:hAnsi="Arial"/>
          <w:sz w:val="18"/>
          <w:szCs w:val="18"/>
          <w:color w:val="auto"/>
        </w:rPr>
        <w:t>Under the fair value hierarchy, cash and cash equivalents are classified as Level 1 while the Company’s other assets and liabilities, other than investments at fair value and Subscription Facility, are classified as Level 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ind w:right="360" w:firstLine="255"/>
        <w:spacing w:after="0" w:line="277"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December 31, 2022, the Company’s asset coverage was 201.6%.</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December 31, 2022:</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5"/>
              </w:rPr>
              <w:t>Committed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9"/>
              <w:spacing w:after="0" w:line="189" w:lineRule="exact"/>
              <w:rPr>
                <w:sz w:val="20"/>
                <w:szCs w:val="20"/>
                <w:color w:val="auto"/>
              </w:rPr>
            </w:pPr>
            <w:r>
              <w:rPr>
                <w:rFonts w:ascii="Arial" w:cs="Arial" w:eastAsia="Arial" w:hAnsi="Arial"/>
                <w:sz w:val="14"/>
                <w:szCs w:val="14"/>
                <w:b w:val="1"/>
                <w:bCs w:val="1"/>
                <w:color w:val="auto"/>
                <w:w w:val="88"/>
              </w:rPr>
              <w:t xml:space="preserve">Available </w:t>
            </w:r>
            <w:r>
              <w:rPr>
                <w:rFonts w:ascii="Arial" w:cs="Arial" w:eastAsia="Arial" w:hAnsi="Arial"/>
                <w:sz w:val="19"/>
                <w:szCs w:val="19"/>
                <w:b w:val="1"/>
                <w:bCs w:val="1"/>
                <w:color w:val="auto"/>
                <w:w w:val="88"/>
                <w:vertAlign w:val="superscript"/>
              </w:rPr>
              <w:t>(1)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9"/>
              <w:spacing w:after="0" w:line="189"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9"/>
                <w:szCs w:val="19"/>
                <w:b w:val="1"/>
                <w:bCs w:val="1"/>
                <w:color w:val="auto"/>
                <w:vertAlign w:val="superscript"/>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Subscription Facility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537,991</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162,009</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Total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537,991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162,009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534,080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-187960</wp:posOffset>
            </wp:positionV>
            <wp:extent cx="6858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6858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0325"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9"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 available may be subject to limitations related to the borrowing base under the Subscription Facility and asset coverage requirements.</w:t>
      </w:r>
    </w:p>
    <w:p>
      <w:pPr>
        <w:spacing w:after="0" w:line="46" w:lineRule="exact"/>
        <w:rPr>
          <w:rFonts w:ascii="Arial" w:cs="Arial" w:eastAsia="Arial" w:hAnsi="Arial"/>
          <w:sz w:val="16"/>
          <w:szCs w:val="16"/>
          <w:color w:val="auto"/>
        </w:rPr>
      </w:pPr>
    </w:p>
    <w:p>
      <w:pPr>
        <w:ind w:left="520" w:hanging="512"/>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carrying value of the Subscription Facility is presented net of deferred financing costs of $3.9 million.</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period ended December 31, 2022, the components of interest expense were as follows:</w:t>
      </w:r>
    </w:p>
    <w:p>
      <w:pPr>
        <w:spacing w:after="0" w:line="218"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From April 5, 2022</w:t>
            </w:r>
          </w:p>
        </w:tc>
      </w:tr>
      <w:tr>
        <w:trPr>
          <w:trHeight w:val="175"/>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(Inception) through</w:t>
            </w:r>
          </w:p>
        </w:tc>
      </w:tr>
      <w:tr>
        <w:trPr>
          <w:trHeight w:val="185"/>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December 31, 2022</w:t>
            </w:r>
          </w:p>
        </w:tc>
      </w:tr>
      <w:tr>
        <w:trPr>
          <w:trHeight w:val="237"/>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280" w:type="dxa"/>
            <w:vAlign w:val="bottom"/>
            <w:shd w:val="clear" w:color="auto" w:fill="CFF0FC"/>
          </w:tcPr>
          <w:p>
            <w:pPr>
              <w:spacing w:after="0"/>
              <w:rPr>
                <w:sz w:val="20"/>
                <w:szCs w:val="20"/>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Commitment fees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20"/>
                <w:szCs w:val="20"/>
                <w:color w:val="auto"/>
              </w:rPr>
            </w:pPr>
          </w:p>
        </w:tc>
      </w:tr>
      <w:tr>
        <w:trPr>
          <w:trHeight w:val="243"/>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8"/>
        </w:trPr>
        <w:tc>
          <w:tcPr>
            <w:tcW w:w="7880" w:type="dxa"/>
            <w:vAlign w:val="bottom"/>
          </w:tcPr>
          <w:p>
            <w:pPr>
              <w:ind w:left="200"/>
              <w:spacing w:after="0"/>
              <w:rPr>
                <w:sz w:val="20"/>
                <w:szCs w:val="20"/>
                <w:color w:val="auto"/>
              </w:rPr>
            </w:pPr>
            <w:r>
              <w:rPr>
                <w:rFonts w:ascii="Arial" w:cs="Arial" w:eastAsia="Arial" w:hAnsi="Arial"/>
                <w:sz w:val="18"/>
                <w:szCs w:val="18"/>
                <w:b w:val="1"/>
                <w:bCs w:val="1"/>
                <w:color w:val="auto"/>
              </w:rPr>
              <w:t>Total Interest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280" w:type="dxa"/>
            <w:vAlign w:val="bottom"/>
          </w:tcPr>
          <w:p>
            <w:pPr>
              <w:spacing w:after="0"/>
              <w:rPr>
                <w:sz w:val="20"/>
                <w:szCs w:val="20"/>
                <w:color w:val="auto"/>
              </w:rPr>
            </w:pP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8"/>
        </w:trPr>
        <w:tc>
          <w:tcPr>
            <w:tcW w:w="7880" w:type="dxa"/>
            <w:vAlign w:val="bottom"/>
            <w:shd w:val="clear" w:color="auto" w:fill="CFF0FC"/>
          </w:tcPr>
          <w:p>
            <w:pPr>
              <w:ind w:left="20"/>
              <w:spacing w:after="0" w:line="228" w:lineRule="exact"/>
              <w:rPr>
                <w:sz w:val="20"/>
                <w:szCs w:val="20"/>
                <w:color w:val="auto"/>
              </w:rPr>
            </w:pPr>
            <w:r>
              <w:rPr>
                <w:rFonts w:ascii="Arial" w:cs="Arial" w:eastAsia="Arial" w:hAnsi="Arial"/>
                <w:sz w:val="18"/>
                <w:szCs w:val="18"/>
                <w:color w:val="auto"/>
              </w:rPr>
              <w:t xml:space="preserve">Average debt outstanding (in millions) </w:t>
            </w:r>
            <w:r>
              <w:rPr>
                <w:rFonts w:ascii="Arial" w:cs="Arial" w:eastAsia="Arial" w:hAnsi="Arial"/>
                <w:sz w:val="24"/>
                <w:szCs w:val="24"/>
                <w:color w:val="auto"/>
                <w:vertAlign w:val="superscript"/>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w:t>
            </w:r>
          </w:p>
        </w:tc>
        <w:tc>
          <w:tcPr>
            <w:tcW w:w="280" w:type="dxa"/>
            <w:vAlign w:val="bottom"/>
            <w:shd w:val="clear" w:color="auto" w:fill="CFF0FC"/>
          </w:tcPr>
          <w:p>
            <w:pPr>
              <w:spacing w:after="0"/>
              <w:rPr>
                <w:sz w:val="19"/>
                <w:szCs w:val="19"/>
                <w:color w:val="auto"/>
              </w:rPr>
            </w:pPr>
          </w:p>
        </w:tc>
      </w:tr>
      <w:tr>
        <w:trPr>
          <w:trHeight w:val="315"/>
        </w:trPr>
        <w:tc>
          <w:tcPr>
            <w:tcW w:w="7880" w:type="dxa"/>
            <w:vAlign w:val="bottom"/>
          </w:tcPr>
          <w:p>
            <w:pPr>
              <w:ind w:left="20"/>
              <w:spacing w:after="0"/>
              <w:rPr>
                <w:sz w:val="20"/>
                <w:szCs w:val="20"/>
                <w:color w:val="auto"/>
              </w:rPr>
            </w:pPr>
            <w:r>
              <w:rPr>
                <w:rFonts w:ascii="Arial" w:cs="Arial" w:eastAsia="Arial" w:hAnsi="Arial"/>
                <w:sz w:val="18"/>
                <w:szCs w:val="18"/>
                <w:color w:val="auto"/>
              </w:rPr>
              <w:t xml:space="preserve">Weighted average interest rate </w:t>
            </w:r>
            <w:r>
              <w:rPr>
                <w:rFonts w:ascii="Arial" w:cs="Arial" w:eastAsia="Arial" w:hAnsi="Arial"/>
                <w:sz w:val="24"/>
                <w:szCs w:val="24"/>
                <w:color w:val="auto"/>
                <w:vertAlign w:val="superscript"/>
              </w:rPr>
              <w:t>(1)</w:t>
            </w:r>
          </w:p>
        </w:tc>
        <w:tc>
          <w:tcPr>
            <w:tcW w:w="180" w:type="dxa"/>
            <w:vAlign w:val="bottom"/>
          </w:tcPr>
          <w:p>
            <w:pPr>
              <w:spacing w:after="0"/>
              <w:rPr>
                <w:sz w:val="24"/>
                <w:szCs w:val="24"/>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-542290</wp:posOffset>
            </wp:positionV>
            <wp:extent cx="5969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37" w:lineRule="exact"/>
        <w:rPr>
          <w:sz w:val="20"/>
          <w:szCs w:val="20"/>
          <w:color w:val="auto"/>
        </w:rPr>
      </w:pPr>
    </w:p>
    <w:p>
      <w:pPr>
        <w:ind w:left="520" w:right="240" w:hanging="512"/>
        <w:spacing w:after="0" w:line="277"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Average debt outstanding and weighted average interest rate were computed from the initial drawdown on the Subscription Facility, September 1, 2022.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Facility</w:t>
      </w:r>
    </w:p>
    <w:p>
      <w:pPr>
        <w:spacing w:after="0" w:line="117" w:lineRule="exact"/>
        <w:rPr>
          <w:sz w:val="20"/>
          <w:szCs w:val="20"/>
          <w:color w:val="auto"/>
        </w:rPr>
      </w:pPr>
    </w:p>
    <w:p>
      <w:pPr>
        <w:ind w:right="140" w:firstLine="255"/>
        <w:spacing w:after="0" w:line="342" w:lineRule="auto"/>
        <w:rPr>
          <w:sz w:val="20"/>
          <w:szCs w:val="20"/>
          <w:color w:val="auto"/>
        </w:rPr>
      </w:pPr>
      <w:r>
        <w:rPr>
          <w:rFonts w:ascii="Arial" w:cs="Arial" w:eastAsia="Arial" w:hAnsi="Arial"/>
          <w:sz w:val="16"/>
          <w:szCs w:val="16"/>
          <w:color w:val="auto"/>
        </w:rPr>
        <w:t>On September 1, 2022 (the "Subscription Facility Closing Date"), the Company entered into a revolving credit agreement (the “Subscription Facility”) with Wells Fargo Bank, National Association, as administrative agent (the "Administrative Agent"), letter of credit issuer, lead arranger and as a lender.</w:t>
      </w:r>
    </w:p>
    <w:p>
      <w:pPr>
        <w:spacing w:after="0" w:line="124"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As of September 30, 2022, aggregate commitments under the facility were $400 million. Pursuant to an amendment to the Subscription Facility dated as of December 21, 2022 (the “Subscription Facility First Amendment”), the aggregate commitments under the facility were increased to $700 million. Pursuant to lender joinder agreements dated January 18, 2023 and January 27, 2023, the aggregate commitments under the facility were increased to $800 million and $850 million, respectively.</w:t>
      </w:r>
    </w:p>
    <w:p>
      <w:pPr>
        <w:spacing w:after="0" w:line="187" w:lineRule="exact"/>
        <w:rPr>
          <w:sz w:val="20"/>
          <w:szCs w:val="20"/>
          <w:color w:val="auto"/>
        </w:rPr>
      </w:pPr>
    </w:p>
    <w:p>
      <w:pPr>
        <w:ind w:right="20" w:firstLine="255"/>
        <w:spacing w:after="0" w:line="291" w:lineRule="auto"/>
        <w:rPr>
          <w:sz w:val="20"/>
          <w:szCs w:val="20"/>
          <w:color w:val="auto"/>
        </w:rPr>
      </w:pPr>
      <w:r>
        <w:rPr>
          <w:rFonts w:ascii="Arial" w:cs="Arial" w:eastAsia="Arial" w:hAnsi="Arial"/>
          <w:sz w:val="16"/>
          <w:szCs w:val="16"/>
          <w:color w:val="auto"/>
        </w:rPr>
        <w:t>The Subscription Facility will mature upon the earliest of: (i) August 30, 2024 (the "Subscription Facility Stated Maturity"); (ii) the date upon which the Administrative Agent declares the obligations under the Subscription Facility due and payable after the occurrence of an event of default; (iii) forty-five</w:t>
      </w:r>
    </w:p>
    <w:p>
      <w:pPr>
        <w:ind w:right="400" w:firstLine="8"/>
        <w:spacing w:after="0" w:line="302" w:lineRule="auto"/>
        <w:tabs>
          <w:tab w:leader="none" w:pos="345" w:val="left"/>
        </w:tabs>
        <w:numPr>
          <w:ilvl w:val="0"/>
          <w:numId w:val="74"/>
        </w:numPr>
        <w:rPr>
          <w:rFonts w:ascii="Arial" w:cs="Arial" w:eastAsia="Arial" w:hAnsi="Arial"/>
          <w:sz w:val="16"/>
          <w:szCs w:val="16"/>
          <w:color w:val="auto"/>
        </w:rPr>
      </w:pPr>
      <w:r>
        <w:rPr>
          <w:rFonts w:ascii="Arial" w:cs="Arial" w:eastAsia="Arial" w:hAnsi="Arial"/>
          <w:sz w:val="16"/>
          <w:szCs w:val="16"/>
          <w:color w:val="auto"/>
        </w:rPr>
        <w:t>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Subscription Facility Stated Maturity Date may be extended by up to 364 days, subject to satisfaction of customary conditions.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4" w:name="page95"/>
    <w:bookmarkEnd w:id="94"/>
    <w:p>
      <w:pPr>
        <w:ind w:right="80" w:firstLine="255"/>
        <w:spacing w:after="0" w:line="263"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2022, the Company had outstanding debt denominated in British pounds (GBP) of 10.3 million, and Euro (EUR) of 13.4 million on its Subscription Facility, included in the Outstanding Principal amount in the table above.</w:t>
      </w:r>
    </w:p>
    <w:p>
      <w:pPr>
        <w:spacing w:after="0" w:line="184" w:lineRule="exact"/>
        <w:rPr>
          <w:sz w:val="20"/>
          <w:szCs w:val="20"/>
          <w:color w:val="auto"/>
        </w:rPr>
      </w:pPr>
    </w:p>
    <w:p>
      <w:pPr>
        <w:ind w:right="40" w:firstLine="255"/>
        <w:spacing w:after="0" w:line="290" w:lineRule="auto"/>
        <w:rPr>
          <w:sz w:val="20"/>
          <w:szCs w:val="20"/>
          <w:color w:val="auto"/>
        </w:rPr>
      </w:pPr>
      <w:r>
        <w:rPr>
          <w:rFonts w:ascii="Arial" w:cs="Arial" w:eastAsia="Arial" w:hAnsi="Arial"/>
          <w:sz w:val="16"/>
          <w:szCs w:val="16"/>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p>
    <w:p>
      <w:pPr>
        <w:spacing w:after="0" w:line="165"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The Subscription Facility also provides for the issuance of letters of credit up to an aggregate amount of 10% of the Maximum Commitment. As of December 31, 2022, the Company had no outstanding letters of credit issued through the Subscription Facility. The amount available for borrowing under the Subscription Facility is reduced by any letters of credit issued through the Subscription Facility.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2022, the Company was in compliance with the terms of the Subscription Facility.</w:t>
      </w:r>
    </w:p>
    <w:p>
      <w:pPr>
        <w:spacing w:after="0" w:line="225"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On January 19, 2023 (the "Revolving Credit Facility Closing Date"),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84"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The aggregate commitments under the facility were $600 million and includes an uncommitted accordion feature that allows us, under certain circumstances, to increase the size of the facility up to $1 billion. The Revolving Credit Facility will mature on January 19, 2028 (the "Revolving Credit Facility Maturity Date"). The Company may borrow amounts in U.S. dollars or certain other permitted currencies.</w:t>
      </w:r>
    </w:p>
    <w:p>
      <w:pPr>
        <w:spacing w:after="0" w:line="184"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Borrowings under the Revolving Credit Facility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2022, the Company had the following commitments to fund investments in current portfolio companies: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December 31, 2022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Avalara, Inc. - Revolver</w:t>
            </w:r>
          </w:p>
        </w:tc>
        <w:tc>
          <w:tcPr>
            <w:tcW w:w="35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BTRS Holdings, Inc. - Delayed Draw &amp; Revolver</w:t>
            </w:r>
          </w:p>
        </w:tc>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25,915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Erling Lux Bidco SARL - Delayed Draw &amp; Revolver</w:t>
            </w:r>
          </w:p>
        </w:tc>
        <w:tc>
          <w:tcPr>
            <w:tcW w:w="3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9"/>
              </w:rPr>
              <w:t>Hornetsecurity Holding GmbH - Delayed Draw &amp; Revolver</w:t>
            </w:r>
          </w:p>
        </w:tc>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OutSystems Luxco SARL - Delayed Draw</w:t>
            </w:r>
          </w:p>
        </w:tc>
        <w:tc>
          <w:tcPr>
            <w:tcW w:w="3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Ping Identity Holding Corp. - Revolver</w:t>
            </w:r>
          </w:p>
        </w:tc>
        <w:tc>
          <w:tcPr>
            <w:tcW w:w="3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600" w:type="dxa"/>
            <w:vAlign w:val="bottom"/>
          </w:tcPr>
          <w:p>
            <w:pPr>
              <w:ind w:left="180"/>
              <w:spacing w:after="0" w:line="243" w:lineRule="exact"/>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24"/>
                <w:szCs w:val="24"/>
                <w:b w:val="1"/>
                <w:bCs w:val="1"/>
                <w:color w:val="auto"/>
                <w:vertAlign w:val="superscript"/>
              </w:rPr>
              <w:t>(1)(2)</w:t>
            </w:r>
          </w:p>
        </w:tc>
        <w:tc>
          <w:tcPr>
            <w:tcW w:w="35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60" w:type="dxa"/>
            <w:vAlign w:val="bottom"/>
            <w:gridSpan w:val="2"/>
          </w:tcPr>
          <w:p>
            <w:pPr>
              <w:jc w:val="right"/>
              <w:ind w:right="2950"/>
              <w:spacing w:after="0"/>
              <w:rPr>
                <w:sz w:val="20"/>
                <w:szCs w:val="20"/>
                <w:color w:val="auto"/>
              </w:rPr>
            </w:pPr>
            <w:r>
              <w:rPr>
                <w:rFonts w:ascii="Arial" w:cs="Arial" w:eastAsia="Arial" w:hAnsi="Arial"/>
                <w:sz w:val="18"/>
                <w:szCs w:val="18"/>
                <w:color w:val="auto"/>
              </w:rPr>
              <w:t>F-20</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5" w:name="page96"/>
    <w:bookmarkEnd w:id="95"/>
    <w:p>
      <w:pPr>
        <w:ind w:left="380" w:right="480" w:hanging="372"/>
        <w:spacing w:after="0" w:line="260"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 w:lineRule="exact"/>
        <w:rPr>
          <w:rFonts w:ascii="Arial" w:cs="Arial" w:eastAsia="Arial" w:hAnsi="Arial"/>
          <w:sz w:val="18"/>
          <w:szCs w:val="18"/>
          <w:color w:val="auto"/>
        </w:rPr>
      </w:pPr>
    </w:p>
    <w:p>
      <w:pPr>
        <w:ind w:left="380" w:right="700" w:hanging="372"/>
        <w:spacing w:after="0" w:line="277" w:lineRule="auto"/>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Company’s estimate of the fair value of the current investments in these portfolio companies includes an analysis of the fair value of any unfunded commitments.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As of December 31, 2022 the Company did not have any unfunded commitments to fund investments to new borrowers that were not current portfolio companies as of such date.</w:t>
      </w:r>
    </w:p>
    <w:p>
      <w:pPr>
        <w:spacing w:after="0" w:line="170" w:lineRule="exact"/>
        <w:rPr>
          <w:sz w:val="20"/>
          <w:szCs w:val="20"/>
          <w:color w:val="auto"/>
        </w:rPr>
      </w:pPr>
    </w:p>
    <w:p>
      <w:pPr>
        <w:ind w:right="20" w:firstLine="255"/>
        <w:spacing w:after="0" w:line="342" w:lineRule="auto"/>
        <w:rPr>
          <w:sz w:val="20"/>
          <w:szCs w:val="20"/>
          <w:color w:val="auto"/>
        </w:rPr>
      </w:pPr>
      <w:r>
        <w:rPr>
          <w:rFonts w:ascii="Arial" w:cs="Arial" w:eastAsia="Arial" w:hAnsi="Arial"/>
          <w:sz w:val="16"/>
          <w:szCs w:val="16"/>
          <w:color w:val="auto"/>
        </w:rPr>
        <w:t>From time to time, the Company may become a party to certain legal proceedings incidental to the normal course of its business. As of December 31, 2022 management is not aware of any material pending or threatened litigation that would require accounting recognition or financial statement disclosure.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w:t>
      </w:r>
    </w:p>
    <w:p>
      <w:pPr>
        <w:spacing w:after="0" w:line="229"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w:t>
      </w:r>
    </w:p>
    <w:p>
      <w:pPr>
        <w:spacing w:after="0" w:line="187" w:lineRule="exact"/>
        <w:rPr>
          <w:sz w:val="20"/>
          <w:szCs w:val="20"/>
          <w:color w:val="auto"/>
        </w:rPr>
      </w:pPr>
    </w:p>
    <w:p>
      <w:pPr>
        <w:ind w:right="180" w:firstLine="255"/>
        <w:spacing w:after="0" w:line="257" w:lineRule="auto"/>
        <w:rPr>
          <w:sz w:val="20"/>
          <w:szCs w:val="20"/>
          <w:color w:val="auto"/>
        </w:rPr>
      </w:pPr>
      <w:r>
        <w:rPr>
          <w:rFonts w:ascii="Arial" w:cs="Arial" w:eastAsia="Arial" w:hAnsi="Arial"/>
          <w:sz w:val="18"/>
          <w:szCs w:val="18"/>
          <w:color w:val="auto"/>
        </w:rPr>
        <w:t>During the period ended December 31, 2022, the Company entered into subscription agreements (the “Subscription Agreements”) with investors providing for the private placement of the Company’s Shares. Under the terms of the Subscription Agreements, investors are required to fund drawdowns to purchase the Company’s Shares up to the amount of their respective Capital Commitment on an as-needed basis each time the Company delivers a drawdown notice to its investors. As of December 31, 2022, the Company had received Capital Commitments totaling $2,678.4 million ($2,135.5 million remaining undrawn).</w:t>
      </w:r>
    </w:p>
    <w:p>
      <w:pPr>
        <w:spacing w:after="0" w:line="188" w:lineRule="exact"/>
        <w:rPr>
          <w:sz w:val="20"/>
          <w:szCs w:val="20"/>
          <w:color w:val="auto"/>
        </w:rPr>
      </w:pPr>
    </w:p>
    <w:p>
      <w:pPr>
        <w:ind w:right="480" w:firstLine="255"/>
        <w:spacing w:after="0" w:line="277" w:lineRule="auto"/>
        <w:rPr>
          <w:sz w:val="20"/>
          <w:szCs w:val="20"/>
          <w:color w:val="auto"/>
        </w:rPr>
      </w:pPr>
      <w:r>
        <w:rPr>
          <w:rFonts w:ascii="Arial" w:cs="Arial" w:eastAsia="Arial" w:hAnsi="Arial"/>
          <w:sz w:val="18"/>
          <w:szCs w:val="18"/>
          <w:color w:val="auto"/>
        </w:rPr>
        <w:t>The following table summarizes the total Common Shares issued and proceeds received related to the Company’s initial capitalization and capital drawdowns delivered pursuant to the Subscription Agreements for the period ended December 31, 2022:</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Common Share Issuance Date</w:t>
            </w:r>
          </w:p>
        </w:tc>
        <w:tc>
          <w:tcPr>
            <w:tcW w:w="180" w:type="dxa"/>
            <w:vAlign w:val="bottom"/>
          </w:tcPr>
          <w:p>
            <w:pPr>
              <w:spacing w:after="0"/>
              <w:rPr>
                <w:sz w:val="14"/>
                <w:szCs w:val="14"/>
                <w:color w:val="auto"/>
              </w:rPr>
            </w:pPr>
          </w:p>
        </w:tc>
        <w:tc>
          <w:tcPr>
            <w:tcW w:w="19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7"/>
              </w:rPr>
              <w:t>Number of Common Shares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Borders>
              <w:bottom w:val="single" w:sz="8" w:color="auto"/>
            </w:tcBorders>
            <w:gridSpan w:val="2"/>
          </w:tcPr>
          <w:p>
            <w:pPr>
              <w:jc w:val="right"/>
              <w:ind w:right="708"/>
              <w:spacing w:after="0"/>
              <w:rPr>
                <w:sz w:val="20"/>
                <w:szCs w:val="20"/>
                <w:color w:val="auto"/>
              </w:rPr>
            </w:pPr>
            <w:r>
              <w:rPr>
                <w:rFonts w:ascii="Arial" w:cs="Arial" w:eastAsia="Arial" w:hAnsi="Arial"/>
                <w:sz w:val="14"/>
                <w:szCs w:val="14"/>
                <w:b w:val="1"/>
                <w:bCs w:val="1"/>
                <w:color w:val="auto"/>
              </w:rPr>
              <w:t>Issued</w:t>
            </w: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24, 2022</w:t>
            </w:r>
          </w:p>
        </w:tc>
        <w:tc>
          <w:tcPr>
            <w:tcW w:w="18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August 31, 2022</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2,205,694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55,142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September 28, 2022</w:t>
            </w:r>
          </w:p>
        </w:tc>
        <w:tc>
          <w:tcPr>
            <w:tcW w:w="2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5,080,906</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October 27, 2022</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7,598,252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187,262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December 13, 2022</w:t>
            </w:r>
          </w:p>
        </w:tc>
        <w:tc>
          <w:tcPr>
            <w:tcW w:w="2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3,998,385</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December 28, 2022</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2,997,591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7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21,882,028</w:t>
            </w:r>
          </w:p>
        </w:tc>
        <w:tc>
          <w:tcPr>
            <w:tcW w:w="3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542,864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00" w:type="dxa"/>
            <w:vAlign w:val="bottom"/>
          </w:tcPr>
          <w:p>
            <w:pPr>
              <w:spacing w:after="0"/>
              <w:rPr>
                <w:sz w:val="20"/>
                <w:szCs w:val="20"/>
                <w:color w:val="auto"/>
              </w:rPr>
            </w:pPr>
            <w:r>
              <w:rPr>
                <w:rFonts w:ascii="Arial" w:cs="Arial" w:eastAsia="Arial" w:hAnsi="Arial"/>
                <w:sz w:val="18"/>
                <w:szCs w:val="18"/>
                <w:b w:val="1"/>
                <w:bCs w:val="1"/>
                <w:color w:val="auto"/>
              </w:rPr>
              <w:t>9. Earnings per share</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20" w:type="dxa"/>
            <w:vAlign w:val="bottom"/>
            <w:gridSpan w:val="4"/>
          </w:tcPr>
          <w:p>
            <w:pPr>
              <w:ind w:left="2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From April 5, 2022 (Inception) through</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90"/>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common share—basic and diluted</w:t>
            </w:r>
          </w:p>
        </w:tc>
        <w:tc>
          <w:tcPr>
            <w:tcW w:w="18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212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of Common Shares outstanding—basic and diluted</w:t>
            </w:r>
          </w:p>
        </w:tc>
        <w:tc>
          <w:tcPr>
            <w:tcW w:w="18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7,034,869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00" w:type="dxa"/>
            <w:vAlign w:val="bottom"/>
          </w:tcPr>
          <w:p>
            <w:pPr>
              <w:ind w:left="20"/>
              <w:spacing w:after="0"/>
              <w:rPr>
                <w:sz w:val="20"/>
                <w:szCs w:val="20"/>
                <w:color w:val="auto"/>
              </w:rPr>
            </w:pPr>
            <w:r>
              <w:rPr>
                <w:rFonts w:ascii="Arial" w:cs="Arial" w:eastAsia="Arial" w:hAnsi="Arial"/>
                <w:sz w:val="18"/>
                <w:szCs w:val="18"/>
                <w:color w:val="auto"/>
              </w:rPr>
              <w:t>Earnings per common share—basic and diluted</w:t>
            </w:r>
          </w:p>
        </w:tc>
        <w:tc>
          <w:tcPr>
            <w:tcW w:w="212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700" w:type="dxa"/>
            <w:vAlign w:val="bottom"/>
          </w:tcPr>
          <w:p>
            <w:pPr>
              <w:ind w:left="5460"/>
              <w:spacing w:after="0"/>
              <w:rPr>
                <w:sz w:val="20"/>
                <w:szCs w:val="20"/>
                <w:color w:val="auto"/>
              </w:rPr>
            </w:pPr>
            <w:r>
              <w:rPr>
                <w:rFonts w:ascii="Arial" w:cs="Arial" w:eastAsia="Arial" w:hAnsi="Arial"/>
                <w:sz w:val="18"/>
                <w:szCs w:val="18"/>
                <w:color w:val="auto"/>
              </w:rPr>
              <w:t>F-21</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-2022475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-2005330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96" w:name="page97"/>
    <w:bookmarkEnd w:id="96"/>
    <w:p>
      <w:pPr>
        <w:ind w:left="280" w:hanging="272"/>
        <w:spacing w:after="0"/>
        <w:tabs>
          <w:tab w:leader="none" w:pos="2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During the period ended December 31, 2022, no distributions had been declared or paid by the Company.</w:t>
      </w:r>
    </w:p>
    <w:p>
      <w:pPr>
        <w:spacing w:after="0" w:line="117"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spacing w:after="0" w:line="140"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96"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7"/>
          <w:szCs w:val="17"/>
          <w:color w:val="auto"/>
        </w:rPr>
        <w:t>The tax basis components of distributable earnings for the period from April 5, 2022 (Inception) through December 31, 2022 was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From April 5, 2022 (Inception)</w:t>
            </w:r>
          </w:p>
        </w:tc>
      </w:tr>
      <w:tr>
        <w:trPr>
          <w:trHeight w:val="175"/>
        </w:trPr>
        <w:tc>
          <w:tcPr>
            <w:tcW w:w="6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through</w:t>
            </w:r>
          </w:p>
        </w:tc>
      </w:tr>
      <w:tr>
        <w:trPr>
          <w:trHeight w:val="185"/>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2022</w:t>
            </w:r>
          </w:p>
        </w:tc>
      </w:tr>
      <w:tr>
        <w:trPr>
          <w:trHeight w:val="20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w:t>
            </w:r>
          </w:p>
        </w:tc>
        <w:tc>
          <w:tcPr>
            <w:tcW w:w="160" w:type="dxa"/>
            <w:vAlign w:val="bottom"/>
            <w:tcBorders>
              <w:top w:val="single" w:sz="8" w:color="auto"/>
            </w:tcBorders>
            <w:shd w:val="clear" w:color="auto" w:fill="CFF0FC"/>
          </w:tcPr>
          <w:p>
            <w:pPr>
              <w:spacing w:after="0"/>
              <w:rPr>
                <w:sz w:val="18"/>
                <w:szCs w:val="18"/>
                <w:color w:val="auto"/>
              </w:rPr>
            </w:pPr>
          </w:p>
        </w:tc>
        <w:tc>
          <w:tcPr>
            <w:tcW w:w="2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4"/>
        </w:trPr>
        <w:tc>
          <w:tcPr>
            <w:tcW w:w="6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80" w:type="dxa"/>
            <w:vAlign w:val="bottom"/>
            <w:shd w:val="clear" w:color="auto" w:fill="CFF0FC"/>
          </w:tcPr>
          <w:p>
            <w:pPr>
              <w:spacing w:after="0"/>
              <w:rPr>
                <w:sz w:val="21"/>
                <w:szCs w:val="21"/>
                <w:color w:val="auto"/>
              </w:rPr>
            </w:pPr>
          </w:p>
        </w:tc>
      </w:tr>
      <w:tr>
        <w:trPr>
          <w:trHeight w:val="237"/>
        </w:trPr>
        <w:tc>
          <w:tcPr>
            <w:tcW w:w="650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 losses on investments</w:t>
            </w:r>
          </w:p>
        </w:tc>
        <w:tc>
          <w:tcPr>
            <w:tcW w:w="160" w:type="dxa"/>
            <w:vAlign w:val="bottom"/>
            <w:shd w:val="clear" w:color="auto" w:fill="CFF0FC"/>
          </w:tcPr>
          <w:p>
            <w:pPr>
              <w:spacing w:after="0"/>
              <w:rPr>
                <w:sz w:val="21"/>
                <w:szCs w:val="21"/>
                <w:color w:val="auto"/>
              </w:rPr>
            </w:pP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80" w:type="dxa"/>
            <w:vAlign w:val="bottom"/>
            <w:shd w:val="clear" w:color="auto" w:fill="CFF0FC"/>
          </w:tcPr>
          <w:p>
            <w:pPr>
              <w:spacing w:after="0"/>
              <w:rPr>
                <w:sz w:val="21"/>
                <w:szCs w:val="21"/>
                <w:color w:val="auto"/>
              </w:rPr>
            </w:pPr>
          </w:p>
        </w:tc>
      </w:tr>
      <w:tr>
        <w:trPr>
          <w:trHeight w:val="237"/>
        </w:trPr>
        <w:tc>
          <w:tcPr>
            <w:tcW w:w="6500" w:type="dxa"/>
            <w:vAlign w:val="bottom"/>
          </w:tcPr>
          <w:p>
            <w:pPr>
              <w:ind w:left="180"/>
              <w:spacing w:after="0"/>
              <w:rPr>
                <w:sz w:val="20"/>
                <w:szCs w:val="20"/>
                <w:color w:val="auto"/>
              </w:rPr>
            </w:pPr>
            <w:r>
              <w:rPr>
                <w:rFonts w:ascii="Arial" w:cs="Arial" w:eastAsia="Arial" w:hAnsi="Arial"/>
                <w:sz w:val="18"/>
                <w:szCs w:val="18"/>
                <w:color w:val="auto"/>
              </w:rPr>
              <w:t>Other income (loss) for tax purposes, not book</w:t>
            </w:r>
          </w:p>
        </w:tc>
        <w:tc>
          <w:tcPr>
            <w:tcW w:w="16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20"/>
                <w:szCs w:val="20"/>
                <w:color w:val="auto"/>
              </w:rPr>
            </w:pPr>
          </w:p>
        </w:tc>
      </w:tr>
      <w:tr>
        <w:trPr>
          <w:trHeight w:val="249"/>
        </w:trPr>
        <w:tc>
          <w:tcPr>
            <w:tcW w:w="6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organizational costs</w:t>
            </w:r>
          </w:p>
        </w:tc>
        <w:tc>
          <w:tcPr>
            <w:tcW w:w="160" w:type="dxa"/>
            <w:vAlign w:val="bottom"/>
            <w:shd w:val="clear" w:color="auto" w:fill="CFF0FC"/>
          </w:tcPr>
          <w:p>
            <w:pPr>
              <w:spacing w:after="0"/>
              <w:rPr>
                <w:sz w:val="21"/>
                <w:szCs w:val="21"/>
                <w:color w:val="auto"/>
              </w:rPr>
            </w:pPr>
          </w:p>
        </w:tc>
        <w:tc>
          <w:tcPr>
            <w:tcW w:w="2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(47 )</w:t>
            </w:r>
          </w:p>
        </w:tc>
      </w:tr>
      <w:tr>
        <w:trPr>
          <w:trHeight w:val="237"/>
        </w:trPr>
        <w:tc>
          <w:tcPr>
            <w:tcW w:w="650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Other expenses not currently deductible</w:t>
            </w: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80" w:type="dxa"/>
            <w:vAlign w:val="bottom"/>
            <w:tcBorders>
              <w:bottom w:val="single" w:sz="8" w:color="CFF0FC"/>
            </w:tcBorders>
          </w:tcPr>
          <w:p>
            <w:pPr>
              <w:spacing w:after="0"/>
              <w:rPr>
                <w:sz w:val="20"/>
                <w:szCs w:val="20"/>
                <w:color w:val="auto"/>
              </w:rPr>
            </w:pPr>
          </w:p>
        </w:tc>
      </w:tr>
      <w:tr>
        <w:trPr>
          <w:trHeight w:val="276"/>
        </w:trPr>
        <w:tc>
          <w:tcPr>
            <w:tcW w:w="65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b w:val="1"/>
                <w:bCs w:val="1"/>
                <w:color w:val="auto"/>
              </w:rPr>
              <w:t>Taxable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6"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 ended December 31, 2022 to taxable income at December 31, 2022:</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December 31, 2022</w:t>
            </w:r>
          </w:p>
        </w:tc>
      </w:tr>
      <w:tr>
        <w:trPr>
          <w:trHeight w:val="237"/>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 - tax basis</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9,056</w:t>
            </w:r>
          </w:p>
        </w:tc>
        <w:tc>
          <w:tcPr>
            <w:tcW w:w="80" w:type="dxa"/>
            <w:vAlign w:val="bottom"/>
            <w:shd w:val="clear" w:color="auto" w:fill="CFF0FC"/>
          </w:tcPr>
          <w:p>
            <w:pPr>
              <w:spacing w:after="0"/>
              <w:rPr>
                <w:sz w:val="20"/>
                <w:szCs w:val="20"/>
                <w:color w:val="auto"/>
              </w:rPr>
            </w:pPr>
          </w:p>
        </w:tc>
      </w:tr>
      <w:tr>
        <w:trPr>
          <w:trHeight w:val="237"/>
        </w:trPr>
        <w:tc>
          <w:tcPr>
            <w:tcW w:w="6500" w:type="dxa"/>
            <w:vAlign w:val="bottom"/>
          </w:tcPr>
          <w:p>
            <w:pPr>
              <w:spacing w:after="0"/>
              <w:rPr>
                <w:sz w:val="20"/>
                <w:szCs w:val="20"/>
                <w:color w:val="auto"/>
              </w:rPr>
            </w:pPr>
            <w:r>
              <w:rPr>
                <w:rFonts w:ascii="Arial" w:cs="Arial" w:eastAsia="Arial" w:hAnsi="Arial"/>
                <w:sz w:val="18"/>
                <w:szCs w:val="18"/>
                <w:color w:val="auto"/>
              </w:rPr>
              <w:t>Net unrealized gains (losses) on investments</w:t>
            </w:r>
          </w:p>
        </w:tc>
        <w:tc>
          <w:tcPr>
            <w:tcW w:w="360" w:type="dxa"/>
            <w:vAlign w:val="bottom"/>
          </w:tcPr>
          <w:p>
            <w:pPr>
              <w:spacing w:after="0"/>
              <w:rPr>
                <w:sz w:val="20"/>
                <w:szCs w:val="20"/>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(2,875 )</w:t>
            </w:r>
          </w:p>
        </w:tc>
      </w:tr>
      <w:tr>
        <w:trPr>
          <w:trHeight w:val="24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Other temporary differences</w:t>
            </w:r>
          </w:p>
        </w:tc>
        <w:tc>
          <w:tcPr>
            <w:tcW w:w="360" w:type="dxa"/>
            <w:vAlign w:val="bottom"/>
            <w:shd w:val="clear" w:color="auto" w:fill="CFF0FC"/>
          </w:tcPr>
          <w:p>
            <w:pPr>
              <w:spacing w:after="0"/>
              <w:rPr>
                <w:sz w:val="21"/>
                <w:szCs w:val="21"/>
                <w:color w:val="auto"/>
              </w:rPr>
            </w:pPr>
          </w:p>
        </w:tc>
        <w:tc>
          <w:tcPr>
            <w:tcW w:w="2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(2,088 )</w:t>
            </w:r>
          </w:p>
        </w:tc>
      </w:tr>
      <w:tr>
        <w:trPr>
          <w:trHeight w:val="239"/>
        </w:trPr>
        <w:tc>
          <w:tcPr>
            <w:tcW w:w="6500" w:type="dxa"/>
            <w:vAlign w:val="bottom"/>
            <w:tcBorders>
              <w:top w:val="single" w:sz="8" w:color="CFF0FC"/>
            </w:tcBorders>
          </w:tcPr>
          <w:p>
            <w:pPr>
              <w:ind w:left="360"/>
              <w:spacing w:after="0"/>
              <w:rPr>
                <w:sz w:val="20"/>
                <w:szCs w:val="20"/>
                <w:color w:val="auto"/>
              </w:rPr>
            </w:pPr>
            <w:r>
              <w:rPr>
                <w:rFonts w:ascii="Arial" w:cs="Arial" w:eastAsia="Arial" w:hAnsi="Arial"/>
                <w:sz w:val="18"/>
                <w:szCs w:val="18"/>
                <w:b w:val="1"/>
                <w:bCs w:val="1"/>
                <w:color w:val="auto"/>
              </w:rPr>
              <w:t>Total distributable earnings - book basis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80" w:type="dxa"/>
            <w:vAlign w:val="bottom"/>
            <w:tcBorders>
              <w:top w:val="single" w:sz="8" w:color="CFF0FC"/>
            </w:tcBorders>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jc w:val="both"/>
        <w:ind w:right="20" w:firstLine="255"/>
        <w:spacing w:after="0" w:line="263"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4" w:lineRule="exact"/>
        <w:rPr>
          <w:sz w:val="20"/>
          <w:szCs w:val="20"/>
          <w:color w:val="auto"/>
        </w:rPr>
      </w:pPr>
    </w:p>
    <w:p>
      <w:pPr>
        <w:ind w:right="220" w:firstLine="255"/>
        <w:spacing w:after="0" w:line="286" w:lineRule="auto"/>
        <w:rPr>
          <w:sz w:val="20"/>
          <w:szCs w:val="20"/>
          <w:color w:val="auto"/>
        </w:rPr>
      </w:pPr>
      <w:r>
        <w:rPr>
          <w:rFonts w:ascii="Arial" w:cs="Arial" w:eastAsia="Arial" w:hAnsi="Arial"/>
          <w:sz w:val="17"/>
          <w:szCs w:val="17"/>
          <w:color w:val="auto"/>
        </w:rPr>
        <w:t>The Company makes certain adjustments to the classification of shareholders’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w:t>
      </w:r>
    </w:p>
    <w:p>
      <w:pPr>
        <w:spacing w:after="0" w:line="165"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During the period April 5, 2022 through December 31, 2022, the Company increased distributable earnings and decreased additional paid in capital by $0.2 million which was primarily attributable to U.S. federal excise taxes.</w:t>
      </w:r>
    </w:p>
    <w:p>
      <w:pPr>
        <w:spacing w:after="0" w:line="170" w:lineRule="exact"/>
        <w:rPr>
          <w:sz w:val="20"/>
          <w:szCs w:val="20"/>
          <w:color w:val="auto"/>
        </w:rPr>
      </w:pPr>
    </w:p>
    <w:p>
      <w:pPr>
        <w:ind w:right="140" w:firstLine="255"/>
        <w:spacing w:after="0" w:line="259" w:lineRule="auto"/>
        <w:rPr>
          <w:sz w:val="20"/>
          <w:szCs w:val="20"/>
          <w:color w:val="auto"/>
        </w:rPr>
      </w:pPr>
      <w:r>
        <w:rPr>
          <w:rFonts w:ascii="Arial" w:cs="Arial" w:eastAsia="Arial" w:hAnsi="Arial"/>
          <w:sz w:val="18"/>
          <w:szCs w:val="18"/>
          <w:color w:val="auto"/>
        </w:rPr>
        <w:t>The Company’s wholly-owned subsidiaries, Sixth Street LP Holding, LLC, and Sixth Street LP Holding II, LLC, are taxable subsidiaries in which the Company holds certain investments. Sixth Street LP Holding, LLC and Sixth Street LP Holding II, LLC are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214"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The tax cost of the Company’s investments as of December 31, 2022 was $810,241, resulting in estimated gross unrealized gains and losses of $2,806 and $5,681,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7" w:name="page98"/>
    <w:bookmarkEnd w:id="97"/>
    <w:p>
      <w:pPr>
        <w:ind w:firstLine="255"/>
        <w:spacing w:after="0" w:line="263" w:lineRule="auto"/>
        <w:rPr>
          <w:sz w:val="20"/>
          <w:szCs w:val="20"/>
          <w:color w:val="auto"/>
        </w:rPr>
      </w:pPr>
      <w:r>
        <w:rPr>
          <w:rFonts w:ascii="Arial" w:cs="Arial" w:eastAsia="Arial" w:hAnsi="Arial"/>
          <w:sz w:val="18"/>
          <w:szCs w:val="18"/>
          <w:color w:val="auto"/>
        </w:rPr>
        <w:t>To the extent that the Company determines that its estimated current year annual taxable income will exceed its estimated current year dividends from such taxable income, the Company accrues excise tax on estimated excess taxable income. For the period from April 5, 2022 (Inception) through December 31, 2022, a net expense of $0.2 million, was recorded for U.S. federal excise tax.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300" w:firstLine="255"/>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Shares outstanding during the period ended December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From April 5, 2022 (Inception) through</w:t>
            </w:r>
          </w:p>
        </w:tc>
      </w:tr>
      <w:tr>
        <w:trPr>
          <w:trHeight w:val="204"/>
        </w:trPr>
        <w:tc>
          <w:tcPr>
            <w:tcW w:w="7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gridSpan w:val="2"/>
          </w:tcPr>
          <w:p>
            <w:pPr>
              <w:jc w:val="right"/>
              <w:ind w:right="1420"/>
              <w:spacing w:after="0" w:line="204" w:lineRule="exact"/>
              <w:rPr>
                <w:sz w:val="20"/>
                <w:szCs w:val="20"/>
                <w:color w:val="auto"/>
              </w:rPr>
            </w:pPr>
            <w:r>
              <w:rPr>
                <w:rFonts w:ascii="Arial" w:cs="Arial" w:eastAsia="Arial" w:hAnsi="Arial"/>
                <w:sz w:val="14"/>
                <w:szCs w:val="14"/>
                <w:b w:val="1"/>
                <w:bCs w:val="1"/>
                <w:color w:val="auto"/>
              </w:rPr>
              <w:t xml:space="preserve">December 31, 2022 </w:t>
            </w:r>
            <w:r>
              <w:rPr>
                <w:rFonts w:ascii="Arial" w:cs="Arial" w:eastAsia="Arial" w:hAnsi="Arial"/>
                <w:sz w:val="19"/>
                <w:szCs w:val="19"/>
                <w:b w:val="1"/>
                <w:bCs w:val="1"/>
                <w:color w:val="auto"/>
                <w:vertAlign w:val="superscript"/>
              </w:rPr>
              <w:t>(3)</w:t>
            </w:r>
          </w:p>
        </w:tc>
      </w:tr>
      <w:tr>
        <w:trPr>
          <w:trHeight w:val="23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Borders>
              <w:top w:val="single" w:sz="8" w:color="auto"/>
            </w:tcBorders>
            <w:shd w:val="clear" w:color="auto" w:fill="CFF0FC"/>
          </w:tcPr>
          <w:p>
            <w:pPr>
              <w:spacing w:after="0"/>
              <w:rPr>
                <w:sz w:val="20"/>
                <w:szCs w:val="20"/>
                <w:color w:val="auto"/>
              </w:rPr>
            </w:pPr>
          </w:p>
        </w:tc>
        <w:tc>
          <w:tcPr>
            <w:tcW w:w="2980" w:type="dxa"/>
            <w:vAlign w:val="bottom"/>
            <w:tcBorders>
              <w:top w:val="single" w:sz="8" w:color="auto"/>
            </w:tcBorders>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Net asset value, beginning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25.00</w:t>
            </w:r>
          </w:p>
        </w:tc>
        <w:tc>
          <w:tcPr>
            <w:tcW w:w="440" w:type="dxa"/>
            <w:vAlign w:val="bottom"/>
          </w:tcPr>
          <w:p>
            <w:pPr>
              <w:spacing w:after="0"/>
              <w:rPr>
                <w:sz w:val="20"/>
                <w:szCs w:val="20"/>
                <w:color w:val="auto"/>
              </w:rPr>
            </w:pPr>
          </w:p>
        </w:tc>
      </w:tr>
      <w:tr>
        <w:trPr>
          <w:trHeight w:val="249"/>
        </w:trPr>
        <w:tc>
          <w:tcPr>
            <w:tcW w:w="7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9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r>
      <w:tr>
        <w:trPr>
          <w:trHeight w:val="243"/>
        </w:trPr>
        <w:tc>
          <w:tcPr>
            <w:tcW w:w="75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4"/>
                <w:szCs w:val="24"/>
                <w:color w:val="auto"/>
                <w:vertAlign w:val="superscript"/>
              </w:rPr>
              <w:t>(1)</w:t>
            </w:r>
          </w:p>
        </w:tc>
        <w:tc>
          <w:tcPr>
            <w:tcW w:w="260" w:type="dxa"/>
            <w:vAlign w:val="bottom"/>
          </w:tcPr>
          <w:p>
            <w:pPr>
              <w:spacing w:after="0"/>
              <w:rPr>
                <w:sz w:val="21"/>
                <w:szCs w:val="21"/>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0.51</w:t>
            </w:r>
          </w:p>
        </w:tc>
        <w:tc>
          <w:tcPr>
            <w:tcW w:w="440" w:type="dxa"/>
            <w:vAlign w:val="bottom"/>
          </w:tcPr>
          <w:p>
            <w:pPr>
              <w:spacing w:after="0"/>
              <w:rPr>
                <w:sz w:val="21"/>
                <w:szCs w:val="21"/>
                <w:color w:val="auto"/>
              </w:rPr>
            </w:pPr>
          </w:p>
        </w:tc>
      </w:tr>
      <w:tr>
        <w:trPr>
          <w:trHeight w:val="193"/>
        </w:trPr>
        <w:tc>
          <w:tcPr>
            <w:tcW w:w="7560" w:type="dxa"/>
            <w:vAlign w:val="bottom"/>
            <w:shd w:val="clear" w:color="auto" w:fill="CFF0FC"/>
          </w:tcPr>
          <w:p>
            <w:pPr>
              <w:ind w:left="20"/>
              <w:spacing w:after="0" w:line="193" w:lineRule="exact"/>
              <w:rPr>
                <w:sz w:val="20"/>
                <w:szCs w:val="20"/>
                <w:color w:val="auto"/>
              </w:rPr>
            </w:pPr>
            <w:r>
              <w:rPr>
                <w:rFonts w:ascii="Arial" w:cs="Arial" w:eastAsia="Arial" w:hAnsi="Arial"/>
                <w:sz w:val="18"/>
                <w:szCs w:val="18"/>
                <w:color w:val="auto"/>
              </w:rPr>
              <w:t>Net realized and unrealized</w:t>
            </w:r>
          </w:p>
        </w:tc>
        <w:tc>
          <w:tcPr>
            <w:tcW w:w="260" w:type="dxa"/>
            <w:vAlign w:val="bottom"/>
            <w:shd w:val="clear" w:color="auto" w:fill="CFF0FC"/>
          </w:tcPr>
          <w:p>
            <w:pPr>
              <w:spacing w:after="0"/>
              <w:rPr>
                <w:sz w:val="16"/>
                <w:szCs w:val="16"/>
                <w:color w:val="auto"/>
              </w:rPr>
            </w:pPr>
          </w:p>
        </w:tc>
        <w:tc>
          <w:tcPr>
            <w:tcW w:w="29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r>
      <w:tr>
        <w:trPr>
          <w:trHeight w:val="252"/>
        </w:trPr>
        <w:tc>
          <w:tcPr>
            <w:tcW w:w="7560" w:type="dxa"/>
            <w:vAlign w:val="bottom"/>
            <w:shd w:val="clear" w:color="auto" w:fill="CFF0FC"/>
          </w:tcPr>
          <w:p>
            <w:pPr>
              <w:ind w:left="160"/>
              <w:spacing w:after="0" w:line="252" w:lineRule="exact"/>
              <w:rPr>
                <w:sz w:val="20"/>
                <w:szCs w:val="20"/>
                <w:color w:val="auto"/>
              </w:rPr>
            </w:pPr>
            <w:r>
              <w:rPr>
                <w:rFonts w:ascii="Arial" w:cs="Arial" w:eastAsia="Arial" w:hAnsi="Arial"/>
                <w:sz w:val="18"/>
                <w:szCs w:val="18"/>
                <w:color w:val="auto"/>
              </w:rPr>
              <w:t>gain (loss)</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21"/>
                <w:szCs w:val="21"/>
                <w:color w:val="auto"/>
              </w:rPr>
            </w:pPr>
          </w:p>
        </w:tc>
        <w:tc>
          <w:tcPr>
            <w:tcW w:w="34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(0.16 )</w:t>
            </w:r>
          </w:p>
        </w:tc>
      </w:tr>
      <w:tr>
        <w:trPr>
          <w:trHeight w:val="230"/>
        </w:trPr>
        <w:tc>
          <w:tcPr>
            <w:tcW w:w="75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from operations</w:t>
            </w:r>
          </w:p>
        </w:tc>
        <w:tc>
          <w:tcPr>
            <w:tcW w:w="26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440" w:type="dxa"/>
            <w:vAlign w:val="bottom"/>
            <w:tcBorders>
              <w:top w:val="single" w:sz="8" w:color="CFF0FC"/>
            </w:tcBorders>
          </w:tcPr>
          <w:p>
            <w:pPr>
              <w:spacing w:after="0"/>
              <w:rPr>
                <w:sz w:val="20"/>
                <w:szCs w:val="20"/>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Common Share Issuance</w:t>
            </w:r>
          </w:p>
        </w:tc>
        <w:tc>
          <w:tcPr>
            <w:tcW w:w="260" w:type="dxa"/>
            <w:vAlign w:val="bottom"/>
            <w:shd w:val="clear" w:color="auto" w:fill="CFF0FC"/>
          </w:tcPr>
          <w:p>
            <w:pPr>
              <w:spacing w:after="0"/>
              <w:rPr>
                <w:sz w:val="21"/>
                <w:szCs w:val="21"/>
                <w:color w:val="auto"/>
              </w:rPr>
            </w:pPr>
          </w:p>
        </w:tc>
        <w:tc>
          <w:tcPr>
            <w:tcW w:w="34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(0.37 )</w:t>
            </w:r>
          </w:p>
        </w:tc>
      </w:tr>
      <w:tr>
        <w:trPr>
          <w:trHeight w:val="20"/>
        </w:trPr>
        <w:tc>
          <w:tcPr>
            <w:tcW w:w="75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Total increase (decrease) in net assets</w:t>
            </w:r>
          </w:p>
        </w:tc>
        <w:tc>
          <w:tcPr>
            <w:tcW w:w="260" w:type="dxa"/>
            <w:vAlign w:val="bottom"/>
          </w:tcPr>
          <w:p>
            <w:pPr>
              <w:spacing w:after="0"/>
              <w:rPr>
                <w:sz w:val="20"/>
                <w:szCs w:val="20"/>
                <w:color w:val="auto"/>
              </w:rPr>
            </w:pPr>
          </w:p>
        </w:tc>
        <w:tc>
          <w:tcPr>
            <w:tcW w:w="3420" w:type="dxa"/>
            <w:vAlign w:val="bottom"/>
            <w:gridSpan w:val="2"/>
          </w:tcPr>
          <w:p>
            <w:pPr>
              <w:jc w:val="right"/>
              <w:ind w:right="380"/>
              <w:spacing w:after="0"/>
              <w:rPr>
                <w:sz w:val="20"/>
                <w:szCs w:val="20"/>
                <w:color w:val="auto"/>
              </w:rPr>
            </w:pPr>
            <w:r>
              <w:rPr>
                <w:rFonts w:ascii="Arial" w:cs="Arial" w:eastAsia="Arial" w:hAnsi="Arial"/>
                <w:sz w:val="18"/>
                <w:szCs w:val="18"/>
                <w:color w:val="auto"/>
              </w:rPr>
              <w:t>(0.02 )</w:t>
            </w:r>
          </w:p>
        </w:tc>
      </w:tr>
      <w:tr>
        <w:trPr>
          <w:trHeight w:val="23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Asset Value, End of Period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24.98</w:t>
            </w:r>
          </w:p>
        </w:tc>
        <w:tc>
          <w:tcPr>
            <w:tcW w:w="440" w:type="dxa"/>
            <w:vAlign w:val="bottom"/>
            <w:tcBorders>
              <w:bottom w:val="single" w:sz="8" w:color="CFF0FC"/>
            </w:tcBorders>
            <w:shd w:val="clear" w:color="auto" w:fill="CFF0FC"/>
          </w:tcPr>
          <w:p>
            <w:pPr>
              <w:spacing w:after="0"/>
              <w:rPr>
                <w:sz w:val="20"/>
                <w:szCs w:val="20"/>
                <w:color w:val="auto"/>
              </w:rPr>
            </w:pPr>
          </w:p>
        </w:tc>
      </w:tr>
      <w:tr>
        <w:trPr>
          <w:trHeight w:val="191"/>
        </w:trPr>
        <w:tc>
          <w:tcPr>
            <w:tcW w:w="7560" w:type="dxa"/>
            <w:vAlign w:val="bottom"/>
          </w:tcPr>
          <w:p>
            <w:pPr>
              <w:ind w:left="20"/>
              <w:spacing w:after="0" w:line="191" w:lineRule="exact"/>
              <w:rPr>
                <w:sz w:val="20"/>
                <w:szCs w:val="20"/>
                <w:color w:val="auto"/>
              </w:rPr>
            </w:pPr>
            <w:r>
              <w:rPr>
                <w:rFonts w:ascii="Arial" w:cs="Arial" w:eastAsia="Arial" w:hAnsi="Arial"/>
                <w:sz w:val="18"/>
                <w:szCs w:val="18"/>
                <w:color w:val="auto"/>
              </w:rPr>
              <w:t>Total return based on net asset</w:t>
            </w: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66"/>
        </w:trPr>
        <w:tc>
          <w:tcPr>
            <w:tcW w:w="756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value </w:t>
            </w:r>
            <w:r>
              <w:rPr>
                <w:rFonts w:ascii="Arial" w:cs="Arial" w:eastAsia="Arial" w:hAnsi="Arial"/>
                <w:sz w:val="24"/>
                <w:szCs w:val="24"/>
                <w:color w:val="auto"/>
                <w:vertAlign w:val="superscript"/>
              </w:rPr>
              <w:t>(2)</w:t>
            </w:r>
          </w:p>
        </w:tc>
        <w:tc>
          <w:tcPr>
            <w:tcW w:w="260" w:type="dxa"/>
            <w:vAlign w:val="bottom"/>
          </w:tcPr>
          <w:p>
            <w:pPr>
              <w:spacing w:after="0"/>
              <w:rPr>
                <w:sz w:val="23"/>
                <w:szCs w:val="23"/>
                <w:color w:val="auto"/>
              </w:rPr>
            </w:pPr>
          </w:p>
        </w:tc>
        <w:tc>
          <w:tcPr>
            <w:tcW w:w="3420" w:type="dxa"/>
            <w:vAlign w:val="bottom"/>
            <w:gridSpan w:val="2"/>
          </w:tcPr>
          <w:p>
            <w:pPr>
              <w:jc w:val="right"/>
              <w:ind w:right="280"/>
              <w:spacing w:after="0"/>
              <w:rPr>
                <w:sz w:val="20"/>
                <w:szCs w:val="20"/>
                <w:color w:val="auto"/>
              </w:rPr>
            </w:pPr>
            <w:r>
              <w:rPr>
                <w:rFonts w:ascii="Arial" w:cs="Arial" w:eastAsia="Arial" w:hAnsi="Arial"/>
                <w:sz w:val="18"/>
                <w:szCs w:val="18"/>
                <w:color w:val="auto"/>
              </w:rPr>
              <w:t>-0.08 %</w:t>
            </w: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shares outstanding, end of period</w:t>
            </w:r>
          </w:p>
        </w:tc>
        <w:tc>
          <w:tcPr>
            <w:tcW w:w="260" w:type="dxa"/>
            <w:vAlign w:val="bottom"/>
            <w:shd w:val="clear" w:color="auto" w:fill="CFF0FC"/>
          </w:tcPr>
          <w:p>
            <w:pPr>
              <w:spacing w:after="0"/>
              <w:rPr>
                <w:sz w:val="21"/>
                <w:szCs w:val="21"/>
                <w:color w:val="auto"/>
              </w:rPr>
            </w:pPr>
          </w:p>
        </w:tc>
        <w:tc>
          <w:tcPr>
            <w:tcW w:w="2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21,882,028</w:t>
            </w:r>
          </w:p>
        </w:tc>
        <w:tc>
          <w:tcPr>
            <w:tcW w:w="44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Ratios / Supplemental Data</w:t>
            </w:r>
          </w:p>
        </w:tc>
        <w:tc>
          <w:tcPr>
            <w:tcW w:w="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197"/>
        </w:trPr>
        <w:tc>
          <w:tcPr>
            <w:tcW w:w="75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Ratio of gross expenses to average</w:t>
            </w:r>
          </w:p>
        </w:tc>
        <w:tc>
          <w:tcPr>
            <w:tcW w:w="260" w:type="dxa"/>
            <w:vAlign w:val="bottom"/>
            <w:shd w:val="clear" w:color="auto" w:fill="CFF0FC"/>
          </w:tcPr>
          <w:p>
            <w:pPr>
              <w:spacing w:after="0"/>
              <w:rPr>
                <w:sz w:val="17"/>
                <w:szCs w:val="17"/>
                <w:color w:val="auto"/>
              </w:rPr>
            </w:pPr>
          </w:p>
        </w:tc>
        <w:tc>
          <w:tcPr>
            <w:tcW w:w="29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r>
      <w:tr>
        <w:trPr>
          <w:trHeight w:val="266"/>
        </w:trPr>
        <w:tc>
          <w:tcPr>
            <w:tcW w:w="7560" w:type="dxa"/>
            <w:vAlign w:val="bottom"/>
            <w:shd w:val="clear" w:color="auto" w:fill="CFF0FC"/>
          </w:tcPr>
          <w:p>
            <w:pPr>
              <w:ind w:left="160"/>
              <w:spacing w:after="0" w:line="266" w:lineRule="exact"/>
              <w:rPr>
                <w:sz w:val="20"/>
                <w:szCs w:val="20"/>
                <w:color w:val="auto"/>
              </w:rPr>
            </w:pPr>
            <w:r>
              <w:rPr>
                <w:rFonts w:ascii="Arial" w:cs="Arial" w:eastAsia="Arial" w:hAnsi="Arial"/>
                <w:sz w:val="18"/>
                <w:szCs w:val="18"/>
                <w:color w:val="auto"/>
              </w:rPr>
              <w:t xml:space="preserve">net assets without management fee waiver </w:t>
            </w:r>
            <w:r>
              <w:rPr>
                <w:rFonts w:ascii="Arial" w:cs="Arial" w:eastAsia="Arial" w:hAnsi="Arial"/>
                <w:sz w:val="24"/>
                <w:szCs w:val="24"/>
                <w:color w:val="auto"/>
                <w:vertAlign w:val="superscript"/>
              </w:rPr>
              <w:t>(4)</w:t>
            </w:r>
          </w:p>
        </w:tc>
        <w:tc>
          <w:tcPr>
            <w:tcW w:w="260" w:type="dxa"/>
            <w:vAlign w:val="bottom"/>
            <w:shd w:val="clear" w:color="auto" w:fill="CFF0FC"/>
          </w:tcPr>
          <w:p>
            <w:pPr>
              <w:spacing w:after="0"/>
              <w:rPr>
                <w:sz w:val="23"/>
                <w:szCs w:val="23"/>
                <w:color w:val="auto"/>
              </w:rPr>
            </w:pPr>
          </w:p>
        </w:tc>
        <w:tc>
          <w:tcPr>
            <w:tcW w:w="3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6.73 %</w:t>
            </w:r>
          </w:p>
        </w:tc>
      </w:tr>
      <w:tr>
        <w:trPr>
          <w:trHeight w:val="193"/>
        </w:trPr>
        <w:tc>
          <w:tcPr>
            <w:tcW w:w="7560" w:type="dxa"/>
            <w:vAlign w:val="bottom"/>
          </w:tcPr>
          <w:p>
            <w:pPr>
              <w:ind w:left="20"/>
              <w:spacing w:after="0" w:line="193" w:lineRule="exact"/>
              <w:rPr>
                <w:sz w:val="20"/>
                <w:szCs w:val="20"/>
                <w:color w:val="auto"/>
              </w:rPr>
            </w:pPr>
            <w:r>
              <w:rPr>
                <w:rFonts w:ascii="Arial" w:cs="Arial" w:eastAsia="Arial" w:hAnsi="Arial"/>
                <w:sz w:val="18"/>
                <w:szCs w:val="18"/>
                <w:color w:val="auto"/>
              </w:rPr>
              <w:t>Ratio of net expenses to average</w:t>
            </w: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66"/>
        </w:trPr>
        <w:tc>
          <w:tcPr>
            <w:tcW w:w="756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net assets with management fee waiver </w:t>
            </w:r>
            <w:r>
              <w:rPr>
                <w:rFonts w:ascii="Arial" w:cs="Arial" w:eastAsia="Arial" w:hAnsi="Arial"/>
                <w:sz w:val="24"/>
                <w:szCs w:val="24"/>
                <w:color w:val="auto"/>
                <w:vertAlign w:val="superscript"/>
              </w:rPr>
              <w:t>(4)</w:t>
            </w:r>
          </w:p>
        </w:tc>
        <w:tc>
          <w:tcPr>
            <w:tcW w:w="260" w:type="dxa"/>
            <w:vAlign w:val="bottom"/>
          </w:tcPr>
          <w:p>
            <w:pPr>
              <w:spacing w:after="0"/>
              <w:rPr>
                <w:sz w:val="23"/>
                <w:szCs w:val="23"/>
                <w:color w:val="auto"/>
              </w:rPr>
            </w:pPr>
          </w:p>
        </w:tc>
        <w:tc>
          <w:tcPr>
            <w:tcW w:w="3420" w:type="dxa"/>
            <w:vAlign w:val="bottom"/>
            <w:gridSpan w:val="2"/>
          </w:tcPr>
          <w:p>
            <w:pPr>
              <w:jc w:val="right"/>
              <w:ind w:right="280"/>
              <w:spacing w:after="0"/>
              <w:rPr>
                <w:sz w:val="20"/>
                <w:szCs w:val="20"/>
                <w:color w:val="auto"/>
              </w:rPr>
            </w:pPr>
            <w:r>
              <w:rPr>
                <w:rFonts w:ascii="Arial" w:cs="Arial" w:eastAsia="Arial" w:hAnsi="Arial"/>
                <w:sz w:val="18"/>
                <w:szCs w:val="18"/>
                <w:color w:val="auto"/>
              </w:rPr>
              <w:t>5.70 %</w:t>
            </w:r>
          </w:p>
        </w:tc>
      </w:tr>
      <w:tr>
        <w:trPr>
          <w:trHeight w:val="193"/>
        </w:trPr>
        <w:tc>
          <w:tcPr>
            <w:tcW w:w="7560" w:type="dxa"/>
            <w:vAlign w:val="bottom"/>
            <w:shd w:val="clear" w:color="auto" w:fill="CFF0FC"/>
          </w:tcPr>
          <w:p>
            <w:pPr>
              <w:ind w:left="20"/>
              <w:spacing w:after="0" w:line="193" w:lineRule="exact"/>
              <w:rPr>
                <w:sz w:val="20"/>
                <w:szCs w:val="20"/>
                <w:color w:val="auto"/>
              </w:rPr>
            </w:pPr>
            <w:r>
              <w:rPr>
                <w:rFonts w:ascii="Arial" w:cs="Arial" w:eastAsia="Arial" w:hAnsi="Arial"/>
                <w:sz w:val="18"/>
                <w:szCs w:val="18"/>
                <w:color w:val="auto"/>
              </w:rPr>
              <w:t>Ratio of net investment income</w:t>
            </w:r>
          </w:p>
        </w:tc>
        <w:tc>
          <w:tcPr>
            <w:tcW w:w="260" w:type="dxa"/>
            <w:vAlign w:val="bottom"/>
            <w:shd w:val="clear" w:color="auto" w:fill="CFF0FC"/>
          </w:tcPr>
          <w:p>
            <w:pPr>
              <w:spacing w:after="0"/>
              <w:rPr>
                <w:sz w:val="16"/>
                <w:szCs w:val="16"/>
                <w:color w:val="auto"/>
              </w:rPr>
            </w:pPr>
          </w:p>
        </w:tc>
        <w:tc>
          <w:tcPr>
            <w:tcW w:w="29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r>
      <w:tr>
        <w:trPr>
          <w:trHeight w:val="266"/>
        </w:trPr>
        <w:tc>
          <w:tcPr>
            <w:tcW w:w="7560" w:type="dxa"/>
            <w:vAlign w:val="bottom"/>
            <w:shd w:val="clear" w:color="auto" w:fill="CFF0FC"/>
          </w:tcPr>
          <w:p>
            <w:pPr>
              <w:ind w:left="240"/>
              <w:spacing w:after="0" w:line="266" w:lineRule="exact"/>
              <w:rPr>
                <w:sz w:val="20"/>
                <w:szCs w:val="20"/>
                <w:color w:val="auto"/>
              </w:rPr>
            </w:pPr>
            <w:r>
              <w:rPr>
                <w:rFonts w:ascii="Arial" w:cs="Arial" w:eastAsia="Arial" w:hAnsi="Arial"/>
                <w:sz w:val="18"/>
                <w:szCs w:val="18"/>
                <w:color w:val="auto"/>
              </w:rPr>
              <w:t xml:space="preserve">to average net assets without management fee waiver </w:t>
            </w:r>
            <w:r>
              <w:rPr>
                <w:rFonts w:ascii="Arial" w:cs="Arial" w:eastAsia="Arial" w:hAnsi="Arial"/>
                <w:sz w:val="24"/>
                <w:szCs w:val="24"/>
                <w:color w:val="auto"/>
                <w:vertAlign w:val="superscript"/>
              </w:rPr>
              <w:t>(4)</w:t>
            </w:r>
          </w:p>
        </w:tc>
        <w:tc>
          <w:tcPr>
            <w:tcW w:w="260" w:type="dxa"/>
            <w:vAlign w:val="bottom"/>
            <w:shd w:val="clear" w:color="auto" w:fill="CFF0FC"/>
          </w:tcPr>
          <w:p>
            <w:pPr>
              <w:spacing w:after="0"/>
              <w:rPr>
                <w:sz w:val="23"/>
                <w:szCs w:val="23"/>
                <w:color w:val="auto"/>
              </w:rPr>
            </w:pPr>
          </w:p>
        </w:tc>
        <w:tc>
          <w:tcPr>
            <w:tcW w:w="3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2.17 %</w:t>
            </w:r>
          </w:p>
        </w:tc>
      </w:tr>
      <w:tr>
        <w:trPr>
          <w:trHeight w:val="193"/>
        </w:trPr>
        <w:tc>
          <w:tcPr>
            <w:tcW w:w="7560" w:type="dxa"/>
            <w:vAlign w:val="bottom"/>
          </w:tcPr>
          <w:p>
            <w:pPr>
              <w:ind w:left="20"/>
              <w:spacing w:after="0" w:line="193" w:lineRule="exact"/>
              <w:rPr>
                <w:sz w:val="20"/>
                <w:szCs w:val="20"/>
                <w:color w:val="auto"/>
              </w:rPr>
            </w:pPr>
            <w:r>
              <w:rPr>
                <w:rFonts w:ascii="Arial" w:cs="Arial" w:eastAsia="Arial" w:hAnsi="Arial"/>
                <w:sz w:val="18"/>
                <w:szCs w:val="18"/>
                <w:color w:val="auto"/>
              </w:rPr>
              <w:t>Ratio of net investment income</w:t>
            </w: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66"/>
        </w:trPr>
        <w:tc>
          <w:tcPr>
            <w:tcW w:w="7560" w:type="dxa"/>
            <w:vAlign w:val="bottom"/>
          </w:tcPr>
          <w:p>
            <w:pPr>
              <w:ind w:left="240"/>
              <w:spacing w:after="0" w:line="266" w:lineRule="exact"/>
              <w:rPr>
                <w:sz w:val="20"/>
                <w:szCs w:val="20"/>
                <w:color w:val="auto"/>
              </w:rPr>
            </w:pPr>
            <w:r>
              <w:rPr>
                <w:rFonts w:ascii="Arial" w:cs="Arial" w:eastAsia="Arial" w:hAnsi="Arial"/>
                <w:sz w:val="18"/>
                <w:szCs w:val="18"/>
                <w:color w:val="auto"/>
              </w:rPr>
              <w:t xml:space="preserve">to average net assets with management fee waiver </w:t>
            </w:r>
            <w:r>
              <w:rPr>
                <w:rFonts w:ascii="Arial" w:cs="Arial" w:eastAsia="Arial" w:hAnsi="Arial"/>
                <w:sz w:val="24"/>
                <w:szCs w:val="24"/>
                <w:color w:val="auto"/>
                <w:vertAlign w:val="superscript"/>
              </w:rPr>
              <w:t>(4)</w:t>
            </w:r>
          </w:p>
        </w:tc>
        <w:tc>
          <w:tcPr>
            <w:tcW w:w="260" w:type="dxa"/>
            <w:vAlign w:val="bottom"/>
          </w:tcPr>
          <w:p>
            <w:pPr>
              <w:spacing w:after="0"/>
              <w:rPr>
                <w:sz w:val="23"/>
                <w:szCs w:val="23"/>
                <w:color w:val="auto"/>
              </w:rPr>
            </w:pPr>
          </w:p>
        </w:tc>
        <w:tc>
          <w:tcPr>
            <w:tcW w:w="3420" w:type="dxa"/>
            <w:vAlign w:val="bottom"/>
            <w:gridSpan w:val="2"/>
          </w:tcPr>
          <w:p>
            <w:pPr>
              <w:jc w:val="right"/>
              <w:ind w:right="280"/>
              <w:spacing w:after="0"/>
              <w:rPr>
                <w:sz w:val="20"/>
                <w:szCs w:val="20"/>
                <w:color w:val="auto"/>
              </w:rPr>
            </w:pPr>
            <w:r>
              <w:rPr>
                <w:rFonts w:ascii="Arial" w:cs="Arial" w:eastAsia="Arial" w:hAnsi="Arial"/>
                <w:sz w:val="18"/>
                <w:szCs w:val="18"/>
                <w:color w:val="auto"/>
              </w:rPr>
              <w:t>3.21 %</w:t>
            </w: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Portfolio turnover</w:t>
            </w:r>
          </w:p>
        </w:tc>
        <w:tc>
          <w:tcPr>
            <w:tcW w:w="260" w:type="dxa"/>
            <w:vAlign w:val="bottom"/>
            <w:shd w:val="clear" w:color="auto" w:fill="CFF0FC"/>
          </w:tcPr>
          <w:p>
            <w:pPr>
              <w:spacing w:after="0"/>
              <w:rPr>
                <w:sz w:val="21"/>
                <w:szCs w:val="21"/>
                <w:color w:val="auto"/>
              </w:rPr>
            </w:pPr>
          </w:p>
        </w:tc>
        <w:tc>
          <w:tcPr>
            <w:tcW w:w="3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0.00 %</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Net assets, end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546,711</w:t>
            </w: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-2717165</wp:posOffset>
            </wp:positionV>
            <wp:extent cx="68580" cy="163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-2400300</wp:posOffset>
            </wp:positionV>
            <wp:extent cx="6858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-2074545</wp:posOffset>
            </wp:positionV>
            <wp:extent cx="68580" cy="3003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pacing w:after="0" w:line="194"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per share data was derived by using the weighted average common shares from the Commencement of Operations through December 31, 2022.</w:t>
      </w:r>
    </w:p>
    <w:p>
      <w:pPr>
        <w:spacing w:after="0" w:line="46" w:lineRule="exact"/>
        <w:rPr>
          <w:rFonts w:ascii="Arial" w:cs="Arial" w:eastAsia="Arial" w:hAnsi="Arial"/>
          <w:sz w:val="16"/>
          <w:szCs w:val="16"/>
          <w:color w:val="auto"/>
        </w:rPr>
      </w:pPr>
    </w:p>
    <w:p>
      <w:pPr>
        <w:ind w:left="520" w:right="660" w:hanging="512"/>
        <w:spacing w:after="0" w:line="250"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from the Commencement of Operations through December 31, 2022 and has not been annualized.</w:t>
      </w:r>
    </w:p>
    <w:p>
      <w:pPr>
        <w:ind w:left="520" w:hanging="512"/>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9" w:lineRule="exact"/>
        <w:rPr>
          <w:rFonts w:ascii="Arial" w:cs="Arial" w:eastAsia="Arial" w:hAnsi="Arial"/>
          <w:sz w:val="18"/>
          <w:szCs w:val="18"/>
          <w:color w:val="auto"/>
        </w:rPr>
      </w:pPr>
    </w:p>
    <w:p>
      <w:pPr>
        <w:ind w:left="520" w:right="200" w:hanging="512"/>
        <w:spacing w:after="0" w:line="260"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ratio represents information from April 5th (Inception) through December 31, 2022 on an annualized basis, except for nonrecurring expenses, such as organizational and offering expenses, which are not annualized.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Selected Quarterly Financial Data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4"/>
                <w:szCs w:val="14"/>
                <w:color w:val="auto"/>
              </w:rPr>
            </w:pPr>
          </w:p>
        </w:tc>
        <w:tc>
          <w:tcPr>
            <w:tcW w:w="1180" w:type="dxa"/>
            <w:vAlign w:val="bottom"/>
          </w:tcPr>
          <w:p>
            <w:pPr>
              <w:jc w:val="right"/>
              <w:ind w:right="613"/>
              <w:spacing w:after="0"/>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Income</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16,189</w:t>
            </w:r>
          </w:p>
        </w:tc>
        <w:tc>
          <w:tcPr>
            <w:tcW w:w="28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Net Expenses </w:t>
            </w:r>
            <w:r>
              <w:rPr>
                <w:rFonts w:ascii="Arial" w:cs="Arial" w:eastAsia="Arial" w:hAnsi="Arial"/>
                <w:sz w:val="24"/>
                <w:szCs w:val="24"/>
                <w:color w:val="auto"/>
                <w:vertAlign w:val="superscript"/>
              </w:rPr>
              <w:t>(1)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8,948</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4"/>
                <w:szCs w:val="24"/>
                <w:color w:val="auto"/>
                <w:vertAlign w:val="superscript"/>
              </w:rPr>
              <w:t>(2)</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(707 )</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(2,120 )</w:t>
            </w:r>
          </w:p>
        </w:tc>
        <w:tc>
          <w:tcPr>
            <w:tcW w:w="20" w:type="dxa"/>
            <w:vAlign w:val="bottom"/>
          </w:tcPr>
          <w:p>
            <w:pPr>
              <w:spacing w:after="0"/>
              <w:rPr>
                <w:sz w:val="20"/>
                <w:szCs w:val="20"/>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(decrease) in Net Assets Resulting from Operations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(330 )</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16"/>
          <w:szCs w:val="16"/>
          <w:color w:val="auto"/>
        </w:rPr>
      </w:pPr>
      <w:r>
        <w:rPr>
          <w:rFonts w:ascii="Arial" w:cs="Arial" w:eastAsia="Arial" w:hAnsi="Arial"/>
          <w:sz w:val="18"/>
          <w:szCs w:val="18"/>
          <w:color w:val="auto"/>
        </w:rPr>
        <w:t>Net expenses include income taxes, including any excise taxes.</w:t>
      </w:r>
    </w:p>
    <w:p>
      <w:pPr>
        <w:spacing w:after="0" w:line="23" w:lineRule="exact"/>
        <w:rPr>
          <w:rFonts w:ascii="Arial" w:cs="Arial" w:eastAsia="Arial" w:hAnsi="Arial"/>
          <w:sz w:val="16"/>
          <w:szCs w:val="16"/>
          <w:color w:val="auto"/>
        </w:rPr>
      </w:pPr>
    </w:p>
    <w:p>
      <w:pPr>
        <w:ind w:left="520" w:hanging="512"/>
        <w:spacing w:after="0"/>
        <w:tabs>
          <w:tab w:leader="none" w:pos="520" w:val="left"/>
        </w:tabs>
        <w:numPr>
          <w:ilvl w:val="0"/>
          <w:numId w:val="79"/>
        </w:numPr>
        <w:rPr>
          <w:rFonts w:ascii="Arial" w:cs="Arial" w:eastAsia="Arial" w:hAnsi="Arial"/>
          <w:sz w:val="16"/>
          <w:szCs w:val="16"/>
          <w:color w:val="auto"/>
        </w:rPr>
      </w:pPr>
      <w:r>
        <w:rPr>
          <w:rFonts w:ascii="Arial" w:cs="Arial" w:eastAsia="Arial" w:hAnsi="Arial"/>
          <w:sz w:val="18"/>
          <w:szCs w:val="18"/>
          <w:color w:val="auto"/>
        </w:rPr>
        <w:t>Net investment income excludes (943) of expenses incurred at formation.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period ended December 31, 2022.</w:t>
      </w: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37" w:right="6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right="240" w:firstLine="255"/>
        <w:spacing w:after="0" w:line="29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1" w:lineRule="exact"/>
        <w:rPr>
          <w:sz w:val="20"/>
          <w:szCs w:val="20"/>
          <w:color w:val="auto"/>
        </w:rPr>
      </w:pPr>
    </w:p>
    <w:p>
      <w:pPr>
        <w:ind w:right="280" w:firstLine="255"/>
        <w:spacing w:after="0" w:line="293" w:lineRule="auto"/>
        <w:rPr>
          <w:sz w:val="20"/>
          <w:szCs w:val="20"/>
          <w:color w:val="auto"/>
        </w:rPr>
      </w:pPr>
      <w:r>
        <w:rPr>
          <w:rFonts w:ascii="Arial" w:cs="Arial" w:eastAsia="Arial" w:hAnsi="Arial"/>
          <w:sz w:val="16"/>
          <w:szCs w:val="16"/>
          <w:b w:val="1"/>
          <w:bCs w:val="1"/>
          <w:i w:val="1"/>
          <w:iCs w:val="1"/>
          <w:color w:val="auto"/>
        </w:rPr>
        <w:t xml:space="preserve">Management’s Report on Internal Control Over Financial Reporting. </w:t>
      </w:r>
      <w:r>
        <w:rPr>
          <w:rFonts w:ascii="Arial" w:cs="Arial" w:eastAsia="Arial" w:hAnsi="Arial"/>
          <w:sz w:val="16"/>
          <w:szCs w:val="16"/>
          <w:color w:val="auto"/>
        </w:rPr>
        <w:t>Our management is responsible for establishing and maintaining adequate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internal 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(2013 COSO Framework). Based on our evaluation under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w:t>
      </w:r>
      <w:r>
        <w:rPr>
          <w:rFonts w:ascii="Arial" w:cs="Arial" w:eastAsia="Arial" w:hAnsi="Arial"/>
          <w:sz w:val="16"/>
          <w:szCs w:val="16"/>
          <w:color w:val="auto"/>
        </w:rPr>
        <w:t>, management concluded that our internal control over financial reporting was effective as of December 31, 2022.</w:t>
      </w:r>
    </w:p>
    <w:p>
      <w:pPr>
        <w:spacing w:after="0" w:line="16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right="440" w:firstLine="255"/>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TRUSTEES, EXECUTIVE OFFICERS AND CORPORATE GOVERNANCE</w:t>
      </w:r>
    </w:p>
    <w:p>
      <w:pPr>
        <w:spacing w:after="0" w:line="229" w:lineRule="exact"/>
        <w:rPr>
          <w:sz w:val="20"/>
          <w:szCs w:val="20"/>
          <w:color w:val="auto"/>
        </w:rPr>
      </w:pPr>
    </w:p>
    <w:p>
      <w:pPr>
        <w:ind w:right="120" w:firstLine="225"/>
        <w:spacing w:after="0" w:line="296" w:lineRule="auto"/>
        <w:rPr>
          <w:sz w:val="20"/>
          <w:szCs w:val="20"/>
          <w:color w:val="auto"/>
        </w:rPr>
      </w:pPr>
      <w:r>
        <w:rPr>
          <w:rFonts w:ascii="Arial" w:cs="Arial" w:eastAsia="Arial" w:hAnsi="Arial"/>
          <w:sz w:val="16"/>
          <w:szCs w:val="16"/>
          <w:color w:val="auto"/>
        </w:rPr>
        <w:t>Our business and affairs are managed under the direction of the Board of Trustees. The responsibilities of the Board of Trustees include, among other things, the oversight of our investment activities, the quarterly and non-quarterly valuation of our assets, oversight of our financing arrangements and corporate governance activities. Our Board of Trustees consists of seven members, four of whom are not “interested persons” of the Company or of the Adviser as defined in Section 2(a)(19) of the 1940 Act and are “independent,” as determined by the Board of Trustees. These individuals are referred to as “Independent Trustees.” Our Board of Trustees elects the Company’s executive officers, who serve at the discretion of the Board of Trustees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of Trustees and Executive Officers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Trustees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regarding the Board of Trustees is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44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460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Trustee Since</w:t>
            </w:r>
          </w:p>
        </w:tc>
      </w:tr>
      <w:tr>
        <w:trPr>
          <w:trHeight w:val="237"/>
        </w:trPr>
        <w:tc>
          <w:tcPr>
            <w:tcW w:w="3440" w:type="dxa"/>
            <w:vAlign w:val="bottom"/>
          </w:tcPr>
          <w:p>
            <w:pPr>
              <w:spacing w:after="0"/>
              <w:rPr>
                <w:sz w:val="20"/>
                <w:szCs w:val="20"/>
                <w:color w:val="auto"/>
              </w:rPr>
            </w:pPr>
            <w:r>
              <w:rPr>
                <w:rFonts w:ascii="Arial" w:cs="Arial" w:eastAsia="Arial" w:hAnsi="Arial"/>
                <w:sz w:val="18"/>
                <w:szCs w:val="18"/>
                <w:b w:val="1"/>
                <w:bCs w:val="1"/>
                <w:color w:val="auto"/>
              </w:rPr>
              <w:t>Interested Trustee:</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Joshua Easterly</w:t>
            </w:r>
          </w:p>
        </w:tc>
        <w:tc>
          <w:tcPr>
            <w:tcW w:w="6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46</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Chair of the Board, Trustee</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2022</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Jennifer Gordon</w:t>
            </w:r>
          </w:p>
        </w:tc>
        <w:tc>
          <w:tcPr>
            <w:tcW w:w="6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47</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Trustee</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2022</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David Stiepleman</w:t>
            </w:r>
          </w:p>
        </w:tc>
        <w:tc>
          <w:tcPr>
            <w:tcW w:w="6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51</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Trustee</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2022</w:t>
            </w:r>
          </w:p>
        </w:tc>
      </w:tr>
      <w:tr>
        <w:trPr>
          <w:trHeight w:val="243"/>
        </w:trPr>
        <w:tc>
          <w:tcPr>
            <w:tcW w:w="3440" w:type="dxa"/>
            <w:vAlign w:val="bottom"/>
          </w:tcPr>
          <w:p>
            <w:pPr>
              <w:spacing w:after="0"/>
              <w:rPr>
                <w:sz w:val="20"/>
                <w:szCs w:val="20"/>
                <w:color w:val="auto"/>
              </w:rPr>
            </w:pPr>
            <w:r>
              <w:rPr>
                <w:rFonts w:ascii="Arial" w:cs="Arial" w:eastAsia="Arial" w:hAnsi="Arial"/>
                <w:sz w:val="18"/>
                <w:szCs w:val="18"/>
                <w:b w:val="1"/>
                <w:bCs w:val="1"/>
                <w:color w:val="auto"/>
              </w:rPr>
              <w:t>Independent Trustees: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Richard Higginbotham</w:t>
            </w:r>
          </w:p>
        </w:tc>
        <w:tc>
          <w:tcPr>
            <w:tcW w:w="6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75</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Trustee</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2022</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Hurley Doddy</w:t>
            </w:r>
          </w:p>
        </w:tc>
        <w:tc>
          <w:tcPr>
            <w:tcW w:w="6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59</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Trustee</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2022</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Judy Slotkin</w:t>
            </w:r>
          </w:p>
        </w:tc>
        <w:tc>
          <w:tcPr>
            <w:tcW w:w="6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69</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Trustee</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2022</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Ronald Tanemura</w:t>
            </w:r>
          </w:p>
        </w:tc>
        <w:tc>
          <w:tcPr>
            <w:tcW w:w="6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59</w:t>
            </w: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Trustee</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2022</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trustee will hold office until his or her death, resignation, removal or disqualification. The address for each of our trustees is c/o Sixth Street Lending Partners, 2100 McKinney Avenue, Suite 1500, Dallas, TX 75201.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executive officers of the Company that are not Trustees is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Ian Simmonds</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51</w:t>
            </w: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Michael Graf</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40</w:t>
            </w: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Deputy Chief Financial Officer, Vice President and Principal</w:t>
            </w:r>
          </w:p>
        </w:tc>
      </w:tr>
      <w:tr>
        <w:trPr>
          <w:trHeight w:val="230"/>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Accounting Officer</w:t>
            </w: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Anton Brett</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35</w:t>
            </w: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Chief Compliance Officer and Secretary</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Each officer holds office at the pleasure of the Board until the next election of officers or until his or her successor is duly elected and qualifies.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Trustees</w:t>
      </w:r>
    </w:p>
    <w:p>
      <w:pPr>
        <w:spacing w:after="0" w:line="225" w:lineRule="exact"/>
        <w:rPr>
          <w:sz w:val="20"/>
          <w:szCs w:val="20"/>
          <w:color w:val="auto"/>
        </w:rPr>
      </w:pPr>
    </w:p>
    <w:p>
      <w:pPr>
        <w:jc w:val="both"/>
        <w:ind w:firstLine="334"/>
        <w:spacing w:after="0" w:line="277" w:lineRule="auto"/>
        <w:rPr>
          <w:sz w:val="20"/>
          <w:szCs w:val="20"/>
          <w:color w:val="auto"/>
        </w:rPr>
      </w:pPr>
      <w:r>
        <w:rPr>
          <w:rFonts w:ascii="Arial" w:cs="Arial" w:eastAsia="Arial" w:hAnsi="Arial"/>
          <w:sz w:val="18"/>
          <w:szCs w:val="18"/>
          <w:color w:val="auto"/>
        </w:rPr>
        <w:t>Our trustees have been divided into two groups — interested trustees and Independent Trustees. An interested trustee is an “interested person” as defined in Section 2(a)(19) of the 1940 Act. An Independent Trustee is a trustee who is not an “interested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Trustees</w:t>
      </w:r>
    </w:p>
    <w:p>
      <w:pPr>
        <w:spacing w:after="0" w:line="221" w:lineRule="exact"/>
        <w:rPr>
          <w:sz w:val="20"/>
          <w:szCs w:val="20"/>
          <w:color w:val="auto"/>
        </w:rPr>
      </w:pPr>
    </w:p>
    <w:p>
      <w:pPr>
        <w:jc w:val="both"/>
        <w:ind w:firstLine="302"/>
        <w:spacing w:after="0" w:line="258" w:lineRule="auto"/>
        <w:rPr>
          <w:sz w:val="20"/>
          <w:szCs w:val="20"/>
          <w:color w:val="auto"/>
        </w:rPr>
      </w:pPr>
      <w:r>
        <w:rPr>
          <w:rFonts w:ascii="Arial" w:cs="Arial" w:eastAsia="Arial" w:hAnsi="Arial"/>
          <w:sz w:val="18"/>
          <w:szCs w:val="18"/>
          <w:b w:val="1"/>
          <w:bCs w:val="1"/>
          <w:color w:val="auto"/>
        </w:rPr>
        <w:t xml:space="preserve">Joshua Easterly </w:t>
      </w:r>
      <w:r>
        <w:rPr>
          <w:rFonts w:ascii="Arial" w:cs="Arial" w:eastAsia="Arial" w:hAnsi="Arial"/>
          <w:sz w:val="18"/>
          <w:szCs w:val="18"/>
          <w:color w:val="auto"/>
        </w:rPr>
        <w:t>was appointed Chief Executive Officer of the Company in June 2022 and elected a trustee and Chairman of the Company in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2022. Mr. Easterly is a Co-Founding Partner and Co-President of Sixth Street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spacing w:after="0" w:line="275" w:lineRule="auto"/>
        <w:rPr>
          <w:sz w:val="20"/>
          <w:szCs w:val="20"/>
          <w:color w:val="auto"/>
        </w:rPr>
      </w:pPr>
      <w:r>
        <w:rPr>
          <w:rFonts w:ascii="Arial" w:cs="Arial" w:eastAsia="Arial" w:hAnsi="Arial"/>
          <w:sz w:val="17"/>
          <w:szCs w:val="17"/>
          <w:color w:val="auto"/>
        </w:rPr>
        <w:t>Prior to joining Goldman, Sachs &amp; Co. in March 2006, Mr. Easterly was Senior Vice President, Northeast Regional Originations Manager at Wells Fargo Capital Finance, or WFCF, formerly known as Wells Fargo Foothill and Foothill Capital Corporation, the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172" w:lineRule="exact"/>
        <w:rPr>
          <w:sz w:val="20"/>
          <w:szCs w:val="20"/>
          <w:color w:val="auto"/>
        </w:rPr>
      </w:pPr>
    </w:p>
    <w:p>
      <w:pPr>
        <w:jc w:val="both"/>
        <w:ind w:firstLine="312"/>
        <w:spacing w:after="0" w:line="298" w:lineRule="auto"/>
        <w:rPr>
          <w:sz w:val="20"/>
          <w:szCs w:val="20"/>
          <w:color w:val="auto"/>
        </w:rPr>
      </w:pPr>
      <w:r>
        <w:rPr>
          <w:rFonts w:ascii="Arial" w:cs="Arial" w:eastAsia="Arial" w:hAnsi="Arial"/>
          <w:sz w:val="16"/>
          <w:szCs w:val="16"/>
          <w:b w:val="1"/>
          <w:bCs w:val="1"/>
          <w:color w:val="auto"/>
        </w:rPr>
        <w:t xml:space="preserve">Jennifer Gordon </w:t>
      </w:r>
      <w:r>
        <w:rPr>
          <w:rFonts w:ascii="Arial" w:cs="Arial" w:eastAsia="Arial" w:hAnsi="Arial"/>
          <w:sz w:val="16"/>
          <w:szCs w:val="16"/>
          <w:color w:val="auto"/>
        </w:rPr>
        <w:t>was elected a trustee of the Company in June 2022. Ms. Gordon is a Vice President of the Company and is a Partner, Co-Chief</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Officer and Chief Compliance Officer of Sixth Street. Prior to joining Sixth Street, from 2004 to 2014, she held various positions at Goldman, Sachs &amp; Co., including most recently as a Managing Director co-heading 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w:t>
      </w:r>
    </w:p>
    <w:p>
      <w:pPr>
        <w:spacing w:after="0" w:line="154" w:lineRule="exact"/>
        <w:rPr>
          <w:sz w:val="20"/>
          <w:szCs w:val="20"/>
          <w:color w:val="auto"/>
        </w:rPr>
      </w:pPr>
    </w:p>
    <w:p>
      <w:pPr>
        <w:jc w:val="both"/>
        <w:ind w:firstLine="371"/>
        <w:spacing w:after="0" w:line="273" w:lineRule="auto"/>
        <w:rPr>
          <w:sz w:val="20"/>
          <w:szCs w:val="20"/>
          <w:color w:val="auto"/>
        </w:rPr>
      </w:pPr>
      <w:r>
        <w:rPr>
          <w:rFonts w:ascii="Arial" w:cs="Arial" w:eastAsia="Arial" w:hAnsi="Arial"/>
          <w:sz w:val="17"/>
          <w:szCs w:val="17"/>
          <w:b w:val="1"/>
          <w:bCs w:val="1"/>
          <w:color w:val="auto"/>
        </w:rPr>
        <w:t xml:space="preserve">David Stiepleman </w:t>
      </w:r>
      <w:r>
        <w:rPr>
          <w:rFonts w:ascii="Arial" w:cs="Arial" w:eastAsia="Arial" w:hAnsi="Arial"/>
          <w:sz w:val="17"/>
          <w:szCs w:val="17"/>
          <w:color w:val="auto"/>
        </w:rPr>
        <w:t>was elected a trustee of the Company in June 2022. Mr. Stiepleman is a Vice President of the Company. He is a Co-Founding</w:t>
      </w:r>
      <w:r>
        <w:rPr>
          <w:rFonts w:ascii="Arial" w:cs="Arial" w:eastAsia="Arial" w:hAnsi="Arial"/>
          <w:sz w:val="17"/>
          <w:szCs w:val="17"/>
          <w:b w:val="1"/>
          <w:bCs w:val="1"/>
          <w:color w:val="auto"/>
        </w:rPr>
        <w:t xml:space="preserve"> </w:t>
      </w:r>
      <w:r>
        <w:rPr>
          <w:rFonts w:ascii="Arial" w:cs="Arial" w:eastAsia="Arial" w:hAnsi="Arial"/>
          <w:sz w:val="17"/>
          <w:szCs w:val="17"/>
          <w:color w:val="auto"/>
        </w:rPr>
        <w:t>Partner, Co-President and Co-Chief Operating Officer of Sixth Street. Mr. Stiepleman has been a cross-border corporate lawyer, senior executive and business builder for over 20 years, starting and running businesses, and representing clients, in the U.S., Europe and Asia. Mr. Stiepleman is a strategic advisor to Concrete Rose, an early stage investment platform deploying financial and social capital to underrepresented founders of color. He also serves on the Advisory Council for Mt. Tamalpais College (f/k/a Prison University Project), a college-degree awarding program at San Quentin Prison. Mr. Stiepleman received a B.A. in French and Political Science from Amherst College and a J.D. from Columbia University. Mr. Stiepleman’s legal, regulatory and operational experience provides the Board with valuable knowledge and guidance.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Trustees</w:t>
      </w:r>
    </w:p>
    <w:p>
      <w:pPr>
        <w:spacing w:after="0" w:line="221" w:lineRule="exact"/>
        <w:rPr>
          <w:sz w:val="20"/>
          <w:szCs w:val="20"/>
          <w:color w:val="auto"/>
        </w:rPr>
      </w:pPr>
    </w:p>
    <w:p>
      <w:pPr>
        <w:jc w:val="both"/>
        <w:ind w:firstLine="292"/>
        <w:spacing w:after="0" w:line="294"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trustee of the Company in June 2022. From September 2010, he was a director of Healthcare Finance Group</w:t>
      </w:r>
      <w:r>
        <w:rPr>
          <w:rFonts w:ascii="Arial" w:cs="Arial" w:eastAsia="Arial" w:hAnsi="Arial"/>
          <w:sz w:val="16"/>
          <w:szCs w:val="16"/>
          <w:b w:val="1"/>
          <w:bCs w:val="1"/>
          <w:color w:val="auto"/>
        </w:rPr>
        <w:t xml:space="preserve"> </w:t>
      </w:r>
      <w:r>
        <w:rPr>
          <w:rFonts w:ascii="Arial" w:cs="Arial" w:eastAsia="Arial" w:hAnsi="Arial"/>
          <w:sz w:val="16"/>
          <w:szCs w:val="16"/>
          <w:color w:val="auto"/>
        </w:rPr>
        <w:t>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60" w:lineRule="exact"/>
        <w:rPr>
          <w:sz w:val="20"/>
          <w:szCs w:val="20"/>
          <w:color w:val="auto"/>
        </w:rPr>
      </w:pPr>
    </w:p>
    <w:p>
      <w:pPr>
        <w:jc w:val="both"/>
        <w:ind w:firstLine="361"/>
        <w:spacing w:after="0" w:line="271" w:lineRule="auto"/>
        <w:rPr>
          <w:sz w:val="20"/>
          <w:szCs w:val="20"/>
          <w:color w:val="auto"/>
        </w:rPr>
      </w:pPr>
      <w:r>
        <w:rPr>
          <w:rFonts w:ascii="Arial" w:cs="Arial" w:eastAsia="Arial" w:hAnsi="Arial"/>
          <w:sz w:val="17"/>
          <w:szCs w:val="17"/>
          <w:b w:val="1"/>
          <w:bCs w:val="1"/>
          <w:color w:val="auto"/>
        </w:rPr>
        <w:t xml:space="preserve">Hurley Doddy </w:t>
      </w:r>
      <w:r>
        <w:rPr>
          <w:rFonts w:ascii="Arial" w:cs="Arial" w:eastAsia="Arial" w:hAnsi="Arial"/>
          <w:sz w:val="17"/>
          <w:szCs w:val="17"/>
          <w:color w:val="auto"/>
        </w:rPr>
        <w:t>was elected a trustee of the Company in June 2022. Mr. Doddy is a Managing Director, Founding Partner and Co-Chief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Emerging Capital Partners, a private equity fund manager focused on Africa. Mr. Doddy is an experienced chief executive and board director with over 38 years of investing for growth across international borders, over multiple business cycles and in many industries and has served on boards of companies listed in the US, Europe, and Africa. Prior to founding Emerging Capital Partners in 1999, Mr. Doddy was an Executive Director at Sumitomo Finance International in London. Mr. Doddy’s career in finance began at Salomon Brothers in 1984, lasting over 14 years with assignments in New York, Tokyo, and Sao Paulo where he gained a wealth of experience in bond trading, hedge management, fixed income &amp; equity derivatives, and emerging markets investing.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17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b w:val="1"/>
          <w:bCs w:val="1"/>
          <w:color w:val="auto"/>
        </w:rPr>
        <w:t xml:space="preserve">Judy Slotkin </w:t>
      </w:r>
      <w:r>
        <w:rPr>
          <w:rFonts w:ascii="Arial" w:cs="Arial" w:eastAsia="Arial" w:hAnsi="Arial"/>
          <w:sz w:val="17"/>
          <w:szCs w:val="17"/>
          <w:color w:val="auto"/>
        </w:rPr>
        <w:t>was elected a trustee of the Company in June 2022. Ms. Slotkin retired as a Managing Director from Bank of America in 2015, where she</w:t>
      </w:r>
      <w:r>
        <w:rPr>
          <w:rFonts w:ascii="Arial" w:cs="Arial" w:eastAsia="Arial" w:hAnsi="Arial"/>
          <w:sz w:val="17"/>
          <w:szCs w:val="17"/>
          <w:b w:val="1"/>
          <w:bCs w:val="1"/>
          <w:color w:val="auto"/>
        </w:rPr>
        <w:t xml:space="preserve"> </w:t>
      </w:r>
      <w:r>
        <w:rPr>
          <w:rFonts w:ascii="Arial" w:cs="Arial" w:eastAsia="Arial" w:hAnsi="Arial"/>
          <w:sz w:val="17"/>
          <w:szCs w:val="17"/>
          <w:color w:val="auto"/>
        </w:rPr>
        <w:t>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with valuable knowledge and insight in the financial services sector.</w:t>
      </w:r>
    </w:p>
    <w:p>
      <w:pPr>
        <w:spacing w:after="0" w:line="177"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8"/>
          <w:szCs w:val="18"/>
          <w:b w:val="1"/>
          <w:bCs w:val="1"/>
          <w:color w:val="auto"/>
        </w:rPr>
        <w:t xml:space="preserve">Ronald Tanemura </w:t>
      </w:r>
      <w:r>
        <w:rPr>
          <w:rFonts w:ascii="Arial" w:cs="Arial" w:eastAsia="Arial" w:hAnsi="Arial"/>
          <w:sz w:val="18"/>
          <w:szCs w:val="18"/>
          <w:color w:val="auto"/>
        </w:rPr>
        <w:t>was elected a trustee of the Company in June 2022. Since 2012, Mr. Tanemura has served as a director of post-reorganization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Lehman Brothers Holdings Inc. in New York. Also, from 2012 to 2019, he served as a non-executive director of ICE Clear Credit in Chicago and, from 2009 to 2019, he served as a non-executive director of ICE Clear Europe in London, both wholly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2" w:name="page103"/>
    <w:bookmarkEnd w:id="102"/>
    <w:p>
      <w:pPr>
        <w:jc w:val="both"/>
        <w:spacing w:after="0" w:line="273" w:lineRule="auto"/>
        <w:rPr>
          <w:sz w:val="20"/>
          <w:szCs w:val="20"/>
          <w:color w:val="auto"/>
        </w:rPr>
      </w:pPr>
      <w:r>
        <w:rPr>
          <w:rFonts w:ascii="Arial" w:cs="Arial" w:eastAsia="Arial" w:hAnsi="Arial"/>
          <w:sz w:val="17"/>
          <w:szCs w:val="17"/>
          <w:color w:val="auto"/>
        </w:rPr>
        <w:t>owned subsidiaries of Intercontinental 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and currently serves on the Board of Talcott Resolution Life Insurance Company and certain affiliates. Mr. Tanemura’s extensive experience in the financial markets provides the Board with valuable industry-specific knowledge.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Who Are Not Trustees</w:t>
      </w:r>
    </w:p>
    <w:p>
      <w:pPr>
        <w:spacing w:after="0" w:line="221"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b w:val="1"/>
          <w:bCs w:val="1"/>
          <w:color w:val="auto"/>
        </w:rPr>
        <w:t xml:space="preserve">Ian Simmonds </w:t>
      </w:r>
      <w:r>
        <w:rPr>
          <w:rFonts w:ascii="Arial" w:cs="Arial" w:eastAsia="Arial" w:hAnsi="Arial"/>
          <w:sz w:val="18"/>
          <w:szCs w:val="18"/>
          <w:color w:val="auto"/>
        </w:rPr>
        <w:t>is the Chief Financial Officer of the Company and a Managing Director of Sixth Street. From 2005 to 2015, Mr. Simmonds was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89" w:lineRule="exact"/>
        <w:rPr>
          <w:sz w:val="20"/>
          <w:szCs w:val="20"/>
          <w:color w:val="auto"/>
        </w:rPr>
      </w:pPr>
    </w:p>
    <w:p>
      <w:pPr>
        <w:jc w:val="both"/>
        <w:ind w:firstLine="235"/>
        <w:spacing w:after="0" w:line="303" w:lineRule="auto"/>
        <w:rPr>
          <w:sz w:val="20"/>
          <w:szCs w:val="20"/>
          <w:color w:val="auto"/>
        </w:rPr>
      </w:pPr>
      <w:r>
        <w:rPr>
          <w:rFonts w:ascii="Arial" w:cs="Arial" w:eastAsia="Arial" w:hAnsi="Arial"/>
          <w:sz w:val="16"/>
          <w:szCs w:val="16"/>
          <w:b w:val="1"/>
          <w:bCs w:val="1"/>
          <w:color w:val="auto"/>
        </w:rPr>
        <w:t xml:space="preserve">Michael Graf </w:t>
      </w:r>
      <w:r>
        <w:rPr>
          <w:rFonts w:ascii="Arial" w:cs="Arial" w:eastAsia="Arial" w:hAnsi="Arial"/>
          <w:sz w:val="16"/>
          <w:szCs w:val="16"/>
          <w:color w:val="auto"/>
        </w:rPr>
        <w:t>is Deputy Chief Financial Officer, Vice President and Principal Accounting Officer of the Company. From 2010 to 2013, Mr. Graf was a</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151" w:lineRule="exact"/>
        <w:rPr>
          <w:sz w:val="20"/>
          <w:szCs w:val="20"/>
          <w:color w:val="auto"/>
        </w:rPr>
      </w:pPr>
    </w:p>
    <w:p>
      <w:pPr>
        <w:jc w:val="both"/>
        <w:ind w:firstLine="283"/>
        <w:spacing w:after="0" w:line="293" w:lineRule="auto"/>
        <w:rPr>
          <w:sz w:val="20"/>
          <w:szCs w:val="20"/>
          <w:color w:val="auto"/>
        </w:rPr>
      </w:pPr>
      <w:r>
        <w:rPr>
          <w:rFonts w:ascii="Arial" w:cs="Arial" w:eastAsia="Arial" w:hAnsi="Arial"/>
          <w:sz w:val="16"/>
          <w:szCs w:val="16"/>
          <w:b w:val="1"/>
          <w:bCs w:val="1"/>
          <w:color w:val="auto"/>
        </w:rPr>
        <w:t xml:space="preserve">Anton Brett </w:t>
      </w:r>
      <w:r>
        <w:rPr>
          <w:rFonts w:ascii="Arial" w:cs="Arial" w:eastAsia="Arial" w:hAnsi="Arial"/>
          <w:sz w:val="16"/>
          <w:szCs w:val="16"/>
          <w:color w:val="auto"/>
        </w:rPr>
        <w:t>is the Chief Compliance Officer and Secretary of the Company and a Vice President of Sixth Street. Prior to joining Sixth Street, from</w:t>
      </w:r>
      <w:r>
        <w:rPr>
          <w:rFonts w:ascii="Arial" w:cs="Arial" w:eastAsia="Arial" w:hAnsi="Arial"/>
          <w:sz w:val="16"/>
          <w:szCs w:val="16"/>
          <w:b w:val="1"/>
          <w:bCs w:val="1"/>
          <w:color w:val="auto"/>
        </w:rPr>
        <w:t xml:space="preserve"> </w:t>
      </w:r>
      <w:r>
        <w:rPr>
          <w:rFonts w:ascii="Arial" w:cs="Arial" w:eastAsia="Arial" w:hAnsi="Arial"/>
          <w:sz w:val="16"/>
          <w:szCs w:val="16"/>
          <w:color w:val="auto"/>
        </w:rPr>
        <w:t>2017 to 2020, he was a Senior Associate at Scopia Capital Management, LP. From 2014 to 2017, Mr. Brett was an Associate at the law firm of Willkie Farr</w:t>
      </w:r>
    </w:p>
    <w:p>
      <w:pPr>
        <w:spacing w:after="0" w:line="1" w:lineRule="exact"/>
        <w:rPr>
          <w:sz w:val="20"/>
          <w:szCs w:val="20"/>
          <w:color w:val="auto"/>
        </w:rPr>
      </w:pPr>
    </w:p>
    <w:p>
      <w:pPr>
        <w:ind w:firstLine="8"/>
        <w:spacing w:after="0" w:line="260" w:lineRule="auto"/>
        <w:tabs>
          <w:tab w:leader="none" w:pos="198" w:val="left"/>
        </w:tabs>
        <w:numPr>
          <w:ilvl w:val="0"/>
          <w:numId w:val="80"/>
        </w:numPr>
        <w:rPr>
          <w:rFonts w:ascii="Arial" w:cs="Arial" w:eastAsia="Arial" w:hAnsi="Arial"/>
          <w:sz w:val="18"/>
          <w:szCs w:val="18"/>
          <w:color w:val="auto"/>
        </w:rPr>
      </w:pPr>
      <w:r>
        <w:rPr>
          <w:rFonts w:ascii="Arial" w:cs="Arial" w:eastAsia="Arial" w:hAnsi="Arial"/>
          <w:sz w:val="18"/>
          <w:szCs w:val="18"/>
          <w:color w:val="auto"/>
        </w:rPr>
        <w:t>Gallagher LLP. From 2009 to 2011, he was an Analyst, and later a Senior Analyst, at the law firm of Kobre &amp; Kim LLP. Mr. Brett holds a J.D. from Duke University School of Law and B.A. in International Relations and Slavic Studies, magna cum laude, from Brown University.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Officers Who Are Not Trustees</w:t>
      </w:r>
    </w:p>
    <w:p>
      <w:pPr>
        <w:spacing w:after="0" w:line="221"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8"/>
          <w:szCs w:val="18"/>
          <w:b w:val="1"/>
          <w:bCs w:val="1"/>
          <w:color w:val="auto"/>
        </w:rPr>
        <w:t xml:space="preserve">Robert (“Bo”) Stanley </w:t>
      </w:r>
      <w:r>
        <w:rPr>
          <w:rFonts w:ascii="Arial" w:cs="Arial" w:eastAsia="Arial" w:hAnsi="Arial"/>
          <w:sz w:val="18"/>
          <w:szCs w:val="18"/>
          <w:color w:val="auto"/>
        </w:rPr>
        <w:t>is a Vice President of the Company, a Partner of Sixth Street, and co-head of Sixth Street Growth. Mr. Stanley focuses on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originating transactions in the software, payment systems, data infrastructure and business services sectors. Mr. Stanley was previously with Wells Fargo Capital Finance, a provider of 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87" w:lineRule="exact"/>
        <w:rPr>
          <w:sz w:val="20"/>
          <w:szCs w:val="20"/>
          <w:color w:val="auto"/>
        </w:rPr>
      </w:pPr>
    </w:p>
    <w:p>
      <w:pPr>
        <w:jc w:val="both"/>
        <w:ind w:firstLine="283"/>
        <w:spacing w:after="0" w:line="270" w:lineRule="auto"/>
        <w:rPr>
          <w:sz w:val="20"/>
          <w:szCs w:val="20"/>
          <w:color w:val="auto"/>
        </w:rPr>
      </w:pPr>
      <w:r>
        <w:rPr>
          <w:rFonts w:ascii="Arial" w:cs="Arial" w:eastAsia="Arial" w:hAnsi="Arial"/>
          <w:sz w:val="17"/>
          <w:szCs w:val="17"/>
          <w:b w:val="1"/>
          <w:bCs w:val="1"/>
          <w:color w:val="auto"/>
        </w:rPr>
        <w:t xml:space="preserve">Alan Waxman </w:t>
      </w:r>
      <w:r>
        <w:rPr>
          <w:rFonts w:ascii="Arial" w:cs="Arial" w:eastAsia="Arial" w:hAnsi="Arial"/>
          <w:sz w:val="17"/>
          <w:szCs w:val="17"/>
          <w:color w:val="auto"/>
        </w:rPr>
        <w:t>is a Vice President of the Company. Mr. Waxman is a Co-Founding Partner and Chief Executive Officer of Sixth Street. Prior to 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Concrete Rose, an early stage investment platform deploying financial and social capital to underrepresented founders of color. He and other Sixth Street team members began advising Concrete Rose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 which are both focused on fighting poverty and inequality of opportunity in the San Francisco Bay Area.</w:t>
      </w:r>
    </w:p>
    <w:p>
      <w:pPr>
        <w:spacing w:after="0" w:line="177" w:lineRule="exact"/>
        <w:rPr>
          <w:sz w:val="20"/>
          <w:szCs w:val="20"/>
          <w:color w:val="auto"/>
        </w:rPr>
      </w:pPr>
    </w:p>
    <w:p>
      <w:pPr>
        <w:jc w:val="both"/>
        <w:ind w:firstLine="244"/>
        <w:spacing w:after="0" w:line="277" w:lineRule="auto"/>
        <w:rPr>
          <w:sz w:val="20"/>
          <w:szCs w:val="20"/>
          <w:color w:val="auto"/>
        </w:rPr>
      </w:pPr>
      <w:r>
        <w:rPr>
          <w:rFonts w:ascii="Arial" w:cs="Arial" w:eastAsia="Arial" w:hAnsi="Arial"/>
          <w:sz w:val="17"/>
          <w:szCs w:val="17"/>
          <w:b w:val="1"/>
          <w:bCs w:val="1"/>
          <w:color w:val="auto"/>
        </w:rPr>
        <w:t xml:space="preserve">Craig Hamrah </w:t>
      </w:r>
      <w:r>
        <w:rPr>
          <w:rFonts w:ascii="Arial" w:cs="Arial" w:eastAsia="Arial" w:hAnsi="Arial"/>
          <w:sz w:val="17"/>
          <w:szCs w:val="17"/>
          <w:color w:val="auto"/>
        </w:rPr>
        <w:t>is a Vice President of the Company, Senior Credit Underwriter of the Adviser and Managing Director of Sixth Street. Mr. Hamrah was</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with Silver Point Capital, where he was a senior deal underwriter and oversaw the portfolio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3" w:name="page104"/>
    <w:bookmarkEnd w:id="103"/>
    <w:p>
      <w:pPr>
        <w:jc w:val="both"/>
        <w:ind w:firstLine="254"/>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the Company. He is a Co-Founding Partner of Sixth Street and has also been the Chief Risk Officer since 2013,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the 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83" w:lineRule="exact"/>
        <w:rPr>
          <w:sz w:val="20"/>
          <w:szCs w:val="20"/>
          <w:color w:val="auto"/>
        </w:rPr>
      </w:pPr>
    </w:p>
    <w:p>
      <w:pPr>
        <w:jc w:val="both"/>
        <w:ind w:firstLine="283"/>
        <w:spacing w:after="0" w:line="272" w:lineRule="auto"/>
        <w:rPr>
          <w:sz w:val="20"/>
          <w:szCs w:val="20"/>
          <w:color w:val="auto"/>
        </w:rPr>
      </w:pPr>
      <w:r>
        <w:rPr>
          <w:rFonts w:ascii="Arial" w:cs="Arial" w:eastAsia="Arial" w:hAnsi="Arial"/>
          <w:sz w:val="17"/>
          <w:szCs w:val="17"/>
          <w:b w:val="1"/>
          <w:bCs w:val="1"/>
          <w:color w:val="auto"/>
        </w:rPr>
        <w:t xml:space="preserve">Michael Fishman </w:t>
      </w:r>
      <w:r>
        <w:rPr>
          <w:rFonts w:ascii="Arial" w:cs="Arial" w:eastAsia="Arial" w:hAnsi="Arial"/>
          <w:sz w:val="17"/>
          <w:szCs w:val="17"/>
          <w:color w:val="auto"/>
        </w:rPr>
        <w:t>is a Vice President of the Company and is a Sixth Street Partner. He has been an executive in corporate lending for more than 30</w:t>
      </w:r>
      <w:r>
        <w:rPr>
          <w:rFonts w:ascii="Arial" w:cs="Arial" w:eastAsia="Arial" w:hAnsi="Arial"/>
          <w:sz w:val="17"/>
          <w:szCs w:val="17"/>
          <w:b w:val="1"/>
          <w:bCs w:val="1"/>
          <w:color w:val="auto"/>
        </w:rPr>
        <w:t xml:space="preserve"> </w:t>
      </w:r>
      <w:r>
        <w:rPr>
          <w:rFonts w:ascii="Arial" w:cs="Arial" w:eastAsia="Arial" w:hAnsi="Arial"/>
          <w:sz w:val="17"/>
          <w:szCs w:val="17"/>
          <w:color w:val="auto"/>
        </w:rPr>
        <w:t>years with senior management experience in credit, portfolio management and primary loan originations. Prior to joining Sixth Street,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172" w:lineRule="exact"/>
        <w:rPr>
          <w:sz w:val="20"/>
          <w:szCs w:val="20"/>
          <w:color w:val="auto"/>
        </w:rPr>
      </w:pPr>
    </w:p>
    <w:p>
      <w:pPr>
        <w:jc w:val="both"/>
        <w:ind w:firstLine="235"/>
        <w:spacing w:after="0" w:line="298" w:lineRule="auto"/>
        <w:rPr>
          <w:sz w:val="20"/>
          <w:szCs w:val="20"/>
          <w:color w:val="auto"/>
        </w:rPr>
      </w:pPr>
      <w:r>
        <w:rPr>
          <w:rFonts w:ascii="Arial" w:cs="Arial" w:eastAsia="Arial" w:hAnsi="Arial"/>
          <w:sz w:val="16"/>
          <w:szCs w:val="16"/>
          <w:b w:val="1"/>
          <w:bCs w:val="1"/>
          <w:color w:val="auto"/>
        </w:rPr>
        <w:t xml:space="preserve">Joshua Peck </w:t>
      </w:r>
      <w:r>
        <w:rPr>
          <w:rFonts w:ascii="Arial" w:cs="Arial" w:eastAsia="Arial" w:hAnsi="Arial"/>
          <w:sz w:val="16"/>
          <w:szCs w:val="16"/>
          <w:color w:val="auto"/>
        </w:rPr>
        <w:t>is a Vice President of the Company and a Partner and General Counsel of Sixth Street. Prior to joining Sixth Street in 2015, Mr. Peck was</w:t>
      </w:r>
      <w:r>
        <w:rPr>
          <w:rFonts w:ascii="Arial" w:cs="Arial" w:eastAsia="Arial" w:hAnsi="Arial"/>
          <w:sz w:val="16"/>
          <w:szCs w:val="16"/>
          <w:b w:val="1"/>
          <w:bCs w:val="1"/>
          <w:color w:val="auto"/>
        </w:rPr>
        <w:t xml:space="preserve"> </w:t>
      </w:r>
      <w:r>
        <w:rPr>
          <w:rFonts w:ascii="Arial" w:cs="Arial" w:eastAsia="Arial" w:hAnsi="Arial"/>
          <w:sz w:val="16"/>
          <w:szCs w:val="16"/>
          <w:color w:val="auto"/>
        </w:rPr>
        <w:t>an Associate with Weil, Gotshal &amp; Manges LLP, focused on private equity and mergers and acquisitions. He holds a J.D. from Fordham Law School and a B.A. in Government from Cornell University. Mr. Peck serves on the Board of Directors of Legal Aid at Work, a non-profit legal services organization that has been assisting low-income, working families for one than 100 years. He also serves on the Advisory Council of the Law Firm Antiracism Alliance, which brings together law firms and legal services organizations to identify and dismantle structural and systemic racism in the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and Oversight Responsibilities</w:t>
      </w:r>
    </w:p>
    <w:p>
      <w:pPr>
        <w:spacing w:after="0" w:line="229" w:lineRule="exact"/>
        <w:rPr>
          <w:sz w:val="20"/>
          <w:szCs w:val="20"/>
          <w:color w:val="auto"/>
        </w:rPr>
      </w:pPr>
    </w:p>
    <w:p>
      <w:pPr>
        <w:jc w:val="both"/>
        <w:ind w:firstLine="370"/>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cybersecurity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Trustee and believe that we should maintain the flexibility to select the chairman and reorganize the leadership structure, from time to time, based on the criteria that is in our best interests and the best interests of our shareholders at such times.</w:t>
      </w:r>
    </w:p>
    <w:p>
      <w:pPr>
        <w:spacing w:after="0" w:line="187" w:lineRule="exact"/>
        <w:rPr>
          <w:sz w:val="20"/>
          <w:szCs w:val="20"/>
          <w:color w:val="auto"/>
        </w:rPr>
      </w:pPr>
    </w:p>
    <w:p>
      <w:pPr>
        <w:jc w:val="both"/>
        <w:ind w:firstLine="252"/>
        <w:spacing w:after="0" w:line="277" w:lineRule="auto"/>
        <w:rPr>
          <w:sz w:val="20"/>
          <w:szCs w:val="20"/>
          <w:color w:val="auto"/>
        </w:rPr>
      </w:pPr>
      <w:r>
        <w:rPr>
          <w:rFonts w:ascii="Arial" w:cs="Arial" w:eastAsia="Arial" w:hAnsi="Arial"/>
          <w:sz w:val="18"/>
          <w:szCs w:val="18"/>
          <w:color w:val="auto"/>
        </w:rPr>
        <w:t>Mr. Easterly will serve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jc w:val="both"/>
        <w:ind w:firstLine="379"/>
        <w:spacing w:after="0" w:line="288" w:lineRule="auto"/>
        <w:rPr>
          <w:sz w:val="20"/>
          <w:szCs w:val="20"/>
          <w:color w:val="auto"/>
        </w:rPr>
      </w:pPr>
      <w:r>
        <w:rPr>
          <w:rFonts w:ascii="Arial" w:cs="Arial" w:eastAsia="Arial" w:hAnsi="Arial"/>
          <w:sz w:val="16"/>
          <w:szCs w:val="16"/>
          <w:color w:val="auto"/>
        </w:rPr>
        <w:t>Our Board does not currently have a designated lead Independent Trustee. We are aware of the potential conflicts that may arise when a non-Independent Trustee is chairman of the Board, but believe these potential conflicts are offset by our strong corporate governance practices. Our corporate governance practices will include regular meetings of the Independent Trustees in executive session without the presence of interested trustees and management, as well as the establishment of a Nominating and Corporate Governance Committee and an Audit Committee, each consisting solely of Independent Trustees for the purposes of the NYSE corporate governance rules and, in the case of the Audit Committee, Rule 10A-3 under the Securities Exchange Act of 1934, as amended (the “Exchange Act”). During executive sessions, the chairman of the Audit Committee or his designee will act as presiding trustee. In addition, our corporate governance practices include the appointment of our Chief Compliance Officer, with whom the Independent Trustees meet in executive session without the presence of interested trustees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68" w:lineRule="exact"/>
        <w:rPr>
          <w:sz w:val="20"/>
          <w:szCs w:val="20"/>
          <w:color w:val="auto"/>
        </w:rPr>
      </w:pPr>
    </w:p>
    <w:p>
      <w:pPr>
        <w:jc w:val="both"/>
        <w:ind w:right="20" w:firstLine="225"/>
        <w:spacing w:after="0" w:line="277" w:lineRule="auto"/>
        <w:rPr>
          <w:sz w:val="20"/>
          <w:szCs w:val="20"/>
          <w:color w:val="auto"/>
        </w:rPr>
      </w:pPr>
      <w:r>
        <w:rPr>
          <w:rFonts w:ascii="Arial" w:cs="Arial" w:eastAsia="Arial" w:hAnsi="Arial"/>
          <w:sz w:val="18"/>
          <w:szCs w:val="18"/>
          <w:color w:val="auto"/>
        </w:rPr>
        <w:t>Our Board will perform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jc w:val="both"/>
        <w:ind w:firstLine="303"/>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will assist the Board in fulfilling its risk oversight responsibilities. The Audit Committee’s risk oversight responsibilities will include overseeing our accounting and financial reporting processes, our systems of internal controls regarding finance and accounting, and audits of our financial statements. The Audit Committee will also discuss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4" w:name="page105"/>
    <w:bookmarkEnd w:id="104"/>
    <w:p>
      <w:pPr>
        <w:jc w:val="both"/>
        <w:ind w:firstLine="261"/>
        <w:spacing w:after="0" w:line="263" w:lineRule="auto"/>
        <w:rPr>
          <w:sz w:val="20"/>
          <w:szCs w:val="20"/>
          <w:color w:val="auto"/>
        </w:rPr>
      </w:pPr>
      <w:r>
        <w:rPr>
          <w:rFonts w:ascii="Arial" w:cs="Arial" w:eastAsia="Arial" w:hAnsi="Arial"/>
          <w:sz w:val="18"/>
          <w:szCs w:val="18"/>
          <w:color w:val="auto"/>
        </w:rPr>
        <w:t>Our Board will also perform its risk oversight responsibilities with the assistance of the Chief Compliance Officer. Our Chief Compliance Officer will prepare a written report annually discussing the adequacy and effectiveness of our compliance policies and procedures. The Chief Compliance Officer’s report, which will be reviewed by the Board, will address:</w:t>
      </w:r>
    </w:p>
    <w:p>
      <w:pPr>
        <w:spacing w:after="0" w:line="292" w:lineRule="exact"/>
        <w:rPr>
          <w:sz w:val="20"/>
          <w:szCs w:val="20"/>
          <w:color w:val="auto"/>
        </w:rPr>
      </w:pPr>
    </w:p>
    <w:p>
      <w:pPr>
        <w:ind w:left="1020" w:hanging="503"/>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compliance matter that has occurred about which the Board would reasonably need to know to oversee our compliance activities and risks.</w:t>
      </w:r>
    </w:p>
    <w:p>
      <w:pPr>
        <w:spacing w:after="0" w:line="170" w:lineRule="exact"/>
        <w:rPr>
          <w:sz w:val="20"/>
          <w:szCs w:val="20"/>
          <w:color w:val="auto"/>
        </w:rPr>
      </w:pPr>
    </w:p>
    <w:p>
      <w:pPr>
        <w:jc w:val="both"/>
        <w:ind w:firstLine="256"/>
        <w:spacing w:after="0" w:line="277" w:lineRule="auto"/>
        <w:rPr>
          <w:sz w:val="20"/>
          <w:szCs w:val="20"/>
          <w:color w:val="auto"/>
        </w:rPr>
      </w:pPr>
      <w:r>
        <w:rPr>
          <w:rFonts w:ascii="Arial" w:cs="Arial" w:eastAsia="Arial" w:hAnsi="Arial"/>
          <w:sz w:val="18"/>
          <w:szCs w:val="18"/>
          <w:color w:val="auto"/>
        </w:rPr>
        <w:t>In addition, the Chief Compliance Officer will meet separately in executive session with the Independent Trustees periodically, typically every quarter, but in no event less than once each year.</w:t>
      </w:r>
    </w:p>
    <w:p>
      <w:pPr>
        <w:spacing w:after="0" w:line="170" w:lineRule="exact"/>
        <w:rPr>
          <w:sz w:val="20"/>
          <w:szCs w:val="20"/>
          <w:color w:val="auto"/>
        </w:rPr>
      </w:pPr>
    </w:p>
    <w:p>
      <w:pPr>
        <w:jc w:val="both"/>
        <w:ind w:firstLine="268"/>
        <w:spacing w:after="0" w:line="272" w:lineRule="auto"/>
        <w:rPr>
          <w:sz w:val="20"/>
          <w:szCs w:val="20"/>
          <w:color w:val="auto"/>
        </w:rPr>
      </w:pPr>
      <w:r>
        <w:rPr>
          <w:rFonts w:ascii="Arial" w:cs="Arial" w:eastAsia="Arial" w:hAnsi="Arial"/>
          <w:sz w:val="17"/>
          <w:szCs w:val="17"/>
          <w:color w:val="auto"/>
        </w:rPr>
        <w:t>We believe that the Board’s role in risk oversight will be effective and appropriate given the extensive regulation to which we are already subject as a business development company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intend to elect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77"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8"/>
          <w:szCs w:val="18"/>
          <w:color w:val="auto"/>
        </w:rPr>
        <w:t>Further, we believe that the Board’s structure and practices will enhance its risk oversight because our Independent Trustees separately meet in executive sessions with the Chief Compliance Officer and independent registered public accounting firm without any conflict that could be perceived to discourage critical review.</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Trustees</w:t>
      </w:r>
    </w:p>
    <w:p>
      <w:pPr>
        <w:spacing w:after="0" w:line="225" w:lineRule="exact"/>
        <w:rPr>
          <w:sz w:val="20"/>
          <w:szCs w:val="20"/>
          <w:color w:val="auto"/>
        </w:rPr>
      </w:pPr>
    </w:p>
    <w:p>
      <w:pPr>
        <w:jc w:val="both"/>
        <w:ind w:firstLine="311"/>
        <w:spacing w:after="0" w:line="257" w:lineRule="auto"/>
        <w:rPr>
          <w:sz w:val="20"/>
          <w:szCs w:val="20"/>
          <w:color w:val="auto"/>
        </w:rPr>
      </w:pPr>
      <w:r>
        <w:rPr>
          <w:rFonts w:ascii="Arial" w:cs="Arial" w:eastAsia="Arial" w:hAnsi="Arial"/>
          <w:sz w:val="18"/>
          <w:szCs w:val="18"/>
          <w:color w:val="auto"/>
        </w:rPr>
        <w:t>Our Board has established procedures whereby our shareholders and other interested parties may communicate with any member of our Board, the chairman of any of our Board committees or with our non-management trustees as a group by mail addressed to the applicable trustees or trustee group, in the care of the Chief Compliance Officer, Anton Brett, Sixth Street Lending Partners, 888 7th Avenue, 35th Floor, New York, NY 10106. Such communications should specify the intended recipient or recipients. All such communications, other than unsolicited commercial solicitations, will be forwarded to the appropriate trustee, or trustees, for review.</w:t>
      </w:r>
    </w:p>
    <w:p>
      <w:pPr>
        <w:spacing w:after="0" w:line="18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Independent Trustees via email is available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currently have two standing committees: the Audit Committee and the Nominating and Corporate Governance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274"/>
        <w:spacing w:after="0" w:line="286" w:lineRule="auto"/>
        <w:rPr>
          <w:sz w:val="20"/>
          <w:szCs w:val="20"/>
          <w:color w:val="auto"/>
        </w:rPr>
      </w:pPr>
      <w:r>
        <w:rPr>
          <w:rFonts w:ascii="Arial" w:cs="Arial" w:eastAsia="Arial" w:hAnsi="Arial"/>
          <w:sz w:val="17"/>
          <w:szCs w:val="17"/>
          <w:color w:val="auto"/>
        </w:rPr>
        <w:t>The Audit Committee will operate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273" w:lineRule="exact"/>
        <w:rPr>
          <w:sz w:val="20"/>
          <w:szCs w:val="20"/>
          <w:color w:val="auto"/>
        </w:rPr>
      </w:pPr>
    </w:p>
    <w:p>
      <w:pPr>
        <w:ind w:left="1020" w:hanging="503"/>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5" w:name="page106"/>
    <w:bookmarkEnd w:id="105"/>
    <w:p>
      <w:pPr>
        <w:ind w:left="1020" w:hanging="503"/>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jc w:val="both"/>
        <w:ind w:firstLine="352"/>
        <w:spacing w:after="0" w:line="277" w:lineRule="auto"/>
        <w:rPr>
          <w:sz w:val="20"/>
          <w:szCs w:val="20"/>
          <w:color w:val="auto"/>
        </w:rPr>
      </w:pPr>
      <w:r>
        <w:rPr>
          <w:rFonts w:ascii="Arial" w:cs="Arial" w:eastAsia="Arial" w:hAnsi="Arial"/>
          <w:sz w:val="18"/>
          <w:szCs w:val="18"/>
          <w:color w:val="auto"/>
        </w:rPr>
        <w:t>Our Audit Committee will have the sole authority to approve the engagement, and review the performance of, our independent registered public accounting firm.</w:t>
      </w:r>
    </w:p>
    <w:p>
      <w:pPr>
        <w:spacing w:after="0" w:line="170" w:lineRule="exact"/>
        <w:rPr>
          <w:sz w:val="20"/>
          <w:szCs w:val="20"/>
          <w:color w:val="auto"/>
        </w:rPr>
      </w:pPr>
    </w:p>
    <w:p>
      <w:pPr>
        <w:jc w:val="both"/>
        <w:ind w:firstLine="287"/>
        <w:spacing w:after="0" w:line="263" w:lineRule="auto"/>
        <w:rPr>
          <w:sz w:val="20"/>
          <w:szCs w:val="20"/>
          <w:color w:val="auto"/>
        </w:rPr>
      </w:pPr>
      <w:r>
        <w:rPr>
          <w:rFonts w:ascii="Arial" w:cs="Arial" w:eastAsia="Arial" w:hAnsi="Arial"/>
          <w:sz w:val="18"/>
          <w:szCs w:val="18"/>
          <w:color w:val="auto"/>
        </w:rPr>
        <w:t>Our Board has designated Ms. Slotkin as an “audit committee financial expert” pursuant to the provisions of Item 407(d)(5) of Regulation S-K, and, pursuant to the Audit Committee Charter, our Audit Committee consists solely of members who are independent trustees for the purposes of the applicable NYSE corporate governance rules and Rule 10A-3 under the Exchange Act.</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Messrs, Higginbotham, Doddy, and Tanemura and Ms. Slotkin are members of the Audit Committee and Ms. Slotkin serves as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color w:val="auto"/>
        </w:rPr>
        <w:t>The Nominating and Corporate Governance Committee will operate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76" w:lineRule="exact"/>
        <w:rPr>
          <w:sz w:val="20"/>
          <w:szCs w:val="20"/>
          <w:color w:val="auto"/>
        </w:rPr>
      </w:pPr>
    </w:p>
    <w:p>
      <w:pPr>
        <w:ind w:left="1020" w:hanging="503"/>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selecting, researching and nominating trustees for election by our shareholders;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jc w:val="both"/>
        <w:ind w:firstLine="422"/>
        <w:spacing w:after="0" w:line="277" w:lineRule="auto"/>
        <w:rPr>
          <w:sz w:val="20"/>
          <w:szCs w:val="20"/>
          <w:color w:val="auto"/>
        </w:rPr>
      </w:pPr>
      <w:r>
        <w:rPr>
          <w:rFonts w:ascii="Arial" w:cs="Arial" w:eastAsia="Arial" w:hAnsi="Arial"/>
          <w:sz w:val="18"/>
          <w:szCs w:val="18"/>
          <w:color w:val="auto"/>
        </w:rPr>
        <w:t>The Nominating and Corporate Governance Committee will consider nominees to the Board recommended by a shareholder, if that shareholder complies with the advance notice provisions of our bylaws.</w:t>
      </w:r>
    </w:p>
    <w:p>
      <w:pPr>
        <w:spacing w:after="0" w:line="170" w:lineRule="exact"/>
        <w:rPr>
          <w:sz w:val="20"/>
          <w:szCs w:val="20"/>
          <w:color w:val="auto"/>
        </w:rPr>
      </w:pPr>
    </w:p>
    <w:p>
      <w:pPr>
        <w:jc w:val="both"/>
        <w:ind w:firstLine="306"/>
        <w:spacing w:after="0" w:line="286" w:lineRule="auto"/>
        <w:rPr>
          <w:sz w:val="20"/>
          <w:szCs w:val="20"/>
          <w:color w:val="auto"/>
        </w:rPr>
      </w:pPr>
      <w:r>
        <w:rPr>
          <w:rFonts w:ascii="Arial" w:cs="Arial" w:eastAsia="Arial" w:hAnsi="Arial"/>
          <w:sz w:val="17"/>
          <w:szCs w:val="17"/>
          <w:color w:val="auto"/>
        </w:rPr>
        <w:t>The members of the Nominating and Corporate Governance Committee are Messrs. Higginbotham, Doddy, and Tanemura and Ms. Slotkin, each of whom is independent for purposes of the NYSE corporate governance rules, and each of whom is not an “interested person” of the Company, of the Adviser, or of any of their respective affiliates as defined in Section 2(a)(19) of the 1940 Act. Mr. Higginbotham serves as Chairman.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229" w:lineRule="exact"/>
        <w:rPr>
          <w:sz w:val="20"/>
          <w:szCs w:val="20"/>
          <w:color w:val="auto"/>
        </w:rPr>
      </w:pPr>
    </w:p>
    <w:p>
      <w:pPr>
        <w:jc w:val="both"/>
        <w:ind w:right="200" w:firstLine="270"/>
        <w:spacing w:after="0" w:line="263" w:lineRule="auto"/>
        <w:rPr>
          <w:sz w:val="20"/>
          <w:szCs w:val="20"/>
          <w:color w:val="auto"/>
        </w:rPr>
      </w:pPr>
      <w:r>
        <w:rPr>
          <w:rFonts w:ascii="Arial" w:cs="Arial" w:eastAsia="Arial" w:hAnsi="Arial"/>
          <w:sz w:val="18"/>
          <w:szCs w:val="18"/>
          <w:color w:val="auto"/>
        </w:rPr>
        <w:t>Our Board of Trustees performs its risk oversight function primarily through (i) its standing committees, which report to the entire Board of Trustees and are comprised solely of independent Trustees, and (ii) active monitoring of our chief compliance officer and our compliance policies and procedures. Oversight of other risks is delegated to the committees.</w:t>
      </w:r>
    </w:p>
    <w:p>
      <w:pPr>
        <w:spacing w:after="0" w:line="184"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Oversight of our investment activities extends to oversight of the risk management processes employed by the Adviser as part of its day-to-day management of our investment activities. The Board of Trustees anticipates reviewing risk management processes at both regular and special board meetings throughout the year, consulting with appropriate representatives of the Adviser as necessary and periodically requesting the production of risk management reports or presentations. The goal of the Board of Trustee’s risk oversight function is to ensure that the risks associated with our investment activities are accurately identified, thoroughly investigated and responsibly addressed. Investors should note, however, that the Board of Trustees’ oversight function cannot eliminate all risks or ensure that particular events do not adversely affect the value of investments.</w:t>
      </w:r>
    </w:p>
    <w:p>
      <w:pPr>
        <w:spacing w:after="0" w:line="178"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We believe that the role of our Board of Trustees in risk oversight is effective and appropriate given the extensive regulation to which we are already subject as a BDC. As a BDC, we are required to comply with certain regulatory requirements that control the levels of risk in our business and operations. For example, we are limited in our ability to enter into transactions with our affiliates, including investing in any portfolio company in which one of our affiliates currently has an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00" w:firstLine="225"/>
        <w:spacing w:after="0" w:line="275" w:lineRule="auto"/>
        <w:rPr>
          <w:sz w:val="20"/>
          <w:szCs w:val="20"/>
          <w:color w:val="auto"/>
        </w:rPr>
      </w:pPr>
      <w:r>
        <w:rPr>
          <w:rFonts w:ascii="Arial" w:cs="Arial" w:eastAsia="Arial" w:hAnsi="Arial"/>
          <w:sz w:val="17"/>
          <w:szCs w:val="17"/>
          <w:color w:val="auto"/>
        </w:rPr>
        <w:t>Section 16(a) of the 1934 Act requires our executive officers, members of our Board, and persons who own more than 10% of our Common Shares to file initial reports of ownership and reports of changes in ownership with the SEC and furnish us with copies of all Section 16(a) forms they file. Based on our review of Forms 3, 4 and 5 filed by such persons, we believe that during the fiscal year ended December 31, 2022, except for filings made by persons who own more than 10% of our Common Shares, all Section 16(a) filing requirements applicable to such persons were met in a timely manner. The Public Institution for Social Security did not file a Form 3 and three Form 4s on a timely basis.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Dollar Range of Equity Securities Beneficially Owned by Trustees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December 31, 2022, no Trustees held any equity securities of the Company.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Compensation of Executive Officers</w:t>
      </w:r>
    </w:p>
    <w:p>
      <w:pPr>
        <w:spacing w:after="0" w:line="225" w:lineRule="exact"/>
        <w:rPr>
          <w:sz w:val="20"/>
          <w:szCs w:val="20"/>
          <w:color w:val="auto"/>
        </w:rPr>
      </w:pPr>
    </w:p>
    <w:p>
      <w:pPr>
        <w:ind w:firstLine="225"/>
        <w:spacing w:after="0" w:line="301" w:lineRule="auto"/>
        <w:rPr>
          <w:sz w:val="20"/>
          <w:szCs w:val="20"/>
          <w:color w:val="auto"/>
        </w:rPr>
      </w:pPr>
      <w:r>
        <w:rPr>
          <w:rFonts w:ascii="Arial" w:cs="Arial" w:eastAsia="Arial" w:hAnsi="Arial"/>
          <w:sz w:val="16"/>
          <w:szCs w:val="16"/>
          <w:color w:val="auto"/>
        </w:rPr>
        <w:t>We do not currently have any employees and do not expect to have any employees. Services necessary for our business are provided by individuals who are employees of our Adviser, which is also our Administrator, or its affiliates, pursuant to the terms of the Investment Advisory Agreement and the Administration Agreement, as applicable. Our day-to-day investment operations will be managed by the Adviser. Most of the services necessary for the sourcing and administration of our investment portfolio are provided by investment professionals employed by the Adviser or its affiliates.</w:t>
      </w:r>
    </w:p>
    <w:p>
      <w:pPr>
        <w:spacing w:after="0" w:line="15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For the avoidance of doubt, the Company will bear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Company (including, in each case, employees of the Administrator or an affiliate) who assist with the preparation, coordination, and administration of the foregoing or provide other “back office” or “middle office” financial or operational services to the Company. The Company reimburses the Adviser (or its affiliates) for an allocable portion of the compensation paid by the Adviser (or its affiliates) to such individuals (based on a percentage of time such individuals devote, on an estimated basis, to the business and affairs of the Company and in acting on behalf of the Company). See “</w:t>
      </w:r>
      <w:r>
        <w:rPr>
          <w:rFonts w:ascii="Arial" w:cs="Arial" w:eastAsia="Arial" w:hAnsi="Arial"/>
          <w:sz w:val="17"/>
          <w:szCs w:val="17"/>
          <w:i w:val="1"/>
          <w:iCs w:val="1"/>
          <w:color w:val="auto"/>
        </w:rPr>
        <w:t>ITEM 1. BUSINESS</w:t>
      </w:r>
      <w:r>
        <w:rPr>
          <w:rFonts w:ascii="Arial" w:cs="Arial" w:eastAsia="Arial" w:hAnsi="Arial"/>
          <w:sz w:val="17"/>
          <w:szCs w:val="17"/>
          <w:color w:val="auto"/>
        </w:rPr>
        <w:t>—</w:t>
      </w:r>
      <w:r>
        <w:rPr>
          <w:rFonts w:ascii="Arial" w:cs="Arial" w:eastAsia="Arial" w:hAnsi="Arial"/>
          <w:sz w:val="17"/>
          <w:szCs w:val="17"/>
          <w:i w:val="1"/>
          <w:iCs w:val="1"/>
          <w:color w:val="auto"/>
        </w:rPr>
        <w:t>Management Agreements</w:t>
      </w:r>
      <w:r>
        <w:rPr>
          <w:rFonts w:ascii="Arial" w:cs="Arial" w:eastAsia="Arial" w:hAnsi="Arial"/>
          <w:sz w:val="17"/>
          <w:szCs w:val="17"/>
          <w:color w:val="auto"/>
        </w:rPr>
        <w:t>” and “</w:t>
      </w:r>
      <w:r>
        <w:rPr>
          <w:rFonts w:ascii="Arial" w:cs="Arial" w:eastAsia="Arial" w:hAnsi="Arial"/>
          <w:sz w:val="17"/>
          <w:szCs w:val="17"/>
          <w:i w:val="1"/>
          <w:iCs w:val="1"/>
          <w:color w:val="auto"/>
        </w:rPr>
        <w:t>ITEM 7. CERTAIN RELATIONSHIPS AND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 AND TRUSTEE INDEPENDENCE</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Compensation of Trustees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pay each Independent Trustee the following amounts for serving as a trustee:</w:t>
      </w:r>
    </w:p>
    <w:p>
      <w:pPr>
        <w:spacing w:after="0" w:line="117" w:lineRule="exact"/>
        <w:rPr>
          <w:sz w:val="20"/>
          <w:szCs w:val="20"/>
          <w:color w:val="auto"/>
        </w:rPr>
      </w:pPr>
    </w:p>
    <w:p>
      <w:pPr>
        <w:ind w:left="1020" w:hanging="503"/>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$110,000 annual retainer;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$1,500 for each monthly telephonic update meeting attended;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additional fee of $15,000 per year for the chairman of the Audit Committee and $10,000 per year for the chairman of the Nominating and Corporate Governance Committee.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 compensation is paid to our trustees who are “interested persons,” as such term is defined in Section 2(a)(19) of the 1940 Act. We pay each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Independent Trustee as follows:</w:t>
      </w:r>
    </w:p>
    <w:p>
      <w:pPr>
        <w:spacing w:after="0" w:line="211"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We are also authorized to pay the reasonable out-of-pocket expenses of each Independent Trustee incurred by such trustee in connection with the fulfillment of his or her duties as an Independent Trustee.</w:t>
      </w:r>
    </w:p>
    <w:p>
      <w:pPr>
        <w:spacing w:after="0" w:line="36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66" w:lineRule="exact"/>
        <w:rPr>
          <w:sz w:val="20"/>
          <w:szCs w:val="20"/>
          <w:color w:val="auto"/>
        </w:rPr>
      </w:pPr>
    </w:p>
    <w:p>
      <w:pPr>
        <w:ind w:right="40" w:firstLine="225"/>
        <w:spacing w:after="0" w:line="263" w:lineRule="auto"/>
        <w:rPr>
          <w:sz w:val="20"/>
          <w:szCs w:val="20"/>
          <w:color w:val="auto"/>
        </w:rPr>
      </w:pPr>
      <w:r>
        <w:rPr>
          <w:rFonts w:ascii="Arial" w:cs="Arial" w:eastAsia="Arial" w:hAnsi="Arial"/>
          <w:sz w:val="18"/>
          <w:szCs w:val="18"/>
          <w:color w:val="auto"/>
        </w:rPr>
        <w:t>No trustee or officer holds any securities. The following table sets forth, as of December 31, 2022, the beneficial ownership of each person known to us to beneficially own 5% or more of the outstanding shares. Percentage of beneficial ownership is based on 21,882,028 shares outstanding as of December 31, 2022.</w:t>
      </w:r>
    </w:p>
    <w:p>
      <w:pPr>
        <w:spacing w:after="0" w:line="184" w:lineRule="exact"/>
        <w:rPr>
          <w:sz w:val="20"/>
          <w:szCs w:val="20"/>
          <w:color w:val="auto"/>
        </w:rPr>
      </w:pPr>
    </w:p>
    <w:p>
      <w:pPr>
        <w:ind w:right="300" w:firstLine="225"/>
        <w:spacing w:after="0" w:line="263"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shares. Ownership information for those persons who beneficially own 5% or more of our shares is based upon filings by such persons with the SEC and other information obtained from such persons, if available.</w:t>
      </w:r>
    </w:p>
    <w:p>
      <w:pPr>
        <w:spacing w:after="0" w:line="193" w:lineRule="exact"/>
        <w:rPr>
          <w:sz w:val="20"/>
          <w:szCs w:val="20"/>
          <w:color w:val="auto"/>
        </w:rPr>
      </w:pPr>
    </w:p>
    <w:p>
      <w:pPr>
        <w:ind w:left="3140"/>
        <w:spacing w:after="0"/>
        <w:tabs>
          <w:tab w:leader="none" w:pos="5960" w:val="left"/>
          <w:tab w:leader="none" w:pos="9000" w:val="left"/>
        </w:tabs>
        <w:rPr>
          <w:sz w:val="20"/>
          <w:szCs w:val="20"/>
          <w:color w:val="auto"/>
        </w:rPr>
      </w:pPr>
      <w:r>
        <w:rPr>
          <w:rFonts w:ascii="Arial" w:cs="Arial" w:eastAsia="Arial" w:hAnsi="Arial"/>
          <w:sz w:val="18"/>
          <w:szCs w:val="18"/>
          <w:b w:val="1"/>
          <w:bCs w:val="1"/>
          <w:color w:val="auto"/>
        </w:rPr>
        <w:t>Type of Ownshership</w:t>
      </w:r>
      <w:r>
        <w:rPr>
          <w:sz w:val="20"/>
          <w:szCs w:val="20"/>
          <w:color w:val="auto"/>
        </w:rPr>
        <w:tab/>
      </w:r>
      <w:r>
        <w:rPr>
          <w:rFonts w:ascii="Arial" w:cs="Arial" w:eastAsia="Arial" w:hAnsi="Arial"/>
          <w:sz w:val="18"/>
          <w:szCs w:val="18"/>
          <w:b w:val="1"/>
          <w:bCs w:val="1"/>
          <w:color w:val="auto"/>
        </w:rPr>
        <w:t>Number of Shares Owned</w:t>
      </w:r>
      <w:r>
        <w:rPr>
          <w:sz w:val="20"/>
          <w:szCs w:val="20"/>
          <w:color w:val="auto"/>
        </w:rPr>
        <w:tab/>
      </w:r>
      <w:r>
        <w:rPr>
          <w:rFonts w:ascii="Arial" w:cs="Arial" w:eastAsia="Arial" w:hAnsi="Arial"/>
          <w:sz w:val="15"/>
          <w:szCs w:val="15"/>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35190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51905" cy="8890"/>
                    </a:xfrm>
                    <a:prstGeom prst="rect">
                      <a:avLst/>
                    </a:prstGeom>
                    <a:noFill/>
                  </pic:spPr>
                </pic:pic>
              </a:graphicData>
            </a:graphic>
          </wp:anchor>
        </w:drawing>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Five-Percent Shareholder</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07" w:name="page108"/>
    <w:bookmarkEnd w:id="107"/>
    <w:tbl>
      <w:tblPr>
        <w:tblLayout w:type="fixed"/>
        <w:tblInd w:w="12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State of Michigan Retirement</w:t>
            </w:r>
          </w:p>
        </w:tc>
        <w:tc>
          <w:tcPr>
            <w:tcW w:w="2360" w:type="dxa"/>
            <w:vAlign w:val="bottom"/>
          </w:tcPr>
          <w:p>
            <w:pPr>
              <w:ind w:left="640"/>
              <w:spacing w:after="0"/>
              <w:rPr>
                <w:sz w:val="20"/>
                <w:szCs w:val="20"/>
                <w:color w:val="auto"/>
              </w:rPr>
            </w:pPr>
            <w:r>
              <w:rPr>
                <w:rFonts w:ascii="Arial" w:cs="Arial" w:eastAsia="Arial" w:hAnsi="Arial"/>
                <w:sz w:val="18"/>
                <w:szCs w:val="18"/>
                <w:color w:val="auto"/>
              </w:rPr>
              <w:t>Record</w:t>
            </w:r>
          </w:p>
        </w:tc>
        <w:tc>
          <w:tcPr>
            <w:tcW w:w="2840" w:type="dxa"/>
            <w:vAlign w:val="bottom"/>
          </w:tcPr>
          <w:p>
            <w:pPr>
              <w:jc w:val="right"/>
              <w:ind w:right="830"/>
              <w:spacing w:after="0"/>
              <w:rPr>
                <w:sz w:val="20"/>
                <w:szCs w:val="20"/>
                <w:color w:val="auto"/>
              </w:rPr>
            </w:pPr>
            <w:r>
              <w:rPr>
                <w:rFonts w:ascii="Arial" w:cs="Arial" w:eastAsia="Arial" w:hAnsi="Arial"/>
                <w:sz w:val="18"/>
                <w:szCs w:val="18"/>
                <w:color w:val="auto"/>
              </w:rPr>
              <w:t>5,405,827</w:t>
            </w:r>
          </w:p>
        </w:tc>
        <w:tc>
          <w:tcPr>
            <w:tcW w:w="1460" w:type="dxa"/>
            <w:vAlign w:val="bottom"/>
          </w:tcPr>
          <w:p>
            <w:pPr>
              <w:jc w:val="center"/>
              <w:ind w:left="810"/>
              <w:spacing w:after="0"/>
              <w:rPr>
                <w:sz w:val="20"/>
                <w:szCs w:val="20"/>
                <w:color w:val="auto"/>
              </w:rPr>
            </w:pPr>
            <w:r>
              <w:rPr>
                <w:rFonts w:ascii="Arial" w:cs="Arial" w:eastAsia="Arial" w:hAnsi="Arial"/>
                <w:sz w:val="18"/>
                <w:szCs w:val="18"/>
                <w:color w:val="auto"/>
                <w:w w:val="91"/>
              </w:rPr>
              <w:t>24.70%</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System (1)</w:t>
            </w:r>
          </w:p>
        </w:tc>
        <w:tc>
          <w:tcPr>
            <w:tcW w:w="23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The Public Institution for Social</w:t>
            </w:r>
          </w:p>
        </w:tc>
        <w:tc>
          <w:tcPr>
            <w:tcW w:w="2360" w:type="dxa"/>
            <w:vAlign w:val="bottom"/>
          </w:tcPr>
          <w:p>
            <w:pPr>
              <w:ind w:left="640"/>
              <w:spacing w:after="0"/>
              <w:rPr>
                <w:sz w:val="20"/>
                <w:szCs w:val="20"/>
                <w:color w:val="auto"/>
              </w:rPr>
            </w:pPr>
            <w:r>
              <w:rPr>
                <w:rFonts w:ascii="Arial" w:cs="Arial" w:eastAsia="Arial" w:hAnsi="Arial"/>
                <w:sz w:val="18"/>
                <w:szCs w:val="18"/>
                <w:color w:val="auto"/>
              </w:rPr>
              <w:t>Record</w:t>
            </w:r>
          </w:p>
        </w:tc>
        <w:tc>
          <w:tcPr>
            <w:tcW w:w="2840" w:type="dxa"/>
            <w:vAlign w:val="bottom"/>
          </w:tcPr>
          <w:p>
            <w:pPr>
              <w:jc w:val="right"/>
              <w:ind w:right="830"/>
              <w:spacing w:after="0"/>
              <w:rPr>
                <w:sz w:val="20"/>
                <w:szCs w:val="20"/>
                <w:color w:val="auto"/>
              </w:rPr>
            </w:pPr>
            <w:r>
              <w:rPr>
                <w:rFonts w:ascii="Arial" w:cs="Arial" w:eastAsia="Arial" w:hAnsi="Arial"/>
                <w:sz w:val="18"/>
                <w:szCs w:val="18"/>
                <w:color w:val="auto"/>
              </w:rPr>
              <w:t>4,324,662</w:t>
            </w:r>
          </w:p>
        </w:tc>
        <w:tc>
          <w:tcPr>
            <w:tcW w:w="1460" w:type="dxa"/>
            <w:vAlign w:val="bottom"/>
          </w:tcPr>
          <w:p>
            <w:pPr>
              <w:jc w:val="center"/>
              <w:ind w:left="810"/>
              <w:spacing w:after="0"/>
              <w:rPr>
                <w:sz w:val="20"/>
                <w:szCs w:val="20"/>
                <w:color w:val="auto"/>
              </w:rPr>
            </w:pPr>
            <w:r>
              <w:rPr>
                <w:rFonts w:ascii="Arial" w:cs="Arial" w:eastAsia="Arial" w:hAnsi="Arial"/>
                <w:sz w:val="18"/>
                <w:szCs w:val="18"/>
                <w:color w:val="auto"/>
                <w:w w:val="91"/>
              </w:rPr>
              <w:t>19.76%</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Security (2)</w:t>
            </w:r>
          </w:p>
        </w:tc>
        <w:tc>
          <w:tcPr>
            <w:tcW w:w="23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8"/>
                <w:szCs w:val="18"/>
                <w:color w:val="auto"/>
              </w:rPr>
              <w:t>Arizona PSPRS Trust (3)</w:t>
            </w:r>
          </w:p>
        </w:tc>
        <w:tc>
          <w:tcPr>
            <w:tcW w:w="2360" w:type="dxa"/>
            <w:vAlign w:val="bottom"/>
          </w:tcPr>
          <w:p>
            <w:pPr>
              <w:ind w:left="640"/>
              <w:spacing w:after="0"/>
              <w:rPr>
                <w:sz w:val="20"/>
                <w:szCs w:val="20"/>
                <w:color w:val="auto"/>
              </w:rPr>
            </w:pPr>
            <w:r>
              <w:rPr>
                <w:rFonts w:ascii="Arial" w:cs="Arial" w:eastAsia="Arial" w:hAnsi="Arial"/>
                <w:sz w:val="18"/>
                <w:szCs w:val="18"/>
                <w:color w:val="auto"/>
              </w:rPr>
              <w:t>Record</w:t>
            </w:r>
          </w:p>
        </w:tc>
        <w:tc>
          <w:tcPr>
            <w:tcW w:w="2840" w:type="dxa"/>
            <w:vAlign w:val="bottom"/>
          </w:tcPr>
          <w:p>
            <w:pPr>
              <w:jc w:val="right"/>
              <w:ind w:right="830"/>
              <w:spacing w:after="0"/>
              <w:rPr>
                <w:sz w:val="20"/>
                <w:szCs w:val="20"/>
                <w:color w:val="auto"/>
              </w:rPr>
            </w:pPr>
            <w:r>
              <w:rPr>
                <w:rFonts w:ascii="Arial" w:cs="Arial" w:eastAsia="Arial" w:hAnsi="Arial"/>
                <w:sz w:val="18"/>
                <w:szCs w:val="18"/>
                <w:color w:val="auto"/>
              </w:rPr>
              <w:t>2,162,793</w:t>
            </w:r>
          </w:p>
        </w:tc>
        <w:tc>
          <w:tcPr>
            <w:tcW w:w="1460" w:type="dxa"/>
            <w:vAlign w:val="bottom"/>
          </w:tcPr>
          <w:p>
            <w:pPr>
              <w:jc w:val="center"/>
              <w:ind w:left="830"/>
              <w:spacing w:after="0"/>
              <w:rPr>
                <w:sz w:val="20"/>
                <w:szCs w:val="20"/>
                <w:color w:val="auto"/>
              </w:rPr>
            </w:pPr>
            <w:r>
              <w:rPr>
                <w:rFonts w:ascii="Arial" w:cs="Arial" w:eastAsia="Arial" w:hAnsi="Arial"/>
                <w:sz w:val="18"/>
                <w:szCs w:val="18"/>
                <w:color w:val="auto"/>
                <w:w w:val="90"/>
              </w:rPr>
              <w:t>9.88%</w:t>
            </w: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Victorian Funds Management</w:t>
            </w:r>
          </w:p>
        </w:tc>
        <w:tc>
          <w:tcPr>
            <w:tcW w:w="2360" w:type="dxa"/>
            <w:vAlign w:val="bottom"/>
          </w:tcPr>
          <w:p>
            <w:pPr>
              <w:ind w:left="640"/>
              <w:spacing w:after="0"/>
              <w:rPr>
                <w:sz w:val="20"/>
                <w:szCs w:val="20"/>
                <w:color w:val="auto"/>
              </w:rPr>
            </w:pPr>
            <w:r>
              <w:rPr>
                <w:rFonts w:ascii="Arial" w:cs="Arial" w:eastAsia="Arial" w:hAnsi="Arial"/>
                <w:sz w:val="18"/>
                <w:szCs w:val="18"/>
                <w:color w:val="auto"/>
              </w:rPr>
              <w:t>Record</w:t>
            </w:r>
          </w:p>
        </w:tc>
        <w:tc>
          <w:tcPr>
            <w:tcW w:w="2840" w:type="dxa"/>
            <w:vAlign w:val="bottom"/>
          </w:tcPr>
          <w:p>
            <w:pPr>
              <w:jc w:val="right"/>
              <w:ind w:right="830"/>
              <w:spacing w:after="0"/>
              <w:rPr>
                <w:sz w:val="20"/>
                <w:szCs w:val="20"/>
                <w:color w:val="auto"/>
              </w:rPr>
            </w:pPr>
            <w:r>
              <w:rPr>
                <w:rFonts w:ascii="Arial" w:cs="Arial" w:eastAsia="Arial" w:hAnsi="Arial"/>
                <w:sz w:val="18"/>
                <w:szCs w:val="18"/>
                <w:color w:val="auto"/>
              </w:rPr>
              <w:t>1,973,500</w:t>
            </w:r>
          </w:p>
        </w:tc>
        <w:tc>
          <w:tcPr>
            <w:tcW w:w="146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Corporation (4)</w:t>
            </w:r>
          </w:p>
        </w:tc>
        <w:tc>
          <w:tcPr>
            <w:tcW w:w="23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8"/>
                <w:szCs w:val="18"/>
                <w:color w:val="auto"/>
              </w:rPr>
              <w:t>Qatar Investment Authority (5)</w:t>
            </w:r>
          </w:p>
        </w:tc>
        <w:tc>
          <w:tcPr>
            <w:tcW w:w="2360" w:type="dxa"/>
            <w:vAlign w:val="bottom"/>
          </w:tcPr>
          <w:p>
            <w:pPr>
              <w:ind w:left="640"/>
              <w:spacing w:after="0"/>
              <w:rPr>
                <w:sz w:val="20"/>
                <w:szCs w:val="20"/>
                <w:color w:val="auto"/>
              </w:rPr>
            </w:pPr>
            <w:r>
              <w:rPr>
                <w:rFonts w:ascii="Arial" w:cs="Arial" w:eastAsia="Arial" w:hAnsi="Arial"/>
                <w:sz w:val="18"/>
                <w:szCs w:val="18"/>
                <w:color w:val="auto"/>
              </w:rPr>
              <w:t>Record</w:t>
            </w:r>
          </w:p>
        </w:tc>
        <w:tc>
          <w:tcPr>
            <w:tcW w:w="2840" w:type="dxa"/>
            <w:vAlign w:val="bottom"/>
          </w:tcPr>
          <w:p>
            <w:pPr>
              <w:jc w:val="right"/>
              <w:ind w:right="830"/>
              <w:spacing w:after="0"/>
              <w:rPr>
                <w:sz w:val="20"/>
                <w:szCs w:val="20"/>
                <w:color w:val="auto"/>
              </w:rPr>
            </w:pPr>
            <w:r>
              <w:rPr>
                <w:rFonts w:ascii="Arial" w:cs="Arial" w:eastAsia="Arial" w:hAnsi="Arial"/>
                <w:sz w:val="18"/>
                <w:szCs w:val="18"/>
                <w:color w:val="auto"/>
              </w:rPr>
              <w:t>1,972,641</w:t>
            </w:r>
          </w:p>
        </w:tc>
        <w:tc>
          <w:tcPr>
            <w:tcW w:w="1460" w:type="dxa"/>
            <w:vAlign w:val="bottom"/>
          </w:tcPr>
          <w:p>
            <w:pPr>
              <w:jc w:val="center"/>
              <w:ind w:left="830"/>
              <w:spacing w:after="0"/>
              <w:rPr>
                <w:sz w:val="20"/>
                <w:szCs w:val="20"/>
                <w:color w:val="auto"/>
              </w:rPr>
            </w:pPr>
            <w:r>
              <w:rPr>
                <w:rFonts w:ascii="Arial" w:cs="Arial" w:eastAsia="Arial" w:hAnsi="Arial"/>
                <w:sz w:val="18"/>
                <w:szCs w:val="18"/>
                <w:color w:val="auto"/>
                <w:w w:val="90"/>
              </w:rPr>
              <w:t>9.01%</w:t>
            </w:r>
          </w:p>
        </w:tc>
      </w:tr>
    </w:tbl>
    <w:p>
      <w:pPr>
        <w:spacing w:after="0" w:line="314" w:lineRule="exact"/>
        <w:rPr>
          <w:sz w:val="20"/>
          <w:szCs w:val="20"/>
          <w:color w:val="auto"/>
        </w:rPr>
      </w:pPr>
    </w:p>
    <w:p>
      <w:pPr>
        <w:ind w:left="1260" w:right="280" w:hanging="368"/>
        <w:spacing w:after="0" w:line="278" w:lineRule="auto"/>
        <w:tabs>
          <w:tab w:leader="none" w:pos="1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principal address for State of Michigan Retirement System (“Michigan”) is 2501 Coolidge Road Suite 400 East Lansing, Michigan 48823. Information obtained from a Schedule 13G filed by Michigan with the SEC reporting share ownership as of December 31, 2022. Based on that filing, Michigan maintains the sole power to vote or dispose of 5,405,827 shares.</w:t>
      </w:r>
    </w:p>
    <w:p>
      <w:pPr>
        <w:spacing w:after="0" w:line="89" w:lineRule="exact"/>
        <w:rPr>
          <w:rFonts w:ascii="Arial" w:cs="Arial" w:eastAsia="Arial" w:hAnsi="Arial"/>
          <w:sz w:val="16"/>
          <w:szCs w:val="16"/>
          <w:color w:val="auto"/>
        </w:rPr>
      </w:pPr>
    </w:p>
    <w:p>
      <w:pPr>
        <w:jc w:val="both"/>
        <w:ind w:left="1260" w:right="40" w:hanging="368"/>
        <w:spacing w:after="0" w:line="278" w:lineRule="auto"/>
        <w:tabs>
          <w:tab w:leader="none" w:pos="1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principal address for The Public Institution for Social Security (“PIFSS”) is AlMurqab, Al-Soor St, Ta’aminat Building, Kuwait City 13104 Kuwait. Information obtained from a Schedule 13G filed by PIFSS with the SEC reporting share ownership as of December 31, 2022. Based on that filing, PIFSS maintains the sole power to vote or dispose of 4,324,662 shares.</w:t>
      </w:r>
    </w:p>
    <w:p>
      <w:pPr>
        <w:spacing w:after="0" w:line="89" w:lineRule="exact"/>
        <w:rPr>
          <w:rFonts w:ascii="Arial" w:cs="Arial" w:eastAsia="Arial" w:hAnsi="Arial"/>
          <w:sz w:val="16"/>
          <w:szCs w:val="16"/>
          <w:color w:val="auto"/>
        </w:rPr>
      </w:pPr>
    </w:p>
    <w:p>
      <w:pPr>
        <w:jc w:val="both"/>
        <w:ind w:left="1260" w:hanging="368"/>
        <w:spacing w:after="0" w:line="278" w:lineRule="auto"/>
        <w:tabs>
          <w:tab w:leader="none" w:pos="1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principal address for Arizona PSPRS Trust (“Arizona”) is 3010 E. Camelback Road, Suite 200 Phoenix, Arizona 85016. Information obtained from a Schedule 13G filed by Arizona with the SEC reporting share ownership as of December 31, 2022. Based on that filing, Arizona maintains the sole power to vote or dispose of 2,162,793 shares.</w:t>
      </w:r>
    </w:p>
    <w:p>
      <w:pPr>
        <w:spacing w:after="0" w:line="89" w:lineRule="exact"/>
        <w:rPr>
          <w:rFonts w:ascii="Arial" w:cs="Arial" w:eastAsia="Arial" w:hAnsi="Arial"/>
          <w:sz w:val="16"/>
          <w:szCs w:val="16"/>
          <w:color w:val="auto"/>
        </w:rPr>
      </w:pPr>
    </w:p>
    <w:p>
      <w:pPr>
        <w:ind w:left="1260" w:right="80" w:hanging="368"/>
        <w:spacing w:after="0" w:line="278" w:lineRule="auto"/>
        <w:tabs>
          <w:tab w:leader="none" w:pos="1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principal address for Victorian Funds Management Corporation (“VFMC”) is L13 101 Collins St, Melbourne 3000 VIC Australia. Information obtained from a Schedule 13G filed by VFMC with the SEC reporting share ownership as of December 31, 2022. Based on that filing, VFMC maintains the sole power to vote or dispose of 1,973,500 shares.</w:t>
      </w:r>
    </w:p>
    <w:p>
      <w:pPr>
        <w:spacing w:after="0" w:line="89" w:lineRule="exact"/>
        <w:rPr>
          <w:rFonts w:ascii="Arial" w:cs="Arial" w:eastAsia="Arial" w:hAnsi="Arial"/>
          <w:sz w:val="16"/>
          <w:szCs w:val="16"/>
          <w:color w:val="auto"/>
        </w:rPr>
      </w:pPr>
    </w:p>
    <w:p>
      <w:pPr>
        <w:ind w:left="1260" w:right="100" w:hanging="368"/>
        <w:spacing w:after="0" w:line="278" w:lineRule="auto"/>
        <w:tabs>
          <w:tab w:leader="none" w:pos="1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principal address for Qatar Investment Authority (“QIA”) is Ooredoo Tower (Building 14), Al Dafna Street (Street 801), Al Dafna (Zone 61), P.O. Box 23224, Qatar. Information obtained from a Schedule 13G filed by QIA with the SEC reporting share ownership as of December 31, 2022. Based on that filing, QIA maintains the sole power to vote or dispose of 1,972,641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 AND RELATED TRANSACTION, AND TRUSTEE INDEPENDENCE</w:t>
      </w:r>
    </w:p>
    <w:p>
      <w:pPr>
        <w:spacing w:after="0" w:line="225" w:lineRule="exact"/>
        <w:rPr>
          <w:sz w:val="20"/>
          <w:szCs w:val="20"/>
          <w:color w:val="auto"/>
        </w:rPr>
      </w:pPr>
    </w:p>
    <w:p>
      <w:pPr>
        <w:ind w:right="5180" w:firstLine="8"/>
        <w:spacing w:after="0" w:line="503" w:lineRule="auto"/>
        <w:tabs>
          <w:tab w:leader="none" w:pos="255"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Persons, Promoters and Certain Control Persons Advisory Agreement; Administration Agreement</w:t>
      </w:r>
    </w:p>
    <w:p>
      <w:pPr>
        <w:ind w:firstLine="225"/>
        <w:spacing w:after="0" w:line="272" w:lineRule="auto"/>
        <w:rPr>
          <w:sz w:val="20"/>
          <w:szCs w:val="20"/>
          <w:color w:val="auto"/>
        </w:rPr>
      </w:pPr>
      <w:r>
        <w:rPr>
          <w:rFonts w:ascii="Arial" w:cs="Arial" w:eastAsia="Arial" w:hAnsi="Arial"/>
          <w:sz w:val="17"/>
          <w:szCs w:val="17"/>
          <w:color w:val="auto"/>
        </w:rPr>
        <w:t>We have entered into the Investment Advisory Agreement with the Adviser pursuant to which we will pay Management Fees and Incentive Fees to the Adviser and the Administration Agreement with the Administrator. In addition, pursuant to the Investment Advisory Agreement and the Administration Agreement, we will reimburse the Adviser and Administrator for certain expenses as they occur. See “</w:t>
      </w:r>
      <w:r>
        <w:rPr>
          <w:rFonts w:ascii="Arial" w:cs="Arial" w:eastAsia="Arial" w:hAnsi="Arial"/>
          <w:sz w:val="17"/>
          <w:szCs w:val="17"/>
          <w:i w:val="1"/>
          <w:iCs w:val="1"/>
          <w:color w:val="auto"/>
        </w:rPr>
        <w:t>ITEM 1. BUSINESS— Management Agreements</w:t>
      </w:r>
      <w:r>
        <w:rPr>
          <w:rFonts w:ascii="Arial" w:cs="Arial" w:eastAsia="Arial" w:hAnsi="Arial"/>
          <w:sz w:val="17"/>
          <w:szCs w:val="17"/>
          <w:color w:val="auto"/>
        </w:rPr>
        <w:t>.” Each of the Investment Advisory Agreement and the Administration Agreement has been approved by the Board of Trustees. Unless earlier terminated, each of the Investment Advisory Agreement and the Administration Agreement will remain in effect for a period of two years from the date it first becomes effective and will remain in effect from year-to-year thereafter if approved annually by a majority of the Board of Trustees, including a majority of Independent Trustees, or by the holders of a majority of our outstanding voting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Co-Investment Relief</w:t>
      </w:r>
    </w:p>
    <w:p>
      <w:pPr>
        <w:spacing w:after="0" w:line="229"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The Adviser has received an exemptive order from the SEC that permits us, among other things, to co-invest with certain other persons, including certain affiliates of the Adviser and certain funds managed and controlled by the Adviser and its affiliates, subject to certain terms and conditions. Pursuant to such order, the Board of Trustees may establish Board Criteria clearly defining co-investment opportunities in which the Company will have the opportunity to participate with one or more Sixth Street managed funds that target similar assets. If an investment falls within the Board Criteria, the Sixth Street must offer an opportunity for the Company to participate. The Company may determine to participate or not to participate, depending on whether the Adviser determines that the investment is appropriate for the Company (e.g., based on investment strategy). If the Adviser determines that such investment is not appropriate for us, the investment will not be allocated to us, but the Adviser will be required to report such investment and the rationale for its determination for us to not participate in the investment to the Board of Trustees at the next quarterly board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We have entered into a License Agreement with Austin IP, LLC that grants us a non-exclusive, royalty-free license to use the mark “Sixth Street” and any derivative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Transactions with Promoters and Certain Control Persons</w:t>
      </w:r>
    </w:p>
    <w:p>
      <w:pPr>
        <w:spacing w:after="0" w:line="229" w:lineRule="exact"/>
        <w:rPr>
          <w:sz w:val="20"/>
          <w:szCs w:val="20"/>
          <w:color w:val="auto"/>
        </w:rPr>
      </w:pPr>
    </w:p>
    <w:p>
      <w:pPr>
        <w:ind w:firstLine="225"/>
        <w:spacing w:after="0" w:line="275" w:lineRule="auto"/>
        <w:rPr>
          <w:sz w:val="20"/>
          <w:szCs w:val="20"/>
          <w:color w:val="auto"/>
        </w:rPr>
      </w:pPr>
      <w:r>
        <w:rPr>
          <w:rFonts w:ascii="Arial" w:cs="Arial" w:eastAsia="Arial" w:hAnsi="Arial"/>
          <w:sz w:val="17"/>
          <w:szCs w:val="17"/>
          <w:color w:val="auto"/>
        </w:rPr>
        <w:t>The Adviser may be deemed a promoter of the Company. We have entered into the Investment Advisory Agreement with the Adviser and the Administration Agreement with the Administrator. The Adviser, for its services to us, are entitled to receive management fees and incentive fees in addition to the reimbursement of certain expenses. The Administrator, for its services to us, are entitled to receive reimbursement of certain expenses. In addition, under the Investment Advisory Agreement and Administration Agreement, to the extent permitted by applicable law and in the discretion of our Board, we have indemnified the Adviser and the Administrator and certain of their affiliates. See “</w:t>
      </w:r>
      <w:r>
        <w:rPr>
          <w:rFonts w:ascii="Arial" w:cs="Arial" w:eastAsia="Arial" w:hAnsi="Arial"/>
          <w:sz w:val="17"/>
          <w:szCs w:val="17"/>
          <w:i w:val="1"/>
          <w:iCs w:val="1"/>
          <w:color w:val="auto"/>
        </w:rPr>
        <w:t>ITEM 1. BUSINESS</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 Regarding Transactions with Related Persons</w:t>
      </w:r>
    </w:p>
    <w:p>
      <w:pPr>
        <w:spacing w:after="0" w:line="229" w:lineRule="exact"/>
        <w:rPr>
          <w:sz w:val="20"/>
          <w:szCs w:val="20"/>
          <w:color w:val="auto"/>
        </w:rPr>
      </w:pPr>
    </w:p>
    <w:p>
      <w:pPr>
        <w:ind w:right="100" w:firstLine="225"/>
        <w:spacing w:after="0" w:line="296" w:lineRule="auto"/>
        <w:rPr>
          <w:sz w:val="20"/>
          <w:szCs w:val="20"/>
          <w:color w:val="auto"/>
        </w:rPr>
      </w:pPr>
      <w:r>
        <w:rPr>
          <w:rFonts w:ascii="Arial" w:cs="Arial" w:eastAsia="Arial" w:hAnsi="Arial"/>
          <w:sz w:val="16"/>
          <w:szCs w:val="16"/>
          <w:color w:val="auto"/>
        </w:rPr>
        <w:t>The Board will conduct quarterly reviews of any potential related party transactions brought to its attention and, during these reviews, it will consider any conflicts of interest brought to its attention pursuant to the Company’s compliance policies and procedures. Each of the Company’s trustees and executive officers is subject to the Company’s Code of Ethics, which places restrictions on related party transactions, and is instructed and periodically reminded to inform the Company’s Chief Compliance Officer or her designee of any potential related party transactions. In addition, each such trustee and executive officer completes a questionnaire on an annual basis designed to elicit information about any potential related party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 Independence</w:t>
      </w:r>
    </w:p>
    <w:p>
      <w:pPr>
        <w:spacing w:after="0" w:line="229" w:lineRule="exact"/>
        <w:rPr>
          <w:sz w:val="20"/>
          <w:szCs w:val="20"/>
          <w:color w:val="auto"/>
        </w:rPr>
      </w:pPr>
    </w:p>
    <w:p>
      <w:pPr>
        <w:ind w:right="1300" w:firstLine="225"/>
        <w:spacing w:after="0" w:line="277" w:lineRule="auto"/>
        <w:rPr>
          <w:sz w:val="20"/>
          <w:szCs w:val="20"/>
          <w:color w:val="auto"/>
        </w:rPr>
      </w:pPr>
      <w:r>
        <w:rPr>
          <w:rFonts w:ascii="Arial" w:cs="Arial" w:eastAsia="Arial" w:hAnsi="Arial"/>
          <w:sz w:val="18"/>
          <w:szCs w:val="18"/>
          <w:color w:val="auto"/>
        </w:rPr>
        <w:t>For information regarding the independence of our trustees, see “</w:t>
      </w:r>
      <w:r>
        <w:rPr>
          <w:rFonts w:ascii="Arial" w:cs="Arial" w:eastAsia="Arial" w:hAnsi="Arial"/>
          <w:sz w:val="18"/>
          <w:szCs w:val="18"/>
          <w:i w:val="1"/>
          <w:iCs w:val="1"/>
          <w:color w:val="auto"/>
        </w:rPr>
        <w:t>ITEM 10. TRUSTEES, EXECUTIVE OFFICERS AND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w:t>
      </w:r>
      <w:r>
        <w:rPr>
          <w:rFonts w:ascii="Arial" w:cs="Arial" w:eastAsia="Arial" w:hAnsi="Arial"/>
          <w:sz w:val="18"/>
          <w:szCs w:val="18"/>
          <w:color w:val="auto"/>
        </w:rPr>
        <w: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The audit committee and the independent trustees of our Board have selected KPMG LLP to serve as the independent registered public accounting firm for Company for the fiscal year ending December 31, 2022.</w:t>
      </w:r>
    </w:p>
    <w:p>
      <w:pPr>
        <w:spacing w:after="0" w:line="17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KPMG LLP has advised us that neither the firm nor any present member or associate of it has any material financial interest, direct or indirect, in us or our affiliates.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400" w:type="dxa"/>
            <w:vAlign w:val="bottom"/>
            <w:tcBorders>
              <w:top w:val="single" w:sz="8" w:color="auto"/>
              <w:left w:val="single" w:sz="8" w:color="auto"/>
              <w:right w:val="single" w:sz="8" w:color="auto"/>
            </w:tcBorders>
          </w:tcPr>
          <w:p>
            <w:pPr>
              <w:spacing w:after="0"/>
              <w:rPr>
                <w:sz w:val="17"/>
                <w:szCs w:val="17"/>
                <w:color w:val="auto"/>
              </w:rPr>
            </w:pPr>
          </w:p>
        </w:tc>
        <w:tc>
          <w:tcPr>
            <w:tcW w:w="562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14"/>
                <w:szCs w:val="14"/>
                <w:b w:val="1"/>
                <w:bCs w:val="1"/>
                <w:color w:val="auto"/>
              </w:rPr>
              <w:t>Year Ended December 31, 2022</w:t>
            </w:r>
          </w:p>
        </w:tc>
      </w:tr>
      <w:tr>
        <w:trPr>
          <w:trHeight w:val="79"/>
        </w:trPr>
        <w:tc>
          <w:tcPr>
            <w:tcW w:w="5400" w:type="dxa"/>
            <w:vAlign w:val="bottom"/>
            <w:tcBorders>
              <w:left w:val="single" w:sz="8" w:color="auto"/>
              <w:bottom w:val="single" w:sz="8" w:color="auto"/>
              <w:right w:val="single" w:sz="8" w:color="auto"/>
            </w:tcBorders>
          </w:tcPr>
          <w:p>
            <w:pPr>
              <w:spacing w:after="0"/>
              <w:rPr>
                <w:sz w:val="6"/>
                <w:szCs w:val="6"/>
                <w:color w:val="auto"/>
              </w:rPr>
            </w:pPr>
          </w:p>
        </w:tc>
        <w:tc>
          <w:tcPr>
            <w:tcW w:w="5620" w:type="dxa"/>
            <w:vAlign w:val="bottom"/>
            <w:tcBorders>
              <w:bottom w:val="single" w:sz="8" w:color="auto"/>
              <w:right w:val="single" w:sz="8" w:color="auto"/>
            </w:tcBorders>
          </w:tcPr>
          <w:p>
            <w:pPr>
              <w:spacing w:after="0"/>
              <w:rPr>
                <w:sz w:val="6"/>
                <w:szCs w:val="6"/>
                <w:color w:val="auto"/>
              </w:rPr>
            </w:pPr>
          </w:p>
        </w:tc>
      </w:tr>
      <w:tr>
        <w:trPr>
          <w:trHeight w:val="213"/>
        </w:trPr>
        <w:tc>
          <w:tcPr>
            <w:tcW w:w="5400" w:type="dxa"/>
            <w:vAlign w:val="bottom"/>
            <w:tcBorders>
              <w:top w:val="single" w:sz="8" w:color="CCEEFF"/>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5620" w:type="dxa"/>
            <w:vAlign w:val="bottom"/>
            <w:tcBorders>
              <w:top w:val="single" w:sz="8" w:color="CCEEFF"/>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$545.0</w:t>
            </w:r>
          </w:p>
        </w:tc>
      </w:tr>
      <w:tr>
        <w:trPr>
          <w:trHeight w:val="237"/>
        </w:trPr>
        <w:tc>
          <w:tcPr>
            <w:tcW w:w="5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Audit-Related Fees</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54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5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23.0</w:t>
            </w:r>
          </w:p>
        </w:tc>
      </w:tr>
      <w:tr>
        <w:trPr>
          <w:trHeight w:val="237"/>
        </w:trPr>
        <w:tc>
          <w:tcPr>
            <w:tcW w:w="5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 Other Fees</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8"/>
        </w:trPr>
        <w:tc>
          <w:tcPr>
            <w:tcW w:w="54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Fees</w:t>
            </w:r>
          </w:p>
        </w:tc>
        <w:tc>
          <w:tcPr>
            <w:tcW w:w="5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$568.0</w:t>
            </w:r>
          </w:p>
        </w:tc>
      </w:tr>
    </w:tbl>
    <w:p>
      <w:pPr>
        <w:spacing w:after="0" w:line="202"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of fees billed for professional services rendered for the audit of our year-end consolidated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reviews of the consolidated financial statements filed with the SEC on Forms 10-K and 10-Q.</w:t>
      </w:r>
    </w:p>
    <w:p>
      <w:pPr>
        <w:spacing w:after="0" w:line="170"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among other things, providing comfort letters, consents and review of documents filed with the SEC, as well as attest services that are not required by statute or regulation and consultations concerning financial accounting and reporting standards.</w:t>
      </w:r>
    </w:p>
    <w:p>
      <w:pPr>
        <w:spacing w:after="0" w:line="18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i w:val="1"/>
          <w:iCs w:val="1"/>
          <w:color w:val="auto"/>
        </w:rPr>
        <w:t>Tax Services Fees</w:t>
      </w:r>
      <w:r>
        <w:rPr>
          <w:rFonts w:ascii="Arial" w:cs="Arial" w:eastAsia="Arial" w:hAnsi="Arial"/>
          <w:sz w:val="18"/>
          <w:szCs w:val="18"/>
          <w:color w:val="auto"/>
        </w:rPr>
        <w:t>: Tax services fees consist of fees billed for professional tax services. These services also include assistance regarding federal, state,</w:t>
      </w:r>
      <w:r>
        <w:rPr>
          <w:rFonts w:ascii="Arial" w:cs="Arial" w:eastAsia="Arial" w:hAnsi="Arial"/>
          <w:sz w:val="18"/>
          <w:szCs w:val="18"/>
          <w:i w:val="1"/>
          <w:iCs w:val="1"/>
          <w:color w:val="auto"/>
        </w:rPr>
        <w:t xml:space="preserve"> </w:t>
      </w:r>
      <w:r>
        <w:rPr>
          <w:rFonts w:ascii="Arial" w:cs="Arial" w:eastAsia="Arial" w:hAnsi="Arial"/>
          <w:sz w:val="18"/>
          <w:szCs w:val="18"/>
          <w:color w:val="auto"/>
        </w:rPr>
        <w:t>and local tax compliance.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Other fees would include fees for products and services other than the services reported above.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Audit Committee of our Board operates under a written charter adopted by the Board. The Audit Committee is currently composed of Messrs.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Doddy, Higginbotham and Tanemura and Ms. Slotkin.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9" w:name="page110"/>
    <w:bookmarkEnd w:id="109"/>
    <w:p>
      <w:pPr>
        <w:ind w:right="140" w:firstLine="225"/>
        <w:spacing w:after="0" w:line="293" w:lineRule="auto"/>
        <w:rPr>
          <w:sz w:val="20"/>
          <w:szCs w:val="20"/>
          <w:color w:val="auto"/>
        </w:rPr>
      </w:pPr>
      <w:r>
        <w:rPr>
          <w:rFonts w:ascii="Arial" w:cs="Arial" w:eastAsia="Arial" w:hAnsi="Arial"/>
          <w:sz w:val="16"/>
          <w:szCs w:val="16"/>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160" w:firstLine="225"/>
        <w:spacing w:after="0" w:line="311"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4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with Management</w:t>
      </w:r>
    </w:p>
    <w:p>
      <w:pPr>
        <w:spacing w:after="0" w:line="229"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Discussion with Independent Registered Public Accounting Firm</w:t>
      </w:r>
    </w:p>
    <w:p>
      <w:pPr>
        <w:spacing w:after="0" w:line="229"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188"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The Audit Committee also has discussed with KPMG matters relating to KPMG’s judgments about the quality, as well as the acceptability, of the Company’s accounting principles as applied in its financial reporting as required by Public Company Accounting Oversight Board Auditing Standard No. 16, Communications with Audit Committees. In addition, the Audit Committee has discussed with KPMG their independence from management and the Company, as well as the matters in the written disclosures received from KPMG and required by Public Company Accounting Oversight Board Rule 3526, Communication with Audit Committees Concerning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22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2022 for filing with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0" w:name="page111"/>
    <w:bookmarkEnd w:id="110"/>
    <w:p>
      <w:pPr>
        <w:ind w:right="120"/>
        <w:spacing w:after="0" w:line="277" w:lineRule="auto"/>
        <w:rPr>
          <w:sz w:val="20"/>
          <w:szCs w:val="20"/>
          <w:color w:val="auto"/>
        </w:rPr>
      </w:pPr>
      <w:r>
        <w:rPr>
          <w:rFonts w:ascii="Arial" w:cs="Arial" w:eastAsia="Arial" w:hAnsi="Arial"/>
          <w:sz w:val="18"/>
          <w:szCs w:val="18"/>
          <w:color w:val="auto"/>
        </w:rPr>
        <w:t>Securities and Exchange Commission. The Audit Committee also recommended the selection of KPMG LLP to serve as the independent registered public accounting firm for the year ending December 31, 2023.</w:t>
      </w:r>
    </w:p>
    <w:p>
      <w:pPr>
        <w:spacing w:after="0" w:line="19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left="260" w:right="320" w:hanging="252"/>
        <w:spacing w:after="0" w:line="277" w:lineRule="auto"/>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Financial Statements—Financial statements are included in Item 8. See the Index to the consolidated financial statements on page F-1 of this annual report on Form 10-K.</w:t>
      </w:r>
    </w:p>
    <w:p>
      <w:pPr>
        <w:spacing w:after="0" w:line="62" w:lineRule="exact"/>
        <w:rPr>
          <w:rFonts w:ascii="Arial" w:cs="Arial" w:eastAsia="Arial" w:hAnsi="Arial"/>
          <w:sz w:val="18"/>
          <w:szCs w:val="18"/>
          <w:color w:val="auto"/>
        </w:rPr>
      </w:pPr>
    </w:p>
    <w:p>
      <w:pPr>
        <w:ind w:left="260" w:right="40" w:hanging="252"/>
        <w:spacing w:after="0" w:line="263" w:lineRule="auto"/>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Exhibits—The following is a list of all exhibits filed as a part of this annual report on Form 10-K, including those incorporated by reference.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0"/>
              </w:rPr>
            </w:pPr>
            <w:hyperlink r:id="rId281">
              <w:r>
                <w:rPr>
                  <w:rFonts w:ascii="Arial" w:cs="Arial" w:eastAsia="Arial" w:hAnsi="Arial"/>
                  <w:sz w:val="18"/>
                  <w:szCs w:val="18"/>
                  <w:color w:val="0000FF"/>
                  <w:w w:val="90"/>
                </w:rPr>
                <w:t>Second Amended and Restated Declaration of Trust(incorporated by reference to Exhibit 3.1 to the Company’s Registration Statement on</w:t>
              </w:r>
            </w:hyperlink>
          </w:p>
        </w:tc>
        <w:tc>
          <w:tcPr>
            <w:tcW w:w="10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FF"/>
              </w:rPr>
            </w:pPr>
            <w:hyperlink r:id="rId281">
              <w:r>
                <w:rPr>
                  <w:rFonts w:ascii="Arial" w:cs="Arial" w:eastAsia="Arial" w:hAnsi="Arial"/>
                  <w:sz w:val="18"/>
                  <w:szCs w:val="18"/>
                  <w:color w:val="0000FF"/>
                </w:rPr>
                <w:t>Form 10 (Securities Act File No. 000-56455) on August 22, 2022)</w:t>
              </w:r>
            </w:hyperlink>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1"/>
              </w:rPr>
            </w:pPr>
            <w:hyperlink r:id="rId282">
              <w:r>
                <w:rPr>
                  <w:rFonts w:ascii="Arial" w:cs="Arial" w:eastAsia="Arial" w:hAnsi="Arial"/>
                  <w:sz w:val="18"/>
                  <w:szCs w:val="18"/>
                  <w:color w:val="0000FF"/>
                  <w:w w:val="91"/>
                </w:rPr>
                <w:t>Bylaws (incorporated by reference to Exhibit 3.2 to the Company’s Registration Statement on Form 10 (Securities Act File No. 000-56455)</w:t>
              </w:r>
            </w:hyperlink>
          </w:p>
        </w:tc>
      </w:tr>
      <w:tr>
        <w:trPr>
          <w:trHeight w:val="196"/>
        </w:trPr>
        <w:tc>
          <w:tcPr>
            <w:tcW w:w="960" w:type="dxa"/>
            <w:vAlign w:val="bottom"/>
          </w:tcPr>
          <w:p>
            <w:pPr>
              <w:spacing w:after="0"/>
              <w:rPr>
                <w:sz w:val="17"/>
                <w:szCs w:val="17"/>
                <w:color w:val="auto"/>
              </w:rPr>
            </w:pPr>
          </w:p>
        </w:tc>
        <w:tc>
          <w:tcPr>
            <w:tcW w:w="130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282">
              <w:r>
                <w:rPr>
                  <w:rFonts w:ascii="Arial" w:cs="Arial" w:eastAsia="Arial" w:hAnsi="Arial"/>
                  <w:sz w:val="18"/>
                  <w:szCs w:val="18"/>
                  <w:color w:val="0000FF"/>
                  <w:w w:val="88"/>
                </w:rPr>
                <w:t>on June 28, 2022)</w:t>
              </w:r>
            </w:hyperlink>
          </w:p>
        </w:tc>
        <w:tc>
          <w:tcPr>
            <w:tcW w:w="20" w:type="dxa"/>
            <w:vAlign w:val="bottom"/>
            <w:tcBorders>
              <w:bottom w:val="single" w:sz="8" w:color="0000EE"/>
            </w:tcBorders>
          </w:tcPr>
          <w:p>
            <w:pPr>
              <w:spacing w:after="0"/>
              <w:rPr>
                <w:sz w:val="17"/>
                <w:szCs w:val="17"/>
                <w:color w:val="auto"/>
              </w:rPr>
            </w:pPr>
          </w:p>
        </w:tc>
        <w:tc>
          <w:tcPr>
            <w:tcW w:w="8740" w:type="dxa"/>
            <w:vAlign w:val="bottom"/>
            <w:gridSpan w:val="19"/>
          </w:tcPr>
          <w:p>
            <w:pPr>
              <w:spacing w:after="0"/>
              <w:rPr>
                <w:sz w:val="17"/>
                <w:szCs w:val="17"/>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9300" w:type="dxa"/>
            <w:vAlign w:val="bottom"/>
            <w:tcBorders>
              <w:bottom w:val="single" w:sz="8" w:color="0000FF"/>
            </w:tcBorders>
            <w:gridSpan w:val="14"/>
          </w:tcPr>
          <w:p>
            <w:pPr>
              <w:spacing w:after="0"/>
              <w:rPr>
                <w:rFonts w:ascii="Arial" w:cs="Arial" w:eastAsia="Arial" w:hAnsi="Arial"/>
                <w:sz w:val="18"/>
                <w:szCs w:val="18"/>
                <w:color w:val="0000FF"/>
                <w:w w:val="91"/>
              </w:rPr>
            </w:pPr>
            <w:hyperlink r:id="rId283">
              <w:r>
                <w:rPr>
                  <w:rFonts w:ascii="Arial" w:cs="Arial" w:eastAsia="Arial" w:hAnsi="Arial"/>
                  <w:sz w:val="18"/>
                  <w:szCs w:val="18"/>
                  <w:color w:val="0000FF"/>
                  <w:w w:val="91"/>
                </w:rPr>
                <w:t>Form of Subscription Agreement (incorporated by reference to Exhibit 4.1 to the Company’s Registration Statement on Form 10</w:t>
              </w:r>
            </w:hyperlink>
          </w:p>
        </w:tc>
        <w:tc>
          <w:tcPr>
            <w:tcW w:w="760" w:type="dxa"/>
            <w:vAlign w:val="bottom"/>
            <w:gridSpan w:val="7"/>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39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283">
              <w:r>
                <w:rPr>
                  <w:rFonts w:ascii="Arial" w:cs="Arial" w:eastAsia="Arial" w:hAnsi="Arial"/>
                  <w:sz w:val="18"/>
                  <w:szCs w:val="18"/>
                  <w:color w:val="0000FF"/>
                  <w:w w:val="91"/>
                </w:rPr>
                <w:t>(Securities Act File No. 000-56455) on June 28, 2022)</w:t>
              </w:r>
            </w:hyperlink>
          </w:p>
        </w:tc>
        <w:tc>
          <w:tcPr>
            <w:tcW w:w="6120" w:type="dxa"/>
            <w:vAlign w:val="bottom"/>
            <w:gridSpan w:val="12"/>
          </w:tcPr>
          <w:p>
            <w:pPr>
              <w:spacing w:after="0"/>
              <w:rPr>
                <w:sz w:val="17"/>
                <w:szCs w:val="17"/>
                <w:color w:val="auto"/>
              </w:rPr>
            </w:pPr>
          </w:p>
        </w:tc>
      </w:tr>
      <w:tr>
        <w:trPr>
          <w:trHeight w:val="398"/>
        </w:trPr>
        <w:tc>
          <w:tcPr>
            <w:tcW w:w="960" w:type="dxa"/>
            <w:vAlign w:val="bottom"/>
          </w:tcPr>
          <w:p>
            <w:pPr>
              <w:spacing w:after="0"/>
              <w:rPr>
                <w:sz w:val="20"/>
                <w:szCs w:val="20"/>
                <w:color w:val="auto"/>
              </w:rPr>
            </w:pPr>
            <w:r>
              <w:rPr>
                <w:rFonts w:ascii="Arial" w:cs="Arial" w:eastAsia="Arial" w:hAnsi="Arial"/>
                <w:sz w:val="18"/>
                <w:szCs w:val="18"/>
                <w:color w:val="auto"/>
              </w:rPr>
              <w:t>4.12</w:t>
            </w:r>
          </w:p>
        </w:tc>
        <w:tc>
          <w:tcPr>
            <w:tcW w:w="18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Description of Securities</w:t>
            </w:r>
          </w:p>
        </w:tc>
        <w:tc>
          <w:tcPr>
            <w:tcW w:w="20" w:type="dxa"/>
            <w:vAlign w:val="bottom"/>
            <w:tcBorders>
              <w:bottom w:val="single" w:sz="8" w:color="0000EE"/>
            </w:tcBorders>
          </w:tcPr>
          <w:p>
            <w:pPr>
              <w:spacing w:after="0"/>
              <w:rPr>
                <w:sz w:val="24"/>
                <w:szCs w:val="24"/>
                <w:color w:val="auto"/>
              </w:rPr>
            </w:pPr>
          </w:p>
        </w:tc>
        <w:tc>
          <w:tcPr>
            <w:tcW w:w="8240" w:type="dxa"/>
            <w:vAlign w:val="bottom"/>
            <w:gridSpan w:val="17"/>
          </w:tcPr>
          <w:p>
            <w:pPr>
              <w:spacing w:after="0"/>
              <w:rPr>
                <w:sz w:val="24"/>
                <w:szCs w:val="24"/>
                <w:color w:val="auto"/>
              </w:rPr>
            </w:pPr>
          </w:p>
        </w:tc>
      </w:tr>
      <w:tr>
        <w:trPr>
          <w:trHeight w:val="614"/>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1"/>
              </w:rPr>
            </w:pPr>
            <w:hyperlink r:id="rId284">
              <w:r>
                <w:rPr>
                  <w:rFonts w:ascii="Arial" w:cs="Arial" w:eastAsia="Arial" w:hAnsi="Arial"/>
                  <w:sz w:val="18"/>
                  <w:szCs w:val="18"/>
                  <w:color w:val="0000FF"/>
                  <w:w w:val="91"/>
                </w:rPr>
                <w:t>Advisory Agreement (incorporated by reference to Exhibit 10.1 to the Company’s Registration Statement on Form 10 (Securities Act File</w:t>
              </w:r>
            </w:hyperlink>
          </w:p>
        </w:tc>
        <w:tc>
          <w:tcPr>
            <w:tcW w:w="10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FF"/>
              </w:rPr>
            </w:pPr>
            <w:hyperlink r:id="rId284">
              <w:r>
                <w:rPr>
                  <w:rFonts w:ascii="Arial" w:cs="Arial" w:eastAsia="Arial" w:hAnsi="Arial"/>
                  <w:sz w:val="18"/>
                  <w:szCs w:val="18"/>
                  <w:color w:val="0000FF"/>
                </w:rPr>
                <w:t>No. 000-56455) on June 28, 2022)</w:t>
              </w:r>
            </w:hyperlink>
          </w:p>
        </w:tc>
      </w:tr>
      <w:tr>
        <w:trPr>
          <w:trHeight w:val="20"/>
        </w:trPr>
        <w:tc>
          <w:tcPr>
            <w:tcW w:w="960" w:type="dxa"/>
            <w:vAlign w:val="bottom"/>
          </w:tcPr>
          <w:p>
            <w:pPr>
              <w:spacing w:after="0" w:line="20" w:lineRule="exact"/>
              <w:rPr>
                <w:sz w:val="1"/>
                <w:szCs w:val="1"/>
                <w:color w:val="auto"/>
              </w:rPr>
            </w:pPr>
          </w:p>
        </w:tc>
        <w:tc>
          <w:tcPr>
            <w:tcW w:w="2500" w:type="dxa"/>
            <w:vAlign w:val="bottom"/>
            <w:tcBorders>
              <w:right w:val="single" w:sz="8" w:color="0000EE"/>
            </w:tcBorders>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1"/>
              </w:rPr>
            </w:pPr>
            <w:hyperlink r:id="rId285">
              <w:r>
                <w:rPr>
                  <w:rFonts w:ascii="Arial" w:cs="Arial" w:eastAsia="Arial" w:hAnsi="Arial"/>
                  <w:sz w:val="18"/>
                  <w:szCs w:val="18"/>
                  <w:color w:val="0000FF"/>
                  <w:w w:val="91"/>
                </w:rPr>
                <w:t>Administration Agreement (incorporated by reference to Exhibit 10.2 to the Company’s Registration Statement on Form 10 (Securities Act</w:t>
              </w:r>
            </w:hyperlink>
          </w:p>
        </w:tc>
      </w:tr>
      <w:tr>
        <w:trPr>
          <w:trHeight w:val="196"/>
        </w:trPr>
        <w:tc>
          <w:tcPr>
            <w:tcW w:w="960" w:type="dxa"/>
            <w:vAlign w:val="bottom"/>
          </w:tcPr>
          <w:p>
            <w:pPr>
              <w:spacing w:after="0"/>
              <w:rPr>
                <w:sz w:val="17"/>
                <w:szCs w:val="17"/>
                <w:color w:val="auto"/>
              </w:rPr>
            </w:pPr>
          </w:p>
        </w:tc>
        <w:tc>
          <w:tcPr>
            <w:tcW w:w="28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285">
              <w:r>
                <w:rPr>
                  <w:rFonts w:ascii="Arial" w:cs="Arial" w:eastAsia="Arial" w:hAnsi="Arial"/>
                  <w:sz w:val="18"/>
                  <w:szCs w:val="18"/>
                  <w:color w:val="0000FF"/>
                  <w:w w:val="90"/>
                </w:rPr>
                <w:t>File No. 000-56455) on June 28, 2022)</w:t>
              </w:r>
            </w:hyperlink>
          </w:p>
        </w:tc>
        <w:tc>
          <w:tcPr>
            <w:tcW w:w="7240" w:type="dxa"/>
            <w:vAlign w:val="bottom"/>
            <w:gridSpan w:val="15"/>
          </w:tcPr>
          <w:p>
            <w:pPr>
              <w:spacing w:after="0"/>
              <w:rPr>
                <w:sz w:val="17"/>
                <w:szCs w:val="17"/>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9500" w:type="dxa"/>
            <w:vAlign w:val="bottom"/>
            <w:tcBorders>
              <w:bottom w:val="single" w:sz="8" w:color="0000FF"/>
            </w:tcBorders>
            <w:gridSpan w:val="15"/>
          </w:tcPr>
          <w:p>
            <w:pPr>
              <w:spacing w:after="0"/>
              <w:rPr>
                <w:rFonts w:ascii="Arial" w:cs="Arial" w:eastAsia="Arial" w:hAnsi="Arial"/>
                <w:sz w:val="18"/>
                <w:szCs w:val="18"/>
                <w:color w:val="0000FF"/>
                <w:w w:val="90"/>
              </w:rPr>
            </w:pPr>
            <w:hyperlink r:id="rId286">
              <w:r>
                <w:rPr>
                  <w:rFonts w:ascii="Arial" w:cs="Arial" w:eastAsia="Arial" w:hAnsi="Arial"/>
                  <w:sz w:val="18"/>
                  <w:szCs w:val="18"/>
                  <w:color w:val="0000FF"/>
                  <w:w w:val="90"/>
                </w:rPr>
                <w:t>Trademark and License Agreement(incorporated by reference to Exhibit 10.3 to the Company’s Registration Statement on Form 10</w:t>
              </w:r>
            </w:hyperlink>
          </w:p>
        </w:tc>
        <w:tc>
          <w:tcPr>
            <w:tcW w:w="560" w:type="dxa"/>
            <w:vAlign w:val="bottom"/>
            <w:gridSpan w:val="6"/>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39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286">
              <w:r>
                <w:rPr>
                  <w:rFonts w:ascii="Arial" w:cs="Arial" w:eastAsia="Arial" w:hAnsi="Arial"/>
                  <w:sz w:val="18"/>
                  <w:szCs w:val="18"/>
                  <w:color w:val="0000FF"/>
                  <w:w w:val="91"/>
                </w:rPr>
                <w:t>(Securities Act File No. 000-56455) on June 28, 2022)</w:t>
              </w:r>
            </w:hyperlink>
          </w:p>
        </w:tc>
        <w:tc>
          <w:tcPr>
            <w:tcW w:w="6120" w:type="dxa"/>
            <w:vAlign w:val="bottom"/>
            <w:gridSpan w:val="12"/>
          </w:tcPr>
          <w:p>
            <w:pPr>
              <w:spacing w:after="0"/>
              <w:rPr>
                <w:sz w:val="17"/>
                <w:szCs w:val="17"/>
                <w:color w:val="auto"/>
              </w:rPr>
            </w:pPr>
          </w:p>
        </w:tc>
      </w:tr>
      <w:tr>
        <w:trPr>
          <w:trHeight w:val="398"/>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9900" w:type="dxa"/>
            <w:vAlign w:val="bottom"/>
            <w:tcBorders>
              <w:bottom w:val="single" w:sz="8" w:color="0000FF"/>
            </w:tcBorders>
            <w:gridSpan w:val="18"/>
          </w:tcPr>
          <w:p>
            <w:pPr>
              <w:spacing w:after="0"/>
              <w:rPr>
                <w:rFonts w:ascii="Arial" w:cs="Arial" w:eastAsia="Arial" w:hAnsi="Arial"/>
                <w:sz w:val="18"/>
                <w:szCs w:val="18"/>
                <w:color w:val="0000FF"/>
                <w:w w:val="91"/>
              </w:rPr>
            </w:pPr>
            <w:hyperlink r:id="rId287">
              <w:r>
                <w:rPr>
                  <w:rFonts w:ascii="Arial" w:cs="Arial" w:eastAsia="Arial" w:hAnsi="Arial"/>
                  <w:sz w:val="18"/>
                  <w:szCs w:val="18"/>
                  <w:color w:val="0000FF"/>
                  <w:w w:val="91"/>
                </w:rPr>
                <w:t>Dividend Reinvestment Plan (incorporated by reference to Exhibit 10.4 to the Company’s Registration Statement on Form 10 (Securities</w:t>
              </w:r>
            </w:hyperlink>
          </w:p>
        </w:tc>
        <w:tc>
          <w:tcPr>
            <w:tcW w:w="16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31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287">
              <w:r>
                <w:rPr>
                  <w:rFonts w:ascii="Arial" w:cs="Arial" w:eastAsia="Arial" w:hAnsi="Arial"/>
                  <w:sz w:val="18"/>
                  <w:szCs w:val="18"/>
                  <w:color w:val="0000FF"/>
                  <w:w w:val="91"/>
                </w:rPr>
                <w:t>Act File No. 000-56455) on June 28, 2022)</w:t>
              </w:r>
            </w:hyperlink>
          </w:p>
        </w:tc>
        <w:tc>
          <w:tcPr>
            <w:tcW w:w="6940" w:type="dxa"/>
            <w:vAlign w:val="bottom"/>
            <w:gridSpan w:val="13"/>
          </w:tcPr>
          <w:p>
            <w:pPr>
              <w:spacing w:after="0"/>
              <w:rPr>
                <w:sz w:val="17"/>
                <w:szCs w:val="17"/>
                <w:color w:val="auto"/>
              </w:rPr>
            </w:pPr>
          </w:p>
        </w:tc>
      </w:tr>
      <w:tr>
        <w:trPr>
          <w:trHeight w:val="398"/>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9820" w:type="dxa"/>
            <w:vAlign w:val="bottom"/>
            <w:tcBorders>
              <w:bottom w:val="single" w:sz="8" w:color="0000FF"/>
            </w:tcBorders>
            <w:gridSpan w:val="17"/>
          </w:tcPr>
          <w:p>
            <w:pPr>
              <w:spacing w:after="0"/>
              <w:rPr>
                <w:rFonts w:ascii="Arial" w:cs="Arial" w:eastAsia="Arial" w:hAnsi="Arial"/>
                <w:sz w:val="18"/>
                <w:szCs w:val="18"/>
                <w:color w:val="0000FF"/>
                <w:w w:val="91"/>
              </w:rPr>
            </w:pPr>
            <w:hyperlink r:id="rId288">
              <w:r>
                <w:rPr>
                  <w:rFonts w:ascii="Arial" w:cs="Arial" w:eastAsia="Arial" w:hAnsi="Arial"/>
                  <w:sz w:val="18"/>
                  <w:szCs w:val="18"/>
                  <w:color w:val="0000FF"/>
                  <w:w w:val="91"/>
                </w:rPr>
                <w:t>Expense Support and Conditional Reimbursement Agreement (incorporated by reference to Exhibit 10.5 to the Company’s Registration</w:t>
              </w:r>
            </w:hyperlink>
          </w:p>
        </w:tc>
        <w:tc>
          <w:tcPr>
            <w:tcW w:w="24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FF"/>
              </w:rPr>
            </w:pPr>
            <w:hyperlink r:id="rId288">
              <w:r>
                <w:rPr>
                  <w:rFonts w:ascii="Arial" w:cs="Arial" w:eastAsia="Arial" w:hAnsi="Arial"/>
                  <w:sz w:val="18"/>
                  <w:szCs w:val="18"/>
                  <w:color w:val="0000FF"/>
                </w:rPr>
                <w:t>Statement on Form 10 (Securities Act File No. 000-56455) on June 28, 2022)</w:t>
              </w:r>
            </w:hyperlink>
          </w:p>
        </w:tc>
      </w:tr>
      <w:tr>
        <w:trPr>
          <w:trHeight w:val="20"/>
        </w:trPr>
        <w:tc>
          <w:tcPr>
            <w:tcW w:w="960" w:type="dxa"/>
            <w:vAlign w:val="bottom"/>
          </w:tcPr>
          <w:p>
            <w:pPr>
              <w:spacing w:after="0" w:line="20" w:lineRule="exact"/>
              <w:rPr>
                <w:sz w:val="1"/>
                <w:szCs w:val="1"/>
                <w:color w:val="auto"/>
              </w:rPr>
            </w:pPr>
          </w:p>
        </w:tc>
        <w:tc>
          <w:tcPr>
            <w:tcW w:w="3000" w:type="dxa"/>
            <w:vAlign w:val="bottom"/>
            <w:gridSpan w:val="7"/>
            <w:shd w:val="clear" w:color="auto" w:fill="0000FF"/>
          </w:tcPr>
          <w:p>
            <w:pPr>
              <w:spacing w:after="0" w:line="20" w:lineRule="exact"/>
              <w:rPr>
                <w:sz w:val="1"/>
                <w:szCs w:val="1"/>
                <w:color w:val="auto"/>
              </w:rPr>
            </w:pPr>
          </w:p>
        </w:tc>
        <w:tc>
          <w:tcPr>
            <w:tcW w:w="2600" w:type="dxa"/>
            <w:vAlign w:val="bottom"/>
            <w:tcBorders>
              <w:right w:val="single" w:sz="8" w:color="0000EE"/>
            </w:tcBorders>
            <w:gridSpan w:val="4"/>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1"/>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10020" w:type="dxa"/>
            <w:vAlign w:val="bottom"/>
            <w:tcBorders>
              <w:bottom w:val="single" w:sz="8" w:color="0000FF"/>
            </w:tcBorders>
            <w:gridSpan w:val="20"/>
          </w:tcPr>
          <w:p>
            <w:pPr>
              <w:spacing w:after="0"/>
              <w:rPr>
                <w:rFonts w:ascii="Arial" w:cs="Arial" w:eastAsia="Arial" w:hAnsi="Arial"/>
                <w:sz w:val="18"/>
                <w:szCs w:val="18"/>
                <w:color w:val="0000FF"/>
                <w:w w:val="91"/>
              </w:rPr>
            </w:pPr>
            <w:hyperlink r:id="rId289">
              <w:r>
                <w:rPr>
                  <w:rFonts w:ascii="Arial" w:cs="Arial" w:eastAsia="Arial" w:hAnsi="Arial"/>
                  <w:sz w:val="18"/>
                  <w:szCs w:val="18"/>
                  <w:color w:val="0000FF"/>
                  <w:w w:val="91"/>
                </w:rPr>
                <w:t>Fund of Funds Agreement (incorporated by reference to Exhibit 10.6 to the Company’s Registration Statement on Form 10 (Securities Act</w:t>
              </w:r>
            </w:hyperlink>
          </w:p>
        </w:tc>
        <w:tc>
          <w:tcPr>
            <w:tcW w:w="4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FF"/>
              </w:rPr>
            </w:pPr>
            <w:hyperlink r:id="rId289">
              <w:r>
                <w:rPr>
                  <w:rFonts w:ascii="Arial" w:cs="Arial" w:eastAsia="Arial" w:hAnsi="Arial"/>
                  <w:sz w:val="18"/>
                  <w:szCs w:val="18"/>
                  <w:color w:val="0000FF"/>
                </w:rPr>
                <w:t>File No. 000-56455) on August 22, 2022)</w:t>
              </w:r>
            </w:hyperlink>
          </w:p>
        </w:tc>
      </w:tr>
      <w:tr>
        <w:trPr>
          <w:trHeight w:val="20"/>
        </w:trPr>
        <w:tc>
          <w:tcPr>
            <w:tcW w:w="960" w:type="dxa"/>
            <w:vAlign w:val="bottom"/>
          </w:tcPr>
          <w:p>
            <w:pPr>
              <w:spacing w:after="0" w:line="20" w:lineRule="exact"/>
              <w:rPr>
                <w:sz w:val="1"/>
                <w:szCs w:val="1"/>
                <w:color w:val="auto"/>
              </w:rPr>
            </w:pPr>
          </w:p>
        </w:tc>
        <w:tc>
          <w:tcPr>
            <w:tcW w:w="3000" w:type="dxa"/>
            <w:vAlign w:val="bottom"/>
            <w:gridSpan w:val="7"/>
            <w:shd w:val="clear" w:color="auto" w:fill="0000FF"/>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10.7</w:t>
            </w:r>
          </w:p>
        </w:tc>
        <w:tc>
          <w:tcPr>
            <w:tcW w:w="9760" w:type="dxa"/>
            <w:vAlign w:val="bottom"/>
            <w:tcBorders>
              <w:bottom w:val="single" w:sz="8" w:color="0000FF"/>
            </w:tcBorders>
            <w:gridSpan w:val="16"/>
          </w:tcPr>
          <w:p>
            <w:pPr>
              <w:spacing w:after="0"/>
              <w:rPr>
                <w:rFonts w:ascii="Arial" w:cs="Arial" w:eastAsia="Arial" w:hAnsi="Arial"/>
                <w:sz w:val="18"/>
                <w:szCs w:val="18"/>
                <w:color w:val="0000FF"/>
                <w:w w:val="90"/>
              </w:rPr>
            </w:pPr>
            <w:hyperlink r:id="rId290">
              <w:r>
                <w:rPr>
                  <w:rFonts w:ascii="Arial" w:cs="Arial" w:eastAsia="Arial" w:hAnsi="Arial"/>
                  <w:sz w:val="18"/>
                  <w:szCs w:val="18"/>
                  <w:color w:val="0000FF"/>
                  <w:w w:val="90"/>
                </w:rPr>
                <w:t>Revolving Credit Agreement, dated as of September 1, 2022, by and among Sixth Street Lending Partners and Wells Fargo Bank, N.A.</w:t>
              </w:r>
            </w:hyperlink>
          </w:p>
        </w:tc>
        <w:tc>
          <w:tcPr>
            <w:tcW w:w="3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5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290">
              <w:r>
                <w:rPr>
                  <w:rFonts w:ascii="Arial" w:cs="Arial" w:eastAsia="Arial" w:hAnsi="Arial"/>
                  <w:sz w:val="18"/>
                  <w:szCs w:val="18"/>
                  <w:color w:val="0000FF"/>
                  <w:w w:val="91"/>
                </w:rPr>
                <w:t>(incorporated by reference to Exhibit 10.1 to the Company’s Current Report on Form 8-K filed on September 6, 2022)</w:t>
              </w:r>
            </w:hyperlink>
          </w:p>
        </w:tc>
        <w:tc>
          <w:tcPr>
            <w:tcW w:w="20" w:type="dxa"/>
            <w:vAlign w:val="bottom"/>
            <w:tcBorders>
              <w:bottom w:val="single" w:sz="8" w:color="0000EE"/>
            </w:tcBorders>
          </w:tcPr>
          <w:p>
            <w:pPr>
              <w:spacing w:after="0"/>
              <w:rPr>
                <w:sz w:val="17"/>
                <w:szCs w:val="17"/>
                <w:color w:val="auto"/>
              </w:rPr>
            </w:pPr>
          </w:p>
        </w:tc>
        <w:tc>
          <w:tcPr>
            <w:tcW w:w="1520" w:type="dxa"/>
            <w:vAlign w:val="bottom"/>
            <w:gridSpan w:val="8"/>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570"/>
              <w:spacing w:after="0"/>
              <w:rPr>
                <w:sz w:val="20"/>
                <w:szCs w:val="20"/>
                <w:color w:val="auto"/>
              </w:rPr>
            </w:pPr>
            <w:r>
              <w:rPr>
                <w:rFonts w:ascii="Arial" w:cs="Arial" w:eastAsia="Arial" w:hAnsi="Arial"/>
                <w:sz w:val="18"/>
                <w:szCs w:val="18"/>
                <w:color w:val="auto"/>
              </w:rPr>
              <w:t>10.8</w:t>
            </w:r>
          </w:p>
        </w:tc>
        <w:tc>
          <w:tcPr>
            <w:tcW w:w="10040" w:type="dxa"/>
            <w:vAlign w:val="bottom"/>
            <w:tcBorders>
              <w:bottom w:val="single" w:sz="8" w:color="0000FF"/>
            </w:tcBorders>
            <w:gridSpan w:val="3"/>
          </w:tcPr>
          <w:p>
            <w:pPr>
              <w:spacing w:after="0"/>
              <w:rPr>
                <w:rFonts w:ascii="Arial" w:cs="Arial" w:eastAsia="Arial" w:hAnsi="Arial"/>
                <w:sz w:val="18"/>
                <w:szCs w:val="18"/>
                <w:color w:val="0000FF"/>
                <w:w w:val="91"/>
              </w:rPr>
            </w:pPr>
            <w:hyperlink r:id="rId291">
              <w:r>
                <w:rPr>
                  <w:rFonts w:ascii="Arial" w:cs="Arial" w:eastAsia="Arial" w:hAnsi="Arial"/>
                  <w:sz w:val="18"/>
                  <w:szCs w:val="18"/>
                  <w:color w:val="0000FF"/>
                  <w:w w:val="91"/>
                </w:rPr>
                <w:t>Lender Joinder and First Amendment to Revolving Credit Agreement, dated as of December 21, 2022, by and among Sixth Street Lending</w:t>
              </w:r>
            </w:hyperlink>
          </w:p>
        </w:tc>
        <w:tc>
          <w:tcPr>
            <w:tcW w:w="1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98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291">
              <w:r>
                <w:rPr>
                  <w:rFonts w:ascii="Arial" w:cs="Arial" w:eastAsia="Arial" w:hAnsi="Arial"/>
                  <w:sz w:val="18"/>
                  <w:szCs w:val="18"/>
                  <w:color w:val="0000FF"/>
                  <w:w w:val="91"/>
                </w:rPr>
                <w:t>Partners and Wells Fargo Bank, N.A. (incorporated by reference to Exhibit 10.1 to the Company’s Current Report on Form 8-K filed on</w:t>
              </w:r>
            </w:hyperlink>
          </w:p>
        </w:tc>
        <w:tc>
          <w:tcPr>
            <w:tcW w:w="3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48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291">
              <w:r>
                <w:rPr>
                  <w:rFonts w:ascii="Arial" w:cs="Arial" w:eastAsia="Arial" w:hAnsi="Arial"/>
                  <w:sz w:val="18"/>
                  <w:szCs w:val="18"/>
                  <w:color w:val="0000FF"/>
                  <w:w w:val="88"/>
                </w:rPr>
                <w:t>December 22, 2022)</w:t>
              </w:r>
            </w:hyperlink>
          </w:p>
        </w:tc>
        <w:tc>
          <w:tcPr>
            <w:tcW w:w="8680" w:type="dxa"/>
            <w:vAlign w:val="bottom"/>
            <w:gridSpan w:val="3"/>
          </w:tcPr>
          <w:p>
            <w:pPr>
              <w:spacing w:after="0"/>
              <w:rPr>
                <w:sz w:val="17"/>
                <w:szCs w:val="17"/>
                <w:color w:val="auto"/>
              </w:rPr>
            </w:pPr>
          </w:p>
        </w:tc>
      </w:tr>
      <w:tr>
        <w:trPr>
          <w:trHeight w:val="628"/>
        </w:trPr>
        <w:tc>
          <w:tcPr>
            <w:tcW w:w="1080" w:type="dxa"/>
            <w:vAlign w:val="bottom"/>
          </w:tcPr>
          <w:p>
            <w:pPr>
              <w:spacing w:after="0"/>
              <w:rPr>
                <w:sz w:val="24"/>
                <w:szCs w:val="24"/>
                <w:color w:val="auto"/>
              </w:rPr>
            </w:pPr>
          </w:p>
        </w:tc>
        <w:tc>
          <w:tcPr>
            <w:tcW w:w="9820" w:type="dxa"/>
            <w:vAlign w:val="bottom"/>
            <w:gridSpan w:val="2"/>
          </w:tcPr>
          <w:p>
            <w:pPr>
              <w:jc w:val="right"/>
              <w:ind w:right="518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1" w:name="page112"/>
    <w:bookmarkEnd w:id="111"/>
    <w:tbl>
      <w:tblPr>
        <w:tblLayout w:type="fixed"/>
        <w:tblInd w:w="8" w:type="dxa"/>
        <w:tblCellMar>
          <w:top w:w="0" w:type="dxa"/>
          <w:left w:w="0" w:type="dxa"/>
          <w:bottom w:w="0" w:type="dxa"/>
          <w:right w:w="0" w:type="dxa"/>
        </w:tblCellMar>
      </w:tblPr>
      <w:tr>
        <w:trPr>
          <w:trHeight w:val="207"/>
        </w:trPr>
        <w:tc>
          <w:tcPr>
            <w:tcW w:w="960" w:type="dxa"/>
            <w:vAlign w:val="bottom"/>
          </w:tcPr>
          <w:p>
            <w:pPr>
              <w:jc w:val="right"/>
              <w:ind w:right="570"/>
              <w:spacing w:after="0"/>
              <w:rPr>
                <w:sz w:val="20"/>
                <w:szCs w:val="20"/>
                <w:color w:val="auto"/>
              </w:rPr>
            </w:pPr>
            <w:r>
              <w:rPr>
                <w:rFonts w:ascii="Arial" w:cs="Arial" w:eastAsia="Arial" w:hAnsi="Arial"/>
                <w:sz w:val="18"/>
                <w:szCs w:val="18"/>
                <w:color w:val="auto"/>
                <w:w w:val="79"/>
              </w:rPr>
              <w:t>10.9</w:t>
            </w:r>
          </w:p>
        </w:tc>
        <w:tc>
          <w:tcPr>
            <w:tcW w:w="9700" w:type="dxa"/>
            <w:vAlign w:val="bottom"/>
            <w:tcBorders>
              <w:bottom w:val="single" w:sz="8" w:color="0000FF"/>
            </w:tcBorders>
            <w:gridSpan w:val="5"/>
          </w:tcPr>
          <w:p>
            <w:pPr>
              <w:spacing w:after="0"/>
              <w:rPr>
                <w:rFonts w:ascii="Arial" w:cs="Arial" w:eastAsia="Arial" w:hAnsi="Arial"/>
                <w:sz w:val="18"/>
                <w:szCs w:val="18"/>
                <w:color w:val="0000FF"/>
                <w:w w:val="90"/>
              </w:rPr>
            </w:pPr>
            <w:hyperlink r:id="rId294">
              <w:r>
                <w:rPr>
                  <w:rFonts w:ascii="Arial" w:cs="Arial" w:eastAsia="Arial" w:hAnsi="Arial"/>
                  <w:sz w:val="18"/>
                  <w:szCs w:val="18"/>
                  <w:color w:val="0000FF"/>
                  <w:w w:val="90"/>
                </w:rPr>
                <w:t>Senior Secured Revolving Credit Agreement, dated January 19, 2023, between Sixth Street Lending Partners, the Lenders and Issuing</w:t>
              </w:r>
            </w:hyperlink>
          </w:p>
        </w:tc>
        <w:tc>
          <w:tcPr>
            <w:tcW w:w="360" w:type="dxa"/>
            <w:vAlign w:val="bottom"/>
            <w:gridSpan w:val="5"/>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294">
              <w:r>
                <w:rPr>
                  <w:rFonts w:ascii="Arial" w:cs="Arial" w:eastAsia="Arial" w:hAnsi="Arial"/>
                  <w:sz w:val="18"/>
                  <w:szCs w:val="18"/>
                  <w:color w:val="0000FF"/>
                  <w:w w:val="91"/>
                </w:rPr>
                <w:t>Banks party thereto and Truist Bank as Administrative Agent. (incorporated by reference to Exhibit 10.1 to the Company’s Current Report</w:t>
              </w:r>
            </w:hyperlink>
          </w:p>
        </w:tc>
        <w:tc>
          <w:tcPr>
            <w:tcW w:w="4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60" w:type="dxa"/>
            <w:vAlign w:val="bottom"/>
            <w:gridSpan w:val="10"/>
          </w:tcPr>
          <w:p>
            <w:pPr>
              <w:spacing w:after="0" w:line="196" w:lineRule="exact"/>
              <w:rPr>
                <w:rFonts w:ascii="Arial" w:cs="Arial" w:eastAsia="Arial" w:hAnsi="Arial"/>
                <w:sz w:val="18"/>
                <w:szCs w:val="18"/>
                <w:color w:val="0000FF"/>
              </w:rPr>
            </w:pPr>
            <w:hyperlink r:id="rId294">
              <w:r>
                <w:rPr>
                  <w:rFonts w:ascii="Arial" w:cs="Arial" w:eastAsia="Arial" w:hAnsi="Arial"/>
                  <w:sz w:val="18"/>
                  <w:szCs w:val="18"/>
                  <w:color w:val="0000FF"/>
                </w:rPr>
                <w:t>on Form 8-K filed on January 24, 2022)</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614"/>
        </w:trPr>
        <w:tc>
          <w:tcPr>
            <w:tcW w:w="960" w:type="dxa"/>
            <w:vAlign w:val="bottom"/>
          </w:tcPr>
          <w:p>
            <w:pPr>
              <w:jc w:val="right"/>
              <w:ind w:right="570"/>
              <w:spacing w:after="0"/>
              <w:rPr>
                <w:sz w:val="20"/>
                <w:szCs w:val="20"/>
                <w:color w:val="auto"/>
              </w:rPr>
            </w:pPr>
            <w:r>
              <w:rPr>
                <w:rFonts w:ascii="Arial" w:cs="Arial" w:eastAsia="Arial" w:hAnsi="Arial"/>
                <w:sz w:val="18"/>
                <w:szCs w:val="18"/>
                <w:color w:val="auto"/>
                <w:w w:val="79"/>
              </w:rPr>
              <w:t>14.1</w:t>
            </w:r>
          </w:p>
        </w:tc>
        <w:tc>
          <w:tcPr>
            <w:tcW w:w="9940" w:type="dxa"/>
            <w:vAlign w:val="bottom"/>
            <w:tcBorders>
              <w:bottom w:val="single" w:sz="8" w:color="0000FF"/>
            </w:tcBorders>
            <w:gridSpan w:val="8"/>
          </w:tcPr>
          <w:p>
            <w:pPr>
              <w:spacing w:after="0"/>
              <w:rPr>
                <w:rFonts w:ascii="Arial" w:cs="Arial" w:eastAsia="Arial" w:hAnsi="Arial"/>
                <w:sz w:val="18"/>
                <w:szCs w:val="18"/>
                <w:color w:val="0000FF"/>
                <w:w w:val="91"/>
              </w:rPr>
            </w:pPr>
            <w:hyperlink r:id="rId295">
              <w:r>
                <w:rPr>
                  <w:rFonts w:ascii="Arial" w:cs="Arial" w:eastAsia="Arial" w:hAnsi="Arial"/>
                  <w:sz w:val="18"/>
                  <w:szCs w:val="18"/>
                  <w:color w:val="0000FF"/>
                  <w:w w:val="91"/>
                </w:rPr>
                <w:t>Fund Code of Ethics (incorporated by reference to Exhibit 14.1 to the Company’s Registration Statement on Form 10 (Securities Act File</w:t>
              </w:r>
            </w:hyperlink>
          </w:p>
        </w:tc>
        <w:tc>
          <w:tcPr>
            <w:tcW w:w="12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60" w:type="dxa"/>
            <w:vAlign w:val="bottom"/>
            <w:gridSpan w:val="10"/>
          </w:tcPr>
          <w:p>
            <w:pPr>
              <w:spacing w:after="0" w:line="196" w:lineRule="exact"/>
              <w:rPr>
                <w:rFonts w:ascii="Arial" w:cs="Arial" w:eastAsia="Arial" w:hAnsi="Arial"/>
                <w:sz w:val="18"/>
                <w:szCs w:val="18"/>
                <w:color w:val="0000FF"/>
              </w:rPr>
            </w:pPr>
            <w:hyperlink r:id="rId295">
              <w:r>
                <w:rPr>
                  <w:rFonts w:ascii="Arial" w:cs="Arial" w:eastAsia="Arial" w:hAnsi="Arial"/>
                  <w:sz w:val="18"/>
                  <w:szCs w:val="18"/>
                  <w:color w:val="0000FF"/>
                </w:rPr>
                <w:t>No. 000-56455) on June 28, 2022)</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99"/>
        </w:trPr>
        <w:tc>
          <w:tcPr>
            <w:tcW w:w="960" w:type="dxa"/>
            <w:vAlign w:val="bottom"/>
          </w:tcPr>
          <w:p>
            <w:pPr>
              <w:jc w:val="right"/>
              <w:ind w:right="570"/>
              <w:spacing w:after="0"/>
              <w:rPr>
                <w:sz w:val="20"/>
                <w:szCs w:val="20"/>
                <w:color w:val="auto"/>
              </w:rPr>
            </w:pPr>
            <w:r>
              <w:rPr>
                <w:rFonts w:ascii="Arial" w:cs="Arial" w:eastAsia="Arial" w:hAnsi="Arial"/>
                <w:sz w:val="18"/>
                <w:szCs w:val="18"/>
                <w:color w:val="auto"/>
                <w:w w:val="79"/>
              </w:rPr>
              <w:t>14.2</w:t>
            </w:r>
          </w:p>
        </w:tc>
        <w:tc>
          <w:tcPr>
            <w:tcW w:w="9820" w:type="dxa"/>
            <w:vAlign w:val="bottom"/>
            <w:tcBorders>
              <w:bottom w:val="single" w:sz="8" w:color="0000FF"/>
            </w:tcBorders>
            <w:gridSpan w:val="6"/>
          </w:tcPr>
          <w:p>
            <w:pPr>
              <w:spacing w:after="0"/>
              <w:rPr>
                <w:rFonts w:ascii="Arial" w:cs="Arial" w:eastAsia="Arial" w:hAnsi="Arial"/>
                <w:sz w:val="18"/>
                <w:szCs w:val="18"/>
                <w:color w:val="0000FF"/>
                <w:w w:val="91"/>
              </w:rPr>
            </w:pPr>
            <w:hyperlink r:id="rId296">
              <w:r>
                <w:rPr>
                  <w:rFonts w:ascii="Arial" w:cs="Arial" w:eastAsia="Arial" w:hAnsi="Arial"/>
                  <w:sz w:val="18"/>
                  <w:szCs w:val="18"/>
                  <w:color w:val="0000FF"/>
                  <w:w w:val="91"/>
                </w:rPr>
                <w:t>Adviser Code of Ethics (incorporated by reference to Exhibit 14.2 to the Company’s Registration Statement on Form 10 (Securities Act</w:t>
              </w:r>
            </w:hyperlink>
          </w:p>
        </w:tc>
        <w:tc>
          <w:tcPr>
            <w:tcW w:w="24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90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296">
              <w:r>
                <w:rPr>
                  <w:rFonts w:ascii="Arial" w:cs="Arial" w:eastAsia="Arial" w:hAnsi="Arial"/>
                  <w:sz w:val="18"/>
                  <w:szCs w:val="18"/>
                  <w:color w:val="0000FF"/>
                  <w:w w:val="92"/>
                </w:rPr>
                <w:t>File No. 000-56455) on June 28, 2022)</w:t>
              </w:r>
            </w:hyperlink>
          </w:p>
        </w:tc>
        <w:tc>
          <w:tcPr>
            <w:tcW w:w="7160" w:type="dxa"/>
            <w:vAlign w:val="bottom"/>
            <w:gridSpan w:val="6"/>
          </w:tcPr>
          <w:p>
            <w:pPr>
              <w:spacing w:after="0"/>
              <w:rPr>
                <w:sz w:val="17"/>
                <w:szCs w:val="17"/>
                <w:color w:val="auto"/>
              </w:rPr>
            </w:pPr>
          </w:p>
        </w:tc>
      </w:tr>
      <w:tr>
        <w:trPr>
          <w:trHeight w:val="385"/>
        </w:trPr>
        <w:tc>
          <w:tcPr>
            <w:tcW w:w="960" w:type="dxa"/>
            <w:vAlign w:val="bottom"/>
          </w:tcPr>
          <w:p>
            <w:pPr>
              <w:jc w:val="right"/>
              <w:ind w:right="570"/>
              <w:spacing w:after="0"/>
              <w:rPr>
                <w:sz w:val="20"/>
                <w:szCs w:val="20"/>
                <w:color w:val="auto"/>
              </w:rPr>
            </w:pPr>
            <w:r>
              <w:rPr>
                <w:rFonts w:ascii="Arial" w:cs="Arial" w:eastAsia="Arial" w:hAnsi="Arial"/>
                <w:sz w:val="18"/>
                <w:szCs w:val="18"/>
                <w:color w:val="auto"/>
                <w:w w:val="79"/>
              </w:rPr>
              <w:t>31.1</w:t>
            </w:r>
          </w:p>
        </w:tc>
        <w:tc>
          <w:tcPr>
            <w:tcW w:w="98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 Adopted Pursuant to Section 302 of the Sarbanes-Oxley</w:t>
            </w:r>
          </w:p>
        </w:tc>
        <w:tc>
          <w:tcPr>
            <w:tcW w:w="22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60" w:type="dxa"/>
            <w:vAlign w:val="bottom"/>
            <w:gridSpan w:val="10"/>
          </w:tcPr>
          <w:p>
            <w:pPr>
              <w:spacing w:after="0" w:line="196" w:lineRule="exact"/>
              <w:rPr>
                <w:sz w:val="20"/>
                <w:szCs w:val="20"/>
                <w:color w:val="auto"/>
              </w:rPr>
            </w:pPr>
            <w:r>
              <w:rPr>
                <w:rFonts w:ascii="Arial" w:cs="Arial" w:eastAsia="Arial" w:hAnsi="Arial"/>
                <w:sz w:val="18"/>
                <w:szCs w:val="18"/>
                <w:color w:val="0000FF"/>
              </w:rPr>
              <w:t>Act of 2002.</w:t>
            </w: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9140" w:type="dxa"/>
            <w:vAlign w:val="bottom"/>
            <w:gridSpan w:val="8"/>
          </w:tcPr>
          <w:p>
            <w:pPr>
              <w:spacing w:after="0" w:line="20" w:lineRule="exact"/>
              <w:rPr>
                <w:sz w:val="1"/>
                <w:szCs w:val="1"/>
                <w:color w:val="auto"/>
              </w:rPr>
            </w:pPr>
          </w:p>
        </w:tc>
      </w:tr>
      <w:tr>
        <w:trPr>
          <w:trHeight w:val="223"/>
        </w:trPr>
        <w:tc>
          <w:tcPr>
            <w:tcW w:w="960" w:type="dxa"/>
            <w:vAlign w:val="bottom"/>
          </w:tcPr>
          <w:p>
            <w:pPr>
              <w:jc w:val="right"/>
              <w:ind w:right="570"/>
              <w:spacing w:after="0"/>
              <w:rPr>
                <w:sz w:val="20"/>
                <w:szCs w:val="20"/>
                <w:color w:val="auto"/>
              </w:rPr>
            </w:pPr>
            <w:r>
              <w:rPr>
                <w:rFonts w:ascii="Arial" w:cs="Arial" w:eastAsia="Arial" w:hAnsi="Arial"/>
                <w:sz w:val="18"/>
                <w:szCs w:val="18"/>
                <w:color w:val="auto"/>
                <w:w w:val="79"/>
              </w:rPr>
              <w:t>31.2</w:t>
            </w:r>
          </w:p>
        </w:tc>
        <w:tc>
          <w:tcPr>
            <w:tcW w:w="100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302 of the Sarbanes-Oxley Act</w:t>
            </w:r>
          </w:p>
        </w:tc>
      </w:tr>
      <w:tr>
        <w:trPr>
          <w:trHeight w:val="196"/>
        </w:trPr>
        <w:tc>
          <w:tcPr>
            <w:tcW w:w="960" w:type="dxa"/>
            <w:vAlign w:val="bottom"/>
          </w:tcPr>
          <w:p>
            <w:pPr>
              <w:spacing w:after="0"/>
              <w:rPr>
                <w:sz w:val="17"/>
                <w:szCs w:val="17"/>
                <w:color w:val="auto"/>
              </w:rPr>
            </w:pPr>
          </w:p>
        </w:tc>
        <w:tc>
          <w:tcPr>
            <w:tcW w:w="10060" w:type="dxa"/>
            <w:vAlign w:val="bottom"/>
            <w:gridSpan w:val="10"/>
          </w:tcPr>
          <w:p>
            <w:pPr>
              <w:spacing w:after="0" w:line="196" w:lineRule="exact"/>
              <w:rPr>
                <w:sz w:val="20"/>
                <w:szCs w:val="20"/>
                <w:color w:val="auto"/>
              </w:rPr>
            </w:pPr>
            <w:r>
              <w:rPr>
                <w:rFonts w:ascii="Arial" w:cs="Arial" w:eastAsia="Arial" w:hAnsi="Arial"/>
                <w:sz w:val="18"/>
                <w:szCs w:val="18"/>
                <w:color w:val="0000FF"/>
              </w:rPr>
              <w:t>of 2002.</w:t>
            </w: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195" w:lineRule="exact"/>
        <w:rPr>
          <w:sz w:val="20"/>
          <w:szCs w:val="20"/>
          <w:color w:val="auto"/>
        </w:rPr>
      </w:pPr>
    </w:p>
    <w:p>
      <w:pPr>
        <w:ind w:left="968" w:right="420" w:hanging="968"/>
        <w:spacing w:after="0" w:line="277" w:lineRule="auto"/>
        <w:tabs>
          <w:tab w:leader="none" w:pos="96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0000FF"/>
        </w:rPr>
        <w:t>Certification of CEO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-182245</wp:posOffset>
            </wp:positionV>
            <wp:extent cx="61436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6143625" cy="8255"/>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-45085</wp:posOffset>
            </wp:positionV>
            <wp:extent cx="2571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64"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8"/>
          </w:cols>
          <w:pgMar w:left="432" w:top="337" w:right="4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13" w:name="page114"/>
    <w:bookmarkEnd w:id="11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February 17, 2023</w:t>
      </w:r>
      <w:r>
        <w:rPr>
          <w:sz w:val="20"/>
          <w:szCs w:val="20"/>
          <w:color w:val="auto"/>
        </w:rPr>
        <w:tab/>
      </w:r>
      <w:r>
        <w:rPr>
          <w:rFonts w:ascii="Arial" w:cs="Arial" w:eastAsia="Arial" w:hAnsi="Arial"/>
          <w:sz w:val="18"/>
          <w:szCs w:val="18"/>
          <w:b w:val="1"/>
          <w:bCs w:val="1"/>
          <w:color w:val="auto"/>
        </w:rPr>
        <w:t>SIXTH STREET LENDING PARTNERS</w:t>
      </w:r>
    </w:p>
    <w:p>
      <w:pPr>
        <w:spacing w:after="0" w:line="31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Each person whose signature appears below constitutes and appoints Joshua Easterly, Ian Simmonds, David Stiepleman and Jennifer Gordon,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2022,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92" w:lineRule="exact"/>
        <w:rPr>
          <w:sz w:val="20"/>
          <w:szCs w:val="20"/>
          <w:color w:val="auto"/>
        </w:rPr>
      </w:pPr>
    </w:p>
    <w:p>
      <w:pPr>
        <w:ind w:right="54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17,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2"/>
          </w:tcPr>
          <w:p>
            <w:pPr>
              <w:ind w:left="206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6400" w:type="dxa"/>
            <w:vAlign w:val="bottom"/>
            <w:tcBorders>
              <w:bottom w:val="single" w:sz="8" w:color="auto"/>
            </w:tcBorders>
          </w:tcPr>
          <w:p>
            <w:pPr>
              <w:ind w:left="3060"/>
              <w:spacing w:after="0"/>
              <w:rPr>
                <w:sz w:val="20"/>
                <w:szCs w:val="20"/>
                <w:color w:val="auto"/>
              </w:rPr>
            </w:pPr>
            <w:r>
              <w:rPr>
                <w:rFonts w:ascii="Arial" w:cs="Arial" w:eastAsia="Arial" w:hAnsi="Arial"/>
                <w:sz w:val="14"/>
                <w:szCs w:val="14"/>
                <w:b w:val="1"/>
                <w:bCs w:val="1"/>
                <w:color w:val="auto"/>
              </w:rPr>
              <w:t>Title</w:t>
            </w:r>
          </w:p>
        </w:tc>
      </w:tr>
      <w:tr>
        <w:trPr>
          <w:trHeight w:val="439"/>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Joshua Easterly</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Chief Executive Officer, Trustee and Chairman of the Board of Trustees</w:t>
            </w:r>
          </w:p>
        </w:tc>
      </w:tr>
      <w:tr>
        <w:trPr>
          <w:trHeight w:val="224"/>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Joshua Easterly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8"/>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Ian Simmonds</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24"/>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Ian Simmonds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8"/>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Michael Graf</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Deputy Chief Financial Officer (Principal Accounting Officer)</w:t>
            </w:r>
          </w:p>
        </w:tc>
      </w:tr>
      <w:tr>
        <w:trPr>
          <w:trHeight w:val="224"/>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Graf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Judy Slotkin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Trustee and Chairman of the Audit Committee</w:t>
            </w:r>
          </w:p>
        </w:tc>
      </w:tr>
      <w:tr>
        <w:trPr>
          <w:trHeight w:val="224"/>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Judy Slotkin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8"/>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Jennifer Gordon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Trustee</w:t>
            </w:r>
          </w:p>
        </w:tc>
      </w:tr>
      <w:tr>
        <w:trPr>
          <w:trHeight w:val="224"/>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Jennifer Gordon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580"/>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Richard A. Higginbotham</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Trustee</w:t>
            </w:r>
          </w:p>
        </w:tc>
      </w:tr>
      <w:tr>
        <w:trPr>
          <w:trHeight w:val="224"/>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A. Higginbotham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8"/>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Hurley Doddy</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Trustee</w:t>
            </w:r>
          </w:p>
        </w:tc>
      </w:tr>
      <w:tr>
        <w:trPr>
          <w:trHeight w:val="224"/>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Hurley Doddy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8"/>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David Stiepleman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Trustee</w:t>
            </w:r>
          </w:p>
        </w:tc>
      </w:tr>
      <w:tr>
        <w:trPr>
          <w:trHeight w:val="224"/>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Stiepleman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58"/>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Ronald K. Tanemura</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Trustee</w:t>
            </w:r>
          </w:p>
        </w:tc>
      </w:tr>
      <w:tr>
        <w:trPr>
          <w:trHeight w:val="224"/>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Ronald K. Tanemura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78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2"/>
          </w:tcPr>
          <w:p>
            <w:pPr>
              <w:jc w:val="right"/>
              <w:ind w:right="5392"/>
              <w:spacing w:after="0"/>
              <w:rPr>
                <w:sz w:val="20"/>
                <w:szCs w:val="20"/>
                <w:color w:val="auto"/>
              </w:rPr>
            </w:pPr>
            <w:r>
              <w:rPr>
                <w:rFonts w:ascii="Arial" w:cs="Arial" w:eastAsia="Arial" w:hAnsi="Arial"/>
                <w:sz w:val="18"/>
                <w:szCs w:val="18"/>
                <w:color w:val="auto"/>
              </w:rPr>
              <w:t>102</w:t>
            </w:r>
          </w:p>
        </w:tc>
      </w:tr>
      <w:tr>
        <w:trPr>
          <w:trHeight w:val="115"/>
        </w:trPr>
        <w:tc>
          <w:tcPr>
            <w:tcW w:w="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4.12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STREET LENDING PARTNERS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11" w:lineRule="exact"/>
        <w:rPr>
          <w:sz w:val="20"/>
          <w:szCs w:val="20"/>
          <w:color w:val="auto"/>
        </w:rPr>
      </w:pPr>
    </w:p>
    <w:p>
      <w:pPr>
        <w:jc w:val="both"/>
        <w:ind w:firstLine="292"/>
        <w:spacing w:after="0" w:line="277" w:lineRule="auto"/>
        <w:rPr>
          <w:sz w:val="20"/>
          <w:szCs w:val="20"/>
          <w:color w:val="auto"/>
        </w:rPr>
      </w:pPr>
      <w:r>
        <w:rPr>
          <w:rFonts w:ascii="Arial" w:cs="Arial" w:eastAsia="Arial" w:hAnsi="Arial"/>
          <w:sz w:val="18"/>
          <w:szCs w:val="18"/>
          <w:color w:val="auto"/>
        </w:rPr>
        <w:t>The terms of the Declaration of Trust authorize an unlimited number of Common Shares. There is currently no market for the Common Shares, and there can be no assurance that a market for the Common Shares will develop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225" w:lineRule="exact"/>
        <w:rPr>
          <w:sz w:val="20"/>
          <w:szCs w:val="20"/>
          <w:color w:val="auto"/>
        </w:rPr>
      </w:pPr>
    </w:p>
    <w:p>
      <w:pPr>
        <w:jc w:val="both"/>
        <w:ind w:firstLine="271"/>
        <w:spacing w:after="0" w:line="268" w:lineRule="auto"/>
        <w:rPr>
          <w:sz w:val="20"/>
          <w:szCs w:val="20"/>
          <w:color w:val="auto"/>
        </w:rPr>
      </w:pPr>
      <w:r>
        <w:rPr>
          <w:rFonts w:ascii="Arial" w:cs="Arial" w:eastAsia="Arial" w:hAnsi="Arial"/>
          <w:sz w:val="17"/>
          <w:szCs w:val="17"/>
          <w:color w:val="auto"/>
        </w:rPr>
        <w:t>Under the terms of the Company’s Declaration of Trust, all Common Shares, when they are issued in accordance with the terms of the Declaration of Trust, will be duly authorized, validly issued, fully paid and nonassessable. Dividends and distributions may be paid to shareholders if, as and when authorized by the Board of Trustees and declared by the Company out of funds legally available therefore. Except as may be provided by the Board of Trustees in setting the terms of classified or reclassified shares, the Common Shares will have no preemptive, exchange, conversion, appraisal or redemption rights. In the event of liquidation, dissolution or winding up, each of the Common Shares would be entitled to share pro rata in all of the Company’s assets that are legally available for distribution after the Company pays all debts and other liabilities and subject to any preferential rights of holders of the Company’s preferred shares, if any preferred shares are outstanding at such time. Subject to the rights of holders of any other class or series of shares, each whole share of the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shall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Company’s Declaration of Trust, the Company’s Board of Trustees may amend the Declaration of Trust to alter the vote required to elect trustees.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jc w:val="both"/>
        <w:ind w:firstLine="312"/>
        <w:spacing w:after="0" w:line="254" w:lineRule="auto"/>
        <w:rPr>
          <w:sz w:val="20"/>
          <w:szCs w:val="20"/>
          <w:color w:val="auto"/>
        </w:rPr>
      </w:pPr>
      <w:r>
        <w:rPr>
          <w:rFonts w:ascii="Arial" w:cs="Arial" w:eastAsia="Arial" w:hAnsi="Arial"/>
          <w:sz w:val="18"/>
          <w:szCs w:val="18"/>
          <w:color w:val="auto"/>
        </w:rPr>
        <w:t>Under the terms of the Declaration of Trust, our Board of Trustees is authorized to issue preferred sharesin one or more series without shareholder approval. Prior to the issuance of shares of each series, ourBoard of Trustees is required by the Declaration of Trust to set the terms, preferences, conversion or other rights, voting powers, restrictions, limitations as to distributions, qualifications and terms or conditions of redemption for each series. The 1940 Actlimits our flexibility as certain rights and preferences of the preferred shares require, among other things: (i) immediately after issuance and before any distribution is made with respect to shares, we must meet an asset coverage ratio of total assets to total senior securities, which include all of our borrowings and preferred shares, of at least 150%; and (ii) 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and Resale Restrictions</w:t>
      </w:r>
    </w:p>
    <w:p>
      <w:pPr>
        <w:spacing w:after="0" w:line="225" w:lineRule="exact"/>
        <w:rPr>
          <w:sz w:val="20"/>
          <w:szCs w:val="20"/>
          <w:color w:val="auto"/>
        </w:rPr>
      </w:pPr>
    </w:p>
    <w:p>
      <w:pPr>
        <w:jc w:val="both"/>
        <w:ind w:firstLine="365"/>
        <w:spacing w:after="0" w:line="257" w:lineRule="auto"/>
        <w:rPr>
          <w:sz w:val="20"/>
          <w:szCs w:val="20"/>
          <w:color w:val="auto"/>
        </w:rPr>
      </w:pPr>
      <w:r>
        <w:rPr>
          <w:rFonts w:ascii="Arial" w:cs="Arial" w:eastAsia="Arial" w:hAnsi="Arial"/>
          <w:sz w:val="18"/>
          <w:szCs w:val="18"/>
          <w:color w:val="auto"/>
        </w:rPr>
        <w:t>To the fullest extent permitted by law, prior to an Exchange Listing (or such other time pursuant to any agreements between the Company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both"/>
        <w:ind w:firstLine="229"/>
        <w:spacing w:after="0" w:line="257" w:lineRule="auto"/>
        <w:rPr>
          <w:sz w:val="20"/>
          <w:szCs w:val="20"/>
          <w:color w:val="auto"/>
        </w:rPr>
      </w:pPr>
      <w:r>
        <w:rPr>
          <w:rFonts w:ascii="Arial" w:cs="Arial" w:eastAsia="Arial" w:hAnsi="Arial"/>
          <w:sz w:val="18"/>
          <w:szCs w:val="18"/>
          <w:color w:val="auto"/>
        </w:rPr>
        <w:t>Each Common Share is subject to redemption (out of the assets of the Company) by the Company at the redemption price equal to the then current NAV per Common Share of the Company determined in accordance with the Declaration of Trust at any time if the Trustees determine in their sole discretion that a shareholder has breached any of its representations or warranties contained in such shareholder’s Subscription Agreement with the Company, and upon such redemption the holders of the Common Shares so redeemed shall have no further right with respect thereto other than to receive payment of such redemption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Lawand Certain Declaration of TrustProvisions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Duration</w:t>
      </w:r>
    </w:p>
    <w:p>
      <w:pPr>
        <w:spacing w:after="0" w:line="225"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We intend to be formed as a Delaware statutory trust and will remain in existence until dissolved in accordance with our Declaration of Trust or pursuant to Delaware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jc w:val="both"/>
        <w:ind w:firstLine="273"/>
        <w:spacing w:after="0" w:line="293" w:lineRule="auto"/>
        <w:rPr>
          <w:sz w:val="20"/>
          <w:szCs w:val="20"/>
          <w:color w:val="auto"/>
        </w:rPr>
      </w:pPr>
      <w:r>
        <w:rPr>
          <w:rFonts w:ascii="Arial" w:cs="Arial" w:eastAsia="Arial" w:hAnsi="Arial"/>
          <w:sz w:val="16"/>
          <w:szCs w:val="16"/>
          <w:color w:val="auto"/>
        </w:rPr>
        <w:t>Under the Declaration of Trust, the purpose of the Company is to conduct, operate and carry on the business of a business development company within the meaning of the 1940 Act. In furtherance of the foregoing, it shall be the purpose of the Company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Company shall have the power and authority to engage in the foregoing and may exercise all of the powers conferred by the laws of the State of Delaware upon a Delaware statutory trust.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to be Bound by the Declaration of Trust; Power of Attorney</w:t>
      </w:r>
    </w:p>
    <w:p>
      <w:pPr>
        <w:spacing w:after="0" w:line="225" w:lineRule="exact"/>
        <w:rPr>
          <w:sz w:val="20"/>
          <w:szCs w:val="20"/>
          <w:color w:val="auto"/>
        </w:rPr>
      </w:pPr>
    </w:p>
    <w:p>
      <w:pPr>
        <w:jc w:val="both"/>
        <w:ind w:firstLine="262"/>
        <w:spacing w:after="0" w:line="255" w:lineRule="auto"/>
        <w:rPr>
          <w:sz w:val="20"/>
          <w:szCs w:val="20"/>
          <w:color w:val="auto"/>
        </w:rPr>
      </w:pPr>
      <w:r>
        <w:rPr>
          <w:rFonts w:ascii="Arial" w:cs="Arial" w:eastAsia="Arial" w:hAnsi="Arial"/>
          <w:sz w:val="18"/>
          <w:szCs w:val="18"/>
          <w:color w:val="auto"/>
        </w:rPr>
        <w:t>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Company (and any substitute or successor Trustees or any substitute or successor officer of the Company) (and, if appointed, any liquidator of the Company) a 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Shareholders</w:t>
      </w:r>
    </w:p>
    <w:p>
      <w:pPr>
        <w:spacing w:after="0" w:line="225" w:lineRule="exact"/>
        <w:rPr>
          <w:sz w:val="20"/>
          <w:szCs w:val="20"/>
          <w:color w:val="auto"/>
        </w:rPr>
      </w:pPr>
    </w:p>
    <w:p>
      <w:pPr>
        <w:jc w:val="both"/>
        <w:ind w:firstLine="435"/>
        <w:spacing w:after="0" w:line="270" w:lineRule="auto"/>
        <w:rPr>
          <w:sz w:val="20"/>
          <w:szCs w:val="20"/>
          <w:color w:val="auto"/>
        </w:rPr>
      </w:pPr>
      <w:r>
        <w:rPr>
          <w:rFonts w:ascii="Arial" w:cs="Arial" w:eastAsia="Arial" w:hAnsi="Arial"/>
          <w:sz w:val="17"/>
          <w:szCs w:val="17"/>
          <w:color w:val="auto"/>
        </w:rPr>
        <w:t>The shareholders will only have voting rights as required by the 1940 Act or as otherwise provided for in the Declaration of Trust. Under the Declaration of Trust, the Company is not required to hold annual meetings and does not intend to do so. Special meetings called by the Trusteeswill be limited to the purposes for any such special meeting set forth in the notice thereof. Special meetings shall be called by any Trustee for any proper purpose upon written request of shareholders of the Company holding in the aggregate not less than thirty-three and one-third percent (331⁄3%) of the outstanding Common Shares of the Company, such request specifying the purpose or purposes for which such meeting is to be called, provided that in the case of a meeting called by any Trusteeat the request of shareholders for the purpose of electing Trustees or removing the Adviser, written request of shareholders of the Company holding in the aggregate not less than fifty-one percent (51%) of the outstanding Common Shares of the Company or class or series of Common Shares having voting rights on the matter shall be required. These provisions will have the effect of significantly reducing the ability of shareholders being able to have proposals considered at a meeting of shareholders.</w:t>
      </w:r>
    </w:p>
    <w:p>
      <w:pPr>
        <w:spacing w:after="0" w:line="18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 Trustees has determined that trustees will be elected at the meeting, by a shareholder who is entitled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6" w:name="page117"/>
    <w:bookmarkEnd w:id="116"/>
    <w:p>
      <w:pPr>
        <w:jc w:val="both"/>
        <w:ind w:firstLine="253"/>
        <w:spacing w:after="0" w:line="263" w:lineRule="auto"/>
        <w:rPr>
          <w:sz w:val="20"/>
          <w:szCs w:val="20"/>
          <w:color w:val="auto"/>
        </w:rPr>
      </w:pPr>
      <w:r>
        <w:rPr>
          <w:rFonts w:ascii="Arial" w:cs="Arial" w:eastAsia="Arial" w:hAnsi="Arial"/>
          <w:sz w:val="18"/>
          <w:szCs w:val="18"/>
          <w:color w:val="auto"/>
        </w:rPr>
        <w:t>A Trusteemay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the Declaration of Trust; No Approval by Shareholders</w:t>
      </w:r>
    </w:p>
    <w:p>
      <w:pPr>
        <w:spacing w:after="0" w:line="225" w:lineRule="exact"/>
        <w:rPr>
          <w:sz w:val="20"/>
          <w:szCs w:val="20"/>
          <w:color w:val="auto"/>
        </w:rPr>
      </w:pPr>
    </w:p>
    <w:p>
      <w:pPr>
        <w:jc w:val="both"/>
        <w:ind w:firstLine="260"/>
        <w:spacing w:after="0" w:line="288" w:lineRule="auto"/>
        <w:rPr>
          <w:sz w:val="20"/>
          <w:szCs w:val="20"/>
          <w:color w:val="auto"/>
        </w:rPr>
      </w:pPr>
      <w:r>
        <w:rPr>
          <w:rFonts w:ascii="Arial" w:cs="Arial" w:eastAsia="Arial" w:hAnsi="Arial"/>
          <w:sz w:val="16"/>
          <w:szCs w:val="16"/>
          <w:color w:val="auto"/>
        </w:rPr>
        <w:t>The Trusteesmay, without shareholder vote, amend or otherwise supplement the Declaration of Trust. Shareholdersshall only have the right to vote: (i) on any amendment to the amendment provision of the Declaration of Trust, (ii) on any amendment that would adversely affect the powers, preferences or special rights of the Common Shares as determined by the Trustees in good faith and (iii) on any amendment submitted to them by the Trustees. In addition, notwithstanding anything to the contrary in the Declaration of Trust, in connection with an Exchange Listing, the Trusteesmay, without the approval or vote of the shareholders, amend or supplement the Declaration of Trust in any manner, including, without limitation to classify the Board of Trustees, to permit annual meetings of shareholders, to impose advance notice provisions for the bringing of shareholder nominations or proposals, to impose super-majority approval for certain types of transactions, to impose “control share” type provisions and to otherwise add provisions that may be deemed adverse to shareholders. A proposed amendment to the Declaration of Trust requires the affirmative vote of a majority of the Board of Trustees present (a quorum being present) at a meeting for adoption or, without a meeting, written consent to the amendment by the number of Trustees required for approval at a meeting of the Trustees at which all of the Trustees are present and voted.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Conversion, Sale or Other Disposition of Assets</w:t>
      </w:r>
    </w:p>
    <w:p>
      <w:pPr>
        <w:spacing w:after="0" w:line="225" w:lineRule="exact"/>
        <w:rPr>
          <w:sz w:val="20"/>
          <w:szCs w:val="20"/>
          <w:color w:val="auto"/>
        </w:rPr>
      </w:pPr>
    </w:p>
    <w:p>
      <w:pPr>
        <w:jc w:val="both"/>
        <w:ind w:firstLine="302"/>
        <w:spacing w:after="0" w:line="289" w:lineRule="auto"/>
        <w:rPr>
          <w:sz w:val="20"/>
          <w:szCs w:val="20"/>
          <w:color w:val="auto"/>
        </w:rPr>
      </w:pPr>
      <w:r>
        <w:rPr>
          <w:rFonts w:ascii="Arial" w:cs="Arial" w:eastAsia="Arial" w:hAnsi="Arial"/>
          <w:sz w:val="16"/>
          <w:szCs w:val="16"/>
          <w:color w:val="auto"/>
        </w:rPr>
        <w:t>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Company. For example, upon consummation of the Exchange Listing, the Board is able to cause the Company to reorganize as a Maryland corporation. The Board of Trustees may also cause the sale of all or substantially all of our assets under a foreclosure or other realization without shareholder approval. Shareholdersare not entitled to dissenters’ rights of appraisal under the Declaration of Trust or applicable Delaware law in the event of a merger, conversion or consolidation, a sale of all or substantially all of our assets or any other similar transaction or event. Notwithstanding the foregoing, shareholderswill be given an opportunity to vote on such a transaction if required by the 1940 Act or if such a transaction is otherwise reasonably anticipated to resultin a material dilution of the NAV per Share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Actions</w:t>
      </w:r>
    </w:p>
    <w:p>
      <w:pPr>
        <w:spacing w:after="0" w:line="225"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8"/>
          <w:szCs w:val="18"/>
          <w:color w:val="auto"/>
        </w:rPr>
        <w:t>No person, other than a Trustee, who is not a shareholder shall be entitled to bring any derivative action, suit or other proceeding on behalf of the Company. No shareholder may maintain a derivative action on behalf of the Company unless holders of a certain percentage of the outstanding Common Shares, as disclosed in our Declaration of Trust, join in the bringing of such action.</w:t>
      </w:r>
    </w:p>
    <w:p>
      <w:pPr>
        <w:spacing w:after="0" w:line="184" w:lineRule="exact"/>
        <w:rPr>
          <w:sz w:val="20"/>
          <w:szCs w:val="20"/>
          <w:color w:val="auto"/>
        </w:rPr>
      </w:pPr>
    </w:p>
    <w:p>
      <w:pPr>
        <w:jc w:val="both"/>
        <w:ind w:firstLine="255"/>
        <w:spacing w:after="0" w:line="269" w:lineRule="auto"/>
        <w:rPr>
          <w:sz w:val="20"/>
          <w:szCs w:val="20"/>
          <w:color w:val="auto"/>
        </w:rPr>
      </w:pPr>
      <w:r>
        <w:rPr>
          <w:rFonts w:ascii="Arial" w:cs="Arial" w:eastAsia="Arial" w:hAnsi="Arial"/>
          <w:sz w:val="17"/>
          <w:szCs w:val="17"/>
          <w:color w:val="auto"/>
        </w:rPr>
        <w:t>In addition to the requirements set forth in Section 3816 of the Delaware Statutory Trust Statute, a shareholder may bring a derivative action on behalf of the Company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 making such request to reimburse the Company for the expense of any such counsel and advisors in the event that the Board of Trustees determines not to bring such action. The conditions on a shareholder’s ability to bring a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7" w:name="page118"/>
    <w:bookmarkEnd w:id="117"/>
    <w:p>
      <w:pPr>
        <w:jc w:val="both"/>
        <w:ind w:right="20"/>
        <w:spacing w:after="0" w:line="277" w:lineRule="auto"/>
        <w:rPr>
          <w:sz w:val="20"/>
          <w:szCs w:val="20"/>
          <w:color w:val="auto"/>
        </w:rPr>
      </w:pPr>
      <w:r>
        <w:rPr>
          <w:rFonts w:ascii="Arial" w:cs="Arial" w:eastAsia="Arial" w:hAnsi="Arial"/>
          <w:sz w:val="18"/>
          <w:szCs w:val="18"/>
          <w:color w:val="auto"/>
        </w:rPr>
        <w:t>action do not apply to claims arising under the federal securities laws. For purposes of this paragraph, the Board of Trustees may designate a committee of one or more Trustees to consider a shareholder demand.</w:t>
      </w:r>
    </w:p>
    <w:p>
      <w:pPr>
        <w:spacing w:after="0" w:line="170" w:lineRule="exact"/>
        <w:rPr>
          <w:sz w:val="20"/>
          <w:szCs w:val="20"/>
          <w:color w:val="auto"/>
        </w:rPr>
      </w:pPr>
    </w:p>
    <w:p>
      <w:pPr>
        <w:jc w:val="both"/>
        <w:ind w:firstLine="252"/>
        <w:spacing w:after="0" w:line="257" w:lineRule="auto"/>
        <w:rPr>
          <w:sz w:val="20"/>
          <w:szCs w:val="20"/>
          <w:color w:val="auto"/>
        </w:rPr>
      </w:pPr>
      <w:r>
        <w:rPr>
          <w:rFonts w:ascii="Arial" w:cs="Arial" w:eastAsia="Arial" w:hAnsi="Arial"/>
          <w:sz w:val="18"/>
          <w:szCs w:val="18"/>
          <w:color w:val="auto"/>
        </w:rPr>
        <w:t>In addition to all suits, claims or other actions (collectively, “claims”) that under applicable law must be brought as derivative claims, each shareholder agrees that any claim that affects all shareholders of the Company or any series or class equally, that is, proportionately based on their number of Common Shares in the Company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Delaware Jurisdiction</w:t>
      </w:r>
    </w:p>
    <w:p>
      <w:pPr>
        <w:spacing w:after="0" w:line="225" w:lineRule="exact"/>
        <w:rPr>
          <w:sz w:val="20"/>
          <w:szCs w:val="20"/>
          <w:color w:val="auto"/>
        </w:rPr>
      </w:pPr>
    </w:p>
    <w:p>
      <w:pPr>
        <w:jc w:val="both"/>
        <w:ind w:firstLine="256"/>
        <w:spacing w:after="0" w:line="267" w:lineRule="auto"/>
        <w:rPr>
          <w:sz w:val="20"/>
          <w:szCs w:val="20"/>
          <w:color w:val="auto"/>
        </w:rPr>
      </w:pPr>
      <w:r>
        <w:rPr>
          <w:rFonts w:ascii="Arial" w:cs="Arial" w:eastAsia="Arial" w:hAnsi="Arial"/>
          <w:sz w:val="17"/>
          <w:szCs w:val="17"/>
          <w:color w:val="auto"/>
        </w:rPr>
        <w:t>Each Trustee, each officer and, except as otherwise agreed in writing by the Company, the Adviser and/or affiliates of the Adviser, each person legally or beneficially owning a Common Share or an interest in a Common Share of the Company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Company, the Delaware Statutory Trust Statute, the Declaration of Trust or the bylaws of the Company (including, without limitation, any claims, suits, actions or proceedings to interpret, apply or enforce (A) the provisions of theDeclaration of Trust or the bylaws of the Company, or (B) the duties (including fiduciary duties), obligations or liabilities of the Company to the shareholders or the Board of Trustees, or of officers or the Board of Trustees to the Company, to the shareholders or each other, or (C) the rights or powers of, or restrictions on, the Company, the officers, theBoard of Trustees or the shareholders, or (D) any provision of the Delaware Statutory Trust Statute or other laws of the State of Delawarepertaining to trusts made applicable to the Company pursuant to Section 3809 of the Delaware Statutory Trust Statute, or (E) any other instrument, document, agreement or certificate contemplated by any provision of the Delaware Statutory Trust Statute, the Declaration of Trust or the bylaws of the Company relating in any way to the Company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(ii) 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 However, these exclusive forum provisions do not apply to claims arising under the federal securities laws.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of the Company</w:t>
      </w:r>
    </w:p>
    <w:p>
      <w:pPr>
        <w:spacing w:after="0" w:line="225"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If the Company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Books and Reports</w:t>
      </w:r>
    </w:p>
    <w:p>
      <w:pPr>
        <w:spacing w:after="0" w:line="225"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We are required to keep appropriate books of our business at our principal offices. The books will be maintained for both tax and financial reporting purposes on an accrual basis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8" w:name="page119"/>
    <w:bookmarkEnd w:id="118"/>
    <w:p>
      <w:pPr>
        <w:ind w:left="1026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8460" w:type="dxa"/>
            <w:vAlign w:val="bottom"/>
            <w:gridSpan w:val="3"/>
          </w:tcPr>
          <w:p>
            <w:pPr>
              <w:ind w:left="440"/>
              <w:spacing w:after="0"/>
              <w:rPr>
                <w:sz w:val="20"/>
                <w:szCs w:val="20"/>
                <w:color w:val="auto"/>
              </w:rPr>
            </w:pPr>
            <w:r>
              <w:rPr>
                <w:rFonts w:ascii="Arial" w:cs="Arial" w:eastAsia="Arial" w:hAnsi="Arial"/>
                <w:sz w:val="18"/>
                <w:szCs w:val="18"/>
                <w:b w:val="1"/>
                <w:bCs w:val="1"/>
                <w:color w:val="auto"/>
              </w:rPr>
              <w:t>SUBSIDIARIES OF SIXTH STREET LENDING PARTNERS</w:t>
            </w:r>
          </w:p>
        </w:tc>
      </w:tr>
      <w:tr>
        <w:trPr>
          <w:trHeight w:val="540"/>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2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Jurisdiction</w:t>
            </w:r>
          </w:p>
        </w:tc>
      </w:tr>
      <w:tr>
        <w:trPr>
          <w:trHeight w:val="224"/>
        </w:trPr>
        <w:tc>
          <w:tcPr>
            <w:tcW w:w="2780" w:type="dxa"/>
            <w:vAlign w:val="bottom"/>
          </w:tcPr>
          <w:p>
            <w:pPr>
              <w:ind w:left="20"/>
              <w:spacing w:after="0"/>
              <w:rPr>
                <w:sz w:val="20"/>
                <w:szCs w:val="20"/>
                <w:color w:val="auto"/>
              </w:rPr>
            </w:pPr>
            <w:r>
              <w:rPr>
                <w:rFonts w:ascii="Arial" w:cs="Arial" w:eastAsia="Arial" w:hAnsi="Arial"/>
                <w:sz w:val="18"/>
                <w:szCs w:val="18"/>
                <w:color w:val="auto"/>
              </w:rPr>
              <w:t>SSLP Lending, LLC</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23"/>
        </w:trPr>
        <w:tc>
          <w:tcPr>
            <w:tcW w:w="2780" w:type="dxa"/>
            <w:vAlign w:val="bottom"/>
          </w:tcPr>
          <w:p>
            <w:pPr>
              <w:ind w:left="20"/>
              <w:spacing w:after="0"/>
              <w:rPr>
                <w:sz w:val="20"/>
                <w:szCs w:val="20"/>
                <w:color w:val="auto"/>
              </w:rPr>
            </w:pPr>
            <w:r>
              <w:rPr>
                <w:rFonts w:ascii="Arial" w:cs="Arial" w:eastAsia="Arial" w:hAnsi="Arial"/>
                <w:sz w:val="18"/>
                <w:szCs w:val="18"/>
                <w:color w:val="auto"/>
              </w:rPr>
              <w:t>Sixth Street LP Holding, LLC</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24"/>
        </w:trPr>
        <w:tc>
          <w:tcPr>
            <w:tcW w:w="2780" w:type="dxa"/>
            <w:vAlign w:val="bottom"/>
          </w:tcPr>
          <w:p>
            <w:pPr>
              <w:ind w:left="20"/>
              <w:spacing w:after="0"/>
              <w:rPr>
                <w:sz w:val="20"/>
                <w:szCs w:val="20"/>
                <w:color w:val="auto"/>
              </w:rPr>
            </w:pPr>
            <w:r>
              <w:rPr>
                <w:rFonts w:ascii="Arial" w:cs="Arial" w:eastAsia="Arial" w:hAnsi="Arial"/>
                <w:sz w:val="18"/>
                <w:szCs w:val="18"/>
                <w:color w:val="auto"/>
              </w:rPr>
              <w:t>Sixth Street LP Holding II, LLC</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1128"/>
        </w:trPr>
        <w:tc>
          <w:tcPr>
            <w:tcW w:w="27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7"/>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Sixth Street Lending Partners;</w:t>
      </w:r>
    </w:p>
    <w:p>
      <w:pPr>
        <w:spacing w:after="0" w:line="117" w:lineRule="exact"/>
        <w:rPr>
          <w:rFonts w:ascii="Arial" w:cs="Arial" w:eastAsia="Arial" w:hAnsi="Arial"/>
          <w:sz w:val="18"/>
          <w:szCs w:val="18"/>
          <w:color w:val="auto"/>
        </w:rPr>
      </w:pPr>
    </w:p>
    <w:p>
      <w:pPr>
        <w:jc w:val="both"/>
        <w:ind w:left="780" w:hanging="517"/>
        <w:spacing w:after="0" w:line="263"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80" w:right="220" w:hanging="517"/>
        <w:spacing w:after="0" w:line="308" w:lineRule="auto"/>
        <w:tabs>
          <w:tab w:leader="none" w:pos="7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200" w:hanging="517"/>
        <w:spacing w:after="0" w:line="291" w:lineRule="auto"/>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280" w:right="140" w:hanging="509"/>
        <w:spacing w:after="0" w:line="263" w:lineRule="auto"/>
        <w:tabs>
          <w:tab w:leader="none" w:pos="12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80" w:right="60" w:hanging="509"/>
        <w:spacing w:after="0" w:line="263" w:lineRule="auto"/>
        <w:tabs>
          <w:tab w:leader="none" w:pos="12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80" w:right="240" w:hanging="509"/>
        <w:spacing w:after="0" w:line="342" w:lineRule="auto"/>
        <w:tabs>
          <w:tab w:leader="none" w:pos="12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80" w:right="100" w:hanging="509"/>
        <w:spacing w:after="0" w:line="263" w:lineRule="auto"/>
        <w:tabs>
          <w:tab w:leader="none" w:pos="12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80" w:right="160" w:hanging="517"/>
        <w:spacing w:after="0" w:line="342" w:lineRule="auto"/>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80" w:right="480" w:hanging="509"/>
        <w:spacing w:after="0" w:line="342" w:lineRule="auto"/>
        <w:tabs>
          <w:tab w:leader="none" w:pos="12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80" w:right="160" w:hanging="509"/>
        <w:spacing w:after="0" w:line="277" w:lineRule="auto"/>
        <w:tabs>
          <w:tab w:leader="none" w:pos="12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2023</w:t>
      </w:r>
    </w:p>
    <w:p>
      <w:pPr>
        <w:spacing w:after="0" w:line="239" w:lineRule="exact"/>
        <w:rPr>
          <w:sz w:val="20"/>
          <w:szCs w:val="20"/>
          <w:color w:val="auto"/>
        </w:rPr>
      </w:pPr>
    </w:p>
    <w:p>
      <w:pPr>
        <w:jc w:val="center"/>
        <w:ind w:left="308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23495</wp:posOffset>
            </wp:positionV>
            <wp:extent cx="299148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Joshua Easterly</w:t>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7"/>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Sixth Street Lending Partners;</w:t>
      </w:r>
    </w:p>
    <w:p>
      <w:pPr>
        <w:spacing w:after="0" w:line="117" w:lineRule="exact"/>
        <w:rPr>
          <w:rFonts w:ascii="Arial" w:cs="Arial" w:eastAsia="Arial" w:hAnsi="Arial"/>
          <w:sz w:val="18"/>
          <w:szCs w:val="18"/>
          <w:color w:val="auto"/>
        </w:rPr>
      </w:pPr>
    </w:p>
    <w:p>
      <w:pPr>
        <w:jc w:val="both"/>
        <w:ind w:left="780" w:hanging="517"/>
        <w:spacing w:after="0" w:line="263"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80" w:right="220" w:hanging="517"/>
        <w:spacing w:after="0" w:line="308" w:lineRule="auto"/>
        <w:tabs>
          <w:tab w:leader="none" w:pos="7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200" w:hanging="517"/>
        <w:spacing w:after="0" w:line="291" w:lineRule="auto"/>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280" w:right="140" w:hanging="509"/>
        <w:spacing w:after="0" w:line="263" w:lineRule="auto"/>
        <w:tabs>
          <w:tab w:leader="none" w:pos="12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80" w:right="60" w:hanging="509"/>
        <w:spacing w:after="0" w:line="263" w:lineRule="auto"/>
        <w:tabs>
          <w:tab w:leader="none" w:pos="12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80" w:right="240" w:hanging="509"/>
        <w:spacing w:after="0" w:line="342" w:lineRule="auto"/>
        <w:tabs>
          <w:tab w:leader="none" w:pos="12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80" w:right="100" w:hanging="509"/>
        <w:spacing w:after="0" w:line="263" w:lineRule="auto"/>
        <w:tabs>
          <w:tab w:leader="none" w:pos="12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80" w:right="160" w:hanging="517"/>
        <w:spacing w:after="0" w:line="342" w:lineRule="auto"/>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80" w:right="480" w:hanging="509"/>
        <w:spacing w:after="0" w:line="342" w:lineRule="auto"/>
        <w:tabs>
          <w:tab w:leader="none" w:pos="12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80" w:right="160" w:hanging="509"/>
        <w:spacing w:after="0" w:line="277" w:lineRule="auto"/>
        <w:tabs>
          <w:tab w:leader="none" w:pos="12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2023</w:t>
      </w:r>
    </w:p>
    <w:p>
      <w:pPr>
        <w:spacing w:after="0" w:line="23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23495</wp:posOffset>
            </wp:positionV>
            <wp:extent cx="29743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Ian Simmonds</w:t>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ind w:left="10400"/>
        <w:spacing w:after="0"/>
        <w:rPr>
          <w:sz w:val="20"/>
          <w:szCs w:val="20"/>
          <w:color w:val="auto"/>
        </w:rPr>
      </w:pPr>
      <w:r>
        <w:rPr>
          <w:rFonts w:ascii="Arial" w:cs="Arial" w:eastAsia="Arial" w:hAnsi="Arial"/>
          <w:sz w:val="17"/>
          <w:szCs w:val="17"/>
          <w:b w:val="1"/>
          <w:bCs w:val="1"/>
          <w:color w:val="auto"/>
        </w:rPr>
        <w:t>Exhibit 32</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annual report on Form 10-K of Sixth Street Lending Partners (the “Company”) for the annual period ended December 31, 2022,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517"/>
        <w:spacing w:after="0"/>
        <w:tabs>
          <w:tab w:leader="none" w:pos="7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780" w:hanging="517"/>
        <w:spacing w:after="0"/>
        <w:tabs>
          <w:tab w:leader="none" w:pos="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Joshua Easterly</w:t>
      </w:r>
    </w:p>
    <w:p>
      <w:pPr>
        <w:spacing w:after="0" w:line="36" w:lineRule="exact"/>
        <w:rPr>
          <w:sz w:val="20"/>
          <w:szCs w:val="20"/>
          <w:color w:val="auto"/>
        </w:rPr>
      </w:pPr>
    </w:p>
    <w:p>
      <w:pPr>
        <w:ind w:left="6780"/>
        <w:spacing w:after="0"/>
        <w:tabs>
          <w:tab w:leader="none" w:pos="7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2023</w:t>
      </w:r>
    </w:p>
    <w:p>
      <w:pPr>
        <w:spacing w:after="0" w:line="29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Ian Simmonds</w:t>
      </w:r>
    </w:p>
    <w:p>
      <w:pPr>
        <w:spacing w:after="0" w:line="36" w:lineRule="exact"/>
        <w:rPr>
          <w:sz w:val="20"/>
          <w:szCs w:val="20"/>
          <w:color w:val="auto"/>
        </w:rPr>
      </w:pPr>
    </w:p>
    <w:p>
      <w:pPr>
        <w:ind w:left="6780"/>
        <w:spacing w:after="0"/>
        <w:tabs>
          <w:tab w:leader="none" w:pos="7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2023</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22" w:name="page123"/>
    <w:bookmarkEnd w:id="1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decimal"/>
      <w:start w:val="1"/>
    </w:lvl>
  </w:abstractNum>
  <w:abstractNum w:abstractNumId="14">
    <w:nsid w:val="520EEDD1"/>
    <w:multiLevelType w:val="hybridMultilevel"/>
    <w:lvl w:ilvl="0">
      <w:lvlJc w:val="left"/>
      <w:lvlText w:val="(%1)"/>
      <w:numFmt w:val="decimal"/>
      <w:start w:val="1"/>
    </w:lvl>
  </w:abstractNum>
  <w:abstractNum w:abstractNumId="15">
    <w:nsid w:val="374A3FE6"/>
    <w:multiLevelType w:val="hybridMultilevel"/>
    <w:lvl w:ilvl="0">
      <w:lvlJc w:val="left"/>
      <w:lvlText w:val="(%1)"/>
      <w:numFmt w:val="decimal"/>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lowerRoman"/>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lvl w:ilvl="1">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1)"/>
      <w:numFmt w:val="decimal"/>
      <w:start w:val="3"/>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1)"/>
      <w:numFmt w:val="lowerRoman"/>
      <w:start w:val="1"/>
    </w:lvl>
  </w:abstractNum>
  <w:abstractNum w:abstractNumId="69">
    <w:nsid w:val="60B6DF70"/>
    <w:multiLevelType w:val="hybridMultilevel"/>
    <w:lvl w:ilvl="0">
      <w:lvlJc w:val="left"/>
      <w:lvlText w:val="(%1)"/>
      <w:numFmt w:val="lowerRoman"/>
      <w:start w:val="2"/>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decimal"/>
      <w:start w:val="45"/>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decimal"/>
      <w:start w:val="10"/>
    </w:lvl>
  </w:abstractNum>
  <w:abstractNum w:abstractNumId="76">
    <w:nsid w:val="7FB7E0AA"/>
    <w:multiLevelType w:val="hybridMultilevel"/>
    <w:lvl w:ilvl="0">
      <w:lvlJc w:val="left"/>
      <w:lvlText w:val="%1."/>
      <w:numFmt w:val="decimal"/>
      <w:start w:val="11"/>
    </w:lvl>
  </w:abstractNum>
  <w:abstractNum w:abstractNumId="77">
    <w:nsid w:val="6EB5BD4"/>
    <w:multiLevelType w:val="hybridMultilevel"/>
    <w:lvl w:ilvl="0">
      <w:lvlJc w:val="left"/>
      <w:lvlText w:val="(%1)"/>
      <w:numFmt w:val="decimal"/>
      <w:start w:val="1"/>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amp;"/>
      <w:numFmt w:val="bullet"/>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1)"/>
      <w:numFmt w:val="decimal"/>
      <w:start w:val="1"/>
    </w:lvl>
  </w:abstractNum>
  <w:abstractNum w:abstractNumId="86">
    <w:nsid w:val="74DE0EE3"/>
    <w:multiLevelType w:val="hybridMultilevel"/>
    <w:lvl w:ilvl="0">
      <w:lvlJc w:val="left"/>
      <w:lvlText w:val="(%1)"/>
      <w:numFmt w:val="lowerLetter"/>
      <w:start w:val="1"/>
    </w:lvl>
  </w:abstractNum>
  <w:abstractNum w:abstractNumId="87">
    <w:nsid w:val="68EBC550"/>
    <w:multiLevelType w:val="hybridMultilevel"/>
    <w:lvl w:ilvl="0">
      <w:lvlJc w:val="left"/>
      <w:lvlText w:val="(%1)"/>
      <w:numFmt w:val="decimal"/>
      <w:start w:val="1"/>
    </w:lvl>
  </w:abstractNum>
  <w:abstractNum w:abstractNumId="88">
    <w:nsid w:val="2DF6D648"/>
    <w:multiLevelType w:val="hybridMultilevel"/>
    <w:lvl w:ilvl="0">
      <w:lvlJc w:val="left"/>
      <w:lvlText w:val="%1"/>
      <w:numFmt w:val="decimal"/>
      <w:start w:val="32"/>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281" Type="http://schemas.openxmlformats.org/officeDocument/2006/relationships/hyperlink" Target="https://www.sec.gov/Archives/edgar/data/1925309/000119312522226504/d260658dex31.htm" TargetMode="External"/><Relationship Id="rId282" Type="http://schemas.openxmlformats.org/officeDocument/2006/relationships/hyperlink" Target="https://www.sec.gov/Archives/edgar/data/1925309/000119312522183512/d260658dex32.htm" TargetMode="External"/><Relationship Id="rId283" Type="http://schemas.openxmlformats.org/officeDocument/2006/relationships/hyperlink" Target="https://www.sec.gov/Archives/edgar/data/1925309/000119312522183512/d260658dex41.htm" TargetMode="External"/><Relationship Id="rId284" Type="http://schemas.openxmlformats.org/officeDocument/2006/relationships/hyperlink" Target="https://www.sec.gov/Archives/edgar/data/1925309/000119312522183512/d260658dex101.htm" TargetMode="External"/><Relationship Id="rId285" Type="http://schemas.openxmlformats.org/officeDocument/2006/relationships/hyperlink" Target="https://www.sec.gov/Archives/edgar/data/1925309/000119312522183512/d260658dex102.htm" TargetMode="External"/><Relationship Id="rId286" Type="http://schemas.openxmlformats.org/officeDocument/2006/relationships/hyperlink" Target="https://www.sec.gov/Archives/edgar/data/1925309/000119312522183512/d260658dex103.htm" TargetMode="External"/><Relationship Id="rId287" Type="http://schemas.openxmlformats.org/officeDocument/2006/relationships/hyperlink" Target="https://www.sec.gov/Archives/edgar/data/1925309/000119312522183512/d260658dex104.htm" TargetMode="External"/><Relationship Id="rId288" Type="http://schemas.openxmlformats.org/officeDocument/2006/relationships/hyperlink" Target="https://www.sec.gov/Archives/edgar/data/1925309/000119312522183512/d260658dex105.htm" TargetMode="External"/><Relationship Id="rId289" Type="http://schemas.openxmlformats.org/officeDocument/2006/relationships/hyperlink" Target="https://www.sec.gov/Archives/edgar/data/1925309/000119312522226504/d260658dex106.htm" TargetMode="External"/><Relationship Id="rId290" Type="http://schemas.openxmlformats.org/officeDocument/2006/relationships/hyperlink" Target="https://www.sec.gov/Archives/edgar/data/1925309/000119312522239007/d304088dex101.htm" TargetMode="External"/><Relationship Id="rId291" Type="http://schemas.openxmlformats.org/officeDocument/2006/relationships/hyperlink" Target="https://www.sec.gov/Archives/edgar/data/1925309/000119312522311034/d413255dex101.htm" TargetMode="External"/><Relationship Id="rId294" Type="http://schemas.openxmlformats.org/officeDocument/2006/relationships/hyperlink" Target="https://www.sec.gov/Archives/edgar/data/1925309/000119312523014261/d426575dex101.htm" TargetMode="External"/><Relationship Id="rId295" Type="http://schemas.openxmlformats.org/officeDocument/2006/relationships/hyperlink" Target="https://www.sec.gov/Archives/edgar/data/1925309/000119312522183512/d260658dex141.htm" TargetMode="External"/><Relationship Id="rId296" Type="http://schemas.openxmlformats.org/officeDocument/2006/relationships/hyperlink" Target="https://www.sec.gov/Archives/edgar/data/1925309/000119312522183512/d260658dex1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2023-02-17T15:34:07Z</dcterms:created>
  <dcterms:modified xsi:type="dcterms:W3CDTF">2023-02-17T15:34:07Z</dcterms:modified>
</cp:coreProperties>
</file>