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8300" w:type="dxa"/>
            <w:vAlign w:val="bottom"/>
            <w:gridSpan w:val="3"/>
          </w:tcPr>
          <w:p>
            <w:pPr>
              <w:jc w:val="center"/>
              <w:ind w:right="2830"/>
              <w:spacing w:after="0"/>
              <w:rPr>
                <w:sz w:val="20"/>
                <w:szCs w:val="20"/>
                <w:color w:val="auto"/>
              </w:rPr>
            </w:pPr>
            <w:r>
              <w:rPr>
                <w:rFonts w:ascii="Times New Roman" w:cs="Times New Roman" w:eastAsia="Times New Roman" w:hAnsi="Times New Roman"/>
                <w:sz w:val="18"/>
                <w:szCs w:val="18"/>
                <w:color w:val="auto"/>
              </w:rPr>
              <w:t xml:space="preserve">Simpson Thacher &amp; Bartlett </w:t>
            </w:r>
            <w:r>
              <w:rPr>
                <w:rFonts w:ascii="Times New Roman" w:cs="Times New Roman" w:eastAsia="Times New Roman" w:hAnsi="Times New Roman"/>
                <w:sz w:val="14"/>
                <w:szCs w:val="14"/>
                <w:color w:val="auto"/>
              </w:rPr>
              <w:t>LLP</w:t>
            </w:r>
          </w:p>
        </w:tc>
      </w:tr>
      <w:tr>
        <w:trPr>
          <w:trHeight w:val="216"/>
        </w:trPr>
        <w:tc>
          <w:tcPr>
            <w:tcW w:w="2940" w:type="dxa"/>
            <w:vAlign w:val="bottom"/>
          </w:tcPr>
          <w:p>
            <w:pPr>
              <w:spacing w:after="0"/>
              <w:rPr>
                <w:sz w:val="18"/>
                <w:szCs w:val="18"/>
                <w:color w:val="auto"/>
              </w:rPr>
            </w:pPr>
          </w:p>
        </w:tc>
        <w:tc>
          <w:tcPr>
            <w:tcW w:w="8300" w:type="dxa"/>
            <w:vAlign w:val="bottom"/>
            <w:gridSpan w:val="3"/>
          </w:tcPr>
          <w:p>
            <w:pPr>
              <w:jc w:val="center"/>
              <w:ind w:right="2850"/>
              <w:spacing w:after="0"/>
              <w:rPr>
                <w:sz w:val="20"/>
                <w:szCs w:val="20"/>
                <w:color w:val="auto"/>
              </w:rPr>
            </w:pPr>
            <w:r>
              <w:rPr>
                <w:rFonts w:ascii="Times New Roman" w:cs="Times New Roman" w:eastAsia="Times New Roman" w:hAnsi="Times New Roman"/>
                <w:sz w:val="18"/>
                <w:szCs w:val="18"/>
                <w:color w:val="auto"/>
              </w:rPr>
              <w:t>900 G S</w:t>
            </w:r>
            <w:r>
              <w:rPr>
                <w:rFonts w:ascii="Times New Roman" w:cs="Times New Roman" w:eastAsia="Times New Roman" w:hAnsi="Times New Roman"/>
                <w:sz w:val="14"/>
                <w:szCs w:val="14"/>
                <w:color w:val="auto"/>
              </w:rPr>
              <w:t>TREET</w:t>
            </w:r>
            <w:r>
              <w:rPr>
                <w:rFonts w:ascii="Times New Roman" w:cs="Times New Roman" w:eastAsia="Times New Roman" w:hAnsi="Times New Roman"/>
                <w:sz w:val="18"/>
                <w:szCs w:val="18"/>
                <w:color w:val="auto"/>
              </w:rPr>
              <w:t>, NW</w:t>
            </w:r>
          </w:p>
        </w:tc>
      </w:tr>
      <w:tr>
        <w:trPr>
          <w:trHeight w:val="212"/>
        </w:trPr>
        <w:tc>
          <w:tcPr>
            <w:tcW w:w="2940" w:type="dxa"/>
            <w:vAlign w:val="bottom"/>
          </w:tcPr>
          <w:p>
            <w:pPr>
              <w:spacing w:after="0"/>
              <w:rPr>
                <w:sz w:val="18"/>
                <w:szCs w:val="18"/>
                <w:color w:val="auto"/>
              </w:rPr>
            </w:pPr>
          </w:p>
        </w:tc>
        <w:tc>
          <w:tcPr>
            <w:tcW w:w="8300" w:type="dxa"/>
            <w:vAlign w:val="bottom"/>
            <w:gridSpan w:val="3"/>
          </w:tcPr>
          <w:p>
            <w:pPr>
              <w:jc w:val="center"/>
              <w:ind w:right="285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ASHINGTON</w:t>
            </w:r>
            <w:r>
              <w:rPr>
                <w:rFonts w:ascii="Times New Roman" w:cs="Times New Roman" w:eastAsia="Times New Roman" w:hAnsi="Times New Roman"/>
                <w:sz w:val="18"/>
                <w:szCs w:val="18"/>
                <w:color w:val="auto"/>
              </w:rPr>
              <w:t>, D.C. 20001</w:t>
            </w:r>
          </w:p>
        </w:tc>
      </w:tr>
      <w:tr>
        <w:trPr>
          <w:trHeight w:val="158"/>
        </w:trPr>
        <w:tc>
          <w:tcPr>
            <w:tcW w:w="29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6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4"/>
                <w:szCs w:val="14"/>
                <w:color w:val="auto"/>
              </w:rPr>
              <w:t xml:space="preserve">                </w:t>
            </w:r>
          </w:p>
        </w:tc>
        <w:tc>
          <w:tcPr>
            <w:tcW w:w="5180" w:type="dxa"/>
            <w:vAlign w:val="bottom"/>
          </w:tcPr>
          <w:p>
            <w:pPr>
              <w:spacing w:after="0"/>
              <w:rPr>
                <w:sz w:val="13"/>
                <w:szCs w:val="13"/>
                <w:color w:val="auto"/>
              </w:rPr>
            </w:pPr>
          </w:p>
        </w:tc>
      </w:tr>
      <w:tr>
        <w:trPr>
          <w:trHeight w:val="299"/>
        </w:trPr>
        <w:tc>
          <w:tcPr>
            <w:tcW w:w="2940" w:type="dxa"/>
            <w:vAlign w:val="bottom"/>
          </w:tcPr>
          <w:p>
            <w:pPr>
              <w:spacing w:after="0"/>
              <w:rPr>
                <w:sz w:val="24"/>
                <w:szCs w:val="24"/>
                <w:color w:val="auto"/>
              </w:rPr>
            </w:pPr>
          </w:p>
        </w:tc>
        <w:tc>
          <w:tcPr>
            <w:tcW w:w="8300" w:type="dxa"/>
            <w:vAlign w:val="bottom"/>
            <w:gridSpan w:val="3"/>
          </w:tcPr>
          <w:p>
            <w:pPr>
              <w:jc w:val="center"/>
              <w:ind w:right="285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+1-202-636-5500</w:t>
            </w:r>
          </w:p>
        </w:tc>
      </w:tr>
      <w:tr>
        <w:trPr>
          <w:trHeight w:val="234"/>
        </w:trPr>
        <w:tc>
          <w:tcPr>
            <w:tcW w:w="2940" w:type="dxa"/>
            <w:vAlign w:val="bottom"/>
          </w:tcPr>
          <w:p>
            <w:pPr>
              <w:spacing w:after="0"/>
              <w:rPr>
                <w:sz w:val="20"/>
                <w:szCs w:val="20"/>
                <w:color w:val="auto"/>
              </w:rPr>
            </w:pPr>
          </w:p>
        </w:tc>
        <w:tc>
          <w:tcPr>
            <w:tcW w:w="8300" w:type="dxa"/>
            <w:vAlign w:val="bottom"/>
            <w:gridSpan w:val="3"/>
          </w:tcPr>
          <w:p>
            <w:pPr>
              <w:jc w:val="center"/>
              <w:ind w:right="283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+1-202-636-5502</w:t>
            </w:r>
          </w:p>
        </w:tc>
      </w:tr>
      <w:tr>
        <w:trPr>
          <w:trHeight w:val="45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Direct Dial Number</w:t>
            </w:r>
          </w:p>
        </w:tc>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E-mail Address</w:t>
            </w:r>
          </w:p>
        </w:tc>
      </w:tr>
      <w:tr>
        <w:trPr>
          <w:trHeight w:val="33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(202) 636-5592</w:t>
            </w:r>
          </w:p>
        </w:tc>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steven.grigoriou@stblaw.com</w:t>
            </w:r>
          </w:p>
        </w:tc>
      </w:tr>
      <w:tr>
        <w:trPr>
          <w:trHeight w:val="44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December 10, 2024</w:t>
            </w:r>
          </w:p>
        </w:tc>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Lisa Larkin</w:t>
      </w:r>
    </w:p>
    <w:p>
      <w:pPr>
        <w:spacing w:after="0" w:line="248"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Re:</w:t>
        <w:tab/>
        <w:t>Sixth Street Lending Partners</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N-14, File No. 333- 282973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Larkin:</w:t>
      </w:r>
    </w:p>
    <w:p>
      <w:pPr>
        <w:spacing w:after="0" w:line="117" w:lineRule="exact"/>
        <w:rPr>
          <w:sz w:val="24"/>
          <w:szCs w:val="24"/>
          <w:color w:val="auto"/>
        </w:rPr>
      </w:pPr>
    </w:p>
    <w:p>
      <w:pPr>
        <w:ind w:right="20" w:firstLine="1011"/>
        <w:spacing w:after="0" w:line="258" w:lineRule="auto"/>
        <w:rPr>
          <w:sz w:val="20"/>
          <w:szCs w:val="20"/>
          <w:color w:val="auto"/>
        </w:rPr>
      </w:pPr>
      <w:r>
        <w:rPr>
          <w:rFonts w:ascii="Times New Roman" w:cs="Times New Roman" w:eastAsia="Times New Roman" w:hAnsi="Times New Roman"/>
          <w:sz w:val="18"/>
          <w:szCs w:val="18"/>
          <w:color w:val="auto"/>
        </w:rPr>
        <w:t>On behalf of Sixth Street Lending Partners (the “Company”), we are providing the following responses to comments received via telephone from the staff (the “Staff”) of the Securities and Exchange Commission (the “Commission”) on December 4, 2024, relating to the Company’s Registration Statement on Form N-14 filed with the Commission on November 4, 2024 (the “Registration Statement”). Please note that all page numbers in our responses are references to the page numbers of the Registration Statement. All capitalized terms used but not defined in this letter have the meanings given to them in the Registration Statement.</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Comments</w:t>
      </w:r>
    </w:p>
    <w:p>
      <w:pPr>
        <w:spacing w:after="0" w:line="133" w:lineRule="exact"/>
        <w:rPr>
          <w:sz w:val="24"/>
          <w:szCs w:val="24"/>
          <w:color w:val="auto"/>
        </w:rPr>
      </w:pPr>
    </w:p>
    <w:p>
      <w:pPr>
        <w:ind w:left="1000" w:right="440" w:hanging="547"/>
        <w:spacing w:after="0" w:line="284" w:lineRule="auto"/>
        <w:tabs>
          <w:tab w:leader="none" w:pos="100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Pursuant to Item 15 of Form N-14, please revise the Indemnification section in Part C to include the provisions of Rules 461(c) and 484 under the Securities Act of 1933, as amended, and Section 17(h) and (i) of the Investment Company Act of 1940, as amended.</w:t>
      </w:r>
    </w:p>
    <w:p>
      <w:pPr>
        <w:spacing w:after="0" w:line="52"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light of the Staff’s comment, the Company has revised the disclosure accordingly.</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Comments</w:t>
      </w:r>
    </w:p>
    <w:p>
      <w:pPr>
        <w:spacing w:after="0" w:line="133" w:lineRule="exact"/>
        <w:rPr>
          <w:sz w:val="24"/>
          <w:szCs w:val="24"/>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a hyperlink to the Company’s latest Annual Report on Form 10-K in each location that it is referenced.</w:t>
      </w:r>
    </w:p>
    <w:p>
      <w:pPr>
        <w:spacing w:after="0" w:line="119" w:lineRule="exact"/>
        <w:rPr>
          <w:rFonts w:ascii="Times New Roman" w:cs="Times New Roman" w:eastAsia="Times New Roman" w:hAnsi="Times New Roman"/>
          <w:sz w:val="18"/>
          <w:szCs w:val="18"/>
          <w:i w:val="1"/>
          <w:iCs w:val="1"/>
          <w:color w:val="auto"/>
        </w:rPr>
      </w:pPr>
    </w:p>
    <w:p>
      <w:pPr>
        <w:ind w:left="18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light of the Staff’s comment, the Company has provided hyperlinks as requested.</w:t>
      </w:r>
    </w:p>
    <w:p>
      <w:pPr>
        <w:spacing w:after="0" w:line="128" w:lineRule="exact"/>
        <w:rPr>
          <w:rFonts w:ascii="Times New Roman" w:cs="Times New Roman" w:eastAsia="Times New Roman" w:hAnsi="Times New Roman"/>
          <w:sz w:val="18"/>
          <w:szCs w:val="18"/>
          <w:i w:val="1"/>
          <w:iCs w:val="1"/>
          <w:color w:val="auto"/>
        </w:rPr>
      </w:pPr>
    </w:p>
    <w:p>
      <w:pPr>
        <w:ind w:left="1000" w:hanging="547"/>
        <w:spacing w:after="0"/>
        <w:tabs>
          <w:tab w:leader="none" w:pos="100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the Financial Highlights section to include information as of September 30, 2024.</w:t>
      </w:r>
    </w:p>
    <w:p>
      <w:pPr>
        <w:spacing w:after="0" w:line="119" w:lineRule="exact"/>
        <w:rPr>
          <w:sz w:val="24"/>
          <w:szCs w:val="24"/>
          <w:color w:val="auto"/>
        </w:rPr>
      </w:pPr>
    </w:p>
    <w:p>
      <w:pPr>
        <w:ind w:left="1460" w:right="80" w:firstLine="391"/>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light of the Staff’s comment, the Company has revised the Financial Highlights section to include information as of September 30, 2024.</w:t>
      </w:r>
    </w:p>
    <w:p>
      <w:pPr>
        <w:spacing w:after="0" w:line="65" w:lineRule="exact"/>
        <w:rPr>
          <w:sz w:val="24"/>
          <w:szCs w:val="24"/>
          <w:color w:val="auto"/>
        </w:rPr>
      </w:pPr>
    </w:p>
    <w:p>
      <w:pPr>
        <w:ind w:left="1000" w:hanging="547"/>
        <w:spacing w:after="0"/>
        <w:tabs>
          <w:tab w:leader="none" w:pos="10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the Incorporation by Reference section to include the Company’s latest Quarterly Report on Form 10-Q.</w:t>
      </w:r>
    </w:p>
    <w:p>
      <w:pPr>
        <w:spacing w:after="0" w:line="119" w:lineRule="exact"/>
        <w:rPr>
          <w:sz w:val="24"/>
          <w:szCs w:val="24"/>
          <w:color w:val="auto"/>
        </w:rPr>
      </w:pPr>
    </w:p>
    <w:p>
      <w:pPr>
        <w:ind w:left="1460" w:right="600" w:firstLine="391"/>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light of the Staff’s comment, the Company has revised the Incorporation by Reference section to include the Company’s latest Quarterly Report on Form 10-Q.</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NEW YORK   BEIJING   BOSTON   HONG KONG   HOUSTON   LONDON   LOS ANGELES   PALO ALTO   SÃO PAULO   TOKYO</w:t>
      </w:r>
    </w:p>
    <w:p>
      <w:pPr>
        <w:sectPr>
          <w:pgSz w:w="11900" w:h="16838" w:orient="portrait"/>
          <w:cols w:equalWidth="0" w:num="1">
            <w:col w:w="11240"/>
          </w:cols>
          <w:pgMar w:left="320" w:top="229" w:right="339" w:bottom="1440" w:gutter="0" w:footer="0" w:header="0"/>
        </w:sectPr>
      </w:pPr>
    </w:p>
    <w:bookmarkStart w:id="1" w:name="page2"/>
    <w:bookmarkEnd w:id="1"/>
    <w:p>
      <w:pPr>
        <w:spacing w:after="0"/>
        <w:tabs>
          <w:tab w:leader="none" w:pos="98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December 10, 2024</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Please do not hesitate to call Rajib Chanda at (202) 636-5543, Jonathan Pacheco at (202) 636-5876 or me at (202) 636-5592 with any questions you may have regarding this filing or if you wish to discuss the above responses.</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Steven Grigoriou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Steven Grigoriou</w:t>
      </w:r>
    </w:p>
    <w:p>
      <w:pPr>
        <w:spacing w:after="0" w:line="252" w:lineRule="exact"/>
        <w:rPr>
          <w:sz w:val="20"/>
          <w:szCs w:val="20"/>
          <w:color w:val="auto"/>
        </w:rPr>
      </w:pPr>
    </w:p>
    <w:p>
      <w:pPr>
        <w:ind w:left="460" w:right="7020" w:hanging="452"/>
        <w:spacing w:after="0" w:line="312"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Rajib Chanda, Simpson Thacher &amp; Bartlett LLP Jonathan Pacheco, Simpson Thacher &amp; Bartlett LLP</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2025-06-10T23:10:55Z</dcterms:created>
  <dcterms:modified xsi:type="dcterms:W3CDTF">2025-06-10T23:10:55Z</dcterms:modified>
</cp:coreProperties>
</file>