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6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304165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0"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32"/>
          <w:szCs w:val="32"/>
          <w:b w:val="1"/>
          <w:bCs w:val="1"/>
          <w:color w:val="auto"/>
        </w:rPr>
        <w:t>SCHEDULE 13D</w:t>
      </w:r>
    </w:p>
    <w:p>
      <w:pPr>
        <w:spacing w:after="0" w:line="228"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22"/>
          <w:szCs w:val="22"/>
          <w:b w:val="1"/>
          <w:bCs w:val="1"/>
          <w:color w:val="auto"/>
        </w:rPr>
        <w:t>Under the Securities Exchange Act of 1934</w:t>
      </w:r>
    </w:p>
    <w:p>
      <w:pPr>
        <w:spacing w:after="0" w:line="18"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22"/>
          <w:szCs w:val="22"/>
          <w:b w:val="1"/>
          <w:bCs w:val="1"/>
          <w:color w:val="auto"/>
        </w:rPr>
        <w:t>(Amendment No. 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295910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30"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40"/>
          <w:szCs w:val="40"/>
          <w:b w:val="1"/>
          <w:bCs w:val="1"/>
          <w:color w:val="auto"/>
        </w:rPr>
        <w:t>SIXTH STREET LENDING PARTNERS</w:t>
      </w:r>
    </w:p>
    <w:p>
      <w:pPr>
        <w:spacing w:after="0" w:line="41"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(Name of Issuer)</w:t>
      </w:r>
    </w:p>
    <w:p>
      <w:pPr>
        <w:spacing w:after="0" w:line="200" w:lineRule="exact"/>
        <w:rPr>
          <w:sz w:val="24"/>
          <w:szCs w:val="24"/>
          <w:color w:val="auto"/>
        </w:rPr>
      </w:pPr>
    </w:p>
    <w:p>
      <w:pPr>
        <w:spacing w:after="0" w:line="217"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Common shares of beneficial interest, par value $0.001 per share</w:t>
      </w:r>
    </w:p>
    <w:p>
      <w:pPr>
        <w:spacing w:after="0" w:line="25"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4"/>
          <w:szCs w:val="14"/>
          <w:b w:val="1"/>
          <w:bCs w:val="1"/>
          <w:color w:val="auto"/>
        </w:rPr>
        <w:t>(Title of Class of Securities)</w:t>
      </w:r>
    </w:p>
    <w:p>
      <w:pPr>
        <w:spacing w:after="0" w:line="200" w:lineRule="exact"/>
        <w:rPr>
          <w:sz w:val="24"/>
          <w:szCs w:val="24"/>
          <w:color w:val="auto"/>
        </w:rPr>
      </w:pPr>
    </w:p>
    <w:p>
      <w:pPr>
        <w:spacing w:after="0" w:line="204"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25"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4"/>
          <w:szCs w:val="14"/>
          <w:b w:val="1"/>
          <w:bCs w:val="1"/>
          <w:color w:val="auto"/>
        </w:rPr>
        <w:t>(CUSIP Number)</w:t>
      </w:r>
    </w:p>
    <w:p>
      <w:pPr>
        <w:spacing w:after="0" w:line="200" w:lineRule="exact"/>
        <w:rPr>
          <w:sz w:val="24"/>
          <w:szCs w:val="24"/>
          <w:color w:val="auto"/>
        </w:rPr>
      </w:pPr>
    </w:p>
    <w:p>
      <w:pPr>
        <w:spacing w:after="0" w:line="204"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Ricardo Davidovich, Esq.</w:t>
      </w:r>
    </w:p>
    <w:p>
      <w:pPr>
        <w:spacing w:after="0" w:line="31"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Haynes and Boone, LLP</w:t>
      </w:r>
    </w:p>
    <w:p>
      <w:pPr>
        <w:spacing w:after="0" w:line="9"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30 Rockefeller Plaza</w:t>
      </w:r>
    </w:p>
    <w:p>
      <w:pPr>
        <w:spacing w:after="0" w:line="9"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26th Floor</w:t>
      </w:r>
    </w:p>
    <w:p>
      <w:pPr>
        <w:spacing w:after="0" w:line="9"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New York, NY 10112</w:t>
      </w:r>
    </w:p>
    <w:p>
      <w:pPr>
        <w:spacing w:after="0" w:line="9"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(212) 835-4837</w:t>
      </w:r>
    </w:p>
    <w:p>
      <w:pPr>
        <w:spacing w:after="0" w:line="2"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4"/>
          <w:szCs w:val="14"/>
          <w:b w:val="1"/>
          <w:bCs w:val="1"/>
          <w:color w:val="auto"/>
        </w:rPr>
        <w:t>(Name, Address and Telephone Number of Person Authorized to Receive Notices and Communications)</w:t>
      </w:r>
    </w:p>
    <w:p>
      <w:pPr>
        <w:spacing w:after="0" w:line="200" w:lineRule="exact"/>
        <w:rPr>
          <w:sz w:val="24"/>
          <w:szCs w:val="24"/>
          <w:color w:val="auto"/>
        </w:rPr>
      </w:pPr>
    </w:p>
    <w:p>
      <w:pPr>
        <w:spacing w:after="0" w:line="204"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September 24, 2024</w:t>
      </w:r>
    </w:p>
    <w:p>
      <w:pPr>
        <w:spacing w:after="0" w:line="25"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296545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66" w:lineRule="exact"/>
        <w:rPr>
          <w:sz w:val="24"/>
          <w:szCs w:val="24"/>
          <w:color w:val="auto"/>
        </w:rPr>
      </w:pPr>
    </w:p>
    <w:p>
      <w:pPr>
        <w:ind w:left="4" w:right="120"/>
        <w:spacing w:after="0" w:line="239" w:lineRule="exact"/>
        <w:rPr>
          <w:sz w:val="20"/>
          <w:szCs w:val="20"/>
          <w:color w:val="auto"/>
        </w:rPr>
      </w:pPr>
      <w:r>
        <w:rPr>
          <w:rFonts w:ascii="Times New Roman" w:cs="Times New Roman" w:eastAsia="Times New Roman" w:hAnsi="Times New Roman"/>
          <w:sz w:val="18"/>
          <w:szCs w:val="18"/>
          <w:color w:val="auto"/>
        </w:rPr>
        <w:t xml:space="preserve">If the filing person has previously filed a statement on Schedule 13G to report the acquisition that is the subject of this Schedule 13D, and is filing this schedule because of §§240.13d-1(e), 240.13d-1(f) or 240.13d-1(g), check the following box. 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154305</wp:posOffset>
            </wp:positionV>
            <wp:extent cx="699516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41" w:lineRule="exact"/>
        <w:rPr>
          <w:sz w:val="24"/>
          <w:szCs w:val="24"/>
          <w:color w:val="auto"/>
        </w:rPr>
      </w:pPr>
    </w:p>
    <w:p>
      <w:pPr>
        <w:ind w:left="4" w:right="260"/>
        <w:spacing w:after="0" w:line="286" w:lineRule="auto"/>
        <w:rPr>
          <w:sz w:val="20"/>
          <w:szCs w:val="20"/>
          <w:color w:val="auto"/>
        </w:rPr>
      </w:pPr>
      <w:r>
        <w:rPr>
          <w:rFonts w:ascii="Times New Roman" w:cs="Times New Roman" w:eastAsia="Times New Roman" w:hAnsi="Times New Roman"/>
          <w:sz w:val="18"/>
          <w:szCs w:val="18"/>
          <w:b w:val="1"/>
          <w:bCs w:val="1"/>
          <w:color w:val="auto"/>
        </w:rPr>
        <w:t>Note</w:t>
      </w:r>
      <w:r>
        <w:rPr>
          <w:rFonts w:ascii="Times New Roman" w:cs="Times New Roman" w:eastAsia="Times New Roman" w:hAnsi="Times New Roman"/>
          <w:sz w:val="18"/>
          <w:szCs w:val="18"/>
          <w:color w:val="auto"/>
        </w:rPr>
        <w:t>: Schedules filed in paper format shall include a signed original and five copies of the schedule, including all exhibits. See §240.13d-7 for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parties to whom copies are to be sent.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43815</wp:posOffset>
            </wp:positionV>
            <wp:extent cx="699516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314" w:lineRule="exact"/>
        <w:rPr>
          <w:sz w:val="24"/>
          <w:szCs w:val="24"/>
          <w:color w:val="auto"/>
        </w:rPr>
      </w:pPr>
    </w:p>
    <w:p>
      <w:pPr>
        <w:ind w:left="424" w:hanging="424"/>
        <w:spacing w:after="0" w:line="208" w:lineRule="auto"/>
        <w:tabs>
          <w:tab w:leader="none" w:pos="424" w:val="left"/>
        </w:tabs>
        <w:numPr>
          <w:ilvl w:val="0"/>
          <w:numId w:val="1"/>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200" w:lineRule="exact"/>
        <w:rPr>
          <w:sz w:val="24"/>
          <w:szCs w:val="24"/>
          <w:color w:val="auto"/>
        </w:rPr>
      </w:pPr>
    </w:p>
    <w:p>
      <w:pPr>
        <w:ind w:left="4" w:right="20"/>
        <w:spacing w:after="0" w:line="266" w:lineRule="auto"/>
        <w:rPr>
          <w:sz w:val="20"/>
          <w:szCs w:val="20"/>
          <w:color w:val="auto"/>
        </w:rPr>
      </w:pPr>
      <w:r>
        <w:rPr>
          <w:rFonts w:ascii="Times New Roman" w:cs="Times New Roman" w:eastAsia="Times New Roman" w:hAnsi="Times New Roman"/>
          <w:sz w:val="18"/>
          <w:szCs w:val="18"/>
          <w:color w:val="auto"/>
        </w:rPr>
        <w:t>The information required on the remainder of this cover page shall not be deemed to be “filed” for the purpose of Section 18 of the Securities Exchange Act of 1934, as amended (“</w:t>
      </w:r>
      <w:r>
        <w:rPr>
          <w:rFonts w:ascii="Times New Roman" w:cs="Times New Roman" w:eastAsia="Times New Roman" w:hAnsi="Times New Roman"/>
          <w:sz w:val="18"/>
          <w:szCs w:val="18"/>
          <w:b w:val="1"/>
          <w:bCs w:val="1"/>
          <w:i w:val="1"/>
          <w:iCs w:val="1"/>
          <w:color w:val="auto"/>
        </w:rPr>
        <w:t>Act</w:t>
      </w:r>
      <w:r>
        <w:rPr>
          <w:rFonts w:ascii="Times New Roman" w:cs="Times New Roman" w:eastAsia="Times New Roman" w:hAnsi="Times New Roman"/>
          <w:sz w:val="18"/>
          <w:szCs w:val="18"/>
          <w:color w:val="auto"/>
        </w:rPr>
        <w: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140335</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183515</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944"/>
          </w:cols>
          <w:pgMar w:left="436" w:top="511" w:right="519" w:bottom="1440" w:gutter="0" w:footer="0" w:header="0"/>
        </w:sectPr>
      </w:pPr>
    </w:p>
    <w:bookmarkStart w:id="1" w:name="page2"/>
    <w:bookmarkEnd w:id="1"/>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CUSIP No. N/A</w:t>
      </w:r>
    </w:p>
    <w:p>
      <w:pPr>
        <w:spacing w:after="0" w:line="266" w:lineRule="exact"/>
        <w:rPr>
          <w:sz w:val="20"/>
          <w:szCs w:val="20"/>
          <w:color w:val="auto"/>
        </w:rPr>
      </w:pPr>
    </w:p>
    <w:p>
      <w:pPr>
        <w:ind w:left="244" w:hanging="87"/>
        <w:spacing w:after="0"/>
        <w:tabs>
          <w:tab w:leader="none" w:pos="244"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     Names of Reporting Person</w:t>
      </w:r>
    </w:p>
    <w:p>
      <w:pPr>
        <w:spacing w:after="0" w:line="263" w:lineRule="exact"/>
        <w:rPr>
          <w:rFonts w:ascii="Times New Roman" w:cs="Times New Roman" w:eastAsia="Times New Roman" w:hAnsi="Times New Roman"/>
          <w:sz w:val="17"/>
          <w:szCs w:val="17"/>
          <w:color w:val="auto"/>
        </w:rPr>
      </w:pPr>
    </w:p>
    <w:p>
      <w:pPr>
        <w:ind w:left="644" w:hanging="91"/>
        <w:spacing w:after="0"/>
        <w:tabs>
          <w:tab w:leader="none" w:pos="644"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Public Institution for Social Security</w:t>
      </w:r>
    </w:p>
    <w:p>
      <w:pPr>
        <w:spacing w:after="0" w:line="36" w:lineRule="exact"/>
        <w:rPr>
          <w:rFonts w:ascii="Times New Roman" w:cs="Times New Roman" w:eastAsia="Times New Roman" w:hAnsi="Times New Roman"/>
          <w:sz w:val="18"/>
          <w:szCs w:val="18"/>
          <w:color w:val="auto"/>
        </w:rPr>
      </w:pPr>
    </w:p>
    <w:p>
      <w:pPr>
        <w:ind w:left="244" w:hanging="87"/>
        <w:spacing w:after="0"/>
        <w:tabs>
          <w:tab w:leader="none" w:pos="244"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    Check the Appropriate Box if a Member of a Group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-566420</wp:posOffset>
            </wp:positionV>
            <wp:extent cx="6926580" cy="611187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26580" cy="6111875"/>
                    </a:xfrm>
                    <a:prstGeom prst="rect">
                      <a:avLst/>
                    </a:prstGeom>
                    <a:noFill/>
                  </pic:spPr>
                </pic:pic>
              </a:graphicData>
            </a:graphic>
          </wp:anchor>
        </w:drawing>
      </w:r>
    </w:p>
    <w:p>
      <w:pPr>
        <w:spacing w:after="0" w:line="14" w:lineRule="exact"/>
        <w:rPr>
          <w:sz w:val="20"/>
          <w:szCs w:val="20"/>
          <w:color w:val="auto"/>
        </w:rPr>
      </w:pPr>
    </w:p>
    <w:p>
      <w:pPr>
        <w:ind w:left="544"/>
        <w:spacing w:after="0" w:line="207" w:lineRule="exact"/>
        <w:rPr>
          <w:sz w:val="20"/>
          <w:szCs w:val="20"/>
          <w:color w:val="auto"/>
        </w:rPr>
      </w:pPr>
      <w:r>
        <w:rPr>
          <w:rFonts w:ascii="Times New Roman" w:cs="Times New Roman" w:eastAsia="Times New Roman" w:hAnsi="Times New Roman"/>
          <w:sz w:val="18"/>
          <w:szCs w:val="18"/>
          <w:color w:val="auto"/>
        </w:rPr>
        <w:t xml:space="preserve">  (a)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  </w:t>
      </w:r>
      <w:r>
        <w:rPr>
          <w:rFonts w:ascii="MS PGothic" w:cs="MS PGothic" w:eastAsia="MS PGothic" w:hAnsi="MS PGothic"/>
          <w:sz w:val="18"/>
          <w:szCs w:val="18"/>
          <w:color w:val="auto"/>
        </w:rPr>
        <w:t>☐</w:t>
      </w:r>
    </w:p>
    <w:p>
      <w:pPr>
        <w:spacing w:after="0" w:line="266" w:lineRule="exact"/>
        <w:rPr>
          <w:sz w:val="20"/>
          <w:szCs w:val="20"/>
          <w:color w:val="auto"/>
        </w:rPr>
      </w:pPr>
    </w:p>
    <w:p>
      <w:pPr>
        <w:ind w:left="244" w:hanging="87"/>
        <w:spacing w:after="0"/>
        <w:tabs>
          <w:tab w:leader="none" w:pos="244"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3.    SEC Use Only</w:t>
      </w:r>
    </w:p>
    <w:p>
      <w:pPr>
        <w:spacing w:after="0" w:line="290" w:lineRule="exact"/>
        <w:rPr>
          <w:rFonts w:ascii="Times New Roman" w:cs="Times New Roman" w:eastAsia="Times New Roman" w:hAnsi="Times New Roman"/>
          <w:sz w:val="17"/>
          <w:szCs w:val="17"/>
          <w:color w:val="auto"/>
        </w:rPr>
      </w:pPr>
    </w:p>
    <w:p>
      <w:pPr>
        <w:ind w:left="244" w:hanging="87"/>
        <w:spacing w:after="0"/>
        <w:tabs>
          <w:tab w:leader="none" w:pos="244"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4.    Source of Funds (See Instructions)</w:t>
      </w:r>
    </w:p>
    <w:p>
      <w:pPr>
        <w:spacing w:after="0" w:line="263" w:lineRule="exact"/>
        <w:rPr>
          <w:rFonts w:ascii="Times New Roman" w:cs="Times New Roman" w:eastAsia="Times New Roman" w:hAnsi="Times New Roman"/>
          <w:sz w:val="17"/>
          <w:szCs w:val="17"/>
          <w:color w:val="auto"/>
        </w:rPr>
      </w:pPr>
    </w:p>
    <w:p>
      <w:pPr>
        <w:ind w:left="644" w:hanging="91"/>
        <w:spacing w:after="0"/>
        <w:tabs>
          <w:tab w:leader="none" w:pos="644"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WC</w:t>
      </w:r>
    </w:p>
    <w:p>
      <w:pPr>
        <w:spacing w:after="0" w:line="36" w:lineRule="exact"/>
        <w:rPr>
          <w:rFonts w:ascii="Times New Roman" w:cs="Times New Roman" w:eastAsia="Times New Roman" w:hAnsi="Times New Roman"/>
          <w:sz w:val="18"/>
          <w:szCs w:val="18"/>
          <w:color w:val="auto"/>
        </w:rPr>
      </w:pPr>
    </w:p>
    <w:p>
      <w:pPr>
        <w:ind w:left="244" w:hanging="87"/>
        <w:spacing w:after="0"/>
        <w:tabs>
          <w:tab w:leader="none" w:pos="244"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5.    Check if Disclosure of Legal Proceedings Is Required Pursuant to Items 2(d) or 2(e)</w:t>
      </w:r>
    </w:p>
    <w:p>
      <w:pPr>
        <w:spacing w:after="0" w:line="222" w:lineRule="exact"/>
        <w:rPr>
          <w:rFonts w:ascii="Times New Roman" w:cs="Times New Roman" w:eastAsia="Times New Roman" w:hAnsi="Times New Roman"/>
          <w:sz w:val="17"/>
          <w:szCs w:val="17"/>
          <w:color w:val="auto"/>
        </w:rPr>
      </w:pPr>
    </w:p>
    <w:p>
      <w:pPr>
        <w:ind w:left="644" w:hanging="91"/>
        <w:spacing w:after="0" w:line="207" w:lineRule="exact"/>
        <w:tabs>
          <w:tab w:leader="none" w:pos="644" w:val="left"/>
        </w:tabs>
        <w:numPr>
          <w:ilvl w:val="1"/>
          <w:numId w:val="3"/>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96" w:lineRule="exact"/>
        <w:rPr>
          <w:rFonts w:ascii="Times New Roman" w:cs="Times New Roman" w:eastAsia="Times New Roman" w:hAnsi="Times New Roman"/>
          <w:sz w:val="18"/>
          <w:szCs w:val="18"/>
          <w:color w:val="auto"/>
        </w:rPr>
      </w:pPr>
    </w:p>
    <w:p>
      <w:pPr>
        <w:ind w:left="244" w:hanging="87"/>
        <w:spacing w:after="0"/>
        <w:tabs>
          <w:tab w:leader="none" w:pos="244"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6.    Citizenship or Place of Organization</w:t>
      </w:r>
    </w:p>
    <w:p>
      <w:pPr>
        <w:spacing w:after="0" w:line="244" w:lineRule="exact"/>
        <w:rPr>
          <w:rFonts w:ascii="Times New Roman" w:cs="Times New Roman" w:eastAsia="Times New Roman" w:hAnsi="Times New Roman"/>
          <w:sz w:val="17"/>
          <w:szCs w:val="17"/>
          <w:color w:val="auto"/>
        </w:rPr>
      </w:pPr>
    </w:p>
    <w:p>
      <w:pPr>
        <w:ind w:left="644" w:hanging="91"/>
        <w:spacing w:after="0"/>
        <w:tabs>
          <w:tab w:leader="none" w:pos="644"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Kuwait</w:t>
      </w:r>
    </w:p>
    <w:p>
      <w:pPr>
        <w:spacing w:after="0" w:line="36" w:lineRule="exact"/>
        <w:rPr>
          <w:rFonts w:ascii="Times New Roman" w:cs="Times New Roman" w:eastAsia="Times New Roman" w:hAnsi="Times New Roman"/>
          <w:sz w:val="18"/>
          <w:szCs w:val="18"/>
          <w:color w:val="auto"/>
        </w:rPr>
      </w:pPr>
    </w:p>
    <w:p>
      <w:pPr>
        <w:ind w:left="1244" w:hanging="83"/>
        <w:spacing w:after="0"/>
        <w:tabs>
          <w:tab w:leader="none" w:pos="1244" w:val="left"/>
        </w:tabs>
        <w:numPr>
          <w:ilvl w:val="2"/>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7.     Sole Voting Power</w:t>
      </w:r>
    </w:p>
    <w:p>
      <w:pPr>
        <w:spacing w:after="0" w:line="235" w:lineRule="exact"/>
        <w:rPr>
          <w:sz w:val="20"/>
          <w:szCs w:val="20"/>
          <w:color w:val="auto"/>
        </w:rPr>
      </w:pPr>
    </w:p>
    <w:tbl>
      <w:tblPr>
        <w:tblLayout w:type="fixed"/>
        <w:tblInd w:w="164" w:type="dxa"/>
        <w:tblCellMar>
          <w:top w:w="0" w:type="dxa"/>
          <w:left w:w="0" w:type="dxa"/>
          <w:bottom w:w="0" w:type="dxa"/>
          <w:right w:w="0" w:type="dxa"/>
        </w:tblCellMar>
      </w:tblPr>
      <w:tr>
        <w:trPr>
          <w:trHeight w:val="221"/>
        </w:trPr>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Number of</w:t>
            </w:r>
          </w:p>
        </w:tc>
        <w:tc>
          <w:tcPr>
            <w:tcW w:w="440" w:type="dxa"/>
            <w:vAlign w:val="bottom"/>
          </w:tcPr>
          <w:p>
            <w:pPr>
              <w:spacing w:after="0"/>
              <w:rPr>
                <w:sz w:val="19"/>
                <w:szCs w:val="19"/>
                <w:color w:val="auto"/>
              </w:rPr>
            </w:pPr>
          </w:p>
        </w:tc>
        <w:tc>
          <w:tcPr>
            <w:tcW w:w="94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6,526,790</w:t>
            </w:r>
          </w:p>
        </w:tc>
        <w:tc>
          <w:tcPr>
            <w:tcW w:w="0" w:type="dxa"/>
            <w:vAlign w:val="bottom"/>
          </w:tcPr>
          <w:p>
            <w:pPr>
              <w:spacing w:after="0"/>
              <w:rPr>
                <w:sz w:val="1"/>
                <w:szCs w:val="1"/>
                <w:color w:val="auto"/>
              </w:rPr>
            </w:pPr>
          </w:p>
        </w:tc>
      </w:tr>
      <w:tr>
        <w:trPr>
          <w:trHeight w:val="67"/>
        </w:trPr>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Shares  </w:t>
            </w:r>
          </w:p>
        </w:tc>
        <w:tc>
          <w:tcPr>
            <w:tcW w:w="440" w:type="dxa"/>
            <w:vAlign w:val="bottom"/>
            <w:tcBorders>
              <w:bottom w:val="single" w:sz="8" w:color="auto"/>
            </w:tcBorders>
          </w:tcPr>
          <w:p>
            <w:pPr>
              <w:spacing w:after="0"/>
              <w:rPr>
                <w:sz w:val="5"/>
                <w:szCs w:val="5"/>
                <w:color w:val="auto"/>
              </w:rPr>
            </w:pPr>
          </w:p>
        </w:tc>
        <w:tc>
          <w:tcPr>
            <w:tcW w:w="94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4"/>
        </w:trPr>
        <w:tc>
          <w:tcPr>
            <w:tcW w:w="880" w:type="dxa"/>
            <w:vAlign w:val="bottom"/>
            <w:vMerge w:val="continue"/>
          </w:tcPr>
          <w:p>
            <w:pPr>
              <w:spacing w:after="0"/>
              <w:rPr>
                <w:sz w:val="10"/>
                <w:szCs w:val="10"/>
                <w:color w:val="auto"/>
              </w:rPr>
            </w:pPr>
          </w:p>
        </w:tc>
        <w:tc>
          <w:tcPr>
            <w:tcW w:w="9860" w:type="dxa"/>
            <w:vAlign w:val="bottom"/>
            <w:gridSpan w:val="2"/>
            <w:vMerge w:val="restart"/>
          </w:tcPr>
          <w:p>
            <w:pPr>
              <w:ind w:left="120"/>
              <w:spacing w:after="0"/>
              <w:rPr>
                <w:sz w:val="20"/>
                <w:szCs w:val="20"/>
                <w:color w:val="auto"/>
              </w:rPr>
            </w:pPr>
            <w:r>
              <w:rPr>
                <w:rFonts w:ascii="Times New Roman" w:cs="Times New Roman" w:eastAsia="Times New Roman" w:hAnsi="Times New Roman"/>
                <w:sz w:val="18"/>
                <w:szCs w:val="18"/>
                <w:color w:val="auto"/>
              </w:rPr>
              <w:t>  8.    Shared Voting Power</w:t>
            </w:r>
          </w:p>
        </w:tc>
        <w:tc>
          <w:tcPr>
            <w:tcW w:w="0" w:type="dxa"/>
            <w:vAlign w:val="bottom"/>
          </w:tcPr>
          <w:p>
            <w:pPr>
              <w:spacing w:after="0"/>
              <w:rPr>
                <w:sz w:val="1"/>
                <w:szCs w:val="1"/>
                <w:color w:val="auto"/>
              </w:rPr>
            </w:pPr>
          </w:p>
        </w:tc>
      </w:tr>
      <w:tr>
        <w:trPr>
          <w:trHeight w:val="104"/>
        </w:trPr>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Beneficially</w:t>
            </w:r>
          </w:p>
        </w:tc>
        <w:tc>
          <w:tcPr>
            <w:tcW w:w="986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880" w:type="dxa"/>
            <w:vAlign w:val="bottom"/>
            <w:vMerge w:val="continue"/>
          </w:tcPr>
          <w:p>
            <w:pPr>
              <w:spacing w:after="0"/>
              <w:rPr>
                <w:sz w:val="9"/>
                <w:szCs w:val="9"/>
                <w:color w:val="auto"/>
              </w:rPr>
            </w:pPr>
          </w:p>
        </w:tc>
        <w:tc>
          <w:tcPr>
            <w:tcW w:w="440" w:type="dxa"/>
            <w:vAlign w:val="bottom"/>
          </w:tcPr>
          <w:p>
            <w:pPr>
              <w:spacing w:after="0"/>
              <w:rPr>
                <w:sz w:val="9"/>
                <w:szCs w:val="9"/>
                <w:color w:val="auto"/>
              </w:rPr>
            </w:pPr>
          </w:p>
        </w:tc>
        <w:tc>
          <w:tcPr>
            <w:tcW w:w="9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Owned by</w:t>
            </w:r>
          </w:p>
        </w:tc>
        <w:tc>
          <w:tcPr>
            <w:tcW w:w="440" w:type="dxa"/>
            <w:vAlign w:val="bottom"/>
          </w:tcPr>
          <w:p>
            <w:pPr>
              <w:spacing w:after="0"/>
              <w:rPr>
                <w:sz w:val="18"/>
                <w:szCs w:val="18"/>
                <w:color w:val="auto"/>
              </w:rPr>
            </w:pPr>
          </w:p>
        </w:tc>
        <w:tc>
          <w:tcPr>
            <w:tcW w:w="942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  0</w:t>
            </w:r>
          </w:p>
        </w:tc>
        <w:tc>
          <w:tcPr>
            <w:tcW w:w="0" w:type="dxa"/>
            <w:vAlign w:val="bottom"/>
          </w:tcPr>
          <w:p>
            <w:pPr>
              <w:spacing w:after="0"/>
              <w:rPr>
                <w:sz w:val="1"/>
                <w:szCs w:val="1"/>
                <w:color w:val="auto"/>
              </w:rPr>
            </w:pPr>
          </w:p>
        </w:tc>
      </w:tr>
      <w:tr>
        <w:trPr>
          <w:trHeight w:val="120"/>
        </w:trPr>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Each</w:t>
            </w:r>
          </w:p>
        </w:tc>
        <w:tc>
          <w:tcPr>
            <w:tcW w:w="440" w:type="dxa"/>
            <w:vAlign w:val="bottom"/>
            <w:tcBorders>
              <w:bottom w:val="single" w:sz="8" w:color="auto"/>
            </w:tcBorders>
          </w:tcPr>
          <w:p>
            <w:pPr>
              <w:spacing w:after="0"/>
              <w:rPr>
                <w:sz w:val="10"/>
                <w:szCs w:val="10"/>
                <w:color w:val="auto"/>
              </w:rPr>
            </w:pPr>
          </w:p>
        </w:tc>
        <w:tc>
          <w:tcPr>
            <w:tcW w:w="942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880" w:type="dxa"/>
            <w:vAlign w:val="bottom"/>
            <w:vMerge w:val="continue"/>
          </w:tcPr>
          <w:p>
            <w:pPr>
              <w:spacing w:after="0"/>
              <w:rPr>
                <w:sz w:val="6"/>
                <w:szCs w:val="6"/>
                <w:color w:val="auto"/>
              </w:rPr>
            </w:pPr>
          </w:p>
        </w:tc>
        <w:tc>
          <w:tcPr>
            <w:tcW w:w="9860" w:type="dxa"/>
            <w:vAlign w:val="bottom"/>
            <w:gridSpan w:val="2"/>
            <w:vMerge w:val="restart"/>
          </w:tcPr>
          <w:p>
            <w:pPr>
              <w:ind w:left="120"/>
              <w:spacing w:after="0"/>
              <w:rPr>
                <w:sz w:val="20"/>
                <w:szCs w:val="20"/>
                <w:color w:val="auto"/>
              </w:rPr>
            </w:pPr>
            <w:r>
              <w:rPr>
                <w:rFonts w:ascii="Times New Roman" w:cs="Times New Roman" w:eastAsia="Times New Roman" w:hAnsi="Times New Roman"/>
                <w:sz w:val="18"/>
                <w:szCs w:val="18"/>
                <w:color w:val="auto"/>
              </w:rPr>
              <w:t>  9.    Sole Dispositive Power</w:t>
            </w:r>
          </w:p>
        </w:tc>
        <w:tc>
          <w:tcPr>
            <w:tcW w:w="0" w:type="dxa"/>
            <w:vAlign w:val="bottom"/>
          </w:tcPr>
          <w:p>
            <w:pPr>
              <w:spacing w:after="0"/>
              <w:rPr>
                <w:sz w:val="1"/>
                <w:szCs w:val="1"/>
                <w:color w:val="auto"/>
              </w:rPr>
            </w:pPr>
          </w:p>
        </w:tc>
      </w:tr>
      <w:tr>
        <w:trPr>
          <w:trHeight w:val="158"/>
        </w:trPr>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Reporting</w:t>
            </w:r>
          </w:p>
        </w:tc>
        <w:tc>
          <w:tcPr>
            <w:tcW w:w="986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8"/>
        </w:trPr>
        <w:tc>
          <w:tcPr>
            <w:tcW w:w="880" w:type="dxa"/>
            <w:vAlign w:val="bottom"/>
            <w:vMerge w:val="continue"/>
          </w:tcPr>
          <w:p>
            <w:pPr>
              <w:spacing w:after="0"/>
              <w:rPr>
                <w:sz w:val="5"/>
                <w:szCs w:val="5"/>
                <w:color w:val="auto"/>
              </w:rPr>
            </w:pPr>
          </w:p>
        </w:tc>
        <w:tc>
          <w:tcPr>
            <w:tcW w:w="440" w:type="dxa"/>
            <w:vAlign w:val="bottom"/>
          </w:tcPr>
          <w:p>
            <w:pPr>
              <w:spacing w:after="0"/>
              <w:rPr>
                <w:sz w:val="5"/>
                <w:szCs w:val="5"/>
                <w:color w:val="auto"/>
              </w:rPr>
            </w:pPr>
          </w:p>
        </w:tc>
        <w:tc>
          <w:tcPr>
            <w:tcW w:w="94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Person</w:t>
            </w:r>
          </w:p>
        </w:tc>
        <w:tc>
          <w:tcPr>
            <w:tcW w:w="440" w:type="dxa"/>
            <w:vAlign w:val="bottom"/>
          </w:tcPr>
          <w:p>
            <w:pPr>
              <w:spacing w:after="0"/>
              <w:rPr>
                <w:sz w:val="18"/>
                <w:szCs w:val="18"/>
                <w:color w:val="auto"/>
              </w:rPr>
            </w:pPr>
          </w:p>
        </w:tc>
        <w:tc>
          <w:tcPr>
            <w:tcW w:w="942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  6,526,790</w:t>
            </w:r>
          </w:p>
        </w:tc>
        <w:tc>
          <w:tcPr>
            <w:tcW w:w="0" w:type="dxa"/>
            <w:vAlign w:val="bottom"/>
          </w:tcPr>
          <w:p>
            <w:pPr>
              <w:spacing w:after="0"/>
              <w:rPr>
                <w:sz w:val="1"/>
                <w:szCs w:val="1"/>
                <w:color w:val="auto"/>
              </w:rPr>
            </w:pPr>
          </w:p>
        </w:tc>
      </w:tr>
      <w:tr>
        <w:trPr>
          <w:trHeight w:val="180"/>
        </w:trPr>
        <w:tc>
          <w:tcPr>
            <w:tcW w:w="880" w:type="dxa"/>
            <w:vAlign w:val="bottom"/>
          </w:tcPr>
          <w:p>
            <w:pPr>
              <w:jc w:val="center"/>
              <w:spacing w:after="0" w:line="160" w:lineRule="exact"/>
              <w:rPr>
                <w:sz w:val="20"/>
                <w:szCs w:val="20"/>
                <w:color w:val="auto"/>
              </w:rPr>
            </w:pPr>
            <w:r>
              <w:rPr>
                <w:rFonts w:ascii="Times New Roman" w:cs="Times New Roman" w:eastAsia="Times New Roman" w:hAnsi="Times New Roman"/>
                <w:sz w:val="18"/>
                <w:szCs w:val="18"/>
                <w:color w:val="auto"/>
                <w:w w:val="99"/>
              </w:rPr>
              <w:t>With</w:t>
            </w:r>
          </w:p>
        </w:tc>
        <w:tc>
          <w:tcPr>
            <w:tcW w:w="440" w:type="dxa"/>
            <w:vAlign w:val="bottom"/>
            <w:tcBorders>
              <w:bottom w:val="single" w:sz="8" w:color="auto"/>
            </w:tcBorders>
          </w:tcPr>
          <w:p>
            <w:pPr>
              <w:spacing w:after="0"/>
              <w:rPr>
                <w:sz w:val="15"/>
                <w:szCs w:val="15"/>
                <w:color w:val="auto"/>
              </w:rPr>
            </w:pPr>
          </w:p>
        </w:tc>
        <w:tc>
          <w:tcPr>
            <w:tcW w:w="942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880" w:type="dxa"/>
            <w:vAlign w:val="bottom"/>
          </w:tcPr>
          <w:p>
            <w:pPr>
              <w:spacing w:after="0"/>
              <w:rPr>
                <w:sz w:val="19"/>
                <w:szCs w:val="19"/>
                <w:color w:val="auto"/>
              </w:rPr>
            </w:pPr>
          </w:p>
        </w:tc>
        <w:tc>
          <w:tcPr>
            <w:tcW w:w="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10.</w:t>
            </w:r>
          </w:p>
        </w:tc>
        <w:tc>
          <w:tcPr>
            <w:tcW w:w="94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Shared Dispositive Power</w:t>
            </w: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1584"/>
        <w:spacing w:after="0"/>
        <w:rPr>
          <w:sz w:val="20"/>
          <w:szCs w:val="20"/>
          <w:color w:val="auto"/>
        </w:rPr>
      </w:pPr>
      <w:r>
        <w:rPr>
          <w:rFonts w:ascii="Times New Roman" w:cs="Times New Roman" w:eastAsia="Times New Roman" w:hAnsi="Times New Roman"/>
          <w:sz w:val="18"/>
          <w:szCs w:val="18"/>
          <w:color w:val="auto"/>
        </w:rPr>
        <w:t>  0</w:t>
      </w:r>
    </w:p>
    <w:p>
      <w:pPr>
        <w:spacing w:after="0" w:line="36" w:lineRule="exact"/>
        <w:rPr>
          <w:sz w:val="20"/>
          <w:szCs w:val="20"/>
          <w:color w:val="auto"/>
        </w:rPr>
      </w:pPr>
    </w:p>
    <w:p>
      <w:pPr>
        <w:ind w:left="164"/>
        <w:spacing w:after="0"/>
        <w:rPr>
          <w:sz w:val="20"/>
          <w:szCs w:val="20"/>
          <w:color w:val="auto"/>
        </w:rPr>
      </w:pPr>
      <w:r>
        <w:rPr>
          <w:rFonts w:ascii="Times New Roman" w:cs="Times New Roman" w:eastAsia="Times New Roman" w:hAnsi="Times New Roman"/>
          <w:sz w:val="18"/>
          <w:szCs w:val="18"/>
          <w:color w:val="auto"/>
        </w:rPr>
        <w:t>11.     Aggregate Amount Beneficially Owned by Each Reporting Person</w:t>
      </w:r>
    </w:p>
    <w:p>
      <w:pPr>
        <w:spacing w:after="0" w:line="252" w:lineRule="exact"/>
        <w:rPr>
          <w:sz w:val="20"/>
          <w:szCs w:val="20"/>
          <w:color w:val="auto"/>
        </w:rPr>
      </w:pPr>
    </w:p>
    <w:p>
      <w:pPr>
        <w:ind w:left="644" w:hanging="91"/>
        <w:spacing w:after="0"/>
        <w:tabs>
          <w:tab w:leader="none" w:pos="644" w:val="left"/>
        </w:tabs>
        <w:numPr>
          <w:ilvl w:val="2"/>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6,526,790</w:t>
      </w:r>
    </w:p>
    <w:p>
      <w:pPr>
        <w:spacing w:after="0" w:line="36" w:lineRule="exact"/>
        <w:rPr>
          <w:rFonts w:ascii="Times New Roman" w:cs="Times New Roman" w:eastAsia="Times New Roman" w:hAnsi="Times New Roman"/>
          <w:sz w:val="18"/>
          <w:szCs w:val="18"/>
          <w:color w:val="auto"/>
        </w:rPr>
      </w:pPr>
    </w:p>
    <w:p>
      <w:pPr>
        <w:ind w:left="544" w:hanging="387"/>
        <w:spacing w:after="0"/>
        <w:tabs>
          <w:tab w:leader="none" w:pos="544"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Check if the Aggregate Amount in Row (11) Excludes Certain Shares (See Instructions)</w:t>
      </w:r>
    </w:p>
    <w:p>
      <w:pPr>
        <w:spacing w:after="0" w:line="211" w:lineRule="exact"/>
        <w:rPr>
          <w:rFonts w:ascii="Times New Roman" w:cs="Times New Roman" w:eastAsia="Times New Roman" w:hAnsi="Times New Roman"/>
          <w:sz w:val="18"/>
          <w:szCs w:val="18"/>
          <w:color w:val="auto"/>
        </w:rPr>
      </w:pPr>
    </w:p>
    <w:p>
      <w:pPr>
        <w:ind w:left="644" w:hanging="91"/>
        <w:spacing w:after="0" w:line="207" w:lineRule="exact"/>
        <w:tabs>
          <w:tab w:leader="none" w:pos="644" w:val="left"/>
        </w:tabs>
        <w:numPr>
          <w:ilvl w:val="2"/>
          <w:numId w:val="4"/>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96" w:lineRule="exact"/>
        <w:rPr>
          <w:rFonts w:ascii="Times New Roman" w:cs="Times New Roman" w:eastAsia="Times New Roman" w:hAnsi="Times New Roman"/>
          <w:sz w:val="18"/>
          <w:szCs w:val="18"/>
          <w:color w:val="auto"/>
        </w:rPr>
      </w:pPr>
    </w:p>
    <w:p>
      <w:pPr>
        <w:ind w:left="544" w:hanging="387"/>
        <w:spacing w:after="0"/>
        <w:tabs>
          <w:tab w:leader="none" w:pos="544"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Percent of Class Represented by Amount in Row (11)</w:t>
      </w:r>
    </w:p>
    <w:p>
      <w:pPr>
        <w:spacing w:after="0" w:line="232" w:lineRule="exact"/>
        <w:rPr>
          <w:rFonts w:ascii="Times New Roman" w:cs="Times New Roman" w:eastAsia="Times New Roman" w:hAnsi="Times New Roman"/>
          <w:sz w:val="18"/>
          <w:szCs w:val="18"/>
          <w:color w:val="auto"/>
        </w:rPr>
      </w:pPr>
    </w:p>
    <w:p>
      <w:pPr>
        <w:ind w:left="644" w:hanging="91"/>
        <w:spacing w:after="0"/>
        <w:tabs>
          <w:tab w:leader="none" w:pos="644" w:val="left"/>
        </w:tabs>
        <w:numPr>
          <w:ilvl w:val="2"/>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6.3% (1)</w:t>
      </w:r>
    </w:p>
    <w:p>
      <w:pPr>
        <w:spacing w:after="0" w:line="36" w:lineRule="exact"/>
        <w:rPr>
          <w:rFonts w:ascii="Times New Roman" w:cs="Times New Roman" w:eastAsia="Times New Roman" w:hAnsi="Times New Roman"/>
          <w:sz w:val="18"/>
          <w:szCs w:val="18"/>
          <w:color w:val="auto"/>
        </w:rPr>
      </w:pPr>
    </w:p>
    <w:p>
      <w:pPr>
        <w:ind w:left="544" w:hanging="387"/>
        <w:spacing w:after="0"/>
        <w:tabs>
          <w:tab w:leader="none" w:pos="544"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Type of Reporting Person (See Instructions)</w:t>
      </w:r>
    </w:p>
    <w:p>
      <w:pPr>
        <w:spacing w:after="0" w:line="252" w:lineRule="exact"/>
        <w:rPr>
          <w:rFonts w:ascii="Times New Roman" w:cs="Times New Roman" w:eastAsia="Times New Roman" w:hAnsi="Times New Roman"/>
          <w:sz w:val="18"/>
          <w:szCs w:val="18"/>
          <w:color w:val="auto"/>
        </w:rPr>
      </w:pPr>
    </w:p>
    <w:p>
      <w:pPr>
        <w:ind w:left="644" w:hanging="91"/>
        <w:spacing w:after="0"/>
        <w:tabs>
          <w:tab w:leader="none" w:pos="644" w:val="left"/>
        </w:tabs>
        <w:numPr>
          <w:ilvl w:val="2"/>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EP</w:t>
      </w:r>
    </w:p>
    <w:p>
      <w:pPr>
        <w:spacing w:after="0" w:line="279" w:lineRule="exact"/>
        <w:rPr>
          <w:rFonts w:ascii="Times New Roman" w:cs="Times New Roman" w:eastAsia="Times New Roman" w:hAnsi="Times New Roman"/>
          <w:sz w:val="18"/>
          <w:szCs w:val="18"/>
          <w:color w:val="auto"/>
        </w:rPr>
      </w:pPr>
    </w:p>
    <w:p>
      <w:pPr>
        <w:ind w:left="424" w:right="80" w:hanging="424"/>
        <w:spacing w:after="0" w:line="282" w:lineRule="auto"/>
        <w:tabs>
          <w:tab w:leader="none" w:pos="42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upon 103,879,431 Shares outstanding as of September 24, 2024, as disclosed by the Issuer to the Reporting Person in connection with the issuance of additional Shares.</w:t>
      </w:r>
    </w:p>
    <w:p>
      <w:pPr>
        <w:sectPr>
          <w:pgSz w:w="11900" w:h="16838" w:orient="portrait"/>
          <w:cols w:equalWidth="0" w:num="1">
            <w:col w:w="10904"/>
          </w:cols>
          <w:pgMar w:left="436" w:top="270" w:right="559" w:bottom="1440" w:gutter="0" w:footer="0" w:header="0"/>
        </w:sectPr>
      </w:pPr>
    </w:p>
    <w:bookmarkStart w:id="2" w:name="page3"/>
    <w:bookmarkEnd w:id="2"/>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This Amendment to Schedule 13D (as amended, this “</w:t>
      </w:r>
      <w:r>
        <w:rPr>
          <w:rFonts w:ascii="Times New Roman" w:cs="Times New Roman" w:eastAsia="Times New Roman" w:hAnsi="Times New Roman"/>
          <w:sz w:val="18"/>
          <w:szCs w:val="18"/>
          <w:b w:val="1"/>
          <w:bCs w:val="1"/>
          <w:i w:val="1"/>
          <w:iCs w:val="1"/>
          <w:color w:val="auto"/>
        </w:rPr>
        <w:t>Schedule 13D</w:t>
      </w:r>
      <w:r>
        <w:rPr>
          <w:rFonts w:ascii="Times New Roman" w:cs="Times New Roman" w:eastAsia="Times New Roman" w:hAnsi="Times New Roman"/>
          <w:sz w:val="18"/>
          <w:szCs w:val="18"/>
          <w:color w:val="auto"/>
        </w:rPr>
        <w:t>”) is being filed by the Reporting Person to amend the Schedule 13D related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common shares of beneficial interest, par value $0.001 per share (the “</w:t>
      </w:r>
      <w:r>
        <w:rPr>
          <w:rFonts w:ascii="Times New Roman" w:cs="Times New Roman" w:eastAsia="Times New Roman" w:hAnsi="Times New Roman"/>
          <w:sz w:val="18"/>
          <w:szCs w:val="18"/>
          <w:b w:val="1"/>
          <w:bCs w:val="1"/>
          <w:i w:val="1"/>
          <w:iCs w:val="1"/>
          <w:color w:val="auto"/>
        </w:rPr>
        <w:t>Shares</w:t>
      </w:r>
      <w:r>
        <w:rPr>
          <w:rFonts w:ascii="Times New Roman" w:cs="Times New Roman" w:eastAsia="Times New Roman" w:hAnsi="Times New Roman"/>
          <w:sz w:val="18"/>
          <w:szCs w:val="18"/>
          <w:color w:val="auto"/>
        </w:rPr>
        <w:t>”), of Sixth Street Lending Partners, a Delaware statutory trust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Issuer</w:t>
      </w:r>
      <w:r>
        <w:rPr>
          <w:rFonts w:ascii="Times New Roman" w:cs="Times New Roman" w:eastAsia="Times New Roman" w:hAnsi="Times New Roman"/>
          <w:sz w:val="18"/>
          <w:szCs w:val="18"/>
          <w:color w:val="auto"/>
        </w:rPr>
        <w:t>”), initially filed with the Securities and Exchange Commission (the “</w:t>
      </w:r>
      <w:r>
        <w:rPr>
          <w:rFonts w:ascii="Times New Roman" w:cs="Times New Roman" w:eastAsia="Times New Roman" w:hAnsi="Times New Roman"/>
          <w:sz w:val="18"/>
          <w:szCs w:val="18"/>
          <w:b w:val="1"/>
          <w:bCs w:val="1"/>
          <w:i w:val="1"/>
          <w:iCs w:val="1"/>
          <w:color w:val="auto"/>
        </w:rPr>
        <w:t>SEC</w:t>
      </w:r>
      <w:r>
        <w:rPr>
          <w:rFonts w:ascii="Times New Roman" w:cs="Times New Roman" w:eastAsia="Times New Roman" w:hAnsi="Times New Roman"/>
          <w:sz w:val="18"/>
          <w:szCs w:val="18"/>
          <w:color w:val="auto"/>
        </w:rPr>
        <w:t>”) on December 22, 2022. Each capitalized term used and not defined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herein shall have the meaning assigned to such term in the Schedule 13D. Except as otherwise provided herein, each Item of the Schedule 13D remains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unchanged.</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Source and Amount of Funds or Other Consideration</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Item 3 is hereby amended and supplemented as follows:</w:t>
      </w:r>
    </w:p>
    <w:p>
      <w:pPr>
        <w:spacing w:after="0" w:line="225" w:lineRule="exact"/>
        <w:rPr>
          <w:sz w:val="20"/>
          <w:szCs w:val="20"/>
          <w:color w:val="auto"/>
        </w:rPr>
      </w:pPr>
    </w:p>
    <w:p>
      <w:pPr>
        <w:ind w:right="40" w:firstLine="440"/>
        <w:spacing w:after="0" w:line="266" w:lineRule="auto"/>
        <w:rPr>
          <w:sz w:val="20"/>
          <w:szCs w:val="20"/>
          <w:color w:val="auto"/>
        </w:rPr>
      </w:pPr>
      <w:r>
        <w:rPr>
          <w:rFonts w:ascii="Times New Roman" w:cs="Times New Roman" w:eastAsia="Times New Roman" w:hAnsi="Times New Roman"/>
          <w:sz w:val="18"/>
          <w:szCs w:val="18"/>
          <w:color w:val="auto"/>
        </w:rPr>
        <w:t>“In connection with the Board’s declaration of certain dividends on March 29, 2024, pursuant to the Reporting Person’s participation in the DRIP, the Reporting Person acquired an additional 128,780 Shares on May 7, 2024. No additional cash was paid by the Reporting Person in connection with the acquisition of these additional Shares.</w:t>
      </w:r>
    </w:p>
    <w:p>
      <w:pPr>
        <w:spacing w:after="0" w:line="176" w:lineRule="exact"/>
        <w:rPr>
          <w:sz w:val="20"/>
          <w:szCs w:val="20"/>
          <w:color w:val="auto"/>
        </w:rPr>
      </w:pPr>
    </w:p>
    <w:p>
      <w:pPr>
        <w:ind w:right="100" w:firstLine="440"/>
        <w:spacing w:after="0" w:line="266" w:lineRule="auto"/>
        <w:rPr>
          <w:sz w:val="20"/>
          <w:szCs w:val="20"/>
          <w:color w:val="auto"/>
        </w:rPr>
      </w:pPr>
      <w:r>
        <w:rPr>
          <w:rFonts w:ascii="Times New Roman" w:cs="Times New Roman" w:eastAsia="Times New Roman" w:hAnsi="Times New Roman"/>
          <w:sz w:val="18"/>
          <w:szCs w:val="18"/>
          <w:color w:val="auto"/>
        </w:rPr>
        <w:t>Pursuant to the Subscription Agreement and a capital contribution notice delivered by the Issuer with respect thereto, on June 25, 2024, the Reporting Person purchased 341,533 Shares from the Issuer for an aggregate purchase price of approximately $10,092,327. The source of the funds for the purchase of Shares was the available investment capital of the Reporting Person.</w:t>
      </w:r>
    </w:p>
    <w:p>
      <w:pPr>
        <w:spacing w:after="0" w:line="176" w:lineRule="exact"/>
        <w:rPr>
          <w:sz w:val="20"/>
          <w:szCs w:val="20"/>
          <w:color w:val="auto"/>
        </w:rPr>
      </w:pPr>
    </w:p>
    <w:p>
      <w:pPr>
        <w:jc w:val="both"/>
        <w:ind w:firstLine="440"/>
        <w:spacing w:after="0" w:line="266" w:lineRule="auto"/>
        <w:rPr>
          <w:sz w:val="20"/>
          <w:szCs w:val="20"/>
          <w:color w:val="auto"/>
        </w:rPr>
      </w:pPr>
      <w:r>
        <w:rPr>
          <w:rFonts w:ascii="Times New Roman" w:cs="Times New Roman" w:eastAsia="Times New Roman" w:hAnsi="Times New Roman"/>
          <w:sz w:val="18"/>
          <w:szCs w:val="18"/>
          <w:color w:val="auto"/>
        </w:rPr>
        <w:t>In connection with the Board’s declaration of certain dividends on June 28, 2024, pursuant to the Reporting Person’s participation in the DRIP, the Reporting Person acquired an additional 137,056 Shares on August 6, 2024. No additional cash was paid by the Reporting Person in connection with the acquisition of these additional Shares.</w:t>
      </w:r>
    </w:p>
    <w:p>
      <w:pPr>
        <w:spacing w:after="0" w:line="176" w:lineRule="exact"/>
        <w:rPr>
          <w:sz w:val="20"/>
          <w:szCs w:val="20"/>
          <w:color w:val="auto"/>
        </w:rPr>
      </w:pPr>
    </w:p>
    <w:p>
      <w:pPr>
        <w:jc w:val="both"/>
        <w:ind w:right="100" w:firstLine="440"/>
        <w:spacing w:after="0" w:line="266" w:lineRule="auto"/>
        <w:rPr>
          <w:sz w:val="20"/>
          <w:szCs w:val="20"/>
          <w:color w:val="auto"/>
        </w:rPr>
      </w:pPr>
      <w:r>
        <w:rPr>
          <w:rFonts w:ascii="Times New Roman" w:cs="Times New Roman" w:eastAsia="Times New Roman" w:hAnsi="Times New Roman"/>
          <w:sz w:val="18"/>
          <w:szCs w:val="18"/>
          <w:color w:val="auto"/>
        </w:rPr>
        <w:t>Pursuant to the Subscription Agreement and a capital contribution notice delivered by the Issuer with respect thereto, on September 24, 2024, the Reporting Person purchased 447,200 Shares from the Issuer for an aggregate purchase price of approximately $13,500,987. The source of the funds for the purchase of Shares was the available investment capital of the Reporting Person.”</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Interest in Securities of the Issuer</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Item 5 is hereby amended and restated in its entirety as follows: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information set forth in Items 3 and 4 of this Schedule 13D is hereby incorporated herein by reference.</w:t>
      </w:r>
    </w:p>
    <w:p>
      <w:pPr>
        <w:spacing w:after="0" w:line="117" w:lineRule="exact"/>
        <w:rPr>
          <w:sz w:val="20"/>
          <w:szCs w:val="20"/>
          <w:color w:val="auto"/>
        </w:rPr>
      </w:pPr>
    </w:p>
    <w:p>
      <w:pPr>
        <w:ind w:right="320" w:firstLine="436"/>
        <w:spacing w:after="0" w:line="282" w:lineRule="auto"/>
        <w:tabs>
          <w:tab w:leader="none" w:pos="68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number and percentage of the class of securities identified pursuant to Item 1 beneficially owned by the Reporting Person is stated in Items 11 and 13 on the cover page(s) hereto.</w:t>
      </w:r>
    </w:p>
    <w:p>
      <w:pPr>
        <w:spacing w:after="0" w:line="162" w:lineRule="exact"/>
        <w:rPr>
          <w:sz w:val="20"/>
          <w:szCs w:val="20"/>
          <w:color w:val="auto"/>
        </w:rPr>
      </w:pPr>
    </w:p>
    <w:p>
      <w:pPr>
        <w:ind w:right="20" w:firstLine="440"/>
        <w:spacing w:after="0" w:line="312" w:lineRule="auto"/>
        <w:rPr>
          <w:sz w:val="20"/>
          <w:szCs w:val="20"/>
          <w:color w:val="auto"/>
        </w:rPr>
      </w:pPr>
      <w:r>
        <w:rPr>
          <w:rFonts w:ascii="Times New Roman" w:cs="Times New Roman" w:eastAsia="Times New Roman" w:hAnsi="Times New Roman"/>
          <w:sz w:val="17"/>
          <w:szCs w:val="17"/>
          <w:color w:val="auto"/>
        </w:rPr>
        <w:t>The Reporting Person declares that neither the filing of this Schedule 13D nor anything herein shall be construed as an admission that such person is, for the purposes of Section 13(d) or 13(g) of the Act or any other purpose, the beneficial owner of any securities covered by this Schedule 13D.</w:t>
      </w:r>
    </w:p>
    <w:p>
      <w:pPr>
        <w:spacing w:after="0" w:line="140" w:lineRule="exact"/>
        <w:rPr>
          <w:sz w:val="20"/>
          <w:szCs w:val="20"/>
          <w:color w:val="auto"/>
        </w:rPr>
      </w:pPr>
    </w:p>
    <w:p>
      <w:pPr>
        <w:ind w:right="140" w:firstLine="440"/>
        <w:spacing w:after="0" w:line="258" w:lineRule="auto"/>
        <w:rPr>
          <w:sz w:val="20"/>
          <w:szCs w:val="20"/>
          <w:color w:val="auto"/>
        </w:rPr>
      </w:pPr>
      <w:r>
        <w:rPr>
          <w:rFonts w:ascii="Times New Roman" w:cs="Times New Roman" w:eastAsia="Times New Roman" w:hAnsi="Times New Roman"/>
          <w:sz w:val="18"/>
          <w:szCs w:val="18"/>
          <w:color w:val="auto"/>
        </w:rPr>
        <w:t>The Reporting Person declares that neither the filing of this Schedule 13D nor anything herein shall be construed as an admission that the Reporting Person is, for the purposes of Section 13(d) or 13(g) of the Act or any other purpose, (i) acting (or has agreed or is agreeing to act) with any other person as a partnership, limited partnership, syndicate or other group for the purpose of acquiring, holding or disposing of securities of the Issuer or otherwise with respect to the Issuer or any securities of the Issuer or (ii) a member of any syndicate or group with respect to the Issuer or any securities of the Issuer.</w:t>
      </w:r>
    </w:p>
    <w:p>
      <w:pPr>
        <w:spacing w:after="0" w:line="75" w:lineRule="exact"/>
        <w:rPr>
          <w:sz w:val="20"/>
          <w:szCs w:val="20"/>
          <w:color w:val="auto"/>
        </w:rPr>
      </w:pPr>
    </w:p>
    <w:p>
      <w:pPr>
        <w:ind w:left="700" w:hanging="264"/>
        <w:spacing w:after="0"/>
        <w:tabs>
          <w:tab w:leader="none" w:pos="7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Number of shares as to which the Reporting Person has:</w:t>
      </w:r>
    </w:p>
    <w:p>
      <w:pPr>
        <w:spacing w:after="0" w:line="130" w:lineRule="exact"/>
        <w:rPr>
          <w:rFonts w:ascii="Times New Roman" w:cs="Times New Roman" w:eastAsia="Times New Roman" w:hAnsi="Times New Roman"/>
          <w:sz w:val="18"/>
          <w:szCs w:val="18"/>
          <w:color w:val="auto"/>
        </w:rPr>
      </w:pPr>
    </w:p>
    <w:p>
      <w:pPr>
        <w:jc w:val="both"/>
        <w:ind w:left="1420" w:right="6740" w:hanging="439"/>
        <w:spacing w:after="0" w:line="407" w:lineRule="auto"/>
        <w:tabs>
          <w:tab w:leader="none" w:pos="1405"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vote or to direct the vote: See Item 7 on the cover page(s) hereto.</w:t>
      </w:r>
    </w:p>
    <w:p>
      <w:pPr>
        <w:sectPr>
          <w:pgSz w:w="11900" w:h="16838" w:orient="portrait"/>
          <w:cols w:equalWidth="0" w:num="1">
            <w:col w:w="10980"/>
          </w:cols>
          <w:pgMar w:left="440" w:top="266" w:right="479" w:bottom="1440" w:gutter="0" w:footer="0" w:header="0"/>
        </w:sectPr>
      </w:pPr>
    </w:p>
    <w:bookmarkStart w:id="3" w:name="page4"/>
    <w:bookmarkEnd w:id="3"/>
    <w:p>
      <w:pPr>
        <w:ind w:left="984" w:right="6080" w:hanging="439"/>
        <w:spacing w:after="0" w:line="383" w:lineRule="auto"/>
        <w:tabs>
          <w:tab w:leader="none" w:pos="969"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shared power to vote or to direct the vote: See Item 8 on the cover page(s) hereto.</w:t>
      </w:r>
    </w:p>
    <w:p>
      <w:pPr>
        <w:ind w:left="984" w:right="5360" w:hanging="439"/>
        <w:spacing w:after="0" w:line="383" w:lineRule="auto"/>
        <w:tabs>
          <w:tab w:leader="none" w:pos="969"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dispose or to direct the disposition of: See Item 9 on the cover page(s) hereto.</w:t>
      </w:r>
    </w:p>
    <w:p>
      <w:pPr>
        <w:ind w:left="984" w:right="5180" w:hanging="439"/>
        <w:spacing w:after="0" w:line="407" w:lineRule="auto"/>
        <w:tabs>
          <w:tab w:leader="none" w:pos="969"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dispose or to direct the disposition of: See Item 10 on the cover page(s) hereto.</w:t>
      </w:r>
    </w:p>
    <w:p>
      <w:pPr>
        <w:spacing w:after="0" w:line="5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As of the date hereof, the Reporting Person owns only the Shares of the Issuer as set forth in this Item 5.</w:t>
      </w:r>
    </w:p>
    <w:p>
      <w:pPr>
        <w:spacing w:after="0" w:line="117" w:lineRule="exact"/>
        <w:rPr>
          <w:sz w:val="20"/>
          <w:szCs w:val="20"/>
          <w:color w:val="auto"/>
        </w:rPr>
      </w:pPr>
    </w:p>
    <w:p>
      <w:pPr>
        <w:ind w:left="-436" w:firstLine="436"/>
        <w:spacing w:after="0" w:line="282" w:lineRule="auto"/>
        <w:tabs>
          <w:tab w:leader="none" w:pos="249"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Other than as set forth on </w:t>
      </w:r>
      <w:r>
        <w:rPr>
          <w:rFonts w:ascii="Times New Roman" w:cs="Times New Roman" w:eastAsia="Times New Roman" w:hAnsi="Times New Roman"/>
          <w:sz w:val="18"/>
          <w:szCs w:val="18"/>
          <w:u w:val="single" w:color="auto"/>
          <w:color w:val="auto"/>
        </w:rPr>
        <w:t>Annex A</w:t>
      </w:r>
      <w:r>
        <w:rPr>
          <w:rFonts w:ascii="Times New Roman" w:cs="Times New Roman" w:eastAsia="Times New Roman" w:hAnsi="Times New Roman"/>
          <w:sz w:val="18"/>
          <w:szCs w:val="18"/>
          <w:color w:val="auto"/>
        </w:rPr>
        <w:t xml:space="preserve"> hereto, there have been no transactions in the class of securities reported on that were effected by the Reporting Person during the past sixty days or since the most recent filing of Schedule 13D, whichever is less.</w:t>
      </w:r>
    </w:p>
    <w:p>
      <w:pPr>
        <w:spacing w:after="0" w:line="53" w:lineRule="exact"/>
        <w:rPr>
          <w:rFonts w:ascii="Times New Roman" w:cs="Times New Roman" w:eastAsia="Times New Roman" w:hAnsi="Times New Roman"/>
          <w:sz w:val="18"/>
          <w:szCs w:val="18"/>
          <w:color w:val="auto"/>
        </w:rPr>
      </w:pPr>
    </w:p>
    <w:p>
      <w:pPr>
        <w:ind w:left="264" w:hanging="264"/>
        <w:spacing w:after="0"/>
        <w:tabs>
          <w:tab w:leader="none" w:pos="26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w:t>
      </w:r>
    </w:p>
    <w:p>
      <w:pPr>
        <w:spacing w:after="0" w:line="117" w:lineRule="exact"/>
        <w:rPr>
          <w:rFonts w:ascii="Times New Roman" w:cs="Times New Roman" w:eastAsia="Times New Roman" w:hAnsi="Times New Roman"/>
          <w:sz w:val="18"/>
          <w:szCs w:val="18"/>
          <w:color w:val="auto"/>
        </w:rPr>
      </w:pPr>
    </w:p>
    <w:p>
      <w:pPr>
        <w:ind w:left="244" w:hanging="244"/>
        <w:spacing w:after="0"/>
        <w:tabs>
          <w:tab w:leader="none" w:pos="24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w:t>
      </w:r>
    </w:p>
    <w:p>
      <w:pPr>
        <w:sectPr>
          <w:pgSz w:w="11900" w:h="16838" w:orient="portrait"/>
          <w:cols w:equalWidth="0" w:num="1">
            <w:col w:w="10064"/>
          </w:cols>
          <w:pgMar w:left="876" w:top="270" w:right="959" w:bottom="1440" w:gutter="0" w:footer="0" w:header="0"/>
        </w:sectPr>
      </w:pPr>
    </w:p>
    <w:bookmarkStart w:id="4" w:name="page5"/>
    <w:bookmarkEnd w:id="4"/>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w:t>
      </w:r>
    </w:p>
    <w:p>
      <w:pPr>
        <w:spacing w:after="0" w:line="229"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After reasonable inquiry and to the best of my knowledge and belief, I certify that the information set forth in this statement is true, complete and correct.</w:t>
      </w:r>
    </w:p>
    <w:p>
      <w:pPr>
        <w:spacing w:after="0" w:line="185" w:lineRule="exact"/>
        <w:rPr>
          <w:sz w:val="20"/>
          <w:szCs w:val="20"/>
          <w:color w:val="auto"/>
        </w:rPr>
      </w:pPr>
    </w:p>
    <w:p>
      <w:pPr>
        <w:ind w:left="360"/>
        <w:spacing w:after="0"/>
        <w:tabs>
          <w:tab w:leader="none" w:pos="5360" w:val="left"/>
        </w:tabs>
        <w:rPr>
          <w:sz w:val="20"/>
          <w:szCs w:val="20"/>
          <w:color w:val="auto"/>
        </w:rPr>
      </w:pPr>
      <w:r>
        <w:rPr>
          <w:rFonts w:ascii="Times New Roman" w:cs="Times New Roman" w:eastAsia="Times New Roman" w:hAnsi="Times New Roman"/>
          <w:sz w:val="18"/>
          <w:szCs w:val="18"/>
          <w:color w:val="auto"/>
        </w:rPr>
        <w:t>Date: September 26, 2024</w:t>
      </w:r>
      <w:r>
        <w:rPr>
          <w:sz w:val="20"/>
          <w:szCs w:val="20"/>
          <w:color w:val="auto"/>
        </w:rPr>
        <w:tab/>
      </w:r>
      <w:r>
        <w:rPr>
          <w:rFonts w:ascii="Times New Roman" w:cs="Times New Roman" w:eastAsia="Times New Roman" w:hAnsi="Times New Roman"/>
          <w:sz w:val="17"/>
          <w:szCs w:val="17"/>
          <w:b w:val="1"/>
          <w:bCs w:val="1"/>
          <w:color w:val="auto"/>
        </w:rPr>
        <w:t>THE PUBLIC INSTITUTION FOR SOCIAL SECURITY</w:t>
      </w:r>
    </w:p>
    <w:p>
      <w:pPr>
        <w:spacing w:after="0" w:line="229" w:lineRule="exact"/>
        <w:rPr>
          <w:sz w:val="20"/>
          <w:szCs w:val="20"/>
          <w:color w:val="auto"/>
        </w:rPr>
      </w:pPr>
    </w:p>
    <w:p>
      <w:pPr>
        <w:ind w:left="5380"/>
        <w:spacing w:after="0"/>
        <w:tabs>
          <w:tab w:leader="none" w:pos="59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Ricardo Davidovich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3777615</wp:posOffset>
            </wp:positionH>
            <wp:positionV relativeFrom="paragraph">
              <wp:posOffset>17145</wp:posOffset>
            </wp:positionV>
            <wp:extent cx="321437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214370" cy="8890"/>
                    </a:xfrm>
                    <a:prstGeom prst="rect">
                      <a:avLst/>
                    </a:prstGeom>
                    <a:noFill/>
                  </pic:spPr>
                </pic:pic>
              </a:graphicData>
            </a:graphic>
          </wp:anchor>
        </w:drawing>
      </w:r>
    </w:p>
    <w:p>
      <w:pPr>
        <w:spacing w:after="0" w:line="16"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Name: Ricardo Davidovich</w:t>
      </w:r>
    </w:p>
    <w:p>
      <w:pPr>
        <w:spacing w:after="0" w:line="27"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Title:   Authorized Signatory</w:t>
      </w:r>
    </w:p>
    <w:p>
      <w:pPr>
        <w:sectPr>
          <w:pgSz w:w="11900" w:h="16838" w:orient="portrait"/>
          <w:cols w:equalWidth="0" w:num="1">
            <w:col w:w="10900"/>
          </w:cols>
          <w:pgMar w:left="440" w:top="266" w:right="559" w:bottom="1440" w:gutter="0" w:footer="0" w:header="0"/>
        </w:sectPr>
      </w:pPr>
    </w:p>
    <w:bookmarkStart w:id="5" w:name="page6"/>
    <w:bookmarkEnd w:id="5"/>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ANNEX A</w:t>
      </w: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RECENT TRANSACTIONS BY THE REPORTING PERSON IN SHARES OF</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SIXTH STREET LENDING PARTNERS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Reporting Person</w:t>
            </w:r>
          </w:p>
        </w:tc>
        <w:tc>
          <w:tcPr>
            <w:tcW w:w="5000" w:type="dxa"/>
            <w:vAlign w:val="bottom"/>
            <w:vMerge w:val="restart"/>
          </w:tcPr>
          <w:p>
            <w:pPr>
              <w:spacing w:after="0"/>
              <w:rPr>
                <w:sz w:val="13"/>
                <w:szCs w:val="13"/>
                <w:color w:val="auto"/>
              </w:rPr>
            </w:pPr>
          </w:p>
        </w:tc>
        <w:tc>
          <w:tcPr>
            <w:tcW w:w="9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Date of</w:t>
            </w:r>
          </w:p>
        </w:tc>
        <w:tc>
          <w:tcPr>
            <w:tcW w:w="23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04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8"/>
              </w:rPr>
              <w:t>Shares</w:t>
            </w:r>
          </w:p>
        </w:tc>
        <w:tc>
          <w:tcPr>
            <w:tcW w:w="66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Price</w:t>
            </w:r>
          </w:p>
        </w:tc>
        <w:tc>
          <w:tcPr>
            <w:tcW w:w="0" w:type="dxa"/>
            <w:vAlign w:val="bottom"/>
          </w:tcPr>
          <w:p>
            <w:pPr>
              <w:spacing w:after="0"/>
              <w:rPr>
                <w:sz w:val="1"/>
                <w:szCs w:val="1"/>
                <w:color w:val="auto"/>
              </w:rPr>
            </w:pPr>
          </w:p>
        </w:tc>
      </w:tr>
      <w:tr>
        <w:trPr>
          <w:trHeight w:val="182"/>
        </w:trPr>
        <w:tc>
          <w:tcPr>
            <w:tcW w:w="1080" w:type="dxa"/>
            <w:vAlign w:val="bottom"/>
            <w:tcBorders>
              <w:bottom w:val="single" w:sz="8" w:color="auto"/>
            </w:tcBorders>
            <w:vMerge w:val="continue"/>
          </w:tcPr>
          <w:p>
            <w:pPr>
              <w:spacing w:after="0"/>
              <w:rPr>
                <w:sz w:val="15"/>
                <w:szCs w:val="15"/>
                <w:color w:val="auto"/>
              </w:rPr>
            </w:pPr>
          </w:p>
        </w:tc>
        <w:tc>
          <w:tcPr>
            <w:tcW w:w="5000" w:type="dxa"/>
            <w:vAlign w:val="bottom"/>
            <w:vMerge w:val="continue"/>
          </w:tcPr>
          <w:p>
            <w:pPr>
              <w:spacing w:after="0"/>
              <w:rPr>
                <w:sz w:val="15"/>
                <w:szCs w:val="15"/>
                <w:color w:val="auto"/>
              </w:rPr>
            </w:pPr>
          </w:p>
        </w:tc>
        <w:tc>
          <w:tcPr>
            <w:tcW w:w="9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Transaction</w:t>
            </w:r>
          </w:p>
        </w:tc>
        <w:tc>
          <w:tcPr>
            <w:tcW w:w="23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of Transaction</w:t>
            </w:r>
          </w:p>
        </w:tc>
        <w:tc>
          <w:tcPr>
            <w:tcW w:w="104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9"/>
              </w:rPr>
              <w:t>Acquired</w:t>
            </w:r>
          </w:p>
        </w:tc>
        <w:tc>
          <w:tcPr>
            <w:tcW w:w="66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0" w:type="dxa"/>
            <w:vAlign w:val="bottom"/>
          </w:tcPr>
          <w:p>
            <w:pPr>
              <w:spacing w:after="0"/>
              <w:rPr>
                <w:sz w:val="1"/>
                <w:szCs w:val="1"/>
                <w:color w:val="auto"/>
              </w:rPr>
            </w:pPr>
          </w:p>
        </w:tc>
      </w:tr>
      <w:tr>
        <w:trPr>
          <w:trHeight w:val="203"/>
        </w:trPr>
        <w:tc>
          <w:tcPr>
            <w:tcW w:w="608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The Public Institution for Social Security</w:t>
            </w:r>
          </w:p>
        </w:tc>
        <w:tc>
          <w:tcPr>
            <w:tcW w:w="820" w:type="dxa"/>
            <w:vAlign w:val="bottom"/>
            <w:tcBorders>
              <w:top w:val="single" w:sz="8" w:color="auto"/>
            </w:tcBorders>
            <w:shd w:val="clear" w:color="auto" w:fill="CCEEFF"/>
          </w:tcPr>
          <w:p>
            <w:pPr>
              <w:jc w:val="center"/>
              <w:spacing w:after="0" w:line="203" w:lineRule="exact"/>
              <w:rPr>
                <w:sz w:val="20"/>
                <w:szCs w:val="20"/>
                <w:color w:val="auto"/>
              </w:rPr>
            </w:pPr>
            <w:r>
              <w:rPr>
                <w:rFonts w:ascii="Times New Roman" w:cs="Times New Roman" w:eastAsia="Times New Roman" w:hAnsi="Times New Roman"/>
                <w:sz w:val="18"/>
                <w:szCs w:val="18"/>
                <w:color w:val="auto"/>
                <w:w w:val="99"/>
              </w:rPr>
              <w:t>08/06/2024</w:t>
            </w:r>
          </w:p>
        </w:tc>
        <w:tc>
          <w:tcPr>
            <w:tcW w:w="120" w:type="dxa"/>
            <w:vAlign w:val="bottom"/>
            <w:tcBorders>
              <w:top w:val="single" w:sz="8" w:color="CCEEFF"/>
            </w:tcBorders>
            <w:shd w:val="clear" w:color="auto" w:fill="CCEEFF"/>
          </w:tcPr>
          <w:p>
            <w:pPr>
              <w:spacing w:after="0"/>
              <w:rPr>
                <w:sz w:val="17"/>
                <w:szCs w:val="17"/>
                <w:color w:val="auto"/>
              </w:rPr>
            </w:pPr>
          </w:p>
        </w:tc>
        <w:tc>
          <w:tcPr>
            <w:tcW w:w="2200" w:type="dxa"/>
            <w:vAlign w:val="bottom"/>
            <w:tcBorders>
              <w:top w:val="single" w:sz="8" w:color="auto"/>
            </w:tcBorders>
            <w:shd w:val="clear" w:color="auto" w:fill="CCEEFF"/>
          </w:tcPr>
          <w:p>
            <w:pPr>
              <w:jc w:val="center"/>
              <w:spacing w:after="0" w:line="203" w:lineRule="exact"/>
              <w:rPr>
                <w:sz w:val="20"/>
                <w:szCs w:val="20"/>
                <w:color w:val="auto"/>
              </w:rPr>
            </w:pPr>
            <w:r>
              <w:rPr>
                <w:rFonts w:ascii="Times New Roman" w:cs="Times New Roman" w:eastAsia="Times New Roman" w:hAnsi="Times New Roman"/>
                <w:sz w:val="18"/>
                <w:szCs w:val="18"/>
                <w:color w:val="auto"/>
                <w:w w:val="99"/>
              </w:rPr>
              <w:t>Reinvestment of Dividends</w:t>
            </w:r>
          </w:p>
        </w:tc>
        <w:tc>
          <w:tcPr>
            <w:tcW w:w="10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137,056.00</w:t>
            </w:r>
          </w:p>
        </w:tc>
        <w:tc>
          <w:tcPr>
            <w:tcW w:w="18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jc w:val="center"/>
              <w:spacing w:after="0" w:line="203" w:lineRule="exact"/>
              <w:rPr>
                <w:sz w:val="20"/>
                <w:szCs w:val="20"/>
                <w:color w:val="auto"/>
              </w:rPr>
            </w:pPr>
            <w:r>
              <w:rPr>
                <w:rFonts w:ascii="Times New Roman" w:cs="Times New Roman" w:eastAsia="Times New Roman" w:hAnsi="Times New Roman"/>
                <w:sz w:val="18"/>
                <w:szCs w:val="18"/>
                <w:color w:val="auto"/>
              </w:rPr>
              <w:t>$ 29.05</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020"/>
      </w:cols>
      <w:pgMar w:left="440" w:top="266"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 "/>
      <w:numFmt w:val="bullet"/>
      <w:start w:val="1"/>
    </w:lvl>
    <w:lvl w:ilvl="1">
      <w:lvlJc w:val="left"/>
      <w:lvlText w:val=" "/>
      <w:numFmt w:val="bullet"/>
      <w:start w:val="1"/>
    </w:lvl>
  </w:abstractNum>
  <w:abstractNum w:abstractNumId="2">
    <w:nsid w:val="507ED7AB"/>
    <w:multiLevelType w:val="hybridMultilevel"/>
    <w:lvl w:ilvl="0">
      <w:lvlJc w:val="left"/>
      <w:lvlText w:val=" "/>
      <w:numFmt w:val="bullet"/>
      <w:start w:val="1"/>
    </w:lvl>
    <w:lvl w:ilvl="1">
      <w:lvlJc w:val="left"/>
      <w:lvlText w:val=" "/>
      <w:numFmt w:val="bullet"/>
      <w:start w:val="1"/>
    </w:lvl>
    <w:lvl w:ilvl="2">
      <w:lvlJc w:val="left"/>
      <w:lvlText w:val=" "/>
      <w:numFmt w:val="bullet"/>
      <w:start w:val="1"/>
    </w:lvl>
  </w:abstractNum>
  <w:abstractNum w:abstractNumId="3">
    <w:nsid w:val="2EB141F2"/>
    <w:multiLevelType w:val="hybridMultilevel"/>
    <w:lvl w:ilvl="0">
      <w:lvlJc w:val="left"/>
      <w:lvlText w:val="%1"/>
      <w:numFmt w:val="decimal"/>
      <w:start w:val="1"/>
    </w:lvl>
    <w:lvl w:ilvl="1">
      <w:lvlJc w:val="left"/>
      <w:lvlText w:val="%2."/>
      <w:numFmt w:val="decimal"/>
      <w:start w:val="11"/>
    </w:lvl>
    <w:lvl w:ilvl="2">
      <w:lvlJc w:val="left"/>
      <w:lvlText w:val=" "/>
      <w:numFmt w:val="bullet"/>
      <w:start w:val="1"/>
    </w:lvl>
  </w:abstractNum>
  <w:abstractNum w:abstractNumId="4">
    <w:nsid w:val="41B71EFB"/>
    <w:multiLevelType w:val="hybridMultilevel"/>
    <w:lvl w:ilvl="0">
      <w:lvlJc w:val="left"/>
      <w:lvlText w:val="(%1)"/>
      <w:numFmt w:val="decimal"/>
      <w:start w:val="1"/>
    </w:lvl>
    <w:lvl w:ilvl="1">
      <w:lvlJc w:val="left"/>
      <w:lvlText w:val="%2"/>
      <w:numFmt w:val="decimal"/>
      <w:start w:val="1"/>
    </w:lvl>
    <w:lvl w:ilvl="2">
      <w:lvlJc w:val="left"/>
      <w:lvlText w:val=" "/>
      <w:numFmt w:val="bullet"/>
      <w:start w:val="1"/>
    </w:lvl>
  </w:abstractNum>
  <w:abstractNum w:abstractNumId="5">
    <w:nsid w:val="79E2A9E3"/>
    <w:multiLevelType w:val="hybridMultilevel"/>
    <w:lvl w:ilvl="0">
      <w:lvlJc w:val="left"/>
      <w:lvlText w:val="(%1)"/>
      <w:numFmt w:val="lowerLetter"/>
      <w:start w:val="1"/>
    </w:lvl>
  </w:abstractNum>
  <w:abstractNum w:abstractNumId="6">
    <w:nsid w:val="7545E146"/>
    <w:multiLevelType w:val="hybridMultilevel"/>
    <w:lvl w:ilvl="0">
      <w:lvlJc w:val="left"/>
      <w:lvlText w:val="(%1)"/>
      <w:numFmt w:val="lowerLetter"/>
      <w:start w:val="2"/>
    </w:lvl>
    <w:lvl w:ilvl="1">
      <w:lvlJc w:val="left"/>
      <w:lvlText w:val="(%2)"/>
      <w:numFmt w:val="lowerLetter"/>
      <w:start w:val="9"/>
    </w:lvl>
  </w:abstractNum>
  <w:abstractNum w:abstractNumId="7">
    <w:nsid w:val="515F007C"/>
    <w:multiLevelType w:val="hybridMultilevel"/>
    <w:lvl w:ilvl="0">
      <w:lvlJc w:val="left"/>
      <w:lvlText w:val="(%1)"/>
      <w:numFmt w:val="lowerRoman"/>
      <w:start w:val="2"/>
    </w:lvl>
  </w:abstractNum>
  <w:abstractNum w:abstractNumId="8">
    <w:nsid w:val="5BD062C2"/>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2024-09-26T16:08:11Z</dcterms:created>
  <dcterms:modified xsi:type="dcterms:W3CDTF">2024-09-26T16:08:11Z</dcterms:modified>
</cp:coreProperties>
</file>