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4"/>
          <w:szCs w:val="24"/>
          <w:b w:val="1"/>
          <w:bCs w:val="1"/>
          <w:color w:val="auto"/>
        </w:rPr>
        <w:t>SCHEDULE 13G</w:t>
      </w:r>
    </w:p>
    <w:p>
      <w:pPr>
        <w:spacing w:after="0" w:line="23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4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4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36" w:lineRule="exact"/>
        <w:rPr>
          <w:sz w:val="24"/>
          <w:szCs w:val="24"/>
          <w:color w:val="auto"/>
        </w:rPr>
      </w:pPr>
    </w:p>
    <w:p>
      <w:pPr>
        <w:jc w:val="both"/>
        <w:ind w:left="640" w:right="8840" w:firstLine="2"/>
        <w:spacing w:after="0" w:line="253" w:lineRule="exact"/>
        <w:tabs>
          <w:tab w:leader="none" w:pos="1201"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200" w:hanging="558"/>
        <w:spacing w:after="0" w:line="211" w:lineRule="auto"/>
        <w:tabs>
          <w:tab w:leader="none" w:pos="120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Rule 13d-1(d)</w:t>
      </w:r>
    </w:p>
    <w:p>
      <w:pPr>
        <w:spacing w:after="0" w:line="184"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46355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455" w:right="359" w:bottom="1440" w:gutter="0" w:footer="0" w:header="0"/>
        </w:sectPr>
      </w:pPr>
    </w:p>
    <w:bookmarkStart w:id="1" w:name="page2"/>
    <w:bookmarkEnd w:id="1"/>
    <w:p>
      <w:pPr>
        <w:ind w:left="1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26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60215"/>
                    </a:xfrm>
                    <a:prstGeom prst="rect">
                      <a:avLst/>
                    </a:prstGeom>
                    <a:noFill/>
                  </pic:spPr>
                </pic:pic>
              </a:graphicData>
            </a:graphic>
          </wp:anchor>
        </w:drawing>
        <w:t>CUSIP No. N/A</w:t>
      </w:r>
    </w:p>
    <w:p>
      <w:pPr>
        <w:spacing w:after="0" w:line="347" w:lineRule="exact"/>
        <w:rPr>
          <w:sz w:val="20"/>
          <w:szCs w:val="20"/>
          <w:color w:val="auto"/>
        </w:rPr>
      </w:pPr>
    </w:p>
    <w:p>
      <w:pPr>
        <w:ind w:left="358" w:right="8640" w:hanging="331"/>
        <w:spacing w:after="0" w:line="314" w:lineRule="auto"/>
        <w:tabs>
          <w:tab w:leader="none" w:pos="37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China Investment Corporation</w:t>
      </w:r>
    </w:p>
    <w:p>
      <w:pPr>
        <w:spacing w:after="0" w:line="1" w:lineRule="exact"/>
        <w:rPr>
          <w:rFonts w:ascii="Times New Roman" w:cs="Times New Roman" w:eastAsia="Times New Roman" w:hAnsi="Times New Roman"/>
          <w:sz w:val="17"/>
          <w:szCs w:val="17"/>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p>
      <w:pPr>
        <w:spacing w:after="0" w:line="58"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6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63" w:lineRule="exact"/>
        <w:rPr>
          <w:sz w:val="20"/>
          <w:szCs w:val="20"/>
          <w:color w:val="auto"/>
        </w:rPr>
      </w:pPr>
    </w:p>
    <w:tbl>
      <w:tblPr>
        <w:tblLayout w:type="fixed"/>
        <w:tblInd w:w="158"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1"/>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2020" w:type="dxa"/>
            <w:vAlign w:val="bottom"/>
            <w:vMerge w:val="continue"/>
          </w:tcPr>
          <w:p>
            <w:pPr>
              <w:spacing w:after="0"/>
              <w:rPr>
                <w:sz w:val="8"/>
                <w:szCs w:val="8"/>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53"/>
        </w:trPr>
        <w:tc>
          <w:tcPr>
            <w:tcW w:w="2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Beneficially</w:t>
            </w: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3,990,096</w:t>
            </w:r>
          </w:p>
        </w:tc>
        <w:tc>
          <w:tcPr>
            <w:tcW w:w="0" w:type="dxa"/>
            <w:vAlign w:val="bottom"/>
          </w:tcPr>
          <w:p>
            <w:pPr>
              <w:spacing w:after="0"/>
              <w:rPr>
                <w:sz w:val="1"/>
                <w:szCs w:val="1"/>
                <w:color w:val="auto"/>
              </w:rPr>
            </w:pPr>
          </w:p>
        </w:tc>
      </w:t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Each Reporting</w:t>
            </w: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 Sole Dispositive Power</w:t>
            </w:r>
          </w:p>
        </w:tc>
        <w:tc>
          <w:tcPr>
            <w:tcW w:w="0" w:type="dxa"/>
            <w:vAlign w:val="bottom"/>
          </w:tcPr>
          <w:p>
            <w:pPr>
              <w:spacing w:after="0"/>
              <w:rPr>
                <w:sz w:val="1"/>
                <w:szCs w:val="1"/>
                <w:color w:val="auto"/>
              </w:rPr>
            </w:pPr>
          </w:p>
        </w:tc>
      </w:tr>
      <w:tr>
        <w:trPr>
          <w:trHeight w:val="113"/>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vMerge w:val="continue"/>
          </w:tcPr>
          <w:p>
            <w:pPr>
              <w:spacing w:after="0"/>
              <w:rPr>
                <w:sz w:val="10"/>
                <w:szCs w:val="10"/>
                <w:color w:val="auto"/>
              </w:rPr>
            </w:pP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278" w:right="6880" w:hanging="6"/>
        <w:spacing w:after="0" w:line="320" w:lineRule="auto"/>
        <w:tabs>
          <w:tab w:leader="none" w:pos="24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3,990,096</w:t>
      </w:r>
    </w:p>
    <w:p>
      <w:pPr>
        <w:spacing w:after="0" w:line="1" w:lineRule="exact"/>
        <w:rPr>
          <w:rFonts w:ascii="Times New Roman" w:cs="Times New Roman" w:eastAsia="Times New Roman" w:hAnsi="Times New Roman"/>
          <w:sz w:val="18"/>
          <w:szCs w:val="18"/>
          <w:color w:val="auto"/>
        </w:rPr>
      </w:pPr>
    </w:p>
    <w:p>
      <w:pPr>
        <w:ind w:left="18" w:right="6180" w:firstLine="9"/>
        <w:spacing w:after="0" w:line="320"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3,990,096 (see Item 4 below)</w:t>
      </w:r>
    </w:p>
    <w:p>
      <w:pPr>
        <w:spacing w:after="0" w:line="1"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18"/>
          <w:szCs w:val="18"/>
          <w:b w:val="1"/>
          <w:bCs w:val="1"/>
          <w:color w:val="auto"/>
        </w:rPr>
        <w:t>o</w:t>
      </w:r>
    </w:p>
    <w:p>
      <w:pPr>
        <w:spacing w:after="0" w:line="76"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6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6.1% (1)</w:t>
      </w:r>
    </w:p>
    <w:p>
      <w:pPr>
        <w:spacing w:after="0" w:line="77" w:lineRule="exact"/>
        <w:rPr>
          <w:sz w:val="20"/>
          <w:szCs w:val="20"/>
          <w:color w:val="auto"/>
        </w:rPr>
      </w:pPr>
    </w:p>
    <w:p>
      <w:pPr>
        <w:ind w:left="338" w:hanging="268"/>
        <w:spacing w:after="0"/>
        <w:tabs>
          <w:tab w:leader="none" w:pos="3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63" w:lineRule="exact"/>
        <w:rPr>
          <w:rFonts w:ascii="Times New Roman" w:cs="Times New Roman" w:eastAsia="Times New Roman" w:hAnsi="Times New Roman"/>
          <w:sz w:val="18"/>
          <w:szCs w:val="18"/>
          <w:color w:val="auto"/>
        </w:rPr>
      </w:pPr>
    </w:p>
    <w:p>
      <w:pPr>
        <w:ind w:left="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238" w:hanging="238"/>
        <w:spacing w:after="0"/>
        <w:tabs>
          <w:tab w:leader="none" w:pos="2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65,478,775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1134" w:right="339" w:bottom="1440" w:gutter="0" w:footer="0" w:header="0"/>
        </w:sectPr>
      </w:pPr>
    </w:p>
    <w:bookmarkStart w:id="2" w:name="page3"/>
    <w:bookmarkEnd w:id="2"/>
    <w:p>
      <w:pPr>
        <w:ind w:left="1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560070</wp:posOffset>
            </wp:positionV>
            <wp:extent cx="7132320" cy="4474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t>CUSIP No. N/A</w:t>
      </w:r>
    </w:p>
    <w:p>
      <w:pPr>
        <w:spacing w:after="0" w:line="360" w:lineRule="exact"/>
        <w:rPr>
          <w:sz w:val="20"/>
          <w:szCs w:val="20"/>
          <w:color w:val="auto"/>
        </w:rPr>
      </w:pPr>
    </w:p>
    <w:p>
      <w:pPr>
        <w:ind w:left="358" w:right="8720" w:hanging="331"/>
        <w:spacing w:after="0" w:line="362" w:lineRule="auto"/>
        <w:tabs>
          <w:tab w:leader="none" w:pos="37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CIC International Co., Ltd.</w:t>
      </w:r>
    </w:p>
    <w:p>
      <w:pPr>
        <w:spacing w:after="0" w:line="125" w:lineRule="exact"/>
        <w:rPr>
          <w:rFonts w:ascii="Times New Roman" w:cs="Times New Roman" w:eastAsia="Times New Roman" w:hAnsi="Times New Roman"/>
          <w:sz w:val="17"/>
          <w:szCs w:val="17"/>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21"/>
          <w:szCs w:val="21"/>
          <w:b w:val="1"/>
          <w:bCs w:val="1"/>
          <w:color w:val="auto"/>
        </w:rPr>
        <w:t>o</w:t>
      </w:r>
    </w:p>
    <w:p>
      <w:pPr>
        <w:spacing w:after="0" w:line="1"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37"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5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77" w:lineRule="exact"/>
        <w:rPr>
          <w:sz w:val="20"/>
          <w:szCs w:val="20"/>
          <w:color w:val="auto"/>
        </w:rPr>
      </w:pPr>
    </w:p>
    <w:tbl>
      <w:tblPr>
        <w:tblLayout w:type="fixed"/>
        <w:tblInd w:w="158"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63"/>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3,990,096</w:t>
            </w:r>
          </w:p>
        </w:tc>
        <w:tc>
          <w:tcPr>
            <w:tcW w:w="0" w:type="dxa"/>
            <w:vAlign w:val="bottom"/>
          </w:tcPr>
          <w:p>
            <w:pPr>
              <w:spacing w:after="0"/>
              <w:rPr>
                <w:sz w:val="1"/>
                <w:szCs w:val="1"/>
                <w:color w:val="auto"/>
              </w:rPr>
            </w:pPr>
          </w:p>
        </w:tc>
      </w:tr>
      <w:tr>
        <w:trPr>
          <w:trHeight w:val="61"/>
        </w:trPr>
        <w:tc>
          <w:tcPr>
            <w:tcW w:w="2020" w:type="dxa"/>
            <w:vAlign w:val="bottom"/>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Each Reporting</w:t>
            </w:r>
          </w:p>
        </w:tc>
        <w:tc>
          <w:tcPr>
            <w:tcW w:w="2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03"/>
        </w:trPr>
        <w:tc>
          <w:tcPr>
            <w:tcW w:w="2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vMerge w:val="continue"/>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78" w:right="6960" w:hanging="6"/>
        <w:spacing w:after="0" w:line="320" w:lineRule="auto"/>
        <w:tabs>
          <w:tab w:leader="none" w:pos="24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3,990,096</w:t>
      </w:r>
    </w:p>
    <w:p>
      <w:pPr>
        <w:spacing w:after="0" w:line="1" w:lineRule="exact"/>
        <w:rPr>
          <w:rFonts w:ascii="Times New Roman" w:cs="Times New Roman" w:eastAsia="Times New Roman" w:hAnsi="Times New Roman"/>
          <w:sz w:val="18"/>
          <w:szCs w:val="18"/>
          <w:color w:val="auto"/>
        </w:rPr>
      </w:pPr>
    </w:p>
    <w:p>
      <w:pPr>
        <w:ind w:left="38" w:right="6180" w:hanging="11"/>
        <w:spacing w:after="0" w:line="320" w:lineRule="auto"/>
        <w:tabs>
          <w:tab w:leader="none" w:pos="2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3,990,096 (see Item 4 below)</w:t>
      </w:r>
    </w:p>
    <w:p>
      <w:pPr>
        <w:spacing w:after="0" w:line="1"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69"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5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6.1% (2)</w:t>
      </w:r>
    </w:p>
    <w:p>
      <w:pPr>
        <w:spacing w:after="0" w:line="90" w:lineRule="exact"/>
        <w:rPr>
          <w:sz w:val="20"/>
          <w:szCs w:val="20"/>
          <w:color w:val="auto"/>
        </w:rPr>
      </w:pPr>
    </w:p>
    <w:p>
      <w:pPr>
        <w:ind w:left="338" w:hanging="268"/>
        <w:spacing w:after="0"/>
        <w:tabs>
          <w:tab w:leader="none" w:pos="3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49" w:lineRule="exact"/>
        <w:rPr>
          <w:rFonts w:ascii="Times New Roman" w:cs="Times New Roman" w:eastAsia="Times New Roman" w:hAnsi="Times New Roman"/>
          <w:sz w:val="18"/>
          <w:szCs w:val="18"/>
          <w:color w:val="auto"/>
        </w:rPr>
      </w:pPr>
    </w:p>
    <w:p>
      <w:pPr>
        <w:ind w:left="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76" w:lineRule="exact"/>
        <w:rPr>
          <w:rFonts w:ascii="Times New Roman" w:cs="Times New Roman" w:eastAsia="Times New Roman" w:hAnsi="Times New Roman"/>
          <w:sz w:val="18"/>
          <w:szCs w:val="18"/>
          <w:color w:val="auto"/>
        </w:rPr>
      </w:pPr>
    </w:p>
    <w:p>
      <w:pPr>
        <w:ind w:left="238" w:hanging="238"/>
        <w:spacing w:after="0"/>
        <w:tabs>
          <w:tab w:leader="none" w:pos="2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65,478,775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931" w:right="339" w:bottom="1440" w:gutter="0" w:footer="0" w:header="0"/>
        </w:sectPr>
      </w:pPr>
    </w:p>
    <w:bookmarkStart w:id="3" w:name="page4"/>
    <w:bookmarkEnd w:id="3"/>
    <w:p>
      <w:pPr>
        <w:ind w:left="7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4474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t>CUSIP No. N/A</w:t>
      </w:r>
    </w:p>
    <w:p>
      <w:pPr>
        <w:spacing w:after="0" w:line="347" w:lineRule="exact"/>
        <w:rPr>
          <w:sz w:val="20"/>
          <w:szCs w:val="20"/>
          <w:color w:val="auto"/>
        </w:rPr>
      </w:pPr>
    </w:p>
    <w:p>
      <w:pPr>
        <w:ind w:left="412" w:right="8460" w:hanging="331"/>
        <w:spacing w:after="0" w:line="379" w:lineRule="auto"/>
        <w:tabs>
          <w:tab w:leader="none" w:pos="4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Flourish Investment Corporation</w:t>
      </w:r>
    </w:p>
    <w:p>
      <w:pPr>
        <w:spacing w:after="0" w:line="98" w:lineRule="exact"/>
        <w:rPr>
          <w:rFonts w:ascii="Times New Roman" w:cs="Times New Roman" w:eastAsia="Times New Roman" w:hAnsi="Times New Roman"/>
          <w:sz w:val="17"/>
          <w:szCs w:val="17"/>
          <w:color w:val="auto"/>
        </w:rPr>
      </w:pPr>
    </w:p>
    <w:p>
      <w:pPr>
        <w:ind w:left="252" w:hanging="171"/>
        <w:spacing w:after="0"/>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21"/>
          <w:szCs w:val="21"/>
          <w:b w:val="1"/>
          <w:bCs w:val="1"/>
          <w:color w:val="auto"/>
        </w:rPr>
        <w:t>o</w:t>
      </w:r>
    </w:p>
    <w:p>
      <w:pPr>
        <w:spacing w:after="0" w:line="1" w:lineRule="exact"/>
        <w:rPr>
          <w:rFonts w:ascii="Times New Roman" w:cs="Times New Roman" w:eastAsia="Times New Roman" w:hAnsi="Times New Roman"/>
          <w:sz w:val="18"/>
          <w:szCs w:val="18"/>
          <w:color w:val="auto"/>
        </w:rPr>
      </w:pPr>
    </w:p>
    <w:p>
      <w:pPr>
        <w:ind w:left="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50" w:lineRule="exact"/>
        <w:rPr>
          <w:rFonts w:ascii="Times New Roman" w:cs="Times New Roman" w:eastAsia="Times New Roman" w:hAnsi="Times New Roman"/>
          <w:sz w:val="18"/>
          <w:szCs w:val="18"/>
          <w:color w:val="auto"/>
        </w:rPr>
      </w:pPr>
    </w:p>
    <w:p>
      <w:pPr>
        <w:ind w:left="252" w:hanging="171"/>
        <w:spacing w:after="0"/>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252" w:hanging="171"/>
        <w:spacing w:after="0"/>
        <w:tabs>
          <w:tab w:leader="none" w:pos="2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50"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77" w:lineRule="exact"/>
        <w:rPr>
          <w:sz w:val="20"/>
          <w:szCs w:val="20"/>
          <w:color w:val="auto"/>
        </w:rPr>
      </w:pPr>
    </w:p>
    <w:tbl>
      <w:tblPr>
        <w:tblLayout w:type="fixed"/>
        <w:tblInd w:w="212"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7"/>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3"/>
        </w:trPr>
        <w:tc>
          <w:tcPr>
            <w:tcW w:w="2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vMerge w:val="continue"/>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3,990,096</w:t>
            </w:r>
          </w:p>
        </w:tc>
        <w:tc>
          <w:tcPr>
            <w:tcW w:w="0" w:type="dxa"/>
            <w:vAlign w:val="bottom"/>
          </w:tcPr>
          <w:p>
            <w:pPr>
              <w:spacing w:after="0"/>
              <w:rPr>
                <w:sz w:val="1"/>
                <w:szCs w:val="1"/>
                <w:color w:val="auto"/>
              </w:rPr>
            </w:pPr>
          </w:p>
        </w:tc>
      </w:tr>
      <w:tr>
        <w:trPr>
          <w:trHeight w:val="61"/>
        </w:trPr>
        <w:tc>
          <w:tcPr>
            <w:tcW w:w="2020" w:type="dxa"/>
            <w:vAlign w:val="bottom"/>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Each Reporting</w:t>
            </w:r>
          </w:p>
        </w:tc>
        <w:tc>
          <w:tcPr>
            <w:tcW w:w="2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32" w:right="6880" w:hanging="6"/>
        <w:spacing w:after="0" w:line="320" w:lineRule="auto"/>
        <w:tabs>
          <w:tab w:leader="none" w:pos="25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3,990,096</w:t>
      </w:r>
    </w:p>
    <w:p>
      <w:pPr>
        <w:spacing w:after="0" w:line="1" w:lineRule="exact"/>
        <w:rPr>
          <w:rFonts w:ascii="Times New Roman" w:cs="Times New Roman" w:eastAsia="Times New Roman" w:hAnsi="Times New Roman"/>
          <w:sz w:val="18"/>
          <w:szCs w:val="18"/>
          <w:color w:val="auto"/>
        </w:rPr>
      </w:pPr>
    </w:p>
    <w:p>
      <w:pPr>
        <w:ind w:left="92" w:right="6180" w:hanging="11"/>
        <w:spacing w:after="0" w:line="328" w:lineRule="auto"/>
        <w:tabs>
          <w:tab w:leader="none" w:pos="2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3,990,096 (see Item 4 below)</w:t>
      </w:r>
    </w:p>
    <w:p>
      <w:pPr>
        <w:ind w:left="352" w:hanging="271"/>
        <w:spacing w:after="0"/>
        <w:tabs>
          <w:tab w:leader="none" w:pos="3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55" w:lineRule="exact"/>
        <w:rPr>
          <w:rFonts w:ascii="Times New Roman" w:cs="Times New Roman" w:eastAsia="Times New Roman" w:hAnsi="Times New Roman"/>
          <w:sz w:val="18"/>
          <w:szCs w:val="18"/>
          <w:color w:val="auto"/>
        </w:rPr>
      </w:pPr>
    </w:p>
    <w:p>
      <w:pPr>
        <w:ind w:left="352" w:hanging="271"/>
        <w:spacing w:after="0"/>
        <w:tabs>
          <w:tab w:leader="none" w:pos="3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63"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6.1% (3)</w:t>
      </w:r>
    </w:p>
    <w:p>
      <w:pPr>
        <w:spacing w:after="0" w:line="77" w:lineRule="exact"/>
        <w:rPr>
          <w:sz w:val="20"/>
          <w:szCs w:val="20"/>
          <w:color w:val="auto"/>
        </w:rPr>
      </w:pPr>
    </w:p>
    <w:p>
      <w:pPr>
        <w:ind w:left="352" w:hanging="271"/>
        <w:spacing w:after="0"/>
        <w:tabs>
          <w:tab w:leader="none" w:pos="3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49" w:lineRule="exact"/>
        <w:rPr>
          <w:rFonts w:ascii="Times New Roman" w:cs="Times New Roman" w:eastAsia="Times New Roman" w:hAnsi="Times New Roman"/>
          <w:sz w:val="18"/>
          <w:szCs w:val="18"/>
          <w:color w:val="auto"/>
        </w:rPr>
      </w:pPr>
    </w:p>
    <w:p>
      <w:pPr>
        <w:ind w:left="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103"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65,478,775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506095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1060" w:hanging="242"/>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Sixth Street Lending Partners</w:t>
      </w:r>
    </w:p>
    <w:p>
      <w:pPr>
        <w:spacing w:after="0" w:line="193"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2100 McKinney Avenue, Suite 1500, Dallas, TX 75201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79" w:lineRule="exact"/>
        <w:rPr>
          <w:rFonts w:ascii="Times New Roman" w:cs="Times New Roman" w:eastAsia="Times New Roman" w:hAnsi="Times New Roman"/>
          <w:sz w:val="18"/>
          <w:szCs w:val="18"/>
          <w:color w:val="auto"/>
        </w:rPr>
      </w:pPr>
    </w:p>
    <w:p>
      <w:pPr>
        <w:ind w:left="1060" w:right="78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China Investment Corporation CIC International Co., Ltd. Flourish Investment Corporation</w:t>
      </w:r>
    </w:p>
    <w:p>
      <w:pPr>
        <w:spacing w:after="0" w:line="15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5"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China Investment Corporation, CIC International Co., Ltd. and Flourish Investment Corporation is as follows:</w:t>
      </w:r>
    </w:p>
    <w:p>
      <w:pPr>
        <w:spacing w:after="0" w:line="225"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Poly Plaza</w:t>
      </w:r>
    </w:p>
    <w:p>
      <w:pPr>
        <w:spacing w:after="0" w:line="27" w:lineRule="exact"/>
        <w:rPr>
          <w:rFonts w:ascii="Times New Roman" w:cs="Times New Roman" w:eastAsia="Times New Roman" w:hAnsi="Times New Roman"/>
          <w:sz w:val="18"/>
          <w:szCs w:val="18"/>
          <w:color w:val="auto"/>
        </w:rPr>
      </w:pPr>
    </w:p>
    <w:p>
      <w:pPr>
        <w:ind w:left="1060" w:right="80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No.1 Chaoyangmen Beidajie Dongcheng District Beijing 100010</w:t>
      </w:r>
    </w:p>
    <w:p>
      <w:pPr>
        <w:spacing w:after="0" w:line="1"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Republic of China</w:t>
      </w:r>
    </w:p>
    <w:p>
      <w:pPr>
        <w:spacing w:after="0" w:line="206"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0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Investment Corporation, CIC International Co., Ltd. and Flourish Investment Corporation are established under the Company Law of the People’s Republic of China.</w:t>
      </w:r>
    </w:p>
    <w:p>
      <w:pPr>
        <w:spacing w:after="0" w:line="161"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$0.001 per share</w:t>
      </w:r>
    </w:p>
    <w:p>
      <w:pPr>
        <w:spacing w:after="0" w:line="211"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N/A</w:t>
      </w:r>
    </w:p>
    <w:p>
      <w:pPr>
        <w:spacing w:after="0" w:line="235" w:lineRule="exact"/>
        <w:rPr>
          <w:sz w:val="20"/>
          <w:szCs w:val="20"/>
          <w:color w:val="auto"/>
        </w:rPr>
      </w:pPr>
    </w:p>
    <w:p>
      <w:pPr>
        <w:ind w:left="1080" w:right="880" w:hanging="1079"/>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SS.240.13d-1(b) OR 240.13d-2(b) OR (c), CHECK WHETHER THE PERSON FILING IS 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number of common shares beneficially owned by China Investment Corporation, CIC International Co., Ltd. and Flourish Investment Corporation, as of December 31, 2023, is incorporated by reference to items (5) - (9) and (11) of their respective cover page.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China Investment Corporation is a wholly state-owned company incorporated under the laws of the People's Republic of China. By virtue of China Investment Corporation controlling CIC International Co., Ltd., which controls Flourish Investment Corporation, China Investment Corporation and CIC International Co., Ltd. may be deemed to share beneficial ownership of the common shares of beneficial interest, par value $0.001 per share, in Sixth Street Lending Partners beneficially owned by Flourish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00" w:lineRule="exact"/>
        <w:rPr>
          <w:sz w:val="20"/>
          <w:szCs w:val="20"/>
          <w:color w:val="auto"/>
        </w:rPr>
      </w:pPr>
    </w:p>
    <w:p>
      <w:pPr>
        <w:spacing w:after="0" w:line="286" w:lineRule="exact"/>
        <w:rPr>
          <w:sz w:val="20"/>
          <w:szCs w:val="20"/>
          <w:color w:val="auto"/>
        </w:rPr>
      </w:pPr>
    </w:p>
    <w:p>
      <w:pPr>
        <w:jc w:val="both"/>
        <w:ind w:left="1400" w:right="1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as of February 2, 2024.</w:t>
      </w:r>
    </w:p>
    <w:p>
      <w:pPr>
        <w:spacing w:after="0" w:line="3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CHINA INVESTMENT CORPORATION</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796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6415"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59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CIC INTERNATIONAL CO., LTD.</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824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4990"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8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FLOURISH INVESTMENT CORPORATION</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809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72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President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-7620</wp:posOffset>
            </wp:positionV>
            <wp:extent cx="1665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ectPr>
          <w:pgSz w:w="11900" w:h="16838" w:orient="portrait"/>
          <w:cols w:equalWidth="0" w:num="1">
            <w:col w:w="11160"/>
          </w:cols>
          <w:pgMar w:left="340" w:top="792" w:right="39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p>
      <w:pPr>
        <w:ind w:left="1360" w:hanging="1207"/>
        <w:spacing w:after="0" w:line="282" w:lineRule="auto"/>
        <w:tabs>
          <w:tab w:leader="none" w:pos="13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Exhibit A</w:t>
      </w:r>
      <w:r>
        <w:rPr>
          <w:sz w:val="20"/>
          <w:szCs w:val="20"/>
          <w:color w:val="auto"/>
        </w:rPr>
        <w:tab/>
      </w:r>
      <w:hyperlink r:id="rId28">
        <w:r>
          <w:rPr>
            <w:rFonts w:ascii="Times New Roman" w:cs="Times New Roman" w:eastAsia="Times New Roman" w:hAnsi="Times New Roman"/>
            <w:sz w:val="18"/>
            <w:szCs w:val="18"/>
            <w:u w:val="single" w:color="auto"/>
            <w:color w:val="0000EE"/>
          </w:rPr>
          <w:t>Joint Filing Agreement, dated November 24, 2023, entered into by and among China Investment Corporation, CIC International Co.,</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Ltd. and Flourish Investment Corporation</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 with the Securities and Exchange Commission on November 24, 2023 and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4406265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420" w:top="11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lvl w:ilvl="1">
      <w:lvlJc w:val="left"/>
      <w:lvlText w:val="%2."/>
      <w:numFmt w:val="decimal"/>
      <w:start w:val="8"/>
    </w:lvl>
  </w:abstractNum>
  <w:abstractNum w:abstractNumId="3">
    <w:nsid w:val="1F16E9E8"/>
    <w:multiLevelType w:val="hybridMultilevel"/>
    <w:lvl w:ilvl="0">
      <w:lvlJc w:val="left"/>
      <w:lvlText w:val="%1."/>
      <w:numFmt w:val="decimal"/>
      <w:start w:val="9"/>
    </w:lvl>
    <w:lvl w:ilvl="1">
      <w:lvlJc w:val="left"/>
      <w:lvlText w:val="%2"/>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12"/>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lvl w:ilvl="1">
      <w:lvlJc w:val="left"/>
      <w:lvlText w:val="%2."/>
      <w:numFmt w:val="decimal"/>
      <w:start w:val="8"/>
    </w:lvl>
  </w:abstractNum>
  <w:abstractNum w:abstractNumId="8">
    <w:nsid w:val="109CF92E"/>
    <w:multiLevelType w:val="hybridMultilevel"/>
    <w:lvl w:ilvl="0">
      <w:lvlJc w:val="left"/>
      <w:lvlText w:val="%1."/>
      <w:numFmt w:val="decimal"/>
      <w:start w:val="9"/>
    </w:lvl>
    <w:lvl w:ilvl="1">
      <w:lvlJc w:val="left"/>
      <w:lvlText w:val="%2"/>
      <w:numFmt w:val="decimal"/>
      <w:start w:val="1"/>
    </w:lvl>
  </w:abstractNum>
  <w:abstractNum w:abstractNumId="9">
    <w:nsid w:val="DED7263"/>
    <w:multiLevelType w:val="hybridMultilevel"/>
    <w:lvl w:ilvl="0">
      <w:lvlJc w:val="left"/>
      <w:lvlText w:val="%1"/>
      <w:numFmt w:val="decimal"/>
      <w:start w:val="1"/>
    </w:lvl>
    <w:lvl w:ilvl="1">
      <w:lvlJc w:val="left"/>
      <w:lvlText w:val="%2."/>
      <w:numFmt w:val="decimal"/>
      <w:start w:val="12"/>
    </w:lvl>
  </w:abstractNum>
  <w:abstractNum w:abstractNumId="10">
    <w:nsid w:val="7FDCC233"/>
    <w:multiLevelType w:val="hybridMultilevel"/>
    <w:lvl w:ilvl="0">
      <w:lvlJc w:val="left"/>
      <w:lvlText w:val="(%1)"/>
      <w:numFmt w:val="decimal"/>
      <w:start w:val="2"/>
    </w:lvl>
    <w:lvl w:ilvl="1">
      <w:lvlJc w:val="left"/>
      <w:lvlText w:val="%2"/>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lvl w:ilvl="1">
      <w:lvlJc w:val="left"/>
      <w:lvlText w:val="%2."/>
      <w:numFmt w:val="decimal"/>
      <w:start w:val="8"/>
    </w:lvl>
  </w:abstractNum>
  <w:abstractNum w:abstractNumId="13">
    <w:nsid w:val="6B68079A"/>
    <w:multiLevelType w:val="hybridMultilevel"/>
    <w:lvl w:ilvl="0">
      <w:lvlJc w:val="left"/>
      <w:lvlText w:val="%1."/>
      <w:numFmt w:val="decimal"/>
      <w:start w:val="9"/>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decimal"/>
      <w:start w:val="12"/>
    </w:lvl>
  </w:abstractNum>
  <w:abstractNum w:abstractNumId="15">
    <w:nsid w:val="25E45D32"/>
    <w:multiLevelType w:val="hybridMultilevel"/>
    <w:lvl w:ilvl="0">
      <w:lvlJc w:val="left"/>
      <w:lvlText w:val="(%1)"/>
      <w:numFmt w:val="decimal"/>
      <w:start w:val="3"/>
    </w:lvl>
    <w:lvl w:ilvl="1">
      <w:lvlJc w:val="left"/>
      <w:lvlText w:val="%2"/>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28" Type="http://schemas.openxmlformats.org/officeDocument/2006/relationships/hyperlink" Target="https://www.sec.gov/Archives/edgar/data/1468702/000094787123001101/ss2744007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2024-02-02T15:34:45Z</dcterms:created>
  <dcterms:modified xsi:type="dcterms:W3CDTF">2024-02-02T15:34:45Z</dcterms:modified>
</cp:coreProperties>
</file>