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SIXTH STREET LENDING PARTNERS</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shares of beneficial interest, par value $0.001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Ricardo Davidovich, Esq.</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Haynes and Boone, LLP</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30 Rockefeller Plaza</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26th Floor</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New York, NY 10112</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(212) 835-4837</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November 21, 2023</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4" w:right="12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1" w:lineRule="exact"/>
        <w:rPr>
          <w:sz w:val="24"/>
          <w:szCs w:val="24"/>
          <w:color w:val="auto"/>
        </w:rPr>
      </w:pPr>
    </w:p>
    <w:p>
      <w:pPr>
        <w:ind w:left="4" w:right="26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14" w:lineRule="exact"/>
        <w:rPr>
          <w:sz w:val="24"/>
          <w:szCs w:val="24"/>
          <w:color w:val="auto"/>
        </w:rPr>
      </w:pPr>
    </w:p>
    <w:p>
      <w:pPr>
        <w:ind w:left="424" w:hanging="424"/>
        <w:spacing w:after="0" w:line="208" w:lineRule="auto"/>
        <w:tabs>
          <w:tab w:leader="none" w:pos="424" w:val="left"/>
        </w:tabs>
        <w:numPr>
          <w:ilvl w:val="0"/>
          <w:numId w:val="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0" w:lineRule="exact"/>
        <w:rPr>
          <w:sz w:val="24"/>
          <w:szCs w:val="24"/>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as amended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183515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511" w:right="51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N/A</w:t>
      </w:r>
    </w:p>
    <w:p>
      <w:pPr>
        <w:spacing w:after="0" w:line="266" w:lineRule="exact"/>
        <w:rPr>
          <w:sz w:val="20"/>
          <w:szCs w:val="20"/>
          <w:color w:val="auto"/>
        </w:rPr>
      </w:pPr>
    </w:p>
    <w:p>
      <w:pPr>
        <w:ind w:left="664" w:hanging="417"/>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Institution for Social Security</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4" w:hanging="417"/>
        <w:spacing w:after="0"/>
        <w:tabs>
          <w:tab w:leader="none" w:pos="6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11"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9"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b w:val="1"/>
          <w:bCs w:val="1"/>
          <w:color w:val="auto"/>
        </w:rPr>
        <w:t>Kuwait</w:t>
      </w:r>
    </w:p>
    <w:p>
      <w:pPr>
        <w:spacing w:after="0" w:line="40" w:lineRule="exact"/>
        <w:rPr>
          <w:sz w:val="20"/>
          <w:szCs w:val="20"/>
          <w:color w:val="auto"/>
        </w:rPr>
      </w:pPr>
    </w:p>
    <w:tbl>
      <w:tblPr>
        <w:tblLayout w:type="fixed"/>
        <w:tblInd w:w="204"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5,343,214</w:t>
            </w:r>
          </w:p>
        </w:tc>
        <w:tc>
          <w:tcPr>
            <w:tcW w:w="0" w:type="dxa"/>
            <w:vAlign w:val="bottom"/>
          </w:tcPr>
          <w:p>
            <w:pPr>
              <w:spacing w:after="0"/>
              <w:rPr>
                <w:sz w:val="1"/>
                <w:szCs w:val="1"/>
                <w:color w:val="auto"/>
              </w:rPr>
            </w:pPr>
          </w:p>
        </w:tc>
      </w:tr>
      <w:tr>
        <w:trPr>
          <w:trHeight w:val="67"/>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20" w:type="dxa"/>
            <w:vAlign w:val="bottom"/>
            <w:vMerge w:val="continue"/>
          </w:tcPr>
          <w:p>
            <w:pPr>
              <w:spacing w:after="0"/>
              <w:rPr>
                <w:sz w:val="10"/>
                <w:szCs w:val="10"/>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vMerge w:val="continue"/>
          </w:tcPr>
          <w:p>
            <w:pPr>
              <w:spacing w:after="0"/>
              <w:rPr>
                <w:sz w:val="9"/>
                <w:szCs w:val="9"/>
                <w:color w:val="auto"/>
              </w:rPr>
            </w:pPr>
          </w:p>
        </w:tc>
        <w:tc>
          <w:tcPr>
            <w:tcW w:w="9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5,343,214</w:t>
            </w:r>
          </w:p>
        </w:tc>
        <w:tc>
          <w:tcPr>
            <w:tcW w:w="0" w:type="dxa"/>
            <w:vAlign w:val="bottom"/>
          </w:tcPr>
          <w:p>
            <w:pPr>
              <w:spacing w:after="0"/>
              <w:rPr>
                <w:sz w:val="1"/>
                <w:szCs w:val="1"/>
                <w:color w:val="auto"/>
              </w:rPr>
            </w:pPr>
          </w:p>
        </w:tc>
      </w:tr>
      <w:tr>
        <w:trPr>
          <w:trHeight w:val="167"/>
        </w:trPr>
        <w:tc>
          <w:tcPr>
            <w:tcW w:w="92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4" w:right="7280" w:hanging="516"/>
        <w:spacing w:after="0" w:line="395" w:lineRule="auto"/>
        <w:tabs>
          <w:tab w:leader="none" w:pos="174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ind w:left="664" w:right="5460" w:hanging="507"/>
        <w:spacing w:after="0" w:line="406" w:lineRule="auto"/>
        <w:tabs>
          <w:tab w:leader="none" w:pos="65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5,343,214</w:t>
      </w:r>
    </w:p>
    <w:p>
      <w:pPr>
        <w:spacing w:after="0" w:line="1"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3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9.58% (1)</w:t>
      </w:r>
    </w:p>
    <w:p>
      <w:pPr>
        <w:spacing w:after="0" w:line="36" w:lineRule="exact"/>
        <w:rPr>
          <w:rFonts w:ascii="Times New Roman" w:cs="Times New Roman" w:eastAsia="Times New Roman" w:hAnsi="Times New Roman"/>
          <w:sz w:val="18"/>
          <w:szCs w:val="18"/>
          <w:color w:val="auto"/>
        </w:rPr>
      </w:pPr>
    </w:p>
    <w:p>
      <w:pPr>
        <w:ind w:left="644" w:hanging="487"/>
        <w:spacing w:after="0"/>
        <w:tabs>
          <w:tab w:leader="none" w:pos="64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w:t>
      </w:r>
    </w:p>
    <w:p>
      <w:pPr>
        <w:spacing w:after="0" w:line="279" w:lineRule="exact"/>
        <w:rPr>
          <w:rFonts w:ascii="Times New Roman" w:cs="Times New Roman" w:eastAsia="Times New Roman" w:hAnsi="Times New Roman"/>
          <w:sz w:val="18"/>
          <w:szCs w:val="18"/>
          <w:color w:val="auto"/>
        </w:rPr>
      </w:pPr>
    </w:p>
    <w:p>
      <w:pPr>
        <w:ind w:left="424" w:right="180" w:hanging="424"/>
        <w:spacing w:after="0" w:line="282"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55,752,945 Shares outstanding as of November 21, 2023, as disclosed by the Issuer to the Reporting Person in connection with the November Issuance (as defined below).</w:t>
      </w:r>
    </w:p>
    <w:p>
      <w:pPr>
        <w:sectPr>
          <w:pgSz w:w="11900" w:h="16838" w:orient="portrait"/>
          <w:cols w:equalWidth="0" w:num="1">
            <w:col w:w="10904"/>
          </w:cols>
          <w:pgMar w:left="436" w:top="270" w:right="559" w:bottom="1440" w:gutter="0" w:footer="0" w:header="0"/>
        </w:sectPr>
      </w:pPr>
    </w:p>
    <w:bookmarkStart w:id="2" w:name="page3"/>
    <w:bookmarkEnd w:id="2"/>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Amendment to Schedule 13D (as amended, this “</w:t>
      </w:r>
      <w:r>
        <w:rPr>
          <w:rFonts w:ascii="Times New Roman" w:cs="Times New Roman" w:eastAsia="Times New Roman" w:hAnsi="Times New Roman"/>
          <w:sz w:val="18"/>
          <w:szCs w:val="18"/>
          <w:b w:val="1"/>
          <w:bCs w:val="1"/>
          <w:i w:val="1"/>
          <w:iCs w:val="1"/>
          <w:color w:val="auto"/>
        </w:rPr>
        <w:t>Schedule 13D</w:t>
      </w:r>
      <w:r>
        <w:rPr>
          <w:rFonts w:ascii="Times New Roman" w:cs="Times New Roman" w:eastAsia="Times New Roman" w:hAnsi="Times New Roman"/>
          <w:sz w:val="18"/>
          <w:szCs w:val="18"/>
          <w:color w:val="auto"/>
        </w:rPr>
        <w:t>”) is being filed by the Reporting Person to amend the Schedule 13D related to common shares of beneficial interest, par value $0.001 per share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Sixth Street Lending Partners, a Delaware statutory trust (the “</w:t>
      </w:r>
      <w:r>
        <w:rPr>
          <w:rFonts w:ascii="Times New Roman" w:cs="Times New Roman" w:eastAsia="Times New Roman" w:hAnsi="Times New Roman"/>
          <w:sz w:val="18"/>
          <w:szCs w:val="18"/>
          <w:b w:val="1"/>
          <w:bCs w:val="1"/>
          <w:i w:val="1"/>
          <w:iCs w:val="1"/>
          <w:color w:val="auto"/>
        </w:rPr>
        <w:t>Issuer</w:t>
      </w:r>
      <w:r>
        <w:rPr>
          <w:rFonts w:ascii="Times New Roman" w:cs="Times New Roman" w:eastAsia="Times New Roman" w:hAnsi="Times New Roman"/>
          <w:sz w:val="18"/>
          <w:szCs w:val="18"/>
          <w:color w:val="auto"/>
        </w:rPr>
        <w:t>”), initially filed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on December 22, 2022.</w:t>
      </w:r>
    </w:p>
    <w:p>
      <w:pPr>
        <w:spacing w:after="0" w:line="175"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This Amendment to Schedule 13D is being filed to update the aggregate percentage of Shares owned by the Reporting Person, which changed primarily due to the Issuer’s issuance of additional Shares on November 21, 2023 (the “</w:t>
      </w:r>
      <w:r>
        <w:rPr>
          <w:rFonts w:ascii="Times New Roman" w:cs="Times New Roman" w:eastAsia="Times New Roman" w:hAnsi="Times New Roman"/>
          <w:sz w:val="18"/>
          <w:szCs w:val="18"/>
          <w:b w:val="1"/>
          <w:bCs w:val="1"/>
          <w:i w:val="1"/>
          <w:iCs w:val="1"/>
          <w:color w:val="auto"/>
        </w:rPr>
        <w:t>November Issuance</w:t>
      </w:r>
      <w:r>
        <w:rPr>
          <w:rFonts w:ascii="Times New Roman" w:cs="Times New Roman" w:eastAsia="Times New Roman" w:hAnsi="Times New Roman"/>
          <w:sz w:val="18"/>
          <w:szCs w:val="18"/>
          <w:color w:val="auto"/>
        </w:rPr>
        <w:t>”), rather than as a result of any acquisition or disposition of Shares by the Reporting Person. Based on 55,752,945 Shares outstanding as of November 21, 2023, as disclosed by the Issuer to the Reporting Person in connection with the November Issuance, such November Issuance contributed to a decrease of over one percent (1%) in the aggregate percentage ownership reported by the Reporting Person in the Amendment to Schedule 13D filed on September 28, 2023.</w:t>
      </w:r>
    </w:p>
    <w:p>
      <w:pPr>
        <w:spacing w:after="0" w:line="183"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Each capitalized term used and not defined herein shall have the meaning assigned to such term in the Schedule 13D. Except as otherwise provided herein, each Item of the Schedule 13D remains unchanged.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3 is hereby amended and supplemented as follows:</w:t>
      </w:r>
    </w:p>
    <w:p>
      <w:pPr>
        <w:spacing w:after="0" w:line="225"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“As the Reporting Person did not opt out of the DRIP in connection with certain dividends declared by the Board on September 30, 2023, in lieu of distributing cash in respect of such dividends, the Issuer instead used those dividends to acquire additional Shares on behalf of the Reporting Person. As a result, the Reporting Person acquired an additional 128,497 Shares on November 16, 2023. No additional cash was paid by the Reporting Person in connection with the acquisition of these additional Shares.”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5 is hereby amended and restated in its entirety as follows: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in Items 3 and 4 of this Schedule 13D is hereby incorporated herein by reference.</w:t>
      </w:r>
    </w:p>
    <w:p>
      <w:pPr>
        <w:spacing w:after="0" w:line="225" w:lineRule="exact"/>
        <w:rPr>
          <w:sz w:val="20"/>
          <w:szCs w:val="20"/>
          <w:color w:val="auto"/>
        </w:rPr>
      </w:pPr>
    </w:p>
    <w:p>
      <w:pPr>
        <w:ind w:right="300" w:firstLine="436"/>
        <w:spacing w:after="0" w:line="282" w:lineRule="auto"/>
        <w:tabs>
          <w:tab w:leader="none" w:pos="6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and percentage of the class of securities identified pursuant to Item 1 beneficially owned by the Reporting Person is stated in Items 11 and 13 on the cover page(s) hereto.</w:t>
      </w:r>
    </w:p>
    <w:p>
      <w:pPr>
        <w:spacing w:after="0" w:line="162"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The Reporting Person declares that neither the filing of this Schedule 13D nor anything herein shall be construed as an admission that such person is, for the purposes of Section 13(d) or 13(g) of the Act or any other purpose, the beneficial owner of any securities covered by this Schedule 13D.</w:t>
      </w:r>
    </w:p>
    <w:p>
      <w:pPr>
        <w:spacing w:after="0" w:line="140"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The Reporting Person declares that neither the filing of this Schedule 13D nor anything herein shall be construed as an admission that the Reporting Person is, for the purposes of Section 13(d) or 13(g) of the Act or any other purpose, (i) acting (or has agreed or is agreeing to act) with any other person as a partnership, limited partnership, syndicate or other group for the purpose of acquiring, holding or disposing of securities of the Issuer or otherwise with respect to the Issuer or any securities of the Issuer or (ii) a member of any syndicate or group with respect to the Issuer or any securities of the Issuer.</w:t>
      </w:r>
    </w:p>
    <w:p>
      <w:pPr>
        <w:spacing w:after="0" w:line="75" w:lineRule="exact"/>
        <w:rPr>
          <w:sz w:val="20"/>
          <w:szCs w:val="20"/>
          <w:color w:val="auto"/>
        </w:rPr>
      </w:pPr>
    </w:p>
    <w:p>
      <w:pPr>
        <w:ind w:left="700" w:hanging="264"/>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Reporting Person has:</w:t>
      </w:r>
    </w:p>
    <w:p>
      <w:pPr>
        <w:spacing w:after="0" w:line="130" w:lineRule="exact"/>
        <w:rPr>
          <w:rFonts w:ascii="Times New Roman" w:cs="Times New Roman" w:eastAsia="Times New Roman" w:hAnsi="Times New Roman"/>
          <w:sz w:val="18"/>
          <w:szCs w:val="18"/>
          <w:color w:val="auto"/>
        </w:rPr>
      </w:pPr>
    </w:p>
    <w:p>
      <w:pPr>
        <w:jc w:val="both"/>
        <w:ind w:left="1420" w:right="6720" w:hanging="439"/>
        <w:spacing w:after="0" w:line="383" w:lineRule="auto"/>
        <w:tabs>
          <w:tab w:leader="none" w:pos="140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See Item 7 on the cover page(s) hereto.</w:t>
      </w:r>
    </w:p>
    <w:p>
      <w:pPr>
        <w:ind w:left="1420" w:right="6540" w:hanging="439"/>
        <w:spacing w:after="0" w:line="407" w:lineRule="auto"/>
        <w:tabs>
          <w:tab w:leader="none" w:pos="140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See Item 8 on the cover page(s) hereto.</w:t>
      </w:r>
    </w:p>
    <w:p>
      <w:pPr>
        <w:sectPr>
          <w:pgSz w:w="11900" w:h="16838" w:orient="portrait"/>
          <w:cols w:equalWidth="0" w:num="1">
            <w:col w:w="10960"/>
          </w:cols>
          <w:pgMar w:left="440" w:top="266" w:right="499" w:bottom="1440" w:gutter="0" w:footer="0" w:header="0"/>
        </w:sectPr>
      </w:pPr>
    </w:p>
    <w:bookmarkStart w:id="3" w:name="page4"/>
    <w:bookmarkEnd w:id="3"/>
    <w:p>
      <w:pPr>
        <w:ind w:left="984" w:right="5360" w:hanging="439"/>
        <w:spacing w:after="0" w:line="383" w:lineRule="auto"/>
        <w:tabs>
          <w:tab w:leader="none" w:pos="96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sole power to dispose or to direct the disposition of: See Item 9 on the cover page(s) hereto.</w:t>
      </w:r>
    </w:p>
    <w:p>
      <w:pPr>
        <w:ind w:left="984" w:right="5180" w:hanging="439"/>
        <w:spacing w:after="0" w:line="407" w:lineRule="auto"/>
        <w:tabs>
          <w:tab w:leader="none" w:pos="96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See Item 10 on the cover page(s) hereto.</w:t>
      </w: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of the date hereof, the Reporting Person owns only the Shares of the Issuer as set forth in this Item 5.</w:t>
      </w:r>
    </w:p>
    <w:p>
      <w:pPr>
        <w:spacing w:after="0" w:line="225" w:lineRule="exact"/>
        <w:rPr>
          <w:sz w:val="20"/>
          <w:szCs w:val="20"/>
          <w:color w:val="auto"/>
        </w:rPr>
      </w:pPr>
    </w:p>
    <w:p>
      <w:pPr>
        <w:ind w:left="-436" w:firstLine="436"/>
        <w:spacing w:after="0" w:line="282" w:lineRule="auto"/>
        <w:tabs>
          <w:tab w:leader="none" w:pos="24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as set forth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there have been no transactions in the class of securities reported on that were effected by the Reporting Person during the past sixty days or since the most recent filing of Schedule 13D, whichever is less.</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064"/>
          </w:cols>
          <w:pgMar w:left="876" w:top="270" w:right="9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24, 2023</w:t>
            </w:r>
          </w:p>
        </w:tc>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PUBLIC INSTITUTION FOR SOCIAL SECURITY</w:t>
            </w:r>
          </w:p>
        </w:tc>
      </w:tr>
      <w:tr>
        <w:trPr>
          <w:trHeight w:val="446"/>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Ricardo Davidovich</w:t>
            </w:r>
          </w:p>
        </w:tc>
      </w:tr>
      <w:tr>
        <w:trPr>
          <w:trHeight w:val="205"/>
        </w:trPr>
        <w:tc>
          <w:tcPr>
            <w:tcW w:w="6160" w:type="dxa"/>
            <w:vAlign w:val="bottom"/>
          </w:tcPr>
          <w:p>
            <w:pPr>
              <w:ind w:left="55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Ricardo Davidovich</w:t>
            </w:r>
          </w:p>
        </w:tc>
      </w:tr>
      <w:tr>
        <w:trPr>
          <w:trHeight w:val="234"/>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ectPr>
          <w:pgSz w:w="11900" w:h="16838" w:orient="portrait"/>
          <w:cols w:equalWidth="0" w:num="1">
            <w:col w:w="11020"/>
          </w:cols>
          <w:pgMar w:left="440" w:top="266" w:right="4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RECENT TRANSACTIONS BY THE REPORTING PERSON IN SHARES OF</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Reporting Person</w:t>
            </w:r>
          </w:p>
        </w:tc>
        <w:tc>
          <w:tcPr>
            <w:tcW w:w="2740" w:type="dxa"/>
            <w:vAlign w:val="bottom"/>
            <w:vMerge w:val="restart"/>
          </w:tcPr>
          <w:p>
            <w:pPr>
              <w:spacing w:after="0"/>
              <w:rPr>
                <w:sz w:val="13"/>
                <w:szCs w:val="13"/>
                <w:color w:val="auto"/>
              </w:rPr>
            </w:pPr>
          </w:p>
        </w:tc>
        <w:tc>
          <w:tcPr>
            <w:tcW w:w="2020" w:type="dxa"/>
            <w:vAlign w:val="bottom"/>
            <w:gridSpan w:val="2"/>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2400" w:type="dxa"/>
            <w:vAlign w:val="bottom"/>
            <w:gridSpan w:val="2"/>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8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640" w:type="dxa"/>
            <w:vAlign w:val="bottom"/>
          </w:tcPr>
          <w:p>
            <w:pPr>
              <w:spacing w:after="0"/>
              <w:rPr>
                <w:sz w:val="13"/>
                <w:szCs w:val="13"/>
                <w:color w:val="auto"/>
              </w:rPr>
            </w:pP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80"/>
        </w:trPr>
        <w:tc>
          <w:tcPr>
            <w:tcW w:w="1080" w:type="dxa"/>
            <w:vAlign w:val="bottom"/>
            <w:tcBorders>
              <w:bottom w:val="single" w:sz="8" w:color="auto"/>
            </w:tcBorders>
            <w:vMerge w:val="continue"/>
          </w:tcPr>
          <w:p>
            <w:pPr>
              <w:spacing w:after="0"/>
              <w:rPr>
                <w:sz w:val="15"/>
                <w:szCs w:val="15"/>
                <w:color w:val="auto"/>
              </w:rPr>
            </w:pPr>
          </w:p>
        </w:tc>
        <w:tc>
          <w:tcPr>
            <w:tcW w:w="2740" w:type="dxa"/>
            <w:vAlign w:val="bottom"/>
            <w:vMerge w:val="continue"/>
          </w:tcPr>
          <w:p>
            <w:pPr>
              <w:spacing w:after="0"/>
              <w:rPr>
                <w:sz w:val="15"/>
                <w:szCs w:val="15"/>
                <w:color w:val="auto"/>
              </w:rPr>
            </w:pPr>
          </w:p>
        </w:tc>
        <w:tc>
          <w:tcPr>
            <w:tcW w:w="2020" w:type="dxa"/>
            <w:vAlign w:val="bottom"/>
            <w:gridSpan w:val="2"/>
          </w:tcPr>
          <w:p>
            <w:pPr>
              <w:jc w:val="center"/>
              <w:ind w:right="1200"/>
              <w:spacing w:after="0" w:line="160"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2400" w:type="dxa"/>
            <w:vAlign w:val="bottom"/>
            <w:gridSpan w:val="2"/>
          </w:tcPr>
          <w:p>
            <w:pPr>
              <w:jc w:val="center"/>
              <w:ind w:right="1200"/>
              <w:spacing w:after="0" w:line="160" w:lineRule="exact"/>
              <w:rPr>
                <w:sz w:val="20"/>
                <w:szCs w:val="20"/>
                <w:color w:val="auto"/>
              </w:rPr>
            </w:pPr>
            <w:r>
              <w:rPr>
                <w:rFonts w:ascii="Times New Roman" w:cs="Times New Roman" w:eastAsia="Times New Roman" w:hAnsi="Times New Roman"/>
                <w:sz w:val="14"/>
                <w:szCs w:val="14"/>
                <w:b w:val="1"/>
                <w:bCs w:val="1"/>
                <w:color w:val="auto"/>
              </w:rPr>
              <w:t>of Transaction</w:t>
            </w:r>
          </w:p>
        </w:tc>
        <w:tc>
          <w:tcPr>
            <w:tcW w:w="1480" w:type="dxa"/>
            <w:vAlign w:val="bottom"/>
            <w:gridSpan w:val="2"/>
          </w:tcPr>
          <w:p>
            <w:pPr>
              <w:jc w:val="center"/>
              <w:ind w:right="640"/>
              <w:spacing w:after="0" w:line="160" w:lineRule="exact"/>
              <w:rPr>
                <w:sz w:val="20"/>
                <w:szCs w:val="20"/>
                <w:color w:val="auto"/>
              </w:rPr>
            </w:pPr>
            <w:r>
              <w:rPr>
                <w:rFonts w:ascii="Times New Roman" w:cs="Times New Roman" w:eastAsia="Times New Roman" w:hAnsi="Times New Roman"/>
                <w:sz w:val="14"/>
                <w:szCs w:val="14"/>
                <w:b w:val="1"/>
                <w:bCs w:val="1"/>
                <w:color w:val="auto"/>
                <w:w w:val="99"/>
              </w:rPr>
              <w:t>Acquired</w:t>
            </w:r>
          </w:p>
        </w:tc>
        <w:tc>
          <w:tcPr>
            <w:tcW w:w="640" w:type="dxa"/>
            <w:vAlign w:val="bottom"/>
          </w:tcPr>
          <w:p>
            <w:pPr>
              <w:spacing w:after="0"/>
              <w:rPr>
                <w:sz w:val="15"/>
                <w:szCs w:val="15"/>
                <w:color w:val="auto"/>
              </w:rPr>
            </w:pPr>
          </w:p>
        </w:tc>
        <w:tc>
          <w:tcPr>
            <w:tcW w:w="66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71"/>
        </w:trPr>
        <w:tc>
          <w:tcPr>
            <w:tcW w:w="382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The Public Institution for Social</w:t>
            </w:r>
          </w:p>
        </w:tc>
        <w:tc>
          <w:tcPr>
            <w:tcW w:w="8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center"/>
              <w:spacing w:after="0" w:line="171" w:lineRule="exact"/>
              <w:rPr>
                <w:sz w:val="20"/>
                <w:szCs w:val="20"/>
                <w:color w:val="auto"/>
              </w:rPr>
            </w:pPr>
            <w:r>
              <w:rPr>
                <w:rFonts w:ascii="Times New Roman" w:cs="Times New Roman" w:eastAsia="Times New Roman" w:hAnsi="Times New Roman"/>
                <w:sz w:val="18"/>
                <w:szCs w:val="18"/>
                <w:color w:val="auto"/>
                <w:w w:val="99"/>
              </w:rPr>
              <w:t>Reinvestment of</w:t>
            </w:r>
          </w:p>
        </w:tc>
        <w:tc>
          <w:tcPr>
            <w:tcW w:w="122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3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Security</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11/16/2023</w:t>
            </w:r>
          </w:p>
        </w:tc>
        <w:tc>
          <w:tcPr>
            <w:tcW w:w="1200" w:type="dxa"/>
            <w:vAlign w:val="bottom"/>
            <w:shd w:val="clear" w:color="auto" w:fill="CCEEFF"/>
          </w:tcPr>
          <w:p>
            <w:pPr>
              <w:spacing w:after="0"/>
              <w:rPr>
                <w:sz w:val="21"/>
                <w:szCs w:val="21"/>
                <w:color w:val="auto"/>
              </w:rPr>
            </w:pPr>
          </w:p>
        </w:tc>
        <w:tc>
          <w:tcPr>
            <w:tcW w:w="2400" w:type="dxa"/>
            <w:vAlign w:val="bottom"/>
            <w:gridSpan w:val="2"/>
            <w:shd w:val="clear" w:color="auto" w:fill="CCEEFF"/>
          </w:tcPr>
          <w:p>
            <w:pPr>
              <w:jc w:val="center"/>
              <w:ind w:right="1220"/>
              <w:spacing w:after="0"/>
              <w:rPr>
                <w:sz w:val="20"/>
                <w:szCs w:val="20"/>
                <w:color w:val="auto"/>
              </w:rPr>
            </w:pPr>
            <w:r>
              <w:rPr>
                <w:rFonts w:ascii="Times New Roman" w:cs="Times New Roman" w:eastAsia="Times New Roman" w:hAnsi="Times New Roman"/>
                <w:sz w:val="18"/>
                <w:szCs w:val="18"/>
                <w:color w:val="auto"/>
                <w:w w:val="99"/>
              </w:rPr>
              <w:t>Dividends</w:t>
            </w:r>
          </w:p>
        </w:tc>
        <w:tc>
          <w:tcPr>
            <w:tcW w:w="14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128,497.00</w:t>
            </w:r>
          </w:p>
        </w:tc>
        <w:tc>
          <w:tcPr>
            <w:tcW w:w="1300" w:type="dxa"/>
            <w:vAlign w:val="bottom"/>
            <w:gridSpan w:val="3"/>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$ 27.19</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4">
    <w:nsid w:val="79E2A9E3"/>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5">
    <w:nsid w:val="7545E146"/>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2"/>
    </w:lvl>
    <w:lvl w:ilvl="1">
      <w:lvlJc w:val="left"/>
      <w:lvlText w:val="(%2)"/>
      <w:numFmt w:val="lowerRoman"/>
      <w:start w:val="1"/>
    </w:lvl>
  </w:abstractNum>
  <w:abstractNum w:abstractNumId="8">
    <w:nsid w:val="12200854"/>
    <w:multiLevelType w:val="hybridMultilevel"/>
    <w:lvl w:ilvl="0">
      <w:lvlJc w:val="left"/>
      <w:lvlText w:val="(%1)"/>
      <w:numFmt w:val="lowerRoman"/>
      <w:start w:val="3"/>
    </w:lvl>
  </w:abstractNum>
  <w:abstractNum w:abstractNumId="9">
    <w:nsid w:val="4DB127F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2023-11-24T16:17:19Z</dcterms:created>
  <dcterms:modified xsi:type="dcterms:W3CDTF">2023-11-24T16:17:19Z</dcterms:modified>
</cp:coreProperties>
</file>