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22629d8k.htm"/>
      <w:bookmarkStart w:id="1" w:name="ksd4226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September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88-1710161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1100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Indenture and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2026, Sixth Street Lending Partners (the “Company”) and U.S. Bank Trust Company, National Association (the “Trustee”), entered into a Fifth Supplemental Indenture (the “Fifth Supplemental Indenture”) to the Indenture, dated as of March 11, 2024, between the Company and the Trustee (the “Base Indenture”; and together with the Fifth Supplemental Indenture, the “Indenture”), relating to the Company’s issuance, offer and sale of $750,000,000 aggregate principal amount of its 6.500% notes due 2031 (the “Notes”). The Notes were offered to persons reasonably believed to be qualified institutional buyers in accordance with Rule 144A under the Securities Act of 1933, as amended (the “Securities Act”), and to non-U.S. persons in transactions outside the United States in reliance on Regulation S under the Securities Act. The Notes have not been registered under the Securities Act or any state securities laws and may not be offered or sold in the United States absent registration or an applicable exemption from such registration requirements. The transaction closed on September 21, 2026.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December 15, 2031, and may be redeemed in whole or in part at the Company’s option at any time at the redemption prices set forth in the Fifth Supplemental Indenture. The Notes bear interest at a rate of 6.500% per year payable semiannually on June 15 and December 15 of each year, commencing on December 15, 2026. The Notes are direct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use the net proceeds of this offering to pay down a portion of the outstanding indebtedness on its revolving credit facility and/or its subscription facility, and for general corporate purposes.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Securities and Exchange Commission (the “SEC”),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occurrence of a change of control repurchase event (which involves the occurrence of both a change of control and a below investment grade rating of the Notes by each of Fitch Ratings, Inc., Moody’s Investor Service and S&amp;P Global Ratings), the Company will be required to make an offer to purchase the Notes at a price equal to 100% of the principal amount plus accrued and unpaid interest to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Base Indenture, Fifth Supplemental Indenture and the Notes do not purport to be complete and are qualified in their entirety by reference to the full text of the Base Indenture, Fifth Supplemental Indenture and the Notes, respectively, each filed as an exhibit hereto and incorporated by reference herein.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of the Notes, the Company entered into a Registration Rights Agreement, dated as of September 21, 2026 (the “Registration Rights Agreement”), with BofA Securities, Inc., as representative of the several initial purchasers of the Notes. Pursuant to the Registration Rights Agreement, the Company is obligated to file with the SEC a registration statement relating to an offer to exchange the Notes for new notes issued by the Company that are registered under the Securities Act and otherwise have terms substantially identical to those of the Notes, and to use its commercially reasonable efforts to cause such registration statement to be declared effective by the SEC under the Securities Act. The Company has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agreed to use its commercially reasonable efforts to consummate such exchange offer on the earliest practicable date after such registration statement has been declared effective but in no event later than 365 days after the initial issuance of the Notes. If the Company is not able to effect the exchange offer, the Company will be obligated to file a shelf registration statement covering the resale of the Notes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Registration Rights Agreement does not purport to be complete and is qualified in its entirety by reference to the full text of the Registration Rights Agreement, filed as an exhibit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Indenture, dated as of March 11, 2024, between Sixth Street Lending Partners and U.S. Bank Trust Company, National Association, as Trustee (incorporated by reference to Exhibit 4.1 to the Company’s Form 8-K, filed on March 11, 2024).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22629dex42.htm">
              <w:r>
                <w:rPr>
                  <w:rStyle w:val="InternetLink"/>
                </w:rPr>
                <w:t xml:space="preserve">Fifth Supplemental Indenture, dated as of September 21, 2026, between Sixth Street Lending Partners and U.S. Bank Trust Company,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22629dex42.htm">
              <w:r>
                <w:rPr>
                  <w:rStyle w:val="InternetLink"/>
                </w:rPr>
                <w:t xml:space="preserve">Form of 6.500% Note Due 2031 (included as part of Exhibit 4.2).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22629dex44.htm">
              <w:r>
                <w:rPr>
                  <w:rStyle w:val="InternetLink"/>
                </w:rPr>
                <w:t xml:space="preserve">Registration Rights Agreement, dated as of September 21, 2026, relating to the Notes, by and among Sixth Street Lending Partners and BofA Securities, Inc. as representative of the initial purchasers.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842" w:type="dxa"/>
        <w:jc w:val="left"/>
        <w:tblInd w:w="0" w:type="dxa"/>
        <w:tblLayout w:type="fixed"/>
        <w:tblCellMar>
          <w:top w:w="0" w:type="dxa"/>
          <w:left w:w="0" w:type="dxa"/>
          <w:bottom w:w="0" w:type="dxa"/>
          <w:right w:w="0" w:type="dxa"/>
        </w:tblCellMar>
      </w:tblPr>
      <w:tblGrid>
        <w:gridCol w:w="2510"/>
        <w:gridCol w:w="60"/>
        <w:gridCol w:w="23"/>
        <w:gridCol w:w="60"/>
        <w:gridCol w:w="577"/>
        <w:gridCol w:w="94"/>
        <w:gridCol w:w="3518"/>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SIXTH STREET LENDING PARTNERS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w:t>
            </w:r>
            <w:r>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By:</w:t>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bidi w:val="0"/>
              <w:spacing w:before="0" w:after="283"/>
              <w:jc w:val="left"/>
              <w:rPr/>
            </w:pPr>
            <w:r>
              <w:rPr/>
              <w:t>Ian Simmonds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i/>
          <w:sz w:val="20"/>
        </w:rPr>
      </w:pPr>
      <w:bookmarkStart w:id="2" w:name="d422629dex42.htm"/>
      <w:bookmarkStart w:id="3" w:name="ksd422629dex42"/>
      <w:bookmarkEnd w:id="2"/>
      <w:bookmarkEnd w:id="3"/>
      <w:r>
        <w:rPr>
          <w:rFonts w:ascii="Times New Roman" w:hAnsi="Times New Roman"/>
          <w:b/>
          <w:i/>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FIFTH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SEPTEMBER 21,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FIFTH SUPPLEMENTAL INDENTURE </w:t>
      </w:r>
    </w:p>
    <w:p>
      <w:pPr>
        <w:pStyle w:val="TextBody"/>
        <w:bidi w:val="0"/>
        <w:spacing w:before="240" w:after="0"/>
        <w:jc w:val="left"/>
        <w:rPr>
          <w:rFonts w:ascii="Times New Roman" w:hAnsi="Times New Roman"/>
          <w:sz w:val="20"/>
        </w:rPr>
      </w:pPr>
      <w:r>
        <w:rPr>
          <w:rFonts w:ascii="Times New Roman" w:hAnsi="Times New Roman"/>
          <w:sz w:val="20"/>
        </w:rPr>
        <w:t>THIS FIFTH SUPPLEMENTAL INDENTURE (this “</w:t>
      </w:r>
      <w:r>
        <w:rPr>
          <w:rFonts w:ascii="Times New Roman" w:hAnsi="Times New Roman"/>
          <w:sz w:val="20"/>
          <w:u w:val="single"/>
        </w:rPr>
        <w:t>Fifth Supplemental Indenture</w:t>
      </w:r>
      <w:r>
        <w:rPr>
          <w:rFonts w:ascii="Times New Roman" w:hAnsi="Times New Roman"/>
          <w:sz w:val="20"/>
        </w:rPr>
        <w:t>”), dated as of September 21, 2026 (the “</w:t>
      </w:r>
      <w:r>
        <w:rPr>
          <w:rFonts w:ascii="Times New Roman" w:hAnsi="Times New Roman"/>
          <w:sz w:val="20"/>
          <w:u w:val="single"/>
        </w:rPr>
        <w:t>Issue Date</w:t>
      </w:r>
      <w:r>
        <w:rPr>
          <w:rFonts w:ascii="Times New Roman" w:hAnsi="Times New Roman"/>
          <w:sz w:val="20"/>
        </w:rPr>
        <w:t>”), is between Sixth Street Lending Partners, a Delaware statutory trust (the “</w:t>
      </w:r>
      <w:r>
        <w:rPr>
          <w:rFonts w:ascii="Times New Roman" w:hAnsi="Times New Roman"/>
          <w:sz w:val="20"/>
          <w:u w:val="single"/>
        </w:rPr>
        <w:t>Company</w:t>
      </w:r>
      <w:r>
        <w:rPr>
          <w:rFonts w:ascii="Times New Roman" w:hAnsi="Times New Roman"/>
          <w:sz w:val="20"/>
        </w:rPr>
        <w:t>”), and U.S. Bank Trust Company, National Association, as trustee (the “</w:t>
      </w:r>
      <w:r>
        <w:rPr>
          <w:rFonts w:ascii="Times New Roman" w:hAnsi="Times New Roman"/>
          <w:sz w:val="20"/>
          <w:u w:val="single"/>
        </w:rPr>
        <w:t>Trustee</w:t>
      </w:r>
      <w:r>
        <w:rPr>
          <w:rFonts w:ascii="Times New Roman" w:hAnsi="Times New Roman"/>
          <w:sz w:val="20"/>
        </w:rPr>
        <w:t xml:space="preserve">”). All capitalized terms used herein shall have the meaning set forth in the Base Indenture (as defined below) unless otherwise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The Company and the Trustee executed and delivered an Indenture, dated as of March 11, 2024 (the “</w:t>
      </w:r>
      <w:r>
        <w:rPr>
          <w:rFonts w:ascii="Times New Roman" w:hAnsi="Times New Roman"/>
          <w:sz w:val="20"/>
          <w:u w:val="single"/>
        </w:rPr>
        <w:t>Base</w:t>
      </w:r>
      <w:r>
        <w:rPr>
          <w:rFonts w:ascii="Times New Roman" w:hAnsi="Times New Roman"/>
          <w:sz w:val="20"/>
        </w:rPr>
        <w:t xml:space="preserve"> </w:t>
      </w:r>
      <w:r>
        <w:rPr>
          <w:rFonts w:ascii="Times New Roman" w:hAnsi="Times New Roman"/>
          <w:sz w:val="20"/>
          <w:u w:val="single"/>
        </w:rPr>
        <w:t>Indenture</w:t>
      </w:r>
      <w:r>
        <w:rPr>
          <w:rFonts w:ascii="Times New Roman" w:hAnsi="Times New Roman"/>
          <w:sz w:val="20"/>
        </w:rPr>
        <w:t>” and, as supplemented by this Fifth Supplemental Indenture, collectively, the “</w:t>
      </w:r>
      <w:r>
        <w:rPr>
          <w:rFonts w:ascii="Times New Roman" w:hAnsi="Times New Roman"/>
          <w:sz w:val="20"/>
          <w:u w:val="single"/>
        </w:rPr>
        <w:t>Indenture</w:t>
      </w:r>
      <w:r>
        <w:rPr>
          <w:rFonts w:ascii="Times New Roman" w:hAnsi="Times New Roman"/>
          <w:sz w:val="20"/>
        </w:rPr>
        <w:t>”), to provide for the issuance by the Company from time to time of the Company’s unsecured debentures, notes or other evidences of indebtedness (the “</w:t>
      </w:r>
      <w:r>
        <w:rPr>
          <w:rFonts w:ascii="Times New Roman" w:hAnsi="Times New Roman"/>
          <w:sz w:val="20"/>
          <w:u w:val="single"/>
        </w:rPr>
        <w:t>Securities</w:t>
      </w:r>
      <w:r>
        <w:rPr>
          <w:rFonts w:ascii="Times New Roman" w:hAnsi="Times New Roman"/>
          <w:sz w:val="20"/>
        </w:rPr>
        <w:t xml:space="preserve">”),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creation, issue and sale of (a) $750,000,000 aggregate principal amount of the Company’s 6.500% Notes due 2031 (the “</w:t>
      </w:r>
      <w:r>
        <w:rPr>
          <w:rFonts w:ascii="Times New Roman" w:hAnsi="Times New Roman"/>
          <w:sz w:val="20"/>
          <w:u w:val="single"/>
        </w:rPr>
        <w:t>Initial Notes</w:t>
      </w:r>
      <w:r>
        <w:rPr>
          <w:rFonts w:ascii="Times New Roman" w:hAnsi="Times New Roman"/>
          <w:sz w:val="20"/>
        </w:rPr>
        <w:t xml:space="preserve">”) and (b) if and when issued as provided in the Registration Rights Agreement in a Registered Exchange Offer in exchange for any Initial Notes or otherwise registered under the Securities Act and issued in the form of </w:t>
      </w:r>
      <w:r>
        <w:rPr>
          <w:rFonts w:ascii="Times New Roman" w:hAnsi="Times New Roman"/>
          <w:sz w:val="20"/>
          <w:u w:val="single"/>
        </w:rPr>
        <w:t>Exhibit A</w:t>
      </w:r>
      <w:r>
        <w:rPr>
          <w:rFonts w:ascii="Times New Roman" w:hAnsi="Times New Roman"/>
          <w:sz w:val="20"/>
        </w:rPr>
        <w:t>, the Company’s 6.500% Notes due 2031 (the “</w:t>
      </w:r>
      <w:r>
        <w:rPr>
          <w:rFonts w:ascii="Times New Roman" w:hAnsi="Times New Roman"/>
          <w:sz w:val="20"/>
          <w:u w:val="single"/>
        </w:rPr>
        <w:t>Exchange Notes</w:t>
      </w:r>
      <w:r>
        <w:rPr>
          <w:rFonts w:ascii="Times New Roman" w:hAnsi="Times New Roman"/>
          <w:sz w:val="20"/>
        </w:rPr>
        <w:t>” and, together with the Initial Notes and any Additional Notes (as defined below), the “</w:t>
      </w:r>
      <w:r>
        <w:rPr>
          <w:rFonts w:ascii="Times New Roman" w:hAnsi="Times New Roman"/>
          <w:sz w:val="20"/>
          <w:u w:val="single"/>
        </w:rPr>
        <w:t>Notes</w:t>
      </w:r>
      <w:r>
        <w:rPr>
          <w:rFonts w:ascii="Times New Roman" w:hAnsi="Times New Roman"/>
          <w:sz w:val="20"/>
        </w:rPr>
        <w:t xml:space="preserve">”). The Initial Notes, the Exchange Notes and any Additional Notes shall be treated as a single class for all purposes under this Indenture, including waivers, amendments, redemptions and offers to purchase. The Notes will be distributed initially only to (i) persons reasonably believed to be QIBs in reliance on Rule 144A and (ii) Non-U.S. Persons in reliance on Regulation S, in each case as such terms are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Sections 9.01(v) and 9.01(vii)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desires to establish the form and terms of the Notes and to modify, alter, supplement and change certain provisions of the Base Indenture for the benefit of the Holders of the Notes (subject to amendment as may be provided in a future supplemental indenture to the Indenture (“</w:t>
      </w:r>
      <w:r>
        <w:rPr>
          <w:rFonts w:ascii="Times New Roman" w:hAnsi="Times New Roman"/>
          <w:sz w:val="20"/>
          <w:u w:val="single"/>
        </w:rPr>
        <w:t>Future Supplemental Indenture</w:t>
      </w:r>
      <w:r>
        <w:rPr>
          <w:rFonts w:ascii="Times New Roman" w:hAnsi="Times New Roman"/>
          <w:sz w:val="20"/>
        </w:rPr>
        <w:t xml:space="preserve">”)). The Company has duly authorized the execution and delivery of this Fifth Supplemental Indenture to provide for the issuance of the Notes and all acts and things necessary to make this Fifth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premises and the purchase of the Notes by the Holders thereof, it is mutually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sz w:val="20"/>
        </w:rPr>
        <w:t xml:space="preserve">The following terms relating to the Notes are hereby established: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constitute a series of Securities having the title “6.500% Notes due 2031” and shall be designated as Senior Securities under the Indenture. The Notes offered and sold to QIBs in reliance on Rule 144A shall bear a CUSIP number of 829932AG7 and an ISIN number of US829932AG72. The Notes offered and sold in reliance on Regulation S shall bear a CUSIP number of U82912AE3 and an ISIN number of USU82912AE36. </w:t>
      </w:r>
    </w:p>
    <w:p>
      <w:pPr>
        <w:pStyle w:val="TextBody"/>
        <w:bidi w:val="0"/>
        <w:spacing w:before="240" w:after="0"/>
        <w:jc w:val="left"/>
        <w:rPr>
          <w:rFonts w:ascii="Times New Roman" w:hAnsi="Times New Roman"/>
          <w:sz w:val="20"/>
        </w:rPr>
      </w:pPr>
      <w:r>
        <w:rPr>
          <w:rFonts w:ascii="Times New Roman" w:hAnsi="Times New Roman"/>
          <w:sz w:val="20"/>
        </w:rPr>
        <w:t>(b) The aggregate principal amount of the Initial Notes that may be initially authenticated and delivered under the Indenture (except for Initial Notes authenticated and delivered upon registration of, transfer of, or in exchange for, or in lieu of, other Notes pursuant to Sections 3.04, 3.05, 3.06, 9.06, 11.07 or 13.05 of the Base Indenture) shall be $750,000,000. In addition, Exchange Notes may be authenticated and delivered under this Indenture for issue in a Registered Exchange Offer pursuant to the Registration Rights Agreement in a like principal amount of the Initial Notes or Additional Notes exchanged pursuant thereto or otherwise pursuant to an effective registration statement under the Securities Act. Under a Board Resolution, Officers’ Certificate pursuant to Board Resolutions or an indenture supplement, the Company may from time to time, without the consent of the Holders of Notes, issue additional Notes (in any such case, other than any Exchange Notes, “</w:t>
      </w:r>
      <w:r>
        <w:rPr>
          <w:rFonts w:ascii="Times New Roman" w:hAnsi="Times New Roman"/>
          <w:sz w:val="20"/>
          <w:u w:val="single"/>
        </w:rPr>
        <w:t>Additional Notes</w:t>
      </w:r>
      <w:r>
        <w:rPr>
          <w:rFonts w:ascii="Times New Roman" w:hAnsi="Times New Roman"/>
          <w:sz w:val="20"/>
        </w:rPr>
        <w:t xml:space="preserve">”) having the same ranking and the same interest rate, maturity, CUSIP number and other terms as the Notes; </w:t>
      </w:r>
      <w:r>
        <w:rPr>
          <w:rFonts w:ascii="Times New Roman" w:hAnsi="Times New Roman"/>
          <w:i/>
          <w:sz w:val="20"/>
        </w:rPr>
        <w:t xml:space="preserve">provided </w:t>
      </w:r>
      <w:r>
        <w:rPr>
          <w:rFonts w:ascii="Times New Roman" w:hAnsi="Times New Roman"/>
          <w:sz w:val="20"/>
        </w:rPr>
        <w:t xml:space="preserve">that, such Additional Notes must either (i) be issued in a “qualified reopening” for U.S. federal income tax purposes, with no more than a de minimis amount of original issue discount, or otherwise (ii) be part of the same issue as the Notes.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The entire Outstanding principal amount of the Notes shall be payable on December 15, 2031, unless earlier redeemed or repurchased in accordance with the provisions of this Fifth Supplemental Indenture. </w:t>
      </w:r>
    </w:p>
    <w:p>
      <w:pPr>
        <w:pStyle w:val="TextBody"/>
        <w:bidi w:val="0"/>
        <w:spacing w:before="240" w:after="0"/>
        <w:jc w:val="left"/>
        <w:rPr>
          <w:rFonts w:ascii="Times New Roman" w:hAnsi="Times New Roman"/>
          <w:sz w:val="20"/>
        </w:rPr>
      </w:pPr>
      <w:r>
        <w:rPr>
          <w:rFonts w:ascii="Times New Roman" w:hAnsi="Times New Roman"/>
          <w:sz w:val="20"/>
        </w:rPr>
        <w:t>(d) The rate at which the Notes shall bear interest shall be 6.500% per annum (the “</w:t>
      </w:r>
      <w:r>
        <w:rPr>
          <w:rFonts w:ascii="Times New Roman" w:hAnsi="Times New Roman"/>
          <w:sz w:val="20"/>
          <w:u w:val="single"/>
        </w:rPr>
        <w:t>Applicable Interest Rate</w:t>
      </w:r>
      <w:r>
        <w:rPr>
          <w:rFonts w:ascii="Times New Roman" w:hAnsi="Times New Roman"/>
          <w:sz w:val="20"/>
        </w:rPr>
        <w:t xml:space="preserve">”). The date from which interest shall accrue on the Notes shall be September 21, 2026, or the most recent Interest Payment Date to which interest has been paid or provided for; the Interest Payment Dates for the Notes shall be June 15 and December 15 of each year, commencing December 15, 2026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September 21,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5:00 p.m. New York City time (the “close of business”) on the Regular Record Date for such interest, which shall be June 1 and December 1 (whether or not a Business Day), as the case may be, immediately preceding such Interest Payment Date. Payment of principal of (and premium, if any, on) and any such interest on the Notes will be made at the office of the Trustee located at One Federal Street, 3rd Floor, Boston, MA 02110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Notes offered on the date hereof will be distributed initially only to (i) persons reasonably believed to be QIBs in reliance on Rule 144A and (ii) Non-U.S. Persons in reliance on Regulation S. Such Notes may thereafter be transferred only in accordance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(f) The Notes shall be initially issuable in global form (each such Note, a “</w:t>
      </w:r>
      <w:r>
        <w:rPr>
          <w:rFonts w:ascii="Times New Roman" w:hAnsi="Times New Roman"/>
          <w:sz w:val="20"/>
          <w:u w:val="single"/>
        </w:rPr>
        <w:t>Global Note</w:t>
      </w:r>
      <w:r>
        <w:rPr>
          <w:rFonts w:ascii="Times New Roman" w:hAnsi="Times New Roman"/>
          <w:sz w:val="20"/>
        </w:rPr>
        <w:t xml:space="preserv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Fifth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Notes offered and sold to QIBs in reliance on Rule 144A shall be issued initially in the form of one or more 144A Global Notes, which shall be deposited with, or on behalf of, the Depositary, or will remain in the custody of the Trustee pursuant to an agreement between the Depositary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(ii) The Notes offered and sold in reliance on Regulation S shall be issued initially in the form of one or more Regulation S Global Notes, which shall be deposited with, or on behalf of, a custodian for the Depositary, or will remain in the custody of the Trustee pursuant to an agreement between the Depositary and the Trustee, for credit to the respective accounts of the purchasers (or to such other accounts as they may direct) at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(iii) Unrestricted Global Notes shall be issued in accordance with </w:t>
      </w:r>
      <w:r>
        <w:rPr>
          <w:rFonts w:ascii="Times New Roman" w:hAnsi="Times New Roman"/>
          <w:sz w:val="20"/>
          <w:u w:val="single"/>
        </w:rPr>
        <w:t>Section 1.02(b)(vi)</w:t>
      </w:r>
      <w:r>
        <w:rPr>
          <w:rFonts w:ascii="Times New Roman" w:hAnsi="Times New Roman"/>
          <w:sz w:val="20"/>
        </w:rPr>
        <w:t xml:space="preserve"> hereof and shall be deposited, duly executed by the Company and authenticated by the Trustee as hereinafter provided. </w:t>
      </w:r>
    </w:p>
    <w:p>
      <w:pPr>
        <w:pStyle w:val="TextBody"/>
        <w:bidi w:val="0"/>
        <w:spacing w:before="240" w:after="0"/>
        <w:jc w:val="left"/>
        <w:rPr>
          <w:rFonts w:ascii="Times New Roman" w:hAnsi="Times New Roman"/>
          <w:sz w:val="20"/>
        </w:rPr>
      </w:pPr>
      <w:r>
        <w:rPr>
          <w:rFonts w:ascii="Times New Roman" w:hAnsi="Times New Roman"/>
          <w:sz w:val="20"/>
        </w:rPr>
        <w:t>(g) The depositary for such Global Notes (the “</w:t>
      </w:r>
      <w:r>
        <w:rPr>
          <w:rFonts w:ascii="Times New Roman" w:hAnsi="Times New Roman"/>
          <w:sz w:val="20"/>
          <w:u w:val="single"/>
        </w:rPr>
        <w:t>Depositary</w:t>
      </w:r>
      <w:r>
        <w:rPr>
          <w:rFonts w:ascii="Times New Roman" w:hAnsi="Times New Roman"/>
          <w:sz w:val="20"/>
        </w:rPr>
        <w:t xml:space="preserve">”) shall be The Depository Trust Company, New York, New York, until a successor shall have been appointed and becomes such person, and thereafter, Depositary shall mean or include such successor.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defeasible pursuant to Section 14.02 or Section 14.03 of the Base Indenture. Covenant defeasance contained in Section 14.03 of the Base Indenture shall apply to the covenants contained in Sections 10.06, 10.07 and 10.08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be redeemable pursuant to Section 11.01 of the Base Indenture and as follows: </w:t>
      </w:r>
    </w:p>
    <w:p>
      <w:pPr>
        <w:pStyle w:val="TextBody"/>
        <w:bidi w:val="0"/>
        <w:spacing w:before="240" w:after="0"/>
        <w:jc w:val="left"/>
        <w:rPr>
          <w:rFonts w:ascii="Times New Roman" w:hAnsi="Times New Roman"/>
          <w:sz w:val="20"/>
        </w:rPr>
      </w:pPr>
      <w:r>
        <w:rPr>
          <w:rFonts w:ascii="Times New Roman" w:hAnsi="Times New Roman"/>
          <w:sz w:val="20"/>
        </w:rPr>
        <w:t xml:space="preserve">(i) Prior to November 15, 2031 (one month prior to the maturity of the Notes) (the “Par Call Date”), the Notes will be redeemable, in whole or in part, at any time, or from time to time, at the option of the Company,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(2)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plus, in either case, accrued and unpaid interest, if any, to, but excluding, the Redemption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on or after the Par Call Date, the Company may redeem the Notes, in whole or in part, at any time and from time to time, at a Redemption Price equal to 100% of the principal amount of the Notes to be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of the Notes,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Actions and determinations made by the Company with respect to determining the Redemption Price shall be conclusive and binding for all purposes, absent manifest error. The Trustee will not be responsible or liable for determining, confirming, or verifying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 Any exercise of the Company’s option to redeem the Notes will be done in compliance with the Investment Company Act, to the extent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(j) Unless the Company defaults in payment of the Redemption Price, on and after the Redemption Date, interest will cease to accrue on the Notes called for redemption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(l) The Notes shall be issuable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(m) Holders of the Notes will not have the option to have the Notes repaid prior to the Stated Maturity other than in accordance with Article Thirteen of the Indenture.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 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Transfer and Exchange of Global Notes. </w:t>
      </w:r>
      <w:r>
        <w:rPr>
          <w:rFonts w:ascii="Times New Roman" w:hAnsi="Times New Roman"/>
          <w:sz w:val="20"/>
        </w:rPr>
        <w:t xml:space="preserve">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only if (i) the Company delivers to the Trustee notice from the Depositary that it is unwilling or unable to continue to act as Depositary or that it ceases to be a clearing agency registered under the Exchange Act and, in either case, a successor Depositary is not appointed by the Company within 90 days after the date of such notice from the Depositary or of such cessation, (ii) the Company in its sole discretion determines that the Global Notes (in whole but not in part) should be exchanged for Definitive Notes and delivers a written notice to such effect to the Trustee or (iii) an Event of Default has occurred or is continuing. Global Notes also may be exchanged or replaced, in whole or in part, as provided in Sections 3.04 and 3.06 of the Base Indenture. Every Note authenticated and delivered in exchange for, or in lieu of, a Global Note or any portion thereof, pursuant to this </w:t>
      </w:r>
      <w:r>
        <w:rPr>
          <w:rFonts w:ascii="Times New Roman" w:hAnsi="Times New Roman"/>
          <w:sz w:val="20"/>
          <w:u w:val="single"/>
        </w:rPr>
        <w:t>Section 1.02</w:t>
      </w:r>
      <w:r>
        <w:rPr>
          <w:rFonts w:ascii="Times New Roman" w:hAnsi="Times New Roman"/>
          <w:sz w:val="20"/>
        </w:rPr>
        <w:t xml:space="preserve"> or Sections 3.04 and 3.05 of the Base Indenture, shall be authenticated and delivered in the form of, and shall be, a Global Note. A Global Note may not be exchanged for another Note other than as provided in this </w:t>
      </w:r>
      <w:r>
        <w:rPr>
          <w:rFonts w:ascii="Times New Roman" w:hAnsi="Times New Roman"/>
          <w:sz w:val="20"/>
          <w:u w:val="single"/>
        </w:rPr>
        <w:t>Section 1.02(a)</w:t>
      </w:r>
      <w:r>
        <w:rPr>
          <w:rFonts w:ascii="Times New Roman" w:hAnsi="Times New Roman"/>
          <w:sz w:val="20"/>
        </w:rPr>
        <w:t xml:space="preserve">; however, beneficial interests in a Global Note may be transferred and exchanged as provided in </w:t>
      </w:r>
      <w:r>
        <w:rPr>
          <w:rFonts w:ascii="Times New Roman" w:hAnsi="Times New Roman"/>
          <w:sz w:val="20"/>
          <w:u w:val="single"/>
        </w:rPr>
        <w:t>Section 1.02(b)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Transfer and Exchange of Beneficial Interests in the Global Notes. </w:t>
      </w:r>
      <w:r>
        <w:rPr>
          <w:rFonts w:ascii="Times New Roman" w:hAnsi="Times New Roman"/>
          <w:sz w:val="20"/>
        </w:rPr>
        <w:t xml:space="preserve">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subsections (i) through (vi) below, as applicable, as well as one or more of the other following subsections,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Restricted Notes Legend. Beneficial interests in any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w:t>
      </w:r>
      <w:r>
        <w:rPr>
          <w:rFonts w:ascii="Times New Roman" w:hAnsi="Times New Roman"/>
          <w:sz w:val="20"/>
          <w:u w:val="single"/>
        </w:rPr>
        <w:t>Section 1.02(b)(i)</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w:t>
      </w:r>
      <w:r>
        <w:rPr>
          <w:rFonts w:ascii="Times New Roman" w:hAnsi="Times New Roman"/>
          <w:sz w:val="20"/>
          <w:u w:val="single"/>
        </w:rPr>
        <w:t>Section 1.02(b)(i)</w:t>
      </w:r>
      <w:r>
        <w:rPr>
          <w:rFonts w:ascii="Times New Roman" w:hAnsi="Times New Roman"/>
          <w:sz w:val="20"/>
        </w:rPr>
        <w:t xml:space="preserve"> above, the transferor of such beneficial interest must deliver to the Security Registrar (A)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(B) instructions given in accordance with the Applicable Procedures containing information regarding the Participant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hAnsi="Times New Roman"/>
          <w:sz w:val="20"/>
          <w:u w:val="single"/>
        </w:rPr>
        <w:t>Section 1.02</w:t>
      </w:r>
      <w:r>
        <w:rPr>
          <w:rFonts w:ascii="Times New Roman" w:hAnsi="Times New Roman"/>
          <w:sz w:val="20"/>
        </w:rPr>
        <w:t xml:space="preserve"> hereof. Transfers by an owner of a beneficial interest in the 144A Global Note to a transferee who takes delivery of such interest through the Regulation S Global Note, whether before or after the expiration of the Restricted Period, shall be made only upon receipt by the Trustee of a certification from the transferor to the effect that such transfer is being made in accordance with Regulation S or, after the expiration of the Restricted Period, if available, Rule 144 under the Securities Act and that, if such transfer is being made prior to the expiration of the Restricted Period, the interest transferred shall be held immediately thereafter through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(iii) Restrictions on Transfer of Regulation S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expiration of the Restricted Period, interests in the Regulation S Global Note may only be held through Euroclear or Clearstream. Prior to expiration of the Restricted Period, transfers by an owner of a beneficial interest in the Regulation S Global Note to a transferee who takes delivery of such interest through the 144A Global Note shall be made only in accordance with Applicable Procedures and upon receipt by the Trustee of a written certification from the transferor of the beneficial interest in the form provided by </w:t>
            </w:r>
            <w:r>
              <w:rPr>
                <w:rFonts w:ascii="Times New Roman" w:hAnsi="Times New Roman"/>
                <w:sz w:val="20"/>
                <w:u w:val="single"/>
              </w:rPr>
              <w:t>Exhibit B</w:t>
            </w:r>
            <w:r>
              <w:rPr>
                <w:rFonts w:ascii="Times New Roman" w:hAnsi="Times New Roman"/>
                <w:sz w:val="20"/>
              </w:rPr>
              <w:t xml:space="preserve"> or as otherwise provided by the Company in accordance with law to the effect that such transfer is being made to a person whom the transferor reasonably believes is a QIB within the meaning of Rule 144A in a transaction meeting requirements of Rule 144A. Such certification shall not be required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expiration of the Restricted Period, beneficial ownership interests in the Regulation S Note shall be transferable in accordance with law and the other terms of this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Other Transfer of Beneficial Interests to Another Restricted Global Note</w:t>
      </w:r>
      <w:r>
        <w:rPr>
          <w:rFonts w:ascii="Times New Roman" w:hAnsi="Times New Roman"/>
          <w:sz w:val="20"/>
        </w:rPr>
        <w:t xml:space="preserve">. A beneficial interest in any Restricted Global Note may be transferred to a Person who takes delivery thereof in the form of a beneficial interest in another Restricted Global Note if the transfer complies with the requirements of Section 1.02(b)(ii) above and delivers a certificate in the form of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Transfer and Exchange of Beneficial Interests in Global Notes to Definitive Notes. </w:t>
      </w:r>
      <w:r>
        <w:rPr>
          <w:rFonts w:ascii="Times New Roman" w:hAnsi="Times New Roman"/>
          <w:sz w:val="20"/>
        </w:rPr>
        <w:t xml:space="preserve">In the event that a Global Note is exchanged for Definitive Notes in accordance with the terms of this Indenture (including </w:t>
      </w:r>
      <w:r>
        <w:rPr>
          <w:rFonts w:ascii="Times New Roman" w:hAnsi="Times New Roman"/>
          <w:sz w:val="20"/>
          <w:u w:val="single"/>
        </w:rPr>
        <w:t>Section 1.02(a)</w:t>
      </w:r>
      <w:r>
        <w:rPr>
          <w:rFonts w:ascii="Times New Roman" w:hAnsi="Times New Roman"/>
          <w:sz w:val="20"/>
        </w:rPr>
        <w:t xml:space="preserve">), such Notes may be exchanged only in accordance with such procedures as are substantially consistent with the provisions of this </w:t>
      </w:r>
      <w:r>
        <w:rPr>
          <w:rFonts w:ascii="Times New Roman" w:hAnsi="Times New Roman"/>
          <w:sz w:val="20"/>
          <w:u w:val="single"/>
        </w:rPr>
        <w:t>Section 1.02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(including the certification requirements set forth therein intended to ensure that such transfers comply with Rule 144A, Regulation S or such other applicable exemption from registration under the Securities Act, as the case may be) and such other procedures as may from time to time be adopted by the Company reasonably necessary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 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hAnsi="Times New Roman"/>
          <w:sz w:val="20"/>
          <w:u w:val="single"/>
        </w:rPr>
        <w:t>Section 1.02(b)(ii)</w:t>
      </w:r>
      <w:r>
        <w:rPr>
          <w:rFonts w:ascii="Times New Roman" w:hAnsi="Times New Roman"/>
          <w:sz w:val="20"/>
        </w:rPr>
        <w:t xml:space="preserve"> above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1(a)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(D),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any such transfer is effected pursuant to subparagraph (B) or (D) above at a time when an Unrestricted Global Note has not yet been issued, the Company shall issue and, upon receipt of a Company Order in accordance with Section 3.03 of the Base Indenture, the Trustee shall authenticate one or more Unrestricted Global Notes in an aggregate principal amount equal to the aggregate principal amount of beneficial interests transferred pursuant to subparagraph (B) or (D) above.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or Exchange of Beneficial Interests for Definitive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Beneficial Interests in Restricted Global Notes to Restricted Definitive Notes</w:t>
      </w:r>
      <w:r>
        <w:rPr>
          <w:rFonts w:ascii="Times New Roman" w:hAnsi="Times New Roman"/>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in each case in accordance with the terms of this Indenture (including</w:t>
      </w:r>
      <w:r>
        <w:rPr>
          <w:rFonts w:ascii="Times New Roman" w:hAnsi="Times New Roman"/>
          <w:sz w:val="20"/>
          <w:u w:val="single"/>
        </w:rPr>
        <w:t xml:space="preserve"> Section 1.02(a)</w:t>
      </w:r>
      <w:r>
        <w:rPr>
          <w:rFonts w:ascii="Times New Roman" w:hAnsi="Times New Roman"/>
          <w:sz w:val="20"/>
        </w:rPr>
        <w:t xml:space="preserve">), then, upon receipt by the Security Registrar of the following documentation: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Restricted Definitive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2(a)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a QIB in accordance with Rule 144A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a Non-U.S. Person in an offshore transaction and in accordance with Rule 903 or Rule 904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2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the Company or any of its Subsidiaries,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exemption from the registration requirements of the Securities Act in accordance with Rule 144,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effective registration statement under the Securities Act,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shall cause the aggregate principal amount of the applicable Global Note to be reduced accordingly pursuant to </w:t>
      </w:r>
      <w:r>
        <w:rPr>
          <w:rFonts w:ascii="Times New Roman" w:hAnsi="Times New Roman"/>
          <w:sz w:val="20"/>
          <w:u w:val="single"/>
        </w:rPr>
        <w:t>Section 1.02(g)</w:t>
      </w:r>
      <w:r>
        <w:rPr>
          <w:rFonts w:ascii="Times New Roman" w:hAnsi="Times New Roman"/>
          <w:sz w:val="20"/>
        </w:rPr>
        <w:t xml:space="preserve"> hereof, and the Company shall execute and the Trustee shall authenticate and deliver to the Person designated in the instructions a Restricted Definitive Note in the appropriate principal amount. Any Restricted Definitive Note issued in exchange for a beneficial interest in a Restricted Global Note pursuant to this </w:t>
      </w:r>
      <w:r>
        <w:rPr>
          <w:rFonts w:ascii="Times New Roman" w:hAnsi="Times New Roman"/>
          <w:sz w:val="20"/>
          <w:u w:val="single"/>
        </w:rPr>
        <w:t>Section 1.02(c)</w:t>
      </w:r>
      <w:r>
        <w:rPr>
          <w:rFonts w:ascii="Times New Roman" w:hAnsi="Times New Roman"/>
          <w:sz w:val="20"/>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w:t>
      </w:r>
      <w:r>
        <w:rPr>
          <w:rFonts w:ascii="Times New Roman" w:hAnsi="Times New Roman"/>
          <w:sz w:val="20"/>
          <w:u w:val="single"/>
        </w:rPr>
        <w:t>Section 1.02(c)(i)</w:t>
      </w:r>
      <w:r>
        <w:rPr>
          <w:rFonts w:ascii="Times New Roman" w:hAnsi="Times New Roman"/>
          <w:sz w:val="20"/>
        </w:rPr>
        <w:t xml:space="preserve"> shall bear the Restricted Notes Legend and shall be subject to all restrictions on transfer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Beneficial Interests in Restricted Global Notes to Unrestricted Definitive Notes</w:t>
      </w:r>
      <w:r>
        <w:rPr>
          <w:rFonts w:ascii="Times New Roman" w:hAnsi="Times New Roman"/>
          <w:sz w:val="20"/>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in accordance with the terms of this Indenture (including </w:t>
      </w:r>
      <w:r>
        <w:rPr>
          <w:rFonts w:ascii="Times New Roman" w:hAnsi="Times New Roman"/>
          <w:sz w:val="20"/>
          <w:u w:val="single"/>
        </w:rPr>
        <w:t>Section 1.02(a)</w:t>
      </w:r>
      <w:r>
        <w:rPr>
          <w:rFonts w:ascii="Times New Roman" w:hAnsi="Times New Roman"/>
          <w:sz w:val="20"/>
        </w:rPr>
        <w:t xml:space="preserv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Definitive Note that does not bear the Restricted Notes Legend,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1(b) thereof;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transfer such beneficial interest to a Person who shall take delivery thereof in the form of a Definitive Note that does not bear the Restricted Notes Legend,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Beneficial Interests in Unrestricted Global Notes to Unrestricted Definitive Notes</w:t>
      </w:r>
      <w:r>
        <w:rPr>
          <w:rFonts w:ascii="Times New Roman" w:hAnsi="Times New Roman"/>
          <w:sz w:val="20"/>
        </w:rPr>
        <w:t xml:space="preserve">. If any holder of a beneficial interest in an Unrestricted Global Note proposes to exchange such beneficial interest for an Unrestricted Definitive Note or to transfer such beneficial interest to a Person who takes delivery thereof in the form of an Unrestricted Definitive Note in accordance with the terms of this Indenture (including </w:t>
      </w:r>
      <w:r>
        <w:rPr>
          <w:rFonts w:ascii="Times New Roman" w:hAnsi="Times New Roman"/>
          <w:sz w:val="20"/>
          <w:u w:val="single"/>
        </w:rPr>
        <w:t>Section 1.02(a)</w:t>
      </w:r>
      <w:r>
        <w:rPr>
          <w:rFonts w:ascii="Times New Roman" w:hAnsi="Times New Roman"/>
          <w:sz w:val="20"/>
        </w:rPr>
        <w:t xml:space="preserve">), then, upon satisfaction of the conditions set forth in </w:t>
      </w:r>
      <w:r>
        <w:rPr>
          <w:rFonts w:ascii="Times New Roman" w:hAnsi="Times New Roman"/>
          <w:sz w:val="20"/>
          <w:u w:val="single"/>
        </w:rPr>
        <w:t>Section 1.02(b)(ii)</w:t>
      </w:r>
      <w:r>
        <w:rPr>
          <w:rFonts w:ascii="Times New Roman" w:hAnsi="Times New Roman"/>
          <w:sz w:val="20"/>
        </w:rPr>
        <w:t xml:space="preserve"> hereof, the Trustee shall cause the aggregate principal amount of the applicable Global Note to be reduced accordingly pursuant to </w:t>
      </w:r>
      <w:r>
        <w:rPr>
          <w:rFonts w:ascii="Times New Roman" w:hAnsi="Times New Roman"/>
          <w:sz w:val="20"/>
          <w:u w:val="single"/>
        </w:rPr>
        <w:t>Section 1.02(g)</w:t>
      </w:r>
      <w:r>
        <w:rPr>
          <w:rFonts w:ascii="Times New Roman" w:hAnsi="Times New Roman"/>
          <w:sz w:val="20"/>
        </w:rPr>
        <w:t xml:space="preserve"> hereof, and the Company shall execute and the Trustee shall authenticate and deliver to the Person designated in the instructions an Unrestricted Definitive Note in the appropriate principal amount. Any Unrestricted Definitive Note issued in exchange for a beneficial interest pursuant to this </w:t>
      </w:r>
      <w:r>
        <w:rPr>
          <w:rFonts w:ascii="Times New Roman" w:hAnsi="Times New Roman"/>
          <w:sz w:val="20"/>
          <w:u w:val="single"/>
        </w:rPr>
        <w:t>Section 1.02(c)(iii)</w:t>
      </w:r>
      <w:r>
        <w:rPr>
          <w:rFonts w:ascii="Times New Roman" w:hAnsi="Times New Roman"/>
          <w:sz w:val="20"/>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Unrestricted Definitive Notes to the Persons in whose names such Notes are so registered. Any Unrestricted Definitive Note issued in exchange for a beneficial interest pursuant to this </w:t>
      </w:r>
      <w:r>
        <w:rPr>
          <w:rFonts w:ascii="Times New Roman" w:hAnsi="Times New Roman"/>
          <w:sz w:val="20"/>
          <w:u w:val="single"/>
        </w:rPr>
        <w:t>Section 1.02(c)(iii)</w:t>
      </w:r>
      <w:r>
        <w:rPr>
          <w:rFonts w:ascii="Times New Roman" w:hAnsi="Times New Roman"/>
          <w:sz w:val="20"/>
        </w:rPr>
        <w:t xml:space="preserve"> shall not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Definitive Notes to Beneficial Interests in Restricted Global Notes</w:t>
      </w:r>
      <w:r>
        <w:rPr>
          <w:rFonts w:ascii="Times New Roman" w:hAnsi="Times New Roman"/>
          <w:sz w:val="20"/>
        </w:rPr>
        <w:t xml:space="preserve">.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Security Registrar of the following documentation: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 proposes to exchange such Note for a beneficial interest in a 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2(b)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a QIB in accordance with Rule 144A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a Non-U.S. Person in an offshore transaction and in accordance with Rule 903 or Rule 904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2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the Company or any of its Subsidiaries,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effective registration statement under the Securities Act,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shall cancel the Restricted Definitive Note and increase or cause to be increased the aggregate principal amount of the Restricted Global Note.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Restricted Definitive Notes to Beneficial Interests in Unrestricted Global Notes</w:t>
      </w:r>
      <w:r>
        <w:rPr>
          <w:rFonts w:ascii="Times New Roman" w:hAnsi="Times New Roman"/>
          <w:sz w:val="20"/>
        </w:rPr>
        <w:t xml:space="preserve">.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Definitive Notes proposes to exchange such Notes for a beneficial interest in the Unrestricted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1(c)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the conditions of any of the subparagraphs in this </w:t>
      </w:r>
      <w:r>
        <w:rPr>
          <w:rFonts w:ascii="Times New Roman" w:hAnsi="Times New Roman"/>
          <w:sz w:val="20"/>
          <w:u w:val="single"/>
        </w:rPr>
        <w:t>Section 1.02(d)(ii)</w:t>
      </w:r>
      <w:r>
        <w:rPr>
          <w:rFonts w:ascii="Times New Roman" w:hAnsi="Times New Roman"/>
          <w:sz w:val="20"/>
        </w:rPr>
        <w:t xml:space="preserve">, the Trustee shall cancel the Definitive Notes and increase or cause to be increased the aggregate principal amount of the Unrestricted Global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Unrestricted Definitive Notes to Beneficial Interests in Unrestricted Global Notes. </w:t>
      </w:r>
      <w:r>
        <w:rPr>
          <w:rFonts w:ascii="Times New Roman" w:hAnsi="Times New Roman"/>
          <w:sz w:val="20"/>
        </w:rPr>
        <w:t xml:space="preserve">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 </w:t>
      </w:r>
    </w:p>
    <w:p>
      <w:pPr>
        <w:pStyle w:val="TextBody"/>
        <w:bidi w:val="0"/>
        <w:spacing w:before="240" w:after="0"/>
        <w:jc w:val="left"/>
        <w:rPr>
          <w:rFonts w:ascii="Times New Roman" w:hAnsi="Times New Roman"/>
          <w:sz w:val="20"/>
        </w:rPr>
      </w:pPr>
      <w:r>
        <w:rPr>
          <w:rFonts w:ascii="Times New Roman" w:hAnsi="Times New Roman"/>
          <w:sz w:val="20"/>
        </w:rPr>
        <w:t xml:space="preserve">If any such exchange or transfer from an Unrestricted Definitive Note to a beneficial interest is effected pursuant to subparagraphs (ii)(B), (ii)(D) or (iii) above at a time when an Unrestricted Global Note has not yet been issued, the Company shall issue and, upon receipt of a Company Order in accordance with Section 3.03 of the Base Indenture, the Trustee shall authenticate one or more Unrestricted Global Notes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w:t>
      </w:r>
      <w:r>
        <w:rPr>
          <w:rFonts w:ascii="Times New Roman" w:hAnsi="Times New Roman"/>
          <w:sz w:val="20"/>
          <w:u w:val="single"/>
        </w:rPr>
        <w:t>Section 1.02(e)</w:t>
      </w:r>
      <w:r>
        <w:rPr>
          <w:rFonts w:ascii="Times New Roman" w:hAnsi="Times New Roman"/>
          <w:sz w:val="20"/>
        </w:rPr>
        <w:t xml:space="preserve">, the Security Registrar shall register the transfer or exchange of Definitive Notes. Prior to such registration of transfer or exchange, the requesting Holder shall present or surrender to the Security Registrar the Definitive Notes duly endorsed or accompanied by a written instruction of transfer in form satisfactory to the Security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Times New Roman" w:hAnsi="Times New Roman"/>
          <w:sz w:val="20"/>
          <w:u w:val="single"/>
        </w:rPr>
        <w:t>Section 1.02(e)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Definitive Notes to Restricted Definitive Notes</w:t>
      </w:r>
      <w:r>
        <w:rPr>
          <w:rFonts w:ascii="Times New Roman" w:hAnsi="Times New Roman"/>
          <w:sz w:val="20"/>
        </w:rPr>
        <w:t xml:space="preserve">. Any Restricted Definitive Note may be transferred to and registered in the name of Persons who take delivery thereof in the form of a Restricted Definitive Note if the Security Registrar receives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Rule 144A under the Securities Act,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Rule 903 or Rule 904,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in item 2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any other exemption from the registration requirements of the Securities Act,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certificates and Opinion of Counsel required by item 3 thereof, if applicable.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Restricted Definitive Notes to Unrestricted Definitive Notes</w:t>
      </w:r>
      <w:r>
        <w:rPr>
          <w:rFonts w:ascii="Times New Roman" w:hAnsi="Times New Roman"/>
          <w:sz w:val="20"/>
        </w:rPr>
        <w:t xml:space="preserve">. Any Restricted Definitive Note may be exchanged by the Holder thereof for an Unrestricted Definitive Note or transferred to a Person or Persons who take delivery thereof in the form of an Unrestricted Definitive Note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Notes proposes to exchange such Notes for an Unrestricted Definitive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1(d)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(E), an Opinion of Counsel in form reasonably acceptable to the Company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Unrestricted Definitive Notes to Unrestricted Definitive Notes</w:t>
      </w:r>
      <w:r>
        <w:rPr>
          <w:rFonts w:ascii="Times New Roman" w:hAnsi="Times New Roman"/>
          <w:sz w:val="20"/>
        </w:rPr>
        <w:t xml:space="preserve">. A Holder of Unrestricted Definitive Notes may transfer such Notes to a Person who takes delivery thereof in the form of an Unrestricted Definitive Note. Upon receipt of a request to register such a transfer, the Security Registrar shall register the Unrestricted Definitive Notes pursuant to the instructions from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Legends. </w:t>
      </w:r>
      <w:r>
        <w:rPr>
          <w:rFonts w:ascii="Times New Roman" w:hAnsi="Times New Roman"/>
          <w:sz w:val="20"/>
        </w:rPr>
        <w:t xml:space="preserve">The following legends shall appear on the face of all Global Notes and Definitive Notes issued under this Indenture unless specifically stated otherwise in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Notes Legend.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by subparagraphs (B), (C) and (D) below, each Global Note and each Definitive Note (and all Notes issued in exchange therefor or substitution thereof) shall bear the legend in substantially the following form: </w:t>
            </w:r>
          </w:p>
        </w:tc>
      </w:tr>
    </w:tbl>
    <w:p>
      <w:pPr>
        <w:pStyle w:val="TextBody"/>
        <w:bidi w:val="0"/>
        <w:spacing w:before="120" w:after="0"/>
        <w:jc w:val="left"/>
        <w:rPr/>
      </w:pPr>
      <w:r>
        <w:rPr/>
        <w:t>“</w:t>
      </w:r>
      <w:r>
        <w:rPr>
          <w:rFonts w:ascii="Times New Roman" w:hAnsi="Times New Roman"/>
          <w:sz w:val="20"/>
        </w:rPr>
        <w:t xml:space="preserve">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THE HOLDER OF THIS SECURITY BY ITS ACCEPTANCE HEREOF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EITHER (A) IT IS A “QUALIFIED INSTITUTIONAL BUYER” (AS DEFINED IN RULE 144A UNDER THE SECURITIES ACT (“RULE 144A”)), OR (B) IT IS NOT A U.S. PERSON (AS DEFINED IN REGULATION S UNDER THE SECURITIES ACT (“REGULATION 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AGREES TO OFFER, SELL OR OTHERWISE TRANSFER SUCH SECURITY, PRIOR TO THE DATE (THE “RESALE RESTRICTION TERMINATION DATE”) WHICH IS ONE YEAR (OR SUCH OTHER DATE WHEN RESALES OF SECURITIES BY NON-AFFILIATES ARE FIRST PERMITTED UNDER RULE 144(d)) AFTER THE LATER OF THE ORIGINAL ISSUE DATE HEREOF (OR ANY PREDECESSOR OF THIS SECURITY) OR THE DATE OF ANY SUBSEQUENT REOPENING OF THE SECURITIES AND THE LAST DATE ON WHICH THE COMPANY OR ANY AFFILIATE OF THE COMPANY WAS THE OWNER OF THIS SECURITY (OR ANY PREDECESSOR OF SUCH SECURITY), ONLY (A) TO THE COMPANY OR ANY OF ITS SUBSIDIARIES, (B) PURSUANT TO A REGISTRATION STATEMENT WHICH HAS BEEN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SECURITIES ARE ELIGIBLE FOR RESALE PURSUANT TO RULE 144A, TO A PERSON IT REASONABLY BELIEVES IS “QUALIFIED INSTITUTIONAL BUYER” (AS DEFINED IN RULE 144A) THAT PURCHASES FOR ITS OWN ACCOUNT OR FOR THE ACCOUNT OF A QUALIFIED INSTITUTIONAL BUYER TO WHOM NOTICE IS GIVEN THAT THE TRANSFER IS BEING MADE IN RELIANCE ON RULE 144A, (D) IN AN OFFSHORE TRANSACTION IN COMPLIANCE WITH REGULATION S, OR (E) PURSUANT TO ANOTHER AVAILABLE EXEMPTION FROM THE REGISTRATION REQUIREMENTS OF THE SECURITIES ACT AND THE SECURITIES LAWS OF ANY OTHER JURISDICTION, INCLUDING ANY STATE OF THE UNITED STATES, SUBJECT TO THE COMPANY’S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any Global Note or Definitive Note issued pursuant to subsections (b)(vi), (c)(ii), (c)(iii), (d)(ii), (d)(iii), (e)(ii) or (e)(iii) of this </w:t>
            </w:r>
            <w:r>
              <w:rPr>
                <w:rFonts w:ascii="Times New Roman" w:hAnsi="Times New Roman"/>
                <w:sz w:val="20"/>
                <w:u w:val="single"/>
              </w:rPr>
              <w:t>Section 1.02</w:t>
            </w:r>
            <w:r>
              <w:rPr>
                <w:rFonts w:ascii="Times New Roman" w:hAnsi="Times New Roman"/>
                <w:sz w:val="20"/>
              </w:rPr>
              <w:t xml:space="preserve"> (and all Notes issued in exchange therefor or substitution thereof) shall not bear the Restricted Notes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a transfer of any Initial Notes during the period of the effectiveness of a Shelf Registration Statement with respect to such Initial Notes, all requirements pertaining to the Restricted Notes Legend on such Initial Notes shall cease to apply and the requirements that any such Initial Notes be issued in global form shall continue to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 Legend</w:t>
      </w:r>
      <w:r>
        <w:rPr>
          <w:rFonts w:ascii="Times New Roman" w:hAnsi="Times New Roman"/>
          <w:sz w:val="20"/>
        </w:rPr>
        <w:t xml:space="preserve">. Each Global Note shall bear a legend in substantially the following form: </w:t>
      </w:r>
    </w:p>
    <w:p>
      <w:pPr>
        <w:pStyle w:val="TextBody"/>
        <w:bidi w:val="0"/>
        <w:spacing w:before="120" w:after="0"/>
        <w:jc w:val="left"/>
        <w:rPr/>
      </w:pPr>
      <w:r>
        <w:rPr/>
        <w:t>“</w:t>
      </w: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Cancellation and/or Adjustment of Global Notes. </w:t>
      </w:r>
      <w:r>
        <w:rPr>
          <w:rFonts w:ascii="Times New Roman" w:hAnsi="Times New Roman"/>
          <w:sz w:val="20"/>
        </w:rPr>
        <w:t xml:space="preserve">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3.10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 Additional Interest</w:t>
      </w:r>
      <w:r>
        <w:rPr>
          <w:rFonts w:ascii="Times New Roman" w:hAnsi="Times New Roman"/>
          <w:sz w:val="20"/>
        </w:rPr>
        <w:t xml:space="preserve">. In the event that the Company is required to pay Additional Interest to Holders of the Notes pursuant to the Registration Rights Agreement, the Company will provide written notice (“Additional Interest Notice”) to the Trustee of its obligation to pay Additional Interest 15 days prior to the proposed payment date for the Additional Interest to the extent reasonably practicable, but in no event later than five Business Days prior to such proposed payment date, and the Additional Interest Notice shall set forth the amount of Additional Interest to be paid by the Company on such payment date. The Trustee shall not at any time be under any duty or responsibility to any holder of the Notes to determine the Additional Interest, or with respect to the nature, extent, or calculation of the amount of Additional Interest owed, or with respect to the method employed in such calculation of the Additional Interest.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1.04. </w:t>
      </w:r>
      <w:r>
        <w:rPr>
          <w:rFonts w:ascii="Times New Roman" w:hAnsi="Times New Roman"/>
          <w:sz w:val="20"/>
        </w:rPr>
        <w:t xml:space="preserve">For purposes of this Fifth Supplemental Indenture, the following terms have the meanings set forth below: </w:t>
      </w:r>
    </w:p>
    <w:p>
      <w:pPr>
        <w:pStyle w:val="TextBody"/>
        <w:bidi w:val="0"/>
        <w:spacing w:before="240" w:after="0"/>
        <w:jc w:val="left"/>
        <w:rPr/>
      </w:pPr>
      <w:r>
        <w:rPr/>
        <w:t>“</w:t>
      </w:r>
      <w:r>
        <w:rPr>
          <w:rFonts w:ascii="Times New Roman" w:hAnsi="Times New Roman"/>
          <w:sz w:val="20"/>
          <w:u w:val="single"/>
        </w:rPr>
        <w:t>144A Global Note</w:t>
      </w:r>
      <w:r>
        <w:rPr>
          <w:rFonts w:ascii="Times New Roman" w:hAnsi="Times New Roman"/>
          <w:sz w:val="20"/>
        </w:rPr>
        <w:t xml:space="preserve">” means a global note substantially in the form of </w:t>
      </w:r>
      <w:r>
        <w:rPr>
          <w:rFonts w:ascii="Times New Roman" w:hAnsi="Times New Roman"/>
          <w:sz w:val="20"/>
          <w:u w:val="single"/>
        </w:rPr>
        <w:t>Exhibit A</w:t>
      </w:r>
      <w:r>
        <w:rPr>
          <w:rFonts w:ascii="Times New Roman" w:hAnsi="Times New Roman"/>
          <w:sz w:val="20"/>
        </w:rPr>
        <w:t xml:space="preserve"> hereto bearing the Global Note Legend and the Restricted Notes Legend and deposited with or on behalf of, and registered in the name of, the Depositary or its nominee that will be issued in a denomination equal to the outstanding principal amount of the Notes sold in reliance on Rule 144A. </w:t>
      </w:r>
    </w:p>
    <w:p>
      <w:pPr>
        <w:pStyle w:val="TextBody"/>
        <w:bidi w:val="0"/>
        <w:spacing w:before="240" w:after="0"/>
        <w:jc w:val="left"/>
        <w:rPr/>
      </w:pPr>
      <w:r>
        <w:rPr/>
        <w:t>“</w:t>
      </w:r>
      <w:r>
        <w:rPr>
          <w:rFonts w:ascii="Times New Roman" w:hAnsi="Times New Roman"/>
          <w:sz w:val="20"/>
          <w:u w:val="single"/>
        </w:rPr>
        <w:t>Applicable Procedures</w:t>
      </w:r>
      <w:r>
        <w:rPr>
          <w:rFonts w:ascii="Times New Roman" w:hAnsi="Times New Roman"/>
          <w:sz w:val="20"/>
        </w:rPr>
        <w:t xml:space="preserve">” means, with respect to any transfer, redemption, tender or exchange of or for beneficial interests in any Global Note, the rules and procedures of the Depositary, Euroclear and/or Clearstream that apply to such transfer or exchange. </w:t>
      </w:r>
    </w:p>
    <w:p>
      <w:pPr>
        <w:pStyle w:val="TextBody"/>
        <w:bidi w:val="0"/>
        <w:spacing w:before="240" w:after="0"/>
        <w:jc w:val="left"/>
        <w:rPr/>
      </w:pPr>
      <w:r>
        <w:rPr/>
        <w:t>“</w:t>
      </w:r>
      <w:r>
        <w:rPr>
          <w:rFonts w:ascii="Times New Roman" w:hAnsi="Times New Roman"/>
          <w:sz w:val="20"/>
          <w:u w:val="single"/>
        </w:rPr>
        <w:t>Clearstream</w:t>
      </w:r>
      <w:r>
        <w:rPr>
          <w:rFonts w:ascii="Times New Roman" w:hAnsi="Times New Roman"/>
          <w:sz w:val="20"/>
        </w:rPr>
        <w:t xml:space="preserve">” means Clearstream Banking, Société Anonyme, and any successor thereto. </w:t>
      </w:r>
    </w:p>
    <w:p>
      <w:pPr>
        <w:pStyle w:val="TextBody"/>
        <w:bidi w:val="0"/>
        <w:spacing w:before="240" w:after="0"/>
        <w:jc w:val="left"/>
        <w:rPr/>
      </w:pPr>
      <w:r>
        <w:rPr/>
        <w:t>“</w:t>
      </w:r>
      <w:r>
        <w:rPr>
          <w:rFonts w:ascii="Times New Roman" w:hAnsi="Times New Roman"/>
          <w:sz w:val="20"/>
          <w:u w:val="single"/>
        </w:rPr>
        <w:t>Definitive Note</w:t>
      </w:r>
      <w:r>
        <w:rPr>
          <w:rFonts w:ascii="Times New Roman" w:hAnsi="Times New Roman"/>
          <w:sz w:val="20"/>
        </w:rPr>
        <w:t xml:space="preserve">” means a certificated Note registered in the name of the Holder thereof and issued in accordance with </w:t>
      </w:r>
      <w:r>
        <w:rPr>
          <w:rFonts w:ascii="Times New Roman" w:hAnsi="Times New Roman"/>
          <w:sz w:val="20"/>
          <w:u w:val="single"/>
        </w:rPr>
        <w:t>Section 1.02</w:t>
      </w:r>
      <w:r>
        <w:rPr>
          <w:rFonts w:ascii="Times New Roman" w:hAnsi="Times New Roman"/>
          <w:sz w:val="20"/>
        </w:rPr>
        <w:t xml:space="preserve"> hereof, substantially in the form of </w:t>
      </w:r>
      <w:r>
        <w:rPr>
          <w:rFonts w:ascii="Times New Roman" w:hAnsi="Times New Roman"/>
          <w:sz w:val="20"/>
          <w:u w:val="single"/>
        </w:rPr>
        <w:t>Exhibit A</w:t>
      </w:r>
      <w:r>
        <w:rPr>
          <w:rFonts w:ascii="Times New Roman" w:hAnsi="Times New Roman"/>
          <w:sz w:val="20"/>
        </w:rPr>
        <w:t xml:space="preserve">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sz w:val="20"/>
          <w:u w:val="single"/>
        </w:rPr>
        <w:t>Euroclear</w:t>
      </w:r>
      <w:r>
        <w:rPr>
          <w:rFonts w:ascii="Times New Roman" w:hAnsi="Times New Roman"/>
          <w:sz w:val="20"/>
        </w:rPr>
        <w:t xml:space="preserve">” means Euroclear S.A./N.V., as operator of the Euroclear system, and any successor thereto.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Global Note Legend</w:t>
      </w:r>
      <w:r>
        <w:rPr>
          <w:rFonts w:ascii="Times New Roman" w:hAnsi="Times New Roman"/>
          <w:sz w:val="20"/>
        </w:rPr>
        <w:t xml:space="preserve">” means the legend set forth in </w:t>
      </w:r>
      <w:r>
        <w:rPr>
          <w:rFonts w:ascii="Times New Roman" w:hAnsi="Times New Roman"/>
          <w:sz w:val="20"/>
          <w:u w:val="single"/>
        </w:rPr>
        <w:t>Section 1.02(f)(ii)</w:t>
      </w:r>
      <w:r>
        <w:rPr>
          <w:rFonts w:ascii="Times New Roman" w:hAnsi="Times New Roman"/>
          <w:sz w:val="20"/>
        </w:rPr>
        <w:t xml:space="preserve">, which is required to be placed on all Global Notes issued under this Indenture. </w:t>
      </w:r>
    </w:p>
    <w:p>
      <w:pPr>
        <w:pStyle w:val="TextBody"/>
        <w:bidi w:val="0"/>
        <w:spacing w:before="240" w:after="0"/>
        <w:jc w:val="left"/>
        <w:rPr/>
      </w:pPr>
      <w:r>
        <w:rPr/>
        <w:t>“</w:t>
      </w:r>
      <w:r>
        <w:rPr>
          <w:rFonts w:ascii="Times New Roman" w:hAnsi="Times New Roman"/>
          <w:sz w:val="20"/>
          <w:u w:val="single"/>
        </w:rPr>
        <w:t>Global Notes</w:t>
      </w:r>
      <w:r>
        <w:rPr>
          <w:rFonts w:ascii="Times New Roman" w:hAnsi="Times New Roman"/>
          <w:sz w:val="20"/>
        </w:rPr>
        <w:t xml:space="preserve">” means, individually and collectively, each of the Restricted Global Notes and the Unrestricted Global Notes, substantially in the form of </w:t>
      </w:r>
      <w:r>
        <w:rPr>
          <w:rFonts w:ascii="Times New Roman" w:hAnsi="Times New Roman"/>
          <w:sz w:val="20"/>
          <w:u w:val="single"/>
        </w:rPr>
        <w:t>Exhibit A</w:t>
      </w:r>
      <w:r>
        <w:rPr>
          <w:rFonts w:ascii="Times New Roman" w:hAnsi="Times New Roman"/>
          <w:sz w:val="20"/>
        </w:rPr>
        <w:t xml:space="preserve"> hereto issued in accordance with </w:t>
      </w:r>
      <w:r>
        <w:rPr>
          <w:rFonts w:ascii="Times New Roman" w:hAnsi="Times New Roman"/>
          <w:sz w:val="20"/>
          <w:u w:val="single"/>
        </w:rPr>
        <w:t>Section 1.02(b)</w:t>
      </w:r>
      <w:r>
        <w:rPr>
          <w:rFonts w:ascii="Times New Roman" w:hAnsi="Times New Roman"/>
          <w:sz w:val="20"/>
        </w:rPr>
        <w:t xml:space="preserve"> or </w:t>
      </w:r>
      <w:r>
        <w:rPr>
          <w:rFonts w:ascii="Times New Roman" w:hAnsi="Times New Roman"/>
          <w:sz w:val="20"/>
          <w:u w:val="single"/>
        </w:rPr>
        <w:t>1.02(d)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interest</w:t>
      </w:r>
      <w:r>
        <w:rPr>
          <w:rFonts w:ascii="Times New Roman" w:hAnsi="Times New Roman"/>
          <w:sz w:val="20"/>
        </w:rPr>
        <w:t xml:space="preserve">” means, with respect to the Notes, interest and Additional Interest, if any, on the Notes (regardless of whether so stated). </w:t>
      </w:r>
    </w:p>
    <w:p>
      <w:pPr>
        <w:pStyle w:val="TextBody"/>
        <w:bidi w:val="0"/>
        <w:spacing w:before="240" w:after="0"/>
        <w:jc w:val="left"/>
        <w:rPr/>
      </w:pPr>
      <w:r>
        <w:rPr/>
        <w:t>“</w:t>
      </w:r>
      <w:r>
        <w:rPr>
          <w:rFonts w:ascii="Times New Roman" w:hAnsi="Times New Roman"/>
          <w:sz w:val="20"/>
          <w:u w:val="single"/>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sz w:val="20"/>
          <w:u w:val="single"/>
        </w:rPr>
        <w:t>Non-U.S. Person</w:t>
      </w:r>
      <w:r>
        <w:rPr>
          <w:rFonts w:ascii="Times New Roman" w:hAnsi="Times New Roman"/>
          <w:sz w:val="20"/>
        </w:rPr>
        <w:t xml:space="preserve">” means a person other than a U.S. Person.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DTC, shall include Euroclear and Clearstream). </w:t>
      </w:r>
    </w:p>
    <w:p>
      <w:pPr>
        <w:pStyle w:val="TextBody"/>
        <w:bidi w:val="0"/>
        <w:spacing w:before="240" w:after="0"/>
        <w:jc w:val="left"/>
        <w:rPr/>
      </w:pPr>
      <w:r>
        <w:rPr/>
        <w:t>“</w:t>
      </w:r>
      <w:r>
        <w:rPr>
          <w:rFonts w:ascii="Times New Roman" w:hAnsi="Times New Roman"/>
          <w:sz w:val="20"/>
          <w:u w:val="single"/>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sz w:val="20"/>
          <w:u w:val="single"/>
        </w:rPr>
        <w:t>Regulation S</w:t>
      </w:r>
      <w:r>
        <w:rPr>
          <w:rFonts w:ascii="Times New Roman" w:hAnsi="Times New Roman"/>
          <w:sz w:val="20"/>
        </w:rPr>
        <w:t xml:space="preserve">” means Regulation S promulgated under the Securities Act. </w:t>
      </w:r>
    </w:p>
    <w:p>
      <w:pPr>
        <w:pStyle w:val="TextBody"/>
        <w:bidi w:val="0"/>
        <w:spacing w:before="240" w:after="0"/>
        <w:jc w:val="left"/>
        <w:rPr/>
      </w:pPr>
      <w:r>
        <w:rPr/>
        <w:t>“</w:t>
      </w:r>
      <w:r>
        <w:rPr>
          <w:rFonts w:ascii="Times New Roman" w:hAnsi="Times New Roman"/>
          <w:sz w:val="20"/>
          <w:u w:val="single"/>
        </w:rPr>
        <w:t>Regulation S Global Note</w:t>
      </w:r>
      <w:r>
        <w:rPr>
          <w:rFonts w:ascii="Times New Roman" w:hAnsi="Times New Roman"/>
          <w:sz w:val="20"/>
        </w:rPr>
        <w:t xml:space="preserve">” means the Global Note substantially in the form of </w:t>
      </w:r>
      <w:r>
        <w:rPr>
          <w:rFonts w:ascii="Times New Roman" w:hAnsi="Times New Roman"/>
          <w:sz w:val="20"/>
          <w:u w:val="single"/>
        </w:rPr>
        <w:t>Exhibit A</w:t>
      </w:r>
      <w:r>
        <w:rPr>
          <w:rFonts w:ascii="Times New Roman" w:hAnsi="Times New Roman"/>
          <w:sz w:val="20"/>
        </w:rPr>
        <w:t xml:space="preserve"> hereto, bearing the Global Note Legend and the Restricted Notes Legend representing the Notes offered and sold outside the United States in reliance on Regulation S. </w:t>
      </w:r>
    </w:p>
    <w:p>
      <w:pPr>
        <w:pStyle w:val="TextBody"/>
        <w:bidi w:val="0"/>
        <w:spacing w:before="240" w:after="0"/>
        <w:jc w:val="left"/>
        <w:rPr/>
      </w:pPr>
      <w:r>
        <w:rPr/>
        <w:t>“</w:t>
      </w:r>
      <w:r>
        <w:rPr>
          <w:rFonts w:ascii="Times New Roman" w:hAnsi="Times New Roman"/>
          <w:sz w:val="20"/>
          <w:u w:val="single"/>
        </w:rPr>
        <w:t>Restricted Definitive Note</w:t>
      </w:r>
      <w:r>
        <w:rPr>
          <w:rFonts w:ascii="Times New Roman" w:hAnsi="Times New Roman"/>
          <w:sz w:val="20"/>
        </w:rPr>
        <w:t xml:space="preserve">” means a definitive Note substantially in the form of </w:t>
      </w:r>
      <w:r>
        <w:rPr>
          <w:rFonts w:ascii="Times New Roman" w:hAnsi="Times New Roman"/>
          <w:sz w:val="20"/>
          <w:u w:val="single"/>
        </w:rPr>
        <w:t>Exhibit A</w:t>
      </w:r>
      <w:r>
        <w:rPr>
          <w:rFonts w:ascii="Times New Roman" w:hAnsi="Times New Roman"/>
          <w:sz w:val="20"/>
        </w:rPr>
        <w:t xml:space="preserve"> attached hereto that does not bear the Global Note Legend nor the “Schedule of Exchanges of Interests in the Global Note” attached thereto, and that bears the Restricted Notes Legend. </w:t>
      </w:r>
    </w:p>
    <w:p>
      <w:pPr>
        <w:pStyle w:val="TextBody"/>
        <w:bidi w:val="0"/>
        <w:spacing w:before="240" w:after="0"/>
        <w:jc w:val="left"/>
        <w:rPr/>
      </w:pPr>
      <w:r>
        <w:rPr/>
        <w:t>“</w:t>
      </w:r>
      <w:r>
        <w:rPr>
          <w:rFonts w:ascii="Times New Roman" w:hAnsi="Times New Roman"/>
          <w:sz w:val="20"/>
          <w:u w:val="single"/>
        </w:rPr>
        <w:t>Restricted Global Note</w:t>
      </w:r>
      <w:r>
        <w:rPr>
          <w:rFonts w:ascii="Times New Roman" w:hAnsi="Times New Roman"/>
          <w:sz w:val="20"/>
        </w:rPr>
        <w:t xml:space="preserve">” means a permanent global Note substantially in the form of </w:t>
      </w:r>
      <w:r>
        <w:rPr>
          <w:rFonts w:ascii="Times New Roman" w:hAnsi="Times New Roman"/>
          <w:sz w:val="20"/>
          <w:u w:val="single"/>
        </w:rPr>
        <w:t>Exhibit A</w:t>
      </w:r>
      <w:r>
        <w:rPr>
          <w:rFonts w:ascii="Times New Roman" w:hAnsi="Times New Roman"/>
          <w:sz w:val="20"/>
        </w:rPr>
        <w:t xml:space="preserve"> attached hereto that bears the Global Note Legend and that has the “Schedule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attached thereto, and that is deposited with or on behalf of and registered in the name of the Depositary, representing a series of Notes that bear the Restricted Notes Legend. </w:t>
      </w:r>
    </w:p>
    <w:p>
      <w:pPr>
        <w:pStyle w:val="TextBody"/>
        <w:bidi w:val="0"/>
        <w:spacing w:before="240" w:after="0"/>
        <w:jc w:val="left"/>
        <w:rPr/>
      </w:pPr>
      <w:r>
        <w:rPr/>
        <w:t>“</w:t>
      </w:r>
      <w:r>
        <w:rPr>
          <w:rFonts w:ascii="Times New Roman" w:hAnsi="Times New Roman"/>
          <w:sz w:val="20"/>
          <w:u w:val="single"/>
        </w:rPr>
        <w:t>Restricted Notes Legend</w:t>
      </w:r>
      <w:r>
        <w:rPr>
          <w:rFonts w:ascii="Times New Roman" w:hAnsi="Times New Roman"/>
          <w:sz w:val="20"/>
        </w:rPr>
        <w:t xml:space="preserve">” means the legend set forth in Section 1.02(f)(i) to be placed on all Notes issued under this Indenture except where otherwise permitted by the provisions of this Indenture.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with respect to any Restricted Global Note, means the 40 consecutive days beginning on and including the later of (i) the commencement of the offering of the Notes to persons other than distributors (as defined in Regulation S) in reliance on Regulation S and (ii) the date of the issuance of the Notes initially offered under this Indenture.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Unrestricted Definitive Note</w:t>
      </w:r>
      <w:r>
        <w:rPr>
          <w:rFonts w:ascii="Times New Roman" w:hAnsi="Times New Roman"/>
          <w:sz w:val="20"/>
        </w:rPr>
        <w:t xml:space="preserve">” means a definitive Note substantially in the form of </w:t>
      </w:r>
      <w:r>
        <w:rPr>
          <w:rFonts w:ascii="Times New Roman" w:hAnsi="Times New Roman"/>
          <w:sz w:val="20"/>
          <w:u w:val="single"/>
        </w:rPr>
        <w:t>Exhibit A</w:t>
      </w:r>
      <w:r>
        <w:rPr>
          <w:rFonts w:ascii="Times New Roman" w:hAnsi="Times New Roman"/>
          <w:sz w:val="20"/>
        </w:rPr>
        <w:t xml:space="preserve"> attached hereto that does not bear the Global Note Legend nor the “Schedule of Exchanges of Interests in the Global Note” attached thereto, and that does not bear the Restricted Notes Legend.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Unrestricted Global Note</w:t>
      </w:r>
      <w:r>
        <w:rPr>
          <w:rFonts w:ascii="Times New Roman" w:hAnsi="Times New Roman"/>
          <w:sz w:val="20"/>
        </w:rPr>
        <w:t xml:space="preserve">” means a permanent global Note substantially in the form of </w:t>
      </w:r>
      <w:r>
        <w:rPr>
          <w:rFonts w:ascii="Times New Roman" w:hAnsi="Times New Roman"/>
          <w:sz w:val="20"/>
          <w:u w:val="single"/>
        </w:rPr>
        <w:t>Exhibit A a</w:t>
      </w:r>
      <w:r>
        <w:rPr>
          <w:rFonts w:ascii="Times New Roman" w:hAnsi="Times New Roman"/>
          <w:sz w:val="20"/>
        </w:rPr>
        <w:t xml:space="preserve">ttached hereto that bears the Global Note Legend and that has the “Schedule of Exchanges of Interests in the Global Note” attached thereto, and that is deposited with or on behalf of and registered in the name of the Depositary, representing a series of Notes that do not bear the Restricted Notes Legend.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 U.S. Person as defined in Rule 902(k) of Regulation S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2.01.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One of the Base Indenture shall be amended by adding the following defined terms to Section 1.01 of the Base Indenture in appropriate alphabetical sequence, as follows: </w:t>
      </w:r>
    </w:p>
    <w:p>
      <w:pPr>
        <w:pStyle w:val="TextBody"/>
        <w:bidi w:val="0"/>
        <w:spacing w:before="240" w:after="0"/>
        <w:jc w:val="left"/>
        <w:rPr/>
      </w:pPr>
      <w:r>
        <w:rPr/>
        <w:t>“</w:t>
      </w:r>
      <w:r>
        <w:rPr>
          <w:rFonts w:ascii="Times New Roman" w:hAnsi="Times New Roman"/>
          <w:sz w:val="20"/>
          <w:u w:val="single"/>
        </w:rPr>
        <w:t>Additional Interest</w:t>
      </w:r>
      <w:r>
        <w:rPr>
          <w:rFonts w:ascii="Times New Roman" w:hAnsi="Times New Roman"/>
          <w:sz w:val="20"/>
        </w:rPr>
        <w:t xml:space="preserve">” means all additional interest then owing pursuant to the Registration Rights Agreement. </w:t>
      </w:r>
    </w:p>
    <w:p>
      <w:pPr>
        <w:pStyle w:val="TextBody"/>
        <w:bidi w:val="0"/>
        <w:spacing w:before="240" w:after="0"/>
        <w:jc w:val="left"/>
        <w:rPr/>
      </w:pPr>
      <w:r>
        <w:rPr/>
        <w:t>“</w:t>
      </w:r>
      <w:r>
        <w:rPr>
          <w:rFonts w:ascii="Times New Roman" w:hAnsi="Times New Roman"/>
          <w:sz w:val="20"/>
          <w:u w:val="single"/>
        </w:rPr>
        <w:t>Below Investment Grade Rating Event</w:t>
      </w:r>
      <w:r>
        <w:rPr>
          <w:rFonts w:ascii="Times New Roman" w:hAnsi="Times New Roman"/>
          <w:sz w:val="20"/>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hAnsi="Times New Roman"/>
          <w:i/>
          <w:sz w:val="20"/>
        </w:rPr>
        <w:t xml:space="preserve">provided </w:t>
      </w:r>
      <w:r>
        <w:rPr>
          <w:rFonts w:ascii="Times New Roman" w:hAnsi="Times New Roman"/>
          <w:sz w:val="20"/>
        </w:rPr>
        <w:t xml:space="preserve">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the Company or its Controlled Subsidiaries shall not be deemed to be any such sale, lease, transfer, conveyance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 </w:t>
      </w:r>
    </w:p>
    <w:p>
      <w:pPr>
        <w:pStyle w:val="TextBody"/>
        <w:bidi w:val="0"/>
        <w:spacing w:before="120" w:after="0"/>
        <w:jc w:val="left"/>
        <w:rPr>
          <w:rFonts w:ascii="Times New Roman" w:hAnsi="Times New Roman"/>
          <w:sz w:val="20"/>
        </w:rPr>
      </w:pPr>
      <w:r>
        <w:rPr>
          <w:rFonts w:ascii="Times New Roman" w:hAnsi="Times New Roman"/>
          <w:sz w:val="20"/>
        </w:rPr>
        <w:t xml:space="preserve">(3) the approval by the Company’s stockholders of any plan or proposal relating to the liquidation or dissolution of the Company. </w:t>
      </w:r>
    </w:p>
    <w:p>
      <w:pPr>
        <w:pStyle w:val="TextBody"/>
        <w:bidi w:val="0"/>
        <w:spacing w:before="240" w:after="0"/>
        <w:jc w:val="left"/>
        <w:rPr/>
      </w:pPr>
      <w:r>
        <w:rPr/>
        <w:t>“</w:t>
      </w:r>
      <w:r>
        <w:rPr>
          <w:rFonts w:ascii="Times New Roman" w:hAnsi="Times New Roman"/>
          <w:sz w:val="20"/>
          <w:u w:val="single"/>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also known as Fitch Ratings, or any successor thereto.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Grade</w:t>
      </w:r>
      <w:r>
        <w:rPr>
          <w:rFonts w:ascii="Times New Roman" w:hAnsi="Times New Roman"/>
          <w:sz w:val="20"/>
        </w:rPr>
        <w:t xml:space="preserv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or any successor thereto.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(i) the Company, (ii) one or more of the Company’s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Fitch, Moody’s and S&amp;P;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 </w:t>
            </w:r>
          </w:p>
        </w:tc>
      </w:tr>
    </w:tbl>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S&amp;P Global Ratings, or any successor thereto. </w:t>
      </w:r>
    </w:p>
    <w:p>
      <w:pPr>
        <w:pStyle w:val="TextBody"/>
        <w:bidi w:val="0"/>
        <w:spacing w:before="240" w:after="0"/>
        <w:jc w:val="left"/>
        <w:rPr/>
      </w:pPr>
      <w:r>
        <w:rPr/>
        <w:t>“</w:t>
      </w:r>
      <w:r>
        <w:rPr>
          <w:rFonts w:ascii="Times New Roman" w:hAnsi="Times New Roman"/>
          <w:sz w:val="20"/>
          <w:u w:val="single"/>
        </w:rPr>
        <w:t>Registered Exchange Offer</w:t>
      </w:r>
      <w:r>
        <w:rPr>
          <w:rFonts w:ascii="Times New Roman" w:hAnsi="Times New Roman"/>
          <w:sz w:val="20"/>
        </w:rPr>
        <w:t xml:space="preserve">” means the offer by the Company, pursuant to the Registration Rights Agreement, to certain Holders of Initial Notes, to issue and deliver to such Holders, in exchange for their Initial Notes, a like aggregate principal amount of Exchange Notes registered under the Securities Act. </w:t>
      </w:r>
    </w:p>
    <w:p>
      <w:pPr>
        <w:pStyle w:val="TextBody"/>
        <w:bidi w:val="0"/>
        <w:spacing w:before="240" w:after="0"/>
        <w:jc w:val="left"/>
        <w:rPr/>
      </w:pPr>
      <w:r>
        <w:rPr/>
        <w:t>“</w:t>
      </w:r>
      <w:r>
        <w:rPr>
          <w:rFonts w:ascii="Times New Roman" w:hAnsi="Times New Roman"/>
          <w:sz w:val="20"/>
          <w:u w:val="single"/>
        </w:rPr>
        <w:t>Registration Rights Agreement</w:t>
      </w:r>
      <w:r>
        <w:rPr>
          <w:rFonts w:ascii="Times New Roman" w:hAnsi="Times New Roman"/>
          <w:sz w:val="20"/>
        </w:rPr>
        <w:t xml:space="preserve">” means (a) the Registration Rights Agreement with respect to the Notes, dated as of the Issue Date, among the Company and BofA Securities, Inc., as representative of the Initial Purchasers and (b) other similar registration rights agreements relating to any Additional Notes. </w:t>
      </w:r>
    </w:p>
    <w:p>
      <w:pPr>
        <w:pStyle w:val="TextBody"/>
        <w:bidi w:val="0"/>
        <w:spacing w:before="240" w:after="0"/>
        <w:jc w:val="left"/>
        <w:rPr/>
      </w:pPr>
      <w:r>
        <w:rPr/>
        <w:t>“</w:t>
      </w:r>
      <w:r>
        <w:rPr>
          <w:rFonts w:ascii="Times New Roman" w:hAnsi="Times New Roman"/>
          <w:sz w:val="20"/>
          <w:u w:val="single"/>
        </w:rPr>
        <w:t>Shelf Registration Statement</w:t>
      </w:r>
      <w:r>
        <w:rPr>
          <w:rFonts w:ascii="Times New Roman" w:hAnsi="Times New Roman"/>
          <w:sz w:val="20"/>
        </w:rPr>
        <w:t xml:space="preserve">” means a registration statement filed by the Company in connection with the offer and sale of Initial Notes pursuant to the Registration Rights Agreement.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trustees (or the equivalent) of such Person, other than shares, interests, participations or other equivalents having such power only by reason of the occurrence of a contingency.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One of the Base Indenture shall be amended by amending and restating the definitions of “Business Day” and “Subsidiary” in Section 1.01 as follows: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with respect to any Note, any day other than a Saturday, Sunday or a day on which banking institutions in New York or the city in which the Corporate Trust Office is located are authorized or obligated by law or executive order to close.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(1) any corporation a majority of the outstanding voting stock of which is owned, directly or indirectly, by the Company or by one or more other Subsidiaries of the Company, (2) any other Person (other than a corporation) in which such Person, one or more Subsidiaries of such Person, or such Person and one or more Subsidiaries of such Person, directly or indirectly, at the date of determination thereof has a majority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ownership interest, or (3) a partnership in which such Person or Subsidiary of such Person is, at the time, a general partner and in which such Person, directly or indirectly, at the date of determination thereof has a majority ownership interest. For the purposes of this definition, “voting stock” mean stock having voting power for the election of trustees, whether at all times or only so long as no senior class of stock has such voting power by reason of any contingency. In addition, for purposes of this definition, “Subsidiary” shall exclude any investments held by the Company in the ordinary course of business which are not, under GAAP, consolidated on the financial statements of the Company and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Five of the Base Indenture shall be amended by replacing clause (i) of Section 5.01 thereof with the following: </w:t>
      </w:r>
    </w:p>
    <w:p>
      <w:pPr>
        <w:pStyle w:val="TextBody"/>
        <w:bidi w:val="0"/>
        <w:spacing w:before="120" w:after="0"/>
        <w:jc w:val="left"/>
        <w:rPr/>
      </w:pPr>
      <w:r>
        <w:rPr/>
        <w:t>“</w:t>
      </w:r>
      <w:r>
        <w:rPr>
          <w:rFonts w:ascii="Times New Roman" w:hAnsi="Times New Roman"/>
          <w:sz w:val="20"/>
        </w:rPr>
        <w:t xml:space="preserve">(i) default in the payment of any interest or Additional Interest upon any Note when such interest becomes due and payable, and continuance of such default for a period of 30 days; 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5.01 of the Base Indenture shall be amended by replacing clause (viii) thereof with the following: </w:t>
      </w:r>
    </w:p>
    <w:p>
      <w:pPr>
        <w:pStyle w:val="TextBody"/>
        <w:bidi w:val="0"/>
        <w:spacing w:before="120" w:after="0"/>
        <w:jc w:val="left"/>
        <w:rPr/>
      </w:pPr>
      <w:r>
        <w:rPr/>
        <w:t>“</w:t>
      </w:r>
      <w:r>
        <w:rPr>
          <w:rFonts w:ascii="Times New Roman" w:hAnsi="Times New Roman"/>
          <w:sz w:val="20"/>
        </w:rPr>
        <w:t xml:space="preserve">default by the Company or any of its Significant Subsidiaries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the Company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3.03.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Five of the Base Indenture shall be amended by replacing the first paragraph of Section 5.02 thereof with the following: </w:t>
      </w:r>
    </w:p>
    <w:p>
      <w:pPr>
        <w:pStyle w:val="TextBody"/>
        <w:bidi w:val="0"/>
        <w:spacing w:before="120" w:after="0"/>
        <w:jc w:val="left"/>
        <w:rPr/>
      </w:pPr>
      <w:r>
        <w:rPr/>
        <w:t>“</w:t>
      </w:r>
      <w:r>
        <w:rPr>
          <w:rFonts w:ascii="Times New Roman" w:hAnsi="Times New Roman"/>
          <w:sz w:val="20"/>
        </w:rPr>
        <w:t xml:space="preserve">If an Event of Default with respect to the Notes occurs and is continuing and a Responsible Officer of the Trustee has received written notice or has actual knowledge thereof, then and in every such case (other than an Event of Default specified in Section 5.01(v) or 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w:t>
      </w:r>
      <w:r>
        <w:rPr>
          <w:rFonts w:ascii="Times New Roman" w:hAnsi="Times New Roman"/>
          <w:i/>
          <w:sz w:val="20"/>
        </w:rPr>
        <w:t xml:space="preserve">provided </w:t>
      </w:r>
      <w:r>
        <w:rPr>
          <w:rFonts w:ascii="Times New Roman" w:hAnsi="Times New Roman"/>
          <w:sz w:val="20"/>
        </w:rPr>
        <w:t xml:space="preserve">that 100% of the principal of, and accrued and unpaid interest on, the Notes will automatically become due and payable in the case of an Event of Default specified in Section 5.01(v) or 5.01(vi) 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4.01. </w:t>
      </w:r>
      <w:r>
        <w:rPr>
          <w:rFonts w:ascii="Times New Roman" w:hAnsi="Times New Roman"/>
          <w:sz w:val="20"/>
        </w:rPr>
        <w:t xml:space="preserve">Neither the Trustee nor any Paying Agent shall be responsible (or liable)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5.01. </w:t>
      </w:r>
      <w:r>
        <w:rPr>
          <w:rFonts w:ascii="Times New Roman" w:hAnsi="Times New Roman"/>
          <w:sz w:val="20"/>
        </w:rPr>
        <w:t xml:space="preserve">Except as may be provided in a Future Supplemental Indenture, for the benefit of Holders of the Notes but no other series of Securities under the Base Indenture (as supplemented or amended from time to time by one or more indentures supplemental thereto), whether now or hereafter issued and Outstanding, Article Ten of the Base Indenture shall be amended by replacing clause (1) of Section 10.05 thereof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deliver to the Trustee within 120 days after the end of each fiscal year ending after the date hereof (which fiscal year ends on December 31), so long as any Notes are Outstanding hereunder, a brief Officers’ Certificate, that need not comply with Section 1.02, as 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knowledge of the signers of the Company’s compliance with all of the terms, provisions or conditions of this Indenture. For purposes of this Section 10.05, such compliance shall be determined without regard to any period of grace or requirement of notice under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OR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6.01.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Eight of the Base Indenture shall be amended by replacing the (ii) clause of Section 8.01 with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(ii) 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and the Registration Rights Agreement to be performed by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 </w:t>
      </w:r>
    </w:p>
    <w:p>
      <w:pPr>
        <w:pStyle w:val="TextBody"/>
        <w:bidi w:val="0"/>
        <w:spacing w:before="240" w:after="0"/>
        <w:jc w:val="left"/>
        <w:rPr/>
      </w:pPr>
      <w:r>
        <w:rPr/>
        <w:t>“</w:t>
      </w:r>
      <w:r>
        <w:rPr>
          <w:rFonts w:ascii="Times New Roman" w:hAnsi="Times New Roman"/>
          <w:sz w:val="20"/>
        </w:rPr>
        <w:t xml:space="preserve">Section 13.01.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and Additional Interest, if any, on the Notes repurchased to, but not including, the date of purchase. Within 30 days following any Change of Control Repurchase Event or, at the Company’s option, prior to any Change of Control, but after the public announcement of the Change of Control, the Company shall send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Investment Company Act, the Company shall,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(1) accept for payment all Notes or portions of Notes properly tendered pursuant to its offer; </w:t>
      </w:r>
    </w:p>
    <w:p>
      <w:pPr>
        <w:pStyle w:val="TextBody"/>
        <w:bidi w:val="0"/>
        <w:spacing w:before="240" w:after="0"/>
        <w:jc w:val="left"/>
        <w:rPr>
          <w:rFonts w:ascii="Times New Roman" w:hAnsi="Times New Roman"/>
          <w:sz w:val="20"/>
        </w:rPr>
      </w:pPr>
      <w:r>
        <w:rPr>
          <w:rFonts w:ascii="Times New Roman" w:hAnsi="Times New Roman"/>
          <w:sz w:val="20"/>
        </w:rPr>
        <w:t xml:space="preserve">(2) deposit with the Paying Agent an amount equal to the aggregate purchase price in respect of all Notes or portions of Notes properly tendered; and </w:t>
      </w:r>
    </w:p>
    <w:p>
      <w:pPr>
        <w:pStyle w:val="TextBody"/>
        <w:bidi w:val="0"/>
        <w:spacing w:before="24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hAnsi="Times New Roman"/>
          <w:i/>
          <w:sz w:val="20"/>
        </w:rPr>
        <w:t xml:space="preserve">provided </w:t>
      </w:r>
      <w:r>
        <w:rPr>
          <w:rFonts w:ascii="Times New Roman" w:hAnsi="Times New Roman"/>
          <w:sz w:val="20"/>
        </w:rPr>
        <w:t xml:space="preserve">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Repayment Date upon a Change of Control Repurchase Event falls on a day that is not a Business Day, then the required payment will be made on the next succeeding Business Day and no additional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8.01. </w:t>
      </w:r>
      <w:r>
        <w:rPr>
          <w:rFonts w:ascii="Times New Roman" w:hAnsi="Times New Roman"/>
          <w:sz w:val="20"/>
        </w:rPr>
        <w:t xml:space="preserve">This Fifth Supplemental Indenture and the Notes shall be governed by and construed in accordance with the laws of the State of New York, without regard to principles of conflicts of laws that would cause the application of laws of another jurisdiction. This Fifth Supplemental Indenture is subject to the provisions of the Trust Indenture Act that are required to be part of the Indenture and shall, to the extent applicable, be governed by such provisions. All of the provisions contained in the Indenture in respect to the rights, privileges, immunities, indemnities, protections, powers and duties of the Trustee shall be applicable in respect of this Fifth Supplemental Indenture as fully and with like effect as if set forth herein in full.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8.02. </w:t>
      </w:r>
      <w:r>
        <w:rPr>
          <w:rFonts w:ascii="Times New Roman" w:hAnsi="Times New Roman"/>
          <w:sz w:val="20"/>
        </w:rPr>
        <w:t xml:space="preserve">In case any provision in this Fifth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8.03. </w:t>
      </w:r>
      <w:r>
        <w:rPr>
          <w:rFonts w:ascii="Times New Roman" w:hAnsi="Times New Roman"/>
          <w:sz w:val="20"/>
        </w:rPr>
        <w:t xml:space="preserve">This Fifth Supplemental Indenture may be executed in counterparts, each of which will be an original, but such counterparts will together constitute but one and the same Fifth Supplemental Indenture. The exchange of copies of this Fifth Supplemental Indenture and of signature pages by facsimile, .pdf transmission, email or other electronic means shall constitute effective execution and delivery of this Fifth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this Fifth Supplemental Indenture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8.04. </w:t>
      </w:r>
      <w:r>
        <w:rPr>
          <w:rFonts w:ascii="Times New Roman" w:hAnsi="Times New Roman"/>
          <w:sz w:val="20"/>
        </w:rPr>
        <w:t xml:space="preserve">The Base Indenture, as supplemented and amended by this Fifth Supplemental Indenture, is in all respects ratified and confirmed, and the Base Indenture and this Fifth Supplemental Indenture shall be read, taken and construed as one and the same instrument with respect to the Notes. All provisions included in this Fifth Supplemental Indenture supersede any conflicting provisions included in the Base Indenture with respect to the Notes, unless not permitted by law. The Trustee accepts the trusts created by the Base Indenture, as supplemented by this Fifth Supplemental Indenture, and agrees to perform the same upon the terms and conditions of the Base Indenture, as supplemented by this Fifth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8.05. </w:t>
      </w:r>
      <w:r>
        <w:rPr>
          <w:rFonts w:ascii="Times New Roman" w:hAnsi="Times New Roman"/>
          <w:sz w:val="20"/>
        </w:rPr>
        <w:t xml:space="preserve">The provisions of this Fifth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8.06. </w:t>
      </w:r>
      <w:r>
        <w:rPr>
          <w:rFonts w:ascii="Times New Roman" w:hAnsi="Times New Roman"/>
          <w:sz w:val="20"/>
        </w:rPr>
        <w:t xml:space="preserve">Notwithstanding anything else to the contrary herein, the terms and provisions of this Fifth Supplemental Indenture shall apply only to the Notes and shall not apply to any other series of Securities under the Base Indenture (as supplemented or amended from time to time by one or more indentures supplemental thereto) and this Fifth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8.07. </w:t>
      </w:r>
      <w:r>
        <w:rPr>
          <w:rFonts w:ascii="Times New Roman" w:hAnsi="Times New Roman"/>
          <w:sz w:val="20"/>
        </w:rPr>
        <w:t xml:space="preserve">The recitals contained herein and in the Notes shall be taken as the statements of the Company, and the Trustee assumes no responsibility for their correctness. The Trustee makes no representations as to the validity or sufficiency of this Fifth Supplemental Indenture, the Notes or any Additional Notes, except that the Trustee represents that it is duly authorized to execute and deliver this Fifth Supplemental Indenture, authenticate the Notes and any Additional Notes and perform its obligations hereunder. The Trustee shall not be accountable for the use or application by the Company of the Notes or any Additional Notes or the proceeds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8.08. </w:t>
      </w: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FIFTH SUPPLEMENTAL INDENTURE, THE SECURITIES OR THE TRANSACTION CONTEMPLATED HEREBY.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Fifth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0"/>
        <w:gridCol w:w="79"/>
        <w:gridCol w:w="3493"/>
      </w:tblGrid>
      <w:tr>
        <w:trPr/>
        <w:tc>
          <w:tcPr>
            <w:tcW w:w="51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510"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 Ian T. Simmonds</w:t>
            </w:r>
          </w:p>
        </w:tc>
      </w:tr>
      <w:tr>
        <w:trPr/>
        <w:tc>
          <w:tcPr>
            <w:tcW w:w="510"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Jesse Yuen</w:t>
            </w:r>
          </w:p>
        </w:tc>
      </w:tr>
      <w:tr>
        <w:trPr/>
        <w:tc>
          <w:tcPr>
            <w:tcW w:w="510"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 Jesse Yuen</w:t>
            </w:r>
          </w:p>
        </w:tc>
      </w:tr>
      <w:tr>
        <w:trPr/>
        <w:tc>
          <w:tcPr>
            <w:tcW w:w="510"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[Fifth Supplemental Indenture 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240" w:after="0"/>
        <w:jc w:val="left"/>
        <w:rPr>
          <w:rFonts w:ascii="Times New Roman" w:hAnsi="Times New Roman"/>
          <w:b/>
          <w:sz w:val="20"/>
        </w:rPr>
      </w:pPr>
      <w:r>
        <w:rPr>
          <w:rFonts w:ascii="Times New Roman" w:hAnsi="Times New Roman"/>
          <w:b/>
          <w:sz w:val="20"/>
        </w:rPr>
        <w:t xml:space="preserve">[Insert the Restricted Notes Legend if applicable pursuant to the provisions of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0"/>
        <w:gridCol w:w="124"/>
        <w:gridCol w:w="1581"/>
      </w:tblGrid>
      <w:tr>
        <w:trPr/>
        <w:tc>
          <w:tcPr>
            <w:tcW w:w="85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8500" w:type="dxa"/>
            <w:tcBorders/>
          </w:tcPr>
          <w:p>
            <w:pPr>
              <w:pStyle w:val="TableContents"/>
              <w:bidi w:val="0"/>
              <w:spacing w:before="0" w:after="283"/>
              <w:jc w:val="left"/>
              <w:rPr/>
            </w:pPr>
            <w:r>
              <w:rPr/>
              <w:t>No. ______</w:t>
            </w:r>
          </w:p>
        </w:tc>
        <w:tc>
          <w:tcPr>
            <w:tcW w:w="124"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right"/>
              <w:rPr/>
            </w:pPr>
            <w:r>
              <w:rPr/>
              <w:t>$   </w:t>
            </w:r>
          </w:p>
        </w:tc>
      </w:tr>
      <w:tr>
        <w:trPr/>
        <w:tc>
          <w:tcPr>
            <w:tcW w:w="850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0"/>
              <w:jc w:val="left"/>
              <w:rPr>
                <w:rFonts w:ascii="Times New Roman" w:hAnsi="Times New Roman"/>
                <w:sz w:val="20"/>
              </w:rPr>
            </w:pPr>
            <w:r>
              <w:rPr>
                <w:rFonts w:ascii="Times New Roman" w:hAnsi="Times New Roman"/>
                <w:sz w:val="20"/>
              </w:rPr>
              <w:t>CUSIP No.   </w:t>
            </w:r>
          </w:p>
          <w:p>
            <w:pPr>
              <w:pStyle w:val="TableContents"/>
              <w:bidi w:val="0"/>
              <w:spacing w:before="0" w:after="20"/>
              <w:jc w:val="left"/>
              <w:rPr>
                <w:rFonts w:ascii="Times New Roman" w:hAnsi="Times New Roman"/>
                <w:sz w:val="20"/>
              </w:rPr>
            </w:pPr>
            <w:r>
              <w:rPr>
                <w:rFonts w:ascii="Times New Roman" w:hAnsi="Times New Roman"/>
                <w:sz w:val="20"/>
              </w:rPr>
              <w:t>ISIN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6.500% Notes due 2031 </w:t>
      </w:r>
    </w:p>
    <w:p>
      <w:pPr>
        <w:pStyle w:val="TextBody"/>
        <w:bidi w:val="0"/>
        <w:spacing w:before="240" w:after="0"/>
        <w:jc w:val="left"/>
        <w:rPr>
          <w:rFonts w:ascii="Times New Roman" w:hAnsi="Times New Roman"/>
          <w:sz w:val="20"/>
        </w:rPr>
      </w:pPr>
      <w:r>
        <w:rPr>
          <w:rFonts w:ascii="Times New Roman" w:hAnsi="Times New Roman"/>
          <w:sz w:val="20"/>
        </w:rPr>
        <w:t>Sixth Street Lending Partners, a Delaware statutory trust duly organized and existing under the laws of Delaware (herein called the “</w:t>
      </w:r>
      <w:r>
        <w:rPr>
          <w:rFonts w:ascii="Times New Roman" w:hAnsi="Times New Roman"/>
          <w:sz w:val="20"/>
          <w:u w:val="single"/>
        </w:rPr>
        <w:t>Company</w:t>
      </w:r>
      <w:r>
        <w:rPr>
          <w:rFonts w:ascii="Times New Roman" w:hAnsi="Times New Roman"/>
          <w:sz w:val="20"/>
        </w:rPr>
        <w:t xml:space="preserve">”, which term includes any successor Person under the Indenture hereinafter referred to), for value received, hereby promises to pay to Cede &amp; Co., or registered assigns, the principal sum of </w:t>
      </w:r>
      <w:r>
        <w:rPr>
          <w:rFonts w:ascii="Times New Roman" w:hAnsi="Times New Roman"/>
          <w:sz w:val="20"/>
          <w:u w:val="single"/>
        </w:rPr>
        <w:t>    </w:t>
      </w:r>
      <w:r>
        <w:rPr>
          <w:rFonts w:ascii="Times New Roman" w:hAnsi="Times New Roman"/>
          <w:sz w:val="20"/>
        </w:rPr>
        <w:t>(U.S. $</w:t>
      </w:r>
      <w:r>
        <w:rPr>
          <w:rFonts w:ascii="Times New Roman" w:hAnsi="Times New Roman"/>
          <w:sz w:val="20"/>
          <w:u w:val="single"/>
        </w:rPr>
        <w:t xml:space="preserve">     </w:t>
      </w:r>
      <w:r>
        <w:rPr>
          <w:rFonts w:ascii="Times New Roman" w:hAnsi="Times New Roman"/>
          <w:sz w:val="20"/>
        </w:rPr>
        <w:t xml:space="preserve">) on December 15, 2031 and to pay interest thereon from September 21, 2026, or from the most recent Interest Payment Date to which interest has been paid or duly provided for, semi-annually on June 15 and December 15 of each year, commencing December 15, 2026, at the rate of 6.500%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June 1 and December 1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on) and any such interest on this Security will be made at the office of the Trustee located at One Federal Street, 3rd Floor, Boston, MA 02110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this Security is registered to Cede &amp; Co., such payment will be made by wire transfer in accordance with the procedures established by The Depository Trust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21,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pPr>
            <w:r>
              <w:rPr/>
              <w:t> </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Ian T. Simmonds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21,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4"/>
        <w:gridCol w:w="113"/>
        <w:gridCol w:w="3335"/>
      </w:tblGrid>
      <w:tr>
        <w:trPr/>
        <w:tc>
          <w:tcPr>
            <w:tcW w:w="63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3335"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 OF NOTE]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6.500% Notes due 2031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sz w:val="20"/>
          <w:u w:val="single"/>
        </w:rPr>
        <w:t>Securities</w:t>
      </w:r>
      <w:r>
        <w:rPr>
          <w:rFonts w:ascii="Times New Roman" w:hAnsi="Times New Roman"/>
          <w:sz w:val="20"/>
        </w:rPr>
        <w:t>”), issued and to be issued in one or more series under an Indenture, dated as of March 11, 2024 (herein called the “</w:t>
      </w:r>
      <w:r>
        <w:rPr>
          <w:rFonts w:ascii="Times New Roman" w:hAnsi="Times New Roman"/>
          <w:sz w:val="20"/>
          <w:u w:val="single"/>
        </w:rPr>
        <w:t>Base Indenture</w:t>
      </w:r>
      <w:r>
        <w:rPr>
          <w:rFonts w:ascii="Times New Roman" w:hAnsi="Times New Roman"/>
          <w:sz w:val="20"/>
        </w:rPr>
        <w:t>”, which term shall have the meaning assigned to it in such instrument), between the Company and U.S. Bank Trust Company, National Association, as Trustee (herein called the “</w:t>
      </w:r>
      <w:r>
        <w:rPr>
          <w:rFonts w:ascii="Times New Roman" w:hAnsi="Times New Roman"/>
          <w:sz w:val="20"/>
          <w:u w:val="single"/>
        </w:rPr>
        <w:t>Trustee</w:t>
      </w:r>
      <w:r>
        <w:rPr>
          <w:rFonts w:ascii="Times New Roman" w:hAnsi="Times New Roman"/>
          <w:sz w:val="20"/>
        </w:rPr>
        <w:t>”, which term includes any successor trustee under the Base Indenture), and reference is hereby made to the Base Indenture for a statement of the respective rights, limitations of rights, duties and immunities thereunder of the Company, the Trustee</w:t>
      </w:r>
      <w:r>
        <w:rPr>
          <w:rFonts w:ascii="Times New Roman" w:hAnsi="Times New Roman"/>
          <w:b/>
          <w:sz w:val="20"/>
        </w:rPr>
        <w:t xml:space="preserve">, </w:t>
      </w:r>
      <w:r>
        <w:rPr>
          <w:rFonts w:ascii="Times New Roman" w:hAnsi="Times New Roman"/>
          <w:sz w:val="20"/>
        </w:rPr>
        <w:t>and the Holders of the Securities and of the terms upon which the Securities are, and are to be, authenticated and delivered, as amended and supplemented by the Fifth Supplemental Indenture, relating to the Securities, dated as of September 21, 2026, by and between the Company and the Trustee (herein called the “</w:t>
      </w:r>
      <w:r>
        <w:rPr>
          <w:rFonts w:ascii="Times New Roman" w:hAnsi="Times New Roman"/>
          <w:sz w:val="20"/>
          <w:u w:val="single"/>
        </w:rPr>
        <w:t>Fifth Supplemental Indenture</w:t>
      </w:r>
      <w:r>
        <w:rPr>
          <w:rFonts w:ascii="Times New Roman" w:hAnsi="Times New Roman"/>
          <w:sz w:val="20"/>
        </w:rPr>
        <w:t>”, and the Fifth Supplemental Indenture and the Base Indenture collectively are herein called the “</w:t>
      </w:r>
      <w:r>
        <w:rPr>
          <w:rFonts w:ascii="Times New Roman" w:hAnsi="Times New Roman"/>
          <w:sz w:val="20"/>
          <w:u w:val="single"/>
        </w:rPr>
        <w:t>Indenture</w:t>
      </w:r>
      <w:r>
        <w:rPr>
          <w:rFonts w:ascii="Times New Roman" w:hAnsi="Times New Roman"/>
          <w:sz w:val="20"/>
        </w:rPr>
        <w:t xml:space="preserve">”). In the event of any conflict between the Base Indenture and the Fifth Supplemental Indenture, the Fifth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This Security is one of the series designated on the face hereof, initially limited in aggregate principal amount to $___.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 w:hAnsi="Times New Roman"/>
          <w:sz w:val="20"/>
          <w:u w:val="single"/>
        </w:rPr>
        <w:t>Additional Securities</w:t>
      </w:r>
      <w:r>
        <w:rPr>
          <w:rFonts w:ascii="Times New Roman" w:hAnsi="Times New Roman"/>
          <w:sz w:val="20"/>
        </w:rPr>
        <w:t xml:space="preserve">”) having the same ranking and the same interest rate, maturity, CUSIP number and other terms as the Securities, provided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subject to redemption prior to November 15, 2031 (one month prior to the maturity of the Notes) (the “Par Call Date”) in whole or in part at any time or from time to time, at the option of the Company,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(A) (1)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30 basis points less (2)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(B)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on or after the Par Call Date, the Company may redeem some or all of the Securities, at any time and from time to time, at a Redemption Price equal to 100% of the principal amount of the Securities to be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of the Notes,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Actions and determinations made by the Company with respect to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the Securities to be redeemed, at the Holder’s address appearing in the Security Register.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the Company’s option to redeem the Securities will be done in compliance with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only a portion of the Securities, selection of the particular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have the right to require the Company to repurchase their Securities upon the occurrence of a Change of Control Repurchase Event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and Additional Interest on the Securities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shall be entitled to the benefits of a Registration Rights Agreement, dated as of the Issue Date, among the Company and BofA Securities, Inc., as representative of the Initial Purchasers.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The initial outstanding principal amount of this Global Note is $</w:t>
      </w:r>
      <w:r>
        <w:rPr>
          <w:rFonts w:ascii="Times New Roman" w:hAnsi="Times New Roman"/>
          <w:sz w:val="20"/>
          <w:u w:val="single"/>
        </w:rPr>
        <w:t xml:space="preserve">    </w:t>
      </w:r>
      <w:r>
        <w:rPr>
          <w:rFonts w:ascii="Times New Roman" w:hAnsi="Times New Roman"/>
          <w:sz w:val="20"/>
        </w:rPr>
        <w:t xml:space="preserve">. 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Date of</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0"/>
              <w:jc w:val="center"/>
              <w:rPr>
                <w:rFonts w:ascii="Times New Roman" w:hAnsi="Times New Roman"/>
                <w:sz w:val="16"/>
              </w:rPr>
            </w:pPr>
            <w:r>
              <w:rPr>
                <w:rFonts w:ascii="Times New Roman" w:hAnsi="Times New Roman"/>
                <w:sz w:val="16"/>
              </w:rPr>
              <w:t>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2"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w:t>
            </w:r>
          </w:p>
          <w:p>
            <w:pPr>
              <w:pStyle w:val="TableContents"/>
              <w:bidi w:val="0"/>
              <w:spacing w:before="0" w:after="0"/>
              <w:jc w:val="center"/>
              <w:rPr>
                <w:rFonts w:ascii="Times New Roman" w:hAnsi="Times New Roman"/>
                <w:sz w:val="16"/>
              </w:rPr>
            </w:pPr>
            <w:r>
              <w:rPr>
                <w:rFonts w:ascii="Times New Roman" w:hAnsi="Times New Roman"/>
                <w:sz w:val="16"/>
              </w:rPr>
              <w:t>officer of Trustee</w:t>
            </w:r>
          </w:p>
          <w:p>
            <w:pPr>
              <w:pStyle w:val="TableContents"/>
              <w:bidi w:val="0"/>
              <w:spacing w:before="0" w:after="0"/>
              <w:jc w:val="center"/>
              <w:rPr>
                <w:rFonts w:ascii="Times New Roman" w:hAnsi="Times New Roman"/>
                <w:sz w:val="16"/>
              </w:rPr>
            </w:pPr>
            <w:r>
              <w:rPr>
                <w:rFonts w:ascii="Times New Roman" w:hAnsi="Times New Roman"/>
                <w:sz w:val="16"/>
              </w:rPr>
              <w:t>or Note</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 Form of Certificate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Ste 1100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rFonts w:ascii="Times New Roman" w:hAnsi="Times New Roman"/>
          <w:sz w:val="20"/>
        </w:rPr>
      </w:pPr>
      <w:r>
        <w:rPr>
          <w:rFonts w:ascii="Times New Roman" w:hAnsi="Times New Roman"/>
          <w:sz w:val="20"/>
        </w:rPr>
        <w:t xml:space="preserve">One Federal Street, 3rd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Fax No.: (617) 603-6665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Services Re: 6.500% Notes due 2031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March 11, 2024, as supplemented by the Fifth Supplemental Indenture, dated as of September 21, 2026 (together, the “</w:t>
      </w:r>
      <w:r>
        <w:rPr>
          <w:rFonts w:ascii="Times New Roman" w:hAnsi="Times New Roman"/>
          <w:sz w:val="20"/>
          <w:u w:val="single"/>
        </w:rPr>
        <w:t>Indenture</w:t>
      </w:r>
      <w:r>
        <w:rPr>
          <w:rFonts w:ascii="Times New Roman" w:hAnsi="Times New Roman"/>
          <w:sz w:val="20"/>
        </w:rPr>
        <w:t>”), between Sixth Street Lending Partners, as issuer (the “</w:t>
      </w:r>
      <w:r>
        <w:rPr>
          <w:rFonts w:ascii="Times New Roman" w:hAnsi="Times New Roman"/>
          <w:sz w:val="20"/>
          <w:u w:val="single"/>
        </w:rPr>
        <w:t>Company</w:t>
      </w:r>
      <w:r>
        <w:rPr>
          <w:rFonts w:ascii="Times New Roman" w:hAnsi="Times New Roman"/>
          <w:sz w:val="20"/>
        </w:rPr>
        <w:t xml:space="preserve">”), and U.S. Bank Trust Company, National Association, as trustee.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w:t>
      </w:r>
      <w:r>
        <w:rPr>
          <w:rFonts w:ascii="Times New Roman" w:hAnsi="Times New Roman"/>
          <w:sz w:val="20"/>
          <w:u w:val="single"/>
        </w:rPr>
        <w:t>Transferor</w:t>
      </w:r>
      <w:r>
        <w:rPr>
          <w:rFonts w:ascii="Times New Roman" w:hAnsi="Times New Roman"/>
          <w:sz w:val="20"/>
        </w:rPr>
        <w:t>”) owns and proposes to transfer the Note[s] or interest in such Note[s] specified in Annex A hereto, in the principal amount of $</w:t>
      </w:r>
      <w:r>
        <w:rPr>
          <w:rFonts w:ascii="Times New Roman" w:hAnsi="Times New Roman"/>
          <w:sz w:val="20"/>
          <w:u w:val="single"/>
        </w:rPr>
        <w:t xml:space="preserve">   </w:t>
      </w:r>
      <w:r>
        <w:rPr>
          <w:rFonts w:ascii="Times New Roman" w:hAnsi="Times New Roman"/>
          <w:sz w:val="20"/>
        </w:rPr>
        <w:t>in such Note[s] or interests (the “Transfer”), to</w:t>
      </w:r>
      <w:r>
        <w:rPr>
          <w:rFonts w:ascii="Times New Roman" w:hAnsi="Times New Roman"/>
          <w:sz w:val="20"/>
          <w:u w:val="single"/>
        </w:rPr>
        <w:t xml:space="preserve">     </w:t>
      </w:r>
      <w:r>
        <w:rPr>
          <w:rFonts w:ascii="Times New Roman" w:hAnsi="Times New Roman"/>
          <w:sz w:val="20"/>
        </w:rPr>
        <w:t>(the “</w:t>
      </w:r>
      <w:r>
        <w:rPr>
          <w:rFonts w:ascii="Times New Roman" w:hAnsi="Times New Roman"/>
          <w:sz w:val="20"/>
          <w:u w:val="single"/>
        </w:rPr>
        <w:t>Transferee</w:t>
      </w:r>
      <w:r>
        <w:rPr>
          <w:rFonts w:ascii="Times New Roman" w:hAnsi="Times New Roman"/>
          <w:sz w:val="20"/>
        </w:rPr>
        <w:t xml:space="preserve">”), as further specified in Annex A hereto. In connection with the Transfer, the Transferor hereby certifies that: </w:t>
      </w:r>
    </w:p>
    <w:p>
      <w:pPr>
        <w:pStyle w:val="TextBody"/>
        <w:bidi w:val="0"/>
        <w:spacing w:before="240" w:after="0"/>
        <w:jc w:val="center"/>
        <w:rPr>
          <w:rFonts w:ascii="Times New Roman" w:hAnsi="Times New Roman"/>
          <w:sz w:val="20"/>
        </w:rPr>
      </w:pPr>
      <w:r>
        <w:rPr>
          <w:rFonts w:ascii="Times New Roman" w:hAnsi="Times New Roman"/>
          <w:sz w:val="20"/>
        </w:rPr>
        <w:t xml:space="preserve">[CHECK ALL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 w:hAnsi="Times New Roman"/>
                <w:sz w:val="20"/>
                <w:u w:val="single"/>
              </w:rPr>
              <w:t>Securities Act</w:t>
            </w:r>
            <w:r>
              <w:rPr>
                <w:rFonts w:ascii="Times New Roman" w:hAnsi="Times New Roman"/>
                <w:sz w:val="20"/>
              </w:rPr>
              <w:t xml:space="preserve">”),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Restricted Notes Legend printed on the 144A Global Note and/or the Definitive Note and in the Indenture and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IF TRANSFEREE WILL TAKE DELIVERY OF A BENEFICIAL INTEREST IN THE REGULATION S GLOBAL NOTE OR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Restricted Notes Legend printed on the Regulation S Global Note and/or Definitive Note and in the Indenture and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AND COMPLETE IF TRANSFEREE WILL TAKE DELIVERY OF A BENEFICIAL INTEREST IN A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such Transfer is being effected to the Company or a subsidiary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IF TRANSFEREE WILL TAKE DELIVERY OF A BENEFICIAL INTEREST IN AN UNRESTRICTED GLOBAL NOTE OR OF AN UNRESTRICTED DEFINITIVE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Restricted Notes Legend printed on the Restricted Global Notes or Restricted Definitive Notes and in the Indenture.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28"/>
        <w:gridCol w:w="60"/>
        <w:gridCol w:w="867"/>
        <w:gridCol w:w="60"/>
        <w:gridCol w:w="2767"/>
      </w:tblGrid>
      <w:tr>
        <w:trPr/>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lineRule="atLeast" w:line="142" w:before="0" w:after="40"/>
              <w:jc w:val="left"/>
              <w:rPr>
                <w:bdr w:val="single" w:sz="2" w:space="1" w:color="000000"/>
              </w:rPr>
            </w:pPr>
            <w:r>
              <w:rPr>
                <w:bdr w:val="single" w:sz="2" w:space="1" w:color="000000"/>
              </w:rPr>
              <w:t> </w:t>
            </w:r>
          </w:p>
        </w:tc>
      </w:tr>
      <w:tr>
        <w:trPr/>
        <w:tc>
          <w:tcPr>
            <w:tcW w:w="1255" w:type="dxa"/>
            <w:gridSpan w:val="3"/>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pPr>
            <w:r>
              <w:rPr/>
              <w:t>[Insert Name of Transferor]</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4"/>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94" w:type="dxa"/>
            <w:gridSpan w:val="3"/>
            <w:tcBorders/>
          </w:tcPr>
          <w:p>
            <w:pPr>
              <w:pStyle w:val="TableContents"/>
              <w:pBdr>
                <w:bottom w:val="single" w:sz="2" w:space="1" w:color="000000"/>
              </w:pBdr>
              <w:bidi w:val="0"/>
              <w:spacing w:before="0" w:after="20"/>
              <w:jc w:val="left"/>
              <w:rPr/>
            </w:pPr>
            <w:r>
              <w:rPr/>
              <w:t> </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xml:space="preserve">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TO CERTIFICATE OF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Transferor owns and proposes to transfer the following: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 144A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 Regulation S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 Unrestricted Global Note (CUSIP</w:t>
            </w:r>
            <w:r>
              <w:rPr>
                <w:rFonts w:ascii="Times New Roman" w:hAnsi="Times New Roman"/>
                <w:sz w:val="20"/>
                <w:u w:val="single"/>
              </w:rPr>
              <w:t xml:space="preserve">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Transfer the Transferee will hold: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 144A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 Regulation S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 Unrestricted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a Restricted Definitive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an Unrestricted Definitive Note, in accordance with the terms of the Indenture.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 Form of Certificate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Ste 1100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rFonts w:ascii="Times New Roman" w:hAnsi="Times New Roman"/>
          <w:sz w:val="20"/>
        </w:rPr>
      </w:pPr>
      <w:r>
        <w:rPr>
          <w:rFonts w:ascii="Times New Roman" w:hAnsi="Times New Roman"/>
          <w:sz w:val="20"/>
        </w:rPr>
        <w:t xml:space="preserve">One Federal Street, 3rd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Telecopier No.: (617) 603-6665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Services </w:t>
      </w:r>
    </w:p>
    <w:p>
      <w:pPr>
        <w:pStyle w:val="TextBody"/>
        <w:bidi w:val="0"/>
        <w:spacing w:before="240" w:after="0"/>
        <w:jc w:val="left"/>
        <w:rPr>
          <w:rFonts w:ascii="Times New Roman" w:hAnsi="Times New Roman"/>
          <w:sz w:val="20"/>
        </w:rPr>
      </w:pPr>
      <w:r>
        <w:rPr>
          <w:rFonts w:ascii="Times New Roman" w:hAnsi="Times New Roman"/>
          <w:sz w:val="20"/>
        </w:rPr>
        <w:t xml:space="preserve">Re: 6.500% Notes due 2031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March 11, 2024, as supplemented by the Fifth Supplemental Indenture, dated as of September 21, 2026 (together, the “</w:t>
      </w:r>
      <w:r>
        <w:rPr>
          <w:rFonts w:ascii="Times New Roman" w:hAnsi="Times New Roman"/>
          <w:sz w:val="20"/>
          <w:u w:val="single"/>
        </w:rPr>
        <w:t>Indenture</w:t>
      </w:r>
      <w:r>
        <w:rPr>
          <w:rFonts w:ascii="Times New Roman" w:hAnsi="Times New Roman"/>
          <w:sz w:val="20"/>
        </w:rPr>
        <w:t>”), between Sixth Street Lending Partners, as issuer (the “</w:t>
      </w:r>
      <w:r>
        <w:rPr>
          <w:rFonts w:ascii="Times New Roman" w:hAnsi="Times New Roman"/>
          <w:sz w:val="20"/>
          <w:u w:val="single"/>
        </w:rPr>
        <w:t>Company</w:t>
      </w:r>
      <w:r>
        <w:rPr>
          <w:rFonts w:ascii="Times New Roman" w:hAnsi="Times New Roman"/>
          <w:sz w:val="20"/>
        </w:rPr>
        <w:t xml:space="preserve">”), and U.S. Bank Trust Company, National Association, as trustee.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“Owner”) owns and proposes to exchange the Note[s] or interest in such Note[s] specified herein, in the principal amount of $</w:t>
      </w:r>
      <w:r>
        <w:rPr>
          <w:rFonts w:ascii="Times New Roman" w:hAnsi="Times New Roman"/>
          <w:sz w:val="20"/>
          <w:u w:val="single"/>
        </w:rPr>
        <w:t xml:space="preserve">    </w:t>
      </w:r>
      <w:r>
        <w:rPr>
          <w:rFonts w:ascii="Times New Roman" w:hAnsi="Times New Roman"/>
          <w:sz w:val="20"/>
        </w:rPr>
        <w:t>in such Note[s] or interests (the “</w:t>
      </w:r>
      <w:r>
        <w:rPr>
          <w:rFonts w:ascii="Times New Roman" w:hAnsi="Times New Roman"/>
          <w:sz w:val="20"/>
          <w:u w:val="single"/>
        </w:rPr>
        <w:t>Exchange</w:t>
      </w:r>
      <w:r>
        <w:rPr>
          <w:rFonts w:ascii="Times New Roman" w:hAnsi="Times New Roman"/>
          <w:sz w:val="20"/>
        </w:rPr>
        <w:t xml:space="preserve">”). In connection with the Exchange, the Owner hereby certifies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OF RESTRICTED DEFINITIVE NOTES OR BENEFICIAL INTERESTS IN A RESTRICTED GLOBAL NOTE FOR UNRESTRICTED DEFINITIVE NOTES OR BENEFICIAL INTERESTS IN AN UNRESTRICTED GLOBAL NOTE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Restricted Notes Legend are not required in order to maintain compliance with the Securities Act and (iv) the beneficial interest in an Unrestricted Global Note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Restricted Notes Legend are not required in order to maintain compliance with the Securities Act and (iv) the Definitive Note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beneficial interest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Unrestricted Definitive Note is being acquired in compliance with any applicable blue sky securities laws of any state of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OF RESTRICTED DEFINITIVE NOTES OR BENEFICIAL INTERESTS IN RESTRICTED GLOBAL NOTES FOR RESTRICTED DEFINITIVE NOTES OR BENEFICIAL INTERESTS IN RESTRICTED GLOBAL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Restricted Notes Legend printed on the Restricted Definitive Note and in the Indenture and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 ] CHECK IF EXCHANGE IS FROM RESTRICTED DEFINITIVE NOTE TO BENEFICIAL INTEREST IN A RESTRICTED GLOBAL NOTE. In connection with the Exchange of the Owner’s Restricted Definitive Note for a beneficial interest in a Restricted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Restricted Notes Legend printed on the relevant Restricted Global Note and in the Indenture and the Securities Act.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4.2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28"/>
        <w:gridCol w:w="60"/>
        <w:gridCol w:w="867"/>
        <w:gridCol w:w="60"/>
        <w:gridCol w:w="2767"/>
      </w:tblGrid>
      <w:tr>
        <w:trPr/>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lineRule="atLeast" w:line="142" w:before="0" w:after="40"/>
              <w:jc w:val="left"/>
              <w:rPr>
                <w:bdr w:val="single" w:sz="2" w:space="1" w:color="000000"/>
              </w:rPr>
            </w:pPr>
            <w:r>
              <w:rPr>
                <w:bdr w:val="single" w:sz="2" w:space="1" w:color="000000"/>
              </w:rPr>
              <w:t> </w:t>
            </w:r>
          </w:p>
        </w:tc>
      </w:tr>
      <w:tr>
        <w:trPr/>
        <w:tc>
          <w:tcPr>
            <w:tcW w:w="1255" w:type="dxa"/>
            <w:gridSpan w:val="3"/>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pPr>
            <w:r>
              <w:rPr/>
              <w:t>[Insert Name of Transferor]</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4"/>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94" w:type="dxa"/>
            <w:gridSpan w:val="3"/>
            <w:tcBorders/>
          </w:tcPr>
          <w:p>
            <w:pPr>
              <w:pStyle w:val="TableContents"/>
              <w:pBdr>
                <w:bottom w:val="single" w:sz="2" w:space="1" w:color="000000"/>
              </w:pBdr>
              <w:bidi w:val="0"/>
              <w:spacing w:before="0" w:after="20"/>
              <w:jc w:val="left"/>
              <w:rPr/>
            </w:pPr>
            <w:r>
              <w:rPr/>
              <w:t> </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p>
    <w:p>
      <w:pPr>
        <w:pStyle w:val="TextBody"/>
        <w:bidi w:val="0"/>
        <w:spacing w:before="0" w:after="0"/>
        <w:jc w:val="right"/>
        <w:rPr>
          <w:rFonts w:ascii="Times New Roman" w:hAnsi="Times New Roman"/>
          <w:sz w:val="20"/>
        </w:rPr>
      </w:pPr>
      <w:bookmarkStart w:id="4" w:name="d422629dex44.htm"/>
      <w:bookmarkStart w:id="5" w:name="ksd422629dex44"/>
      <w:bookmarkEnd w:id="4"/>
      <w:bookmarkEnd w:id="5"/>
      <w:r>
        <w:rPr>
          <w:rFonts w:ascii="Times New Roman" w:hAnsi="Times New Roman"/>
          <w:b/>
          <w:i/>
          <w:sz w:val="20"/>
        </w:rPr>
        <w:t>Exhibit 4.4</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September 21, 2026, by and among Sixth Street Lending Partners, a Delaware statutory trust (the “</w:t>
      </w:r>
      <w:r>
        <w:rPr>
          <w:rFonts w:ascii="Times New Roman" w:hAnsi="Times New Roman"/>
          <w:b/>
          <w:i/>
          <w:sz w:val="20"/>
        </w:rPr>
        <w:t>Company</w:t>
      </w:r>
      <w:r>
        <w:rPr>
          <w:rFonts w:ascii="Times New Roman" w:hAnsi="Times New Roman"/>
          <w:sz w:val="20"/>
        </w:rPr>
        <w:t>”), and BofA Securities, Inc., as the representative (the “</w:t>
      </w:r>
      <w:r>
        <w:rPr>
          <w:rFonts w:ascii="Times New Roman" w:hAnsi="Times New Roman"/>
          <w:b/>
          <w:i/>
          <w:sz w:val="20"/>
        </w:rPr>
        <w:t>Representative</w:t>
      </w:r>
      <w:r>
        <w:rPr>
          <w:rFonts w:ascii="Times New Roman" w:hAnsi="Times New Roman"/>
          <w:sz w:val="20"/>
        </w:rPr>
        <w:t>”) to the other several initial purchasers (collectively, the “</w:t>
      </w:r>
      <w:r>
        <w:rPr>
          <w:rFonts w:ascii="Times New Roman" w:hAnsi="Times New Roman"/>
          <w:b/>
          <w:i/>
          <w:sz w:val="20"/>
        </w:rPr>
        <w:t>Initial Purchasers</w:t>
      </w:r>
      <w:r>
        <w:rPr>
          <w:rFonts w:ascii="Times New Roman" w:hAnsi="Times New Roman"/>
          <w:sz w:val="20"/>
        </w:rPr>
        <w:t>”) of $750,000,000 aggregate principal amount of the Company’s 6.500% Notes due 2031 (the “</w:t>
      </w:r>
      <w:r>
        <w:rPr>
          <w:rFonts w:ascii="Times New Roman" w:hAnsi="Times New Roman"/>
          <w:b/>
          <w:i/>
          <w:sz w:val="20"/>
        </w:rPr>
        <w:t>Notes</w:t>
      </w:r>
      <w:r>
        <w:rPr>
          <w:rFonts w:ascii="Times New Roman" w:hAnsi="Times New Roman"/>
          <w:sz w:val="20"/>
        </w:rPr>
        <w:t xml:space="preserve">”) listed on Schedule 1 to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Purchase Agreement, dated as of September 14, 2026 (the “</w:t>
      </w:r>
      <w:r>
        <w:rPr>
          <w:rFonts w:ascii="Times New Roman" w:hAnsi="Times New Roman"/>
          <w:b/>
          <w:i/>
          <w:sz w:val="20"/>
        </w:rPr>
        <w:t>Purchase Agreement</w:t>
      </w:r>
      <w:r>
        <w:rPr>
          <w:rFonts w:ascii="Times New Roman" w:hAnsi="Times New Roman"/>
          <w:sz w:val="20"/>
        </w:rPr>
        <w:t xml:space="preserve">”),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120" w:after="0"/>
        <w:jc w:val="left"/>
        <w:rPr>
          <w:rFonts w:ascii="Times New Roman" w:hAnsi="Times New Roman"/>
          <w:sz w:val="20"/>
        </w:rPr>
      </w:pPr>
      <w:r>
        <w:rPr>
          <w:rFonts w:ascii="Times New Roman" w:hAnsi="Times New Roman"/>
          <w:b/>
          <w:i/>
          <w:sz w:val="20"/>
        </w:rPr>
        <w:t>Additional Interest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i/>
          <w:sz w:val="20"/>
        </w:rPr>
        <w:t xml:space="preserve">: </w:t>
      </w:r>
      <w:r>
        <w:rPr>
          <w:rFonts w:ascii="Times New Roman" w:hAnsi="Times New Roman"/>
          <w:sz w:val="20"/>
        </w:rPr>
        <w:t xml:space="preserve">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Broker-Dealer</w:t>
      </w:r>
      <w:r>
        <w:rPr>
          <w:rFonts w:ascii="Times New Roman" w:hAnsi="Times New Roman"/>
          <w:i/>
          <w:sz w:val="20"/>
        </w:rPr>
        <w:t xml:space="preserve">: </w:t>
      </w:r>
      <w:r>
        <w:rPr>
          <w:rFonts w:ascii="Times New Roman" w:hAnsi="Times New Roman"/>
          <w:sz w:val="20"/>
        </w:rPr>
        <w:t xml:space="preserve">Any broker or dealer registered under the Exchange Act.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i/>
          <w:sz w:val="20"/>
        </w:rPr>
        <w:t>:</w:t>
      </w:r>
      <w:r>
        <w:rPr>
          <w:rFonts w:ascii="Times New Roman" w:hAnsi="Times New Roman"/>
          <w:sz w:val="20"/>
        </w:rPr>
        <w:t xml:space="preserve"> Any day other than a Saturday, Sunday or U.S. federal holiday or a day on which banking institutions or trust companies located in New York, New York are authorized or obligated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i/>
          <w:sz w:val="20"/>
        </w:rPr>
        <w:t xml:space="preserve">: </w:t>
      </w:r>
      <w:r>
        <w:rPr>
          <w:rFonts w:ascii="Times New Roman" w:hAnsi="Times New Roman"/>
          <w:sz w:val="20"/>
        </w:rPr>
        <w:t xml:space="preserve">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i/>
          <w:sz w:val="20"/>
        </w:rPr>
        <w:t xml:space="preserve">: </w:t>
      </w:r>
      <w:r>
        <w:rPr>
          <w:rFonts w:ascii="Times New Roman" w:hAnsi="Times New Roman"/>
          <w:sz w:val="20"/>
        </w:rPr>
        <w:t xml:space="preserve">A registered Exchange Offer shall be deemed “Consummated” for purposes of this Agreement upon the occurrence of (i) the filing 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i/>
          <w:sz w:val="20"/>
        </w:rPr>
        <w:t xml:space="preserve">: </w:t>
      </w:r>
      <w:r>
        <w:rPr>
          <w:rFonts w:ascii="Times New Roman" w:hAnsi="Times New Roman"/>
          <w:sz w:val="20"/>
        </w:rPr>
        <w:t xml:space="preserve">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Offer</w:t>
      </w:r>
      <w:r>
        <w:rPr>
          <w:rFonts w:ascii="Times New Roman" w:hAnsi="Times New Roman"/>
          <w:i/>
          <w:sz w:val="20"/>
        </w:rPr>
        <w:t xml:space="preserve">: </w:t>
      </w:r>
      <w:r>
        <w:rPr>
          <w:rFonts w:ascii="Times New Roman" w:hAnsi="Times New Roman"/>
          <w:sz w:val="20"/>
        </w:rPr>
        <w:t xml:space="preserve">The registration by the Company under the Securities Act of the Exchange Notes pursuant to a Registration Statement pursuant 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i/>
          <w:sz w:val="20"/>
        </w:rPr>
        <w:t xml:space="preserve">: </w:t>
      </w:r>
      <w:r>
        <w:rPr>
          <w:rFonts w:ascii="Times New Roman" w:hAnsi="Times New Roman"/>
          <w:sz w:val="20"/>
        </w:rPr>
        <w:t xml:space="preserve">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Exchange Notes</w:t>
      </w:r>
      <w:r>
        <w:rPr>
          <w:rFonts w:ascii="Times New Roman" w:hAnsi="Times New Roman"/>
          <w:i/>
          <w:sz w:val="20"/>
        </w:rPr>
        <w:t xml:space="preserve">: </w:t>
      </w:r>
      <w:r>
        <w:rPr>
          <w:rFonts w:ascii="Times New Roman" w:hAnsi="Times New Roman"/>
          <w:sz w:val="20"/>
        </w:rPr>
        <w:t xml:space="preserve">The 6.500% Notes due 2031 of the same series under the Indenture as the Notes, to be issued to Holders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i/>
          <w:sz w:val="20"/>
        </w:rPr>
        <w:t>:</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i/>
          <w:sz w:val="20"/>
        </w:rPr>
        <w:t xml:space="preserve">: </w:t>
      </w:r>
      <w:r>
        <w:rPr>
          <w:rFonts w:ascii="Times New Roman" w:hAnsi="Times New Roman"/>
          <w:sz w:val="20"/>
        </w:rPr>
        <w:t xml:space="preserve">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Indenture</w:t>
      </w:r>
      <w:r>
        <w:rPr>
          <w:rFonts w:ascii="Times New Roman" w:hAnsi="Times New Roman"/>
          <w:i/>
          <w:sz w:val="20"/>
        </w:rPr>
        <w:t xml:space="preserve">: </w:t>
      </w:r>
      <w:r>
        <w:rPr>
          <w:rFonts w:ascii="Times New Roman" w:hAnsi="Times New Roman"/>
          <w:sz w:val="20"/>
        </w:rPr>
        <w:t xml:space="preserve">The Base Indenture, dated as of March 11, 2024, as supplemented by the Fifth Supplemental Indenture, dated as of September 21, 2026, by and between the Company and the Trustee, pursuant to which the Notes are to be issued, as such Indenture may be amended or supplemented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b/>
          <w:i/>
          <w:sz w:val="20"/>
        </w:rPr>
        <w:t>Initial Placement</w:t>
      </w:r>
      <w:r>
        <w:rPr>
          <w:rFonts w:ascii="Times New Roman" w:hAnsi="Times New Roman"/>
          <w:i/>
          <w:sz w:val="20"/>
        </w:rPr>
        <w:t xml:space="preserve">: </w:t>
      </w:r>
      <w:r>
        <w:rPr>
          <w:rFonts w:ascii="Times New Roman" w:hAnsi="Times New Roman"/>
          <w:sz w:val="20"/>
        </w:rPr>
        <w:t xml:space="preserve">The issuance and sale by the Company of the Notes to the Initial Purchasers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Initial Purchasers</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Interest Payment Date</w:t>
      </w:r>
      <w:r>
        <w:rPr>
          <w:rFonts w:ascii="Times New Roman" w:hAnsi="Times New Roman"/>
          <w:i/>
          <w:sz w:val="20"/>
        </w:rPr>
        <w:t xml:space="preserve">: </w:t>
      </w:r>
      <w:r>
        <w:rPr>
          <w:rFonts w:ascii="Times New Roman" w:hAnsi="Times New Roman"/>
          <w:sz w:val="20"/>
        </w:rPr>
        <w:t xml:space="preserve">As defined in the Indenture and the Notes.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The date of this Agreement, September 21, 2026.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i/>
          <w:sz w:val="20"/>
        </w:rPr>
        <w:t xml:space="preserve">: </w:t>
      </w:r>
      <w:r>
        <w:rPr>
          <w:rFonts w:ascii="Times New Roman" w:hAnsi="Times New Roman"/>
          <w:sz w:val="20"/>
        </w:rPr>
        <w:t xml:space="preserve">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i/>
          <w:sz w:val="20"/>
        </w:rPr>
        <w:t xml:space="preserve">: </w:t>
      </w:r>
      <w:r>
        <w:rPr>
          <w:rFonts w:ascii="Times New Roman" w:hAnsi="Times New Roman"/>
          <w:sz w:val="20"/>
        </w:rPr>
        <w:t xml:space="preserve">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i/>
          <w:sz w:val="20"/>
        </w:rPr>
        <w:t xml:space="preserve">: </w:t>
      </w:r>
      <w:r>
        <w:rPr>
          <w:rFonts w:ascii="Times New Roman" w:hAnsi="Times New Roman"/>
          <w:sz w:val="20"/>
        </w:rPr>
        <w:t xml:space="preserve">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is distributed by a Broker-Dealer pursuant to the “Plan of Distribution” contemplated by the Exchange Offer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 </w:t>
      </w:r>
    </w:p>
    <w:p>
      <w:pPr>
        <w:pStyle w:val="TextBody"/>
        <w:bidi w:val="0"/>
        <w:spacing w:before="240" w:after="0"/>
        <w:jc w:val="left"/>
        <w:rPr>
          <w:rFonts w:ascii="Times New Roman" w:hAnsi="Times New Roman"/>
          <w:sz w:val="20"/>
        </w:rPr>
      </w:pPr>
      <w:r>
        <w:rPr>
          <w:rFonts w:ascii="Times New Roman" w:hAnsi="Times New Roman"/>
          <w:b/>
          <w:i/>
          <w:sz w:val="20"/>
        </w:rPr>
        <w:t>Registration Default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Registrar:</w:t>
      </w:r>
      <w:r>
        <w:rPr>
          <w:rFonts w:ascii="Times New Roman" w:hAnsi="Times New Roman"/>
          <w:sz w:val="20"/>
        </w:rPr>
        <w:t xml:space="preserve"> As defined in the Indenture.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i/>
          <w:sz w:val="20"/>
        </w:rPr>
        <w:t xml:space="preserve">: </w:t>
      </w:r>
      <w:r>
        <w:rPr>
          <w:rFonts w:ascii="Times New Roman" w:hAnsi="Times New Roman"/>
          <w:sz w:val="20"/>
        </w:rPr>
        <w:t xml:space="preserve">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 xml:space="preserve">Representative: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i/>
          <w:sz w:val="20"/>
        </w:rPr>
        <w:t xml:space="preserve">: </w:t>
      </w:r>
      <w:r>
        <w:rPr>
          <w:rFonts w:ascii="Times New Roman" w:hAnsi="Times New Roman"/>
          <w:sz w:val="20"/>
        </w:rPr>
        <w:t xml:space="preserve">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4(a) hereof. </w:t>
      </w:r>
    </w:p>
    <w:p>
      <w:pPr>
        <w:pStyle w:val="TextBody"/>
        <w:bidi w:val="0"/>
        <w:spacing w:before="240" w:after="0"/>
        <w:jc w:val="left"/>
        <w:rPr>
          <w:rFonts w:ascii="Times New Roman" w:hAnsi="Times New Roman"/>
          <w:sz w:val="20"/>
        </w:rPr>
      </w:pPr>
      <w:r>
        <w:rPr>
          <w:rFonts w:ascii="Times New Roman" w:hAnsi="Times New Roman"/>
          <w:b/>
          <w:i/>
          <w:sz w:val="20"/>
        </w:rPr>
        <w:t>Trustee</w:t>
      </w:r>
      <w:r>
        <w:rPr>
          <w:rFonts w:ascii="Times New Roman" w:hAnsi="Times New Roman"/>
          <w:sz w:val="20"/>
        </w:rPr>
        <w:t xml:space="preserve">: U.S. Bank Trust Company, National Association. </w:t>
      </w:r>
    </w:p>
    <w:p>
      <w:pPr>
        <w:pStyle w:val="TextBody"/>
        <w:bidi w:val="0"/>
        <w:spacing w:before="240" w:after="0"/>
        <w:jc w:val="left"/>
        <w:rPr>
          <w:rFonts w:ascii="Times New Roman" w:hAnsi="Times New Roman"/>
          <w:sz w:val="20"/>
        </w:rPr>
      </w:pPr>
      <w:r>
        <w:rPr>
          <w:rFonts w:ascii="Times New Roman" w:hAnsi="Times New Roman"/>
          <w:b/>
          <w:i/>
          <w:sz w:val="20"/>
        </w:rPr>
        <w:t>Trust Indenture Act</w:t>
      </w:r>
      <w:r>
        <w:rPr>
          <w:rFonts w:ascii="Times New Roman" w:hAnsi="Times New Roman"/>
          <w:i/>
          <w:sz w:val="20"/>
        </w:rPr>
        <w:t xml:space="preserve">: </w:t>
      </w:r>
      <w:r>
        <w:rPr>
          <w:rFonts w:ascii="Times New Roman" w:hAnsi="Times New Roman"/>
          <w:sz w:val="20"/>
        </w:rPr>
        <w:t xml:space="preserve">The Trust Indenture Act of 1939,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i/>
          <w:sz w:val="20"/>
        </w:rPr>
        <w:t xml:space="preserve">: </w:t>
      </w:r>
      <w:r>
        <w:rPr>
          <w:rFonts w:ascii="Times New Roman" w:hAnsi="Times New Roman"/>
          <w:sz w:val="20"/>
        </w:rPr>
        <w:t xml:space="preserve">A registration in which securities of the Company are sold to an underwriter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Registrable Notes. </w:t>
      </w:r>
      <w:r>
        <w:rPr>
          <w:rFonts w:ascii="Times New Roman" w:hAnsi="Times New Roman"/>
          <w:sz w:val="20"/>
        </w:rPr>
        <w:t xml:space="preserve">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Holders of Registrable Notes. </w:t>
      </w:r>
      <w:r>
        <w:rPr>
          <w:rFonts w:ascii="Times New Roman" w:hAnsi="Times New Roman"/>
          <w:sz w:val="20"/>
        </w:rPr>
        <w:t>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 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sufficient copies of the latest version of such Prospectus to Broker-Dealers promptly upon request at any time during such 180-day (or shorter as provided in the foregoing paragraph) period in order to facilitate such resales.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Shelf Registration. </w:t>
      </w:r>
      <w:r>
        <w:rPr>
          <w:rFonts w:ascii="Times New Roman" w:hAnsi="Times New Roman"/>
          <w:sz w:val="20"/>
        </w:rPr>
        <w:t xml:space="preserve">If (i) the Company is not required to file an Exchange Offer Registration Statement or to consummate the Exchange Offer 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 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the 365th day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Holders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than the 120th day after the Shelf Filing Deadline (or if such 120th day is not a Business Day,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the Shelf Registration Statement (the “</w:t>
      </w:r>
      <w:r>
        <w:rPr>
          <w:rFonts w:ascii="Times New Roman" w:hAnsi="Times New Roman"/>
          <w:b/>
          <w:i/>
          <w:sz w:val="20"/>
        </w:rPr>
        <w:t>Suspension Period</w:t>
      </w:r>
      <w:r>
        <w:rPr>
          <w:rFonts w:ascii="Times New Roman" w:hAnsi="Times New Roman"/>
          <w:sz w:val="20"/>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and (ii) the Company notifies the underwriters, if any, and the Holders of Registrable Notes within five days after the board of trustees makes the relevant determination set forth in clause (i); </w:t>
      </w:r>
      <w:r>
        <w:rPr>
          <w:rFonts w:ascii="Times New Roman" w:hAnsi="Times New Roman"/>
          <w:i/>
          <w:sz w:val="20"/>
        </w:rPr>
        <w:t>provided</w:t>
      </w:r>
      <w:r>
        <w:rPr>
          <w:rFonts w:ascii="Times New Roman" w:hAnsi="Times New Roman"/>
          <w:sz w:val="20"/>
        </w:rPr>
        <w:t xml:space="preserve"> that the period or periods of suspension under clause (i) above shall not exceed, in the aggregate, 60 days in any twelve-month period during which the Shelf Registration Statement is required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Provision by Holders of Certain Information in Connection with the Shelf Registration Statement. </w:t>
      </w:r>
      <w:r>
        <w:rPr>
          <w:rFonts w:ascii="Times New Roman" w:hAnsi="Times New Roman"/>
          <w:sz w:val="20"/>
        </w:rPr>
        <w:t xml:space="preserve">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 xml:space="preserve">Additional Interest. </w:t>
      </w:r>
      <w:r>
        <w:rPr>
          <w:rFonts w:ascii="Times New Roman" w:hAnsi="Times New Roman"/>
          <w:sz w:val="20"/>
        </w:rPr>
        <w:t>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Exchange Offer Registration Statement. </w:t>
      </w:r>
      <w:r>
        <w:rPr>
          <w:rFonts w:ascii="Times New Roman" w:hAnsi="Times New Roman"/>
          <w:sz w:val="20"/>
        </w:rPr>
        <w:t xml:space="preserve">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hAnsi="Times New Roman"/>
          <w:sz w:val="20"/>
          <w:u w:val="single"/>
        </w:rPr>
        <w:t>Morgan Stanley and Co., Inc.</w:t>
      </w:r>
      <w:r>
        <w:rPr>
          <w:rFonts w:ascii="Times New Roman" w:hAnsi="Times New Roman"/>
          <w:sz w:val="20"/>
        </w:rPr>
        <w:t xml:space="preserve"> (available June 5, 1991) and </w:t>
      </w:r>
      <w:r>
        <w:rPr>
          <w:rFonts w:ascii="Times New Roman" w:hAnsi="Times New Roman"/>
          <w:sz w:val="20"/>
          <w:u w:val="single"/>
        </w:rPr>
        <w:t>Exxon Capital Holdings Corporation</w:t>
      </w:r>
      <w:r>
        <w:rPr>
          <w:rFonts w:ascii="Times New Roman" w:hAnsi="Times New Roman"/>
          <w:sz w:val="20"/>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Shelf Registration Statement. </w:t>
      </w:r>
      <w:r>
        <w:rPr>
          <w:rFonts w:ascii="Times New Roman" w:hAnsi="Times New Roman"/>
          <w:sz w:val="20"/>
        </w:rPr>
        <w:t xml:space="preserve">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General Provisions. </w:t>
      </w:r>
      <w:r>
        <w:rPr>
          <w:rFonts w:ascii="Times New Roman" w:hAnsi="Times New Roman"/>
          <w:sz w:val="20"/>
        </w:rPr>
        <w:t xml:space="preserve">In connection with any Registration Statement and any Prospectus required by this Agreement to permit the sale or resale of Registrable Notes (including, without limitation, any Registration Statement and the related Prospectus required to permit resales of Notes by Broker-Dealers),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use its commercially reasonable efforts to keep such Registration Statement continuously effective during the period required by this Agreement and provide all requisite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(iv) advise the underwriter(s), if any, and selling Holders promptly and, if requested by such Persons, to confirm such advice in writing, (A) 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120" w:after="0"/>
        <w:jc w:val="left"/>
        <w:rPr>
          <w:rFonts w:ascii="Times New Roman" w:hAnsi="Times New Roman"/>
          <w:sz w:val="20"/>
        </w:rPr>
      </w:pPr>
      <w:r>
        <w:rPr>
          <w:rFonts w:ascii="Times New Roman" w:hAnsi="Times New Roman"/>
          <w:sz w:val="20"/>
        </w:rPr>
        <w:t xml:space="preserve">(v) 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(vi) make the Company’s representatives reasonably available to the Initial Purchasers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(vii) 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(viii) 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(ix) 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(x) deliver to each selling Holder and each of the underwriter(s), if any, without charge, as many copies of the Prospectus (including each preliminary prospectus) and any amendment or supplement thereto as such Persons reasonably may request; the Company hereby consents to the use of the Prospectus and any amendment or supplement thereto by each of the selling Holders and each of the underwriter(s), if any, in connection with the offering and the sale of the Registrable Notes covered by the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(1) 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(2) if requested by a majority of selling Holders, an opinion, dated the date of effectiveness of the Shelf Registration Statement, of counsel for the Company, covering the matters customarily covered in opinions requested in underwritten offerings; and </w:t>
      </w:r>
    </w:p>
    <w:p>
      <w:pPr>
        <w:pStyle w:val="TextBody"/>
        <w:bidi w:val="0"/>
        <w:spacing w:before="120" w:after="0"/>
        <w:jc w:val="left"/>
        <w:rPr>
          <w:rFonts w:ascii="Times New Roman" w:hAnsi="Times New Roman"/>
          <w:sz w:val="20"/>
        </w:rPr>
      </w:pPr>
      <w:r>
        <w:rPr>
          <w:rFonts w:ascii="Times New Roman" w:hAnsi="Times New Roman"/>
          <w:sz w:val="20"/>
        </w:rPr>
        <w:t xml:space="preserve">(3) 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(B) 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(C) 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(xii) 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 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(xiv) 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(xv)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 </w:t>
      </w:r>
    </w:p>
    <w:p>
      <w:pPr>
        <w:pStyle w:val="TextBody"/>
        <w:bidi w:val="0"/>
        <w:spacing w:before="120" w:after="0"/>
        <w:jc w:val="left"/>
        <w:rPr>
          <w:rFonts w:ascii="Times New Roman" w:hAnsi="Times New Roman"/>
          <w:sz w:val="20"/>
        </w:rPr>
      </w:pPr>
      <w:r>
        <w:rPr>
          <w:rFonts w:ascii="Times New Roman" w:hAnsi="Times New Roman"/>
          <w:sz w:val="20"/>
        </w:rPr>
        <w:t xml:space="preserve">(xvi)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(xvii) 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(xviii) 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(xix)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(xx) 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 </w:t>
      </w:r>
    </w:p>
    <w:p>
      <w:pPr>
        <w:pStyle w:val="TextBody"/>
        <w:bidi w:val="0"/>
        <w:spacing w:before="240" w:after="0"/>
        <w:jc w:val="left"/>
        <w:rPr>
          <w:rFonts w:ascii="Times New Roman" w:hAnsi="Times New Roman"/>
          <w:sz w:val="20"/>
        </w:rPr>
      </w:pPr>
      <w:r>
        <w:rPr>
          <w:rFonts w:ascii="Times New Roman" w:hAnsi="Times New Roman"/>
          <w:sz w:val="20"/>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6(c)(xvi)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hAnsi="Times New Roman"/>
          <w:i/>
          <w:sz w:val="20"/>
        </w:rPr>
        <w:t>provided, 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i/>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trustees,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 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240" w:after="0"/>
        <w:jc w:val="left"/>
        <w:rPr>
          <w:rFonts w:ascii="Times New Roman" w:hAnsi="Times New Roman"/>
          <w:sz w:val="20"/>
        </w:rPr>
      </w:pPr>
      <w:r>
        <w:rPr>
          <w:rFonts w:ascii="Times New Roman" w:hAnsi="Times New Roman"/>
          <w:sz w:val="20"/>
        </w:rPr>
        <w:t xml:space="preserve">(b) 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i/>
          <w:sz w:val="20"/>
        </w:rPr>
        <w:t xml:space="preserve">Rule 144A. </w:t>
      </w:r>
      <w:r>
        <w:rPr>
          <w:rFonts w:ascii="Times New Roman" w:hAnsi="Times New Roman"/>
          <w:sz w:val="20"/>
        </w:rPr>
        <w:t xml:space="preserve">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i/>
          <w:sz w:val="20"/>
        </w:rPr>
        <w:t xml:space="preserve">Participation in Underwritten Registrations. </w:t>
      </w:r>
      <w:r>
        <w:rPr>
          <w:rFonts w:ascii="Times New Roman" w:hAnsi="Times New Roman"/>
          <w:sz w:val="20"/>
        </w:rPr>
        <w:t xml:space="preserve">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 xml:space="preserve">Selection of Underwriters. </w:t>
      </w:r>
      <w:r>
        <w:rPr>
          <w:rFonts w:ascii="Times New Roman" w:hAnsi="Times New Roman"/>
          <w:sz w:val="20"/>
        </w:rPr>
        <w:t xml:space="preserve">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hAnsi="Times New Roman"/>
          <w:i/>
          <w:sz w:val="20"/>
        </w:rPr>
        <w:t>provided, however</w:t>
      </w:r>
      <w:r>
        <w:rPr>
          <w:rFonts w:ascii="Times New Roman" w:hAnsi="Times New Roman"/>
          <w:sz w:val="20"/>
        </w:rPr>
        <w:t xml:space="preserve">, that such investment banker(s) and managing underwriter(s) must be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Remedies. </w:t>
      </w:r>
      <w:r>
        <w:rPr>
          <w:rFonts w:ascii="Times New Roman" w:hAnsi="Times New Roman"/>
          <w:sz w:val="20"/>
        </w:rPr>
        <w:t xml:space="preserve">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Inconsistent Agreements. </w:t>
      </w:r>
      <w:r>
        <w:rPr>
          <w:rFonts w:ascii="Times New Roman" w:hAnsi="Times New Roman"/>
          <w:sz w:val="20"/>
        </w:rPr>
        <w:t xml:space="preserve">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Adjustments Affecting the Notes. </w:t>
      </w:r>
      <w:r>
        <w:rPr>
          <w:rFonts w:ascii="Times New Roman" w:hAnsi="Times New Roman"/>
          <w:sz w:val="20"/>
        </w:rPr>
        <w:t xml:space="preserve">The Company will not take any action, or permit any change to occur, with respect to the Registrable Notes that would materially and adversely affect the ability of the Holders to Consummate any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Amendments and Waivers. </w:t>
      </w:r>
      <w:r>
        <w:rPr>
          <w:rFonts w:ascii="Times New Roman" w:hAnsi="Times New Roman"/>
          <w:sz w:val="20"/>
        </w:rPr>
        <w:t xml:space="preserve">The provisions of this Agreement may not be amended, modified or supplemented, and waivers or consents to or 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hAnsi="Times New Roman"/>
          <w:i/>
          <w:sz w:val="20"/>
        </w:rPr>
        <w:t>provided, however,</w:t>
      </w:r>
      <w:r>
        <w:rPr>
          <w:rFonts w:ascii="Times New Roman" w:hAnsi="Times New Roman"/>
          <w:sz w:val="20"/>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Notices. </w:t>
      </w:r>
      <w:r>
        <w:rPr>
          <w:rFonts w:ascii="Times New Roman" w:hAnsi="Times New Roman"/>
          <w:sz w:val="20"/>
        </w:rPr>
        <w:t xml:space="preserve">All notices and other communications provided for or permitted hereunder shall be made in writing by hand-delivery, first-class mail (registered or certified, return receipt requested),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 if to a Holder, at the address set forth on the records of the Registrar under the Indenture, with a copy to the Registrar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1100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rFonts w:ascii="Times New Roman" w:hAnsi="Times New Roman"/>
          <w:sz w:val="20"/>
        </w:rPr>
      </w:pPr>
      <w:r>
        <w:rPr>
          <w:rFonts w:ascii="Times New Roman" w:hAnsi="Times New Roman"/>
          <w:sz w:val="20"/>
        </w:rPr>
        <w:t xml:space="preserve">Attention: Ian Simmonds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900 G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Grigoriou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Copies of all such notices, demands or other communications shall be concurrently delivered by the Person giving the same to the Trustee at the address specified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Successors and Assigns. </w:t>
      </w:r>
      <w:r>
        <w:rPr>
          <w:rFonts w:ascii="Times New Roman" w:hAnsi="Times New Roman"/>
          <w:sz w:val="20"/>
        </w:rPr>
        <w:t xml:space="preserve">This Agreement shall inure to the benefit of and be binding upon the successors and assigns of each of the parties, including, without limitation, and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Counterparts. </w:t>
      </w:r>
      <w:r>
        <w:rPr>
          <w:rFonts w:ascii="Times New Roman" w:hAnsi="Times New Roman"/>
          <w:sz w:val="20"/>
        </w:rPr>
        <w:t xml:space="preserve">This Agreement may be executed in any number of counterparts (including by facsimile or other method of electronic transmission) and by the parties hereto in separate counterparts, each of which when so executed shall be deemed to be an original and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Headings. </w:t>
      </w:r>
      <w:r>
        <w:rPr>
          <w:rFonts w:ascii="Times New Roman" w:hAnsi="Times New Roman"/>
          <w:sz w:val="20"/>
        </w:rPr>
        <w:t xml:space="preserve">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WITHOUT REGARD TO THE CONFLICTS OF LAW RULES THEREOF.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Severability. </w:t>
      </w:r>
      <w:r>
        <w:rPr>
          <w:rFonts w:ascii="Times New Roman" w:hAnsi="Times New Roman"/>
          <w:sz w:val="20"/>
        </w:rPr>
        <w:t xml:space="preserve">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Entire Agreement. </w:t>
      </w:r>
      <w:r>
        <w:rPr>
          <w:rFonts w:ascii="Times New Roman" w:hAnsi="Times New Roman"/>
          <w:sz w:val="20"/>
        </w:rPr>
        <w:t xml:space="preserve">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Third Party Beneficiaries.</w:t>
      </w:r>
      <w:r>
        <w:rPr>
          <w:rFonts w:ascii="Times New Roman" w:hAnsi="Times New Roman"/>
          <w:sz w:val="20"/>
        </w:rPr>
        <w:t xml:space="preserve"> Each Holder shall be a third 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Ian Simmonds</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Ian Simmonds</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/s/ Zara Kwan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283"/>
              <w:jc w:val="left"/>
              <w:rPr/>
            </w:pPr>
            <w:r>
              <w:rPr/>
              <w:t>Name: Zara Kwan</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283"/>
              <w:jc w:val="left"/>
              <w:rPr/>
            </w:pPr>
            <w:r>
              <w:rPr/>
              <w:t>Title: Managing Director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08655/000119312518016134/d428064d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30876</Words>
  <Characters>161477</Characters>
  <CharactersWithSpaces>192499</CharactersWithSpaces>
  <Paragraphs>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EX-4.4</dc:title>
</cp:coreProperties>
</file>