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782955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95250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4"/>
          <w:szCs w:val="24"/>
          <w:color w:val="auto"/>
        </w:rPr>
      </w:pPr>
    </w:p>
    <w:p>
      <w:pPr>
        <w:ind w:left="940" w:right="120" w:hanging="835"/>
        <w:spacing w:after="0" w:line="237" w:lineRule="auto"/>
        <w:tabs>
          <w:tab w:leader="none" w:pos="94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2026</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81" w:lineRule="exact"/>
        <w:rPr>
          <w:sz w:val="24"/>
          <w:szCs w:val="24"/>
          <w:color w:val="auto"/>
        </w:rPr>
      </w:pPr>
    </w:p>
    <w:p>
      <w:pPr>
        <w:ind w:left="940" w:right="140" w:hanging="835"/>
        <w:spacing w:after="0" w:line="262" w:lineRule="auto"/>
        <w:tabs>
          <w:tab w:leader="none" w:pos="94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0" w:lineRule="exact"/>
        <w:rPr>
          <w:sz w:val="24"/>
          <w:szCs w:val="24"/>
          <w:color w:val="auto"/>
        </w:rPr>
      </w:pPr>
    </w:p>
    <w:p>
      <w:pPr>
        <w:ind w:left="3440"/>
        <w:spacing w:after="0"/>
        <w:tabs>
          <w:tab w:leader="none" w:pos="6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814-01543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Sixth Street Lending Partners</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4" w:lineRule="exact"/>
        <w:rPr>
          <w:sz w:val="24"/>
          <w:szCs w:val="24"/>
          <w:color w:val="auto"/>
        </w:rPr>
      </w:pPr>
    </w:p>
    <w:tbl>
      <w:tblPr>
        <w:tblLayout w:type="fixed"/>
        <w:tblInd w:w="1460" w:type="dxa"/>
        <w:tblCellMar>
          <w:top w:w="0" w:type="dxa"/>
          <w:left w:w="0" w:type="dxa"/>
          <w:bottom w:w="0" w:type="dxa"/>
          <w:right w:w="0" w:type="dxa"/>
        </w:tblCellMar>
      </w:tblPr>
      <w:tr>
        <w:trPr>
          <w:trHeight w:val="214"/>
        </w:trPr>
        <w:tc>
          <w:tcPr>
            <w:tcW w:w="4560" w:type="dxa"/>
            <w:vAlign w:val="bottom"/>
          </w:tcPr>
          <w:p>
            <w:pPr>
              <w:jc w:val="center"/>
              <w:ind w:right="175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98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88-1710161</w:t>
            </w:r>
          </w:p>
        </w:tc>
      </w:tr>
      <w:tr>
        <w:trPr>
          <w:trHeight w:val="148"/>
        </w:trPr>
        <w:tc>
          <w:tcPr>
            <w:tcW w:w="4560" w:type="dxa"/>
            <w:vAlign w:val="bottom"/>
          </w:tcPr>
          <w:p>
            <w:pPr>
              <w:jc w:val="center"/>
              <w:ind w:right="175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980" w:type="dxa"/>
            <w:vAlign w:val="bottom"/>
          </w:tcPr>
          <w:p>
            <w:pPr>
              <w:jc w:val="center"/>
              <w:ind w:left="17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560" w:type="dxa"/>
            <w:vAlign w:val="bottom"/>
          </w:tcPr>
          <w:p>
            <w:pPr>
              <w:jc w:val="center"/>
              <w:ind w:right="175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980" w:type="dxa"/>
            <w:vAlign w:val="bottom"/>
          </w:tcPr>
          <w:p>
            <w:pPr>
              <w:jc w:val="center"/>
              <w:ind w:left="176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58"/>
        </w:trPr>
        <w:tc>
          <w:tcPr>
            <w:tcW w:w="4560" w:type="dxa"/>
            <w:vAlign w:val="bottom"/>
          </w:tcPr>
          <w:p>
            <w:pPr>
              <w:jc w:val="center"/>
              <w:ind w:right="1759"/>
              <w:spacing w:after="0"/>
              <w:rPr>
                <w:sz w:val="20"/>
                <w:szCs w:val="20"/>
                <w:color w:val="auto"/>
              </w:rPr>
            </w:pPr>
            <w:r>
              <w:rPr>
                <w:rFonts w:ascii="Times New Roman" w:cs="Times New Roman" w:eastAsia="Times New Roman" w:hAnsi="Times New Roman"/>
                <w:sz w:val="18"/>
                <w:szCs w:val="18"/>
                <w:b w:val="1"/>
                <w:bCs w:val="1"/>
                <w:color w:val="auto"/>
                <w:w w:val="99"/>
              </w:rPr>
              <w:t>2100 McKinney Avenue, Suite 1100</w:t>
            </w:r>
          </w:p>
        </w:tc>
        <w:tc>
          <w:tcPr>
            <w:tcW w:w="2980" w:type="dxa"/>
            <w:vAlign w:val="bottom"/>
          </w:tcPr>
          <w:p>
            <w:pPr>
              <w:spacing w:after="0"/>
              <w:rPr>
                <w:sz w:val="22"/>
                <w:szCs w:val="22"/>
                <w:color w:val="auto"/>
              </w:rPr>
            </w:pPr>
          </w:p>
        </w:tc>
      </w:tr>
      <w:tr>
        <w:trPr>
          <w:trHeight w:val="214"/>
        </w:trPr>
        <w:tc>
          <w:tcPr>
            <w:tcW w:w="4560" w:type="dxa"/>
            <w:vAlign w:val="bottom"/>
          </w:tcPr>
          <w:p>
            <w:pPr>
              <w:jc w:val="center"/>
              <w:ind w:right="1779"/>
              <w:spacing w:after="0"/>
              <w:rPr>
                <w:sz w:val="20"/>
                <w:szCs w:val="20"/>
                <w:color w:val="auto"/>
              </w:rPr>
            </w:pPr>
            <w:r>
              <w:rPr>
                <w:rFonts w:ascii="Times New Roman" w:cs="Times New Roman" w:eastAsia="Times New Roman" w:hAnsi="Times New Roman"/>
                <w:sz w:val="18"/>
                <w:szCs w:val="18"/>
                <w:b w:val="1"/>
                <w:bCs w:val="1"/>
                <w:color w:val="auto"/>
                <w:w w:val="99"/>
              </w:rPr>
              <w:t>Dallas, TX</w:t>
            </w:r>
          </w:p>
        </w:tc>
        <w:tc>
          <w:tcPr>
            <w:tcW w:w="298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75201</w:t>
            </w:r>
          </w:p>
        </w:tc>
      </w:tr>
      <w:tr>
        <w:trPr>
          <w:trHeight w:val="190"/>
        </w:trPr>
        <w:tc>
          <w:tcPr>
            <w:tcW w:w="4560" w:type="dxa"/>
            <w:vAlign w:val="bottom"/>
          </w:tcPr>
          <w:p>
            <w:pPr>
              <w:jc w:val="center"/>
              <w:ind w:right="17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980" w:type="dxa"/>
            <w:vAlign w:val="bottom"/>
          </w:tcPr>
          <w:p>
            <w:pPr>
              <w:jc w:val="center"/>
              <w:ind w:left="176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(469) 621-3001</w:t>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(Former name, former address and former fiscal year, if changed since last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Act:</w:t>
      </w: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40" w:type="dxa"/>
            <w:vAlign w:val="bottom"/>
          </w:tcPr>
          <w:p>
            <w:pPr>
              <w:spacing w:after="0"/>
              <w:rPr>
                <w:sz w:val="13"/>
                <w:szCs w:val="13"/>
                <w:color w:val="auto"/>
              </w:rPr>
            </w:pPr>
          </w:p>
        </w:tc>
        <w:tc>
          <w:tcPr>
            <w:tcW w:w="360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140" w:type="dxa"/>
            <w:vAlign w:val="bottom"/>
          </w:tcPr>
          <w:p>
            <w:pPr>
              <w:spacing w:after="0"/>
              <w:rPr>
                <w:sz w:val="13"/>
                <w:szCs w:val="13"/>
                <w:color w:val="auto"/>
              </w:rPr>
            </w:pPr>
          </w:p>
        </w:tc>
        <w:tc>
          <w:tcPr>
            <w:tcW w:w="36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425"/>
        </w:trPr>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None</w:t>
            </w:r>
          </w:p>
        </w:tc>
        <w:tc>
          <w:tcPr>
            <w:tcW w:w="140" w:type="dxa"/>
            <w:vAlign w:val="bottom"/>
          </w:tcPr>
          <w:p>
            <w:pPr>
              <w:spacing w:after="0"/>
              <w:rPr>
                <w:sz w:val="24"/>
                <w:szCs w:val="24"/>
                <w:color w:val="auto"/>
              </w:rPr>
            </w:pPr>
          </w:p>
        </w:tc>
        <w:tc>
          <w:tcPr>
            <w:tcW w:w="3600" w:type="dxa"/>
            <w:vAlign w:val="bottom"/>
          </w:tcPr>
          <w:p>
            <w:pPr>
              <w:ind w:left="1540"/>
              <w:spacing w:after="0"/>
              <w:rPr>
                <w:sz w:val="20"/>
                <w:szCs w:val="20"/>
                <w:color w:val="auto"/>
              </w:rPr>
            </w:pPr>
            <w:r>
              <w:rPr>
                <w:rFonts w:ascii="Times New Roman" w:cs="Times New Roman" w:eastAsia="Times New Roman" w:hAnsi="Times New Roman"/>
                <w:sz w:val="18"/>
                <w:szCs w:val="18"/>
                <w:b w:val="1"/>
                <w:bCs w:val="1"/>
                <w:color w:val="auto"/>
              </w:rPr>
              <w:t>None</w:t>
            </w:r>
          </w:p>
        </w:tc>
        <w:tc>
          <w:tcPr>
            <w:tcW w:w="140" w:type="dxa"/>
            <w:vAlign w:val="bottom"/>
          </w:tcPr>
          <w:p>
            <w:pPr>
              <w:spacing w:after="0"/>
              <w:rPr>
                <w:sz w:val="24"/>
                <w:szCs w:val="24"/>
                <w:color w:val="auto"/>
              </w:rPr>
            </w:pPr>
          </w:p>
        </w:tc>
        <w:tc>
          <w:tcPr>
            <w:tcW w:w="3620" w:type="dxa"/>
            <w:vAlign w:val="bottom"/>
          </w:tcPr>
          <w:p>
            <w:pPr>
              <w:ind w:left="1540"/>
              <w:spacing w:after="0"/>
              <w:rPr>
                <w:sz w:val="20"/>
                <w:szCs w:val="20"/>
                <w:color w:val="auto"/>
              </w:rPr>
            </w:pPr>
            <w:r>
              <w:rPr>
                <w:rFonts w:ascii="Times New Roman" w:cs="Times New Roman" w:eastAsia="Times New Roman" w:hAnsi="Times New Roman"/>
                <w:sz w:val="18"/>
                <w:szCs w:val="18"/>
                <w:b w:val="1"/>
                <w:bCs w:val="1"/>
                <w:color w:val="auto"/>
              </w:rPr>
              <w:t>None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214630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9" w:lineRule="exact"/>
        <w:rPr>
          <w:sz w:val="24"/>
          <w:szCs w:val="24"/>
          <w:color w:val="auto"/>
        </w:rPr>
      </w:pPr>
    </w:p>
    <w:p>
      <w:pPr>
        <w:ind w:right="22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33" w:lineRule="exact"/>
        <w:rPr>
          <w:sz w:val="24"/>
          <w:szCs w:val="24"/>
          <w:color w:val="auto"/>
        </w:rPr>
      </w:pPr>
    </w:p>
    <w:p>
      <w:pPr>
        <w:ind w:right="10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ind w:right="40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303" w:right="339" w:bottom="1440" w:gutter="0" w:footer="0" w:header="0"/>
        </w:sectPr>
      </w:pPr>
    </w:p>
    <w:p>
      <w:pPr>
        <w:spacing w:after="0" w:line="51" w:lineRule="exact"/>
        <w:rPr>
          <w:sz w:val="24"/>
          <w:szCs w:val="24"/>
          <w:color w:val="auto"/>
        </w:rPr>
      </w:pPr>
    </w:p>
    <w:p>
      <w:pPr>
        <w:spacing w:after="0" w:line="161" w:lineRule="exact"/>
        <w:tabs>
          <w:tab w:leader="none" w:pos="2880" w:val="left"/>
          <w:tab w:leader="none" w:pos="790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Accelerated filer</w:t>
      </w:r>
    </w:p>
    <w:p>
      <w:pPr>
        <w:spacing w:after="0" w:line="57" w:lineRule="exact"/>
        <w:rPr>
          <w:sz w:val="24"/>
          <w:szCs w:val="24"/>
          <w:color w:val="auto"/>
        </w:rPr>
      </w:pPr>
    </w:p>
    <w:p>
      <w:pPr>
        <w:spacing w:after="0" w:line="161" w:lineRule="exact"/>
        <w:tabs>
          <w:tab w:leader="none" w:pos="2880" w:val="left"/>
          <w:tab w:leader="none" w:pos="7900" w:val="left"/>
        </w:tabs>
        <w:rPr>
          <w:sz w:val="20"/>
          <w:szCs w:val="20"/>
          <w:color w:val="auto"/>
        </w:rPr>
      </w:pPr>
      <w:r>
        <w:rPr>
          <w:rFonts w:ascii="Times New Roman" w:cs="Times New Roman" w:eastAsia="Times New Roman" w:hAnsi="Times New Roman"/>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Smaller reporting company</w:t>
      </w:r>
    </w:p>
    <w:p>
      <w:pPr>
        <w:spacing w:after="0" w:line="33" w:lineRule="exact"/>
        <w:rPr>
          <w:sz w:val="24"/>
          <w:szCs w:val="24"/>
          <w:color w:val="auto"/>
        </w:rPr>
      </w:pPr>
    </w:p>
    <w:p>
      <w:pPr>
        <w:ind w:left="7920"/>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39" w:lineRule="exact"/>
        <w:rPr>
          <w:sz w:val="24"/>
          <w:szCs w:val="24"/>
          <w:color w:val="auto"/>
        </w:rPr>
      </w:pPr>
    </w:p>
    <w:p>
      <w:pPr>
        <w:spacing w:after="0" w:line="193"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6" w:lineRule="exact"/>
        <w:rPr>
          <w:sz w:val="24"/>
          <w:szCs w:val="24"/>
          <w:color w:val="auto"/>
        </w:rPr>
      </w:pPr>
    </w:p>
    <w:p>
      <w:pPr>
        <w:jc w:val="both"/>
        <w:ind w:right="3040"/>
        <w:spacing w:after="0" w:line="225"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The number of common shares of beneficial interest, $.001 par value per share, outstanding at November 4, 2026 was 180,406,820.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954405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58420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98"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55"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ectPr>
          <w:pgSz w:w="11900" w:h="16838" w:orient="portrait"/>
          <w:cols w:equalWidth="0" w:num="2">
            <w:col w:w="10680" w:space="120"/>
            <w:col w:w="440"/>
          </w:cols>
          <w:pgMar w:left="320" w:top="1303" w:right="339" w:bottom="1440" w:gutter="0" w:footer="0" w:header="0"/>
          <w:type w:val="continuous"/>
        </w:sectPr>
      </w:pPr>
    </w:p>
    <w:bookmarkStart w:id="1" w:name="page2"/>
    <w:bookmarkEnd w:id="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Sixth Street Lending Partners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40" w:type="dxa"/>
            <w:vAlign w:val="bottom"/>
            <w:gridSpan w:val="9"/>
            <w:vMerge w:val="restart"/>
          </w:tcPr>
          <w:p>
            <w:pPr>
              <w:jc w:val="center"/>
              <w:ind w:right="4380"/>
              <w:spacing w:after="0"/>
              <w:rPr>
                <w:sz w:val="20"/>
                <w:szCs w:val="20"/>
                <w:color w:val="auto"/>
              </w:rPr>
            </w:pPr>
            <w:r>
              <w:rPr>
                <w:rFonts w:ascii="Times New Roman" w:cs="Times New Roman" w:eastAsia="Times New Roman" w:hAnsi="Times New Roman"/>
                <w:sz w:val="14"/>
                <w:szCs w:val="14"/>
                <w:b w:val="1"/>
                <w:bCs w:val="1"/>
                <w:color w:val="auto"/>
              </w:rPr>
              <w:t>INDEX</w:t>
            </w:r>
          </w:p>
        </w:tc>
        <w:tc>
          <w:tcPr>
            <w:tcW w:w="100" w:type="dxa"/>
            <w:vAlign w:val="bottom"/>
          </w:tcPr>
          <w:p>
            <w:pPr>
              <w:spacing w:after="0"/>
              <w:rPr>
                <w:sz w:val="13"/>
                <w:szCs w:val="13"/>
                <w:color w:val="auto"/>
              </w:rPr>
            </w:pPr>
          </w:p>
        </w:tc>
        <w:tc>
          <w:tcPr>
            <w:tcW w:w="90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3"/>
        </w:trPr>
        <w:tc>
          <w:tcPr>
            <w:tcW w:w="10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840" w:type="dxa"/>
            <w:vAlign w:val="bottom"/>
            <w:tcBorders>
              <w:bottom w:val="single" w:sz="8" w:color="auto"/>
            </w:tcBorders>
            <w:gridSpan w:val="9"/>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NO.</w:t>
            </w:r>
          </w:p>
        </w:tc>
        <w:tc>
          <w:tcPr>
            <w:tcW w:w="0" w:type="dxa"/>
            <w:vAlign w:val="bottom"/>
          </w:tcPr>
          <w:p>
            <w:pPr>
              <w:spacing w:after="0"/>
              <w:rPr>
                <w:sz w:val="1"/>
                <w:szCs w:val="1"/>
                <w:color w:val="auto"/>
              </w:rPr>
            </w:pPr>
          </w:p>
        </w:tc>
      </w:tr>
      <w:tr>
        <w:trPr>
          <w:trHeight w:val="26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PART I.</w:t>
            </w:r>
          </w:p>
        </w:tc>
        <w:tc>
          <w:tcPr>
            <w:tcW w:w="92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91"/>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50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Financial Statements</w:t>
            </w:r>
          </w:p>
        </w:tc>
        <w:tc>
          <w:tcPr>
            <w:tcW w:w="20" w:type="dxa"/>
            <w:vAlign w:val="bottom"/>
            <w:tcBorders>
              <w:top w:val="single" w:sz="8" w:color="0000FF"/>
              <w:bottom w:val="single" w:sz="8" w:color="0000EE"/>
            </w:tcBorders>
          </w:tcPr>
          <w:p>
            <w:pPr>
              <w:spacing w:after="0"/>
              <w:rPr>
                <w:sz w:val="24"/>
                <w:szCs w:val="24"/>
                <w:color w:val="auto"/>
              </w:rPr>
            </w:pPr>
          </w:p>
        </w:tc>
        <w:tc>
          <w:tcPr>
            <w:tcW w:w="740" w:type="dxa"/>
            <w:vAlign w:val="bottom"/>
            <w:tcBorders>
              <w:top w:val="single" w:sz="8" w:color="0000FF"/>
            </w:tcBorders>
            <w:gridSpan w:val="3"/>
          </w:tcPr>
          <w:p>
            <w:pPr>
              <w:spacing w:after="0"/>
              <w:rPr>
                <w:sz w:val="24"/>
                <w:szCs w:val="24"/>
                <w:color w:val="auto"/>
              </w:rPr>
            </w:pPr>
          </w:p>
        </w:tc>
        <w:tc>
          <w:tcPr>
            <w:tcW w:w="6940" w:type="dxa"/>
            <w:vAlign w:val="bottom"/>
            <w:gridSpan w:val="14"/>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91"/>
        </w:trPr>
        <w:tc>
          <w:tcPr>
            <w:tcW w:w="1040" w:type="dxa"/>
            <w:vAlign w:val="bottom"/>
          </w:tcPr>
          <w:p>
            <w:pPr>
              <w:spacing w:after="0"/>
              <w:rPr>
                <w:sz w:val="24"/>
                <w:szCs w:val="24"/>
                <w:color w:val="auto"/>
              </w:rPr>
            </w:pPr>
          </w:p>
        </w:tc>
        <w:tc>
          <w:tcPr>
            <w:tcW w:w="664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September 30, 2026 (Unaudited) and December 31, 2025</w:t>
            </w:r>
          </w:p>
        </w:tc>
        <w:tc>
          <w:tcPr>
            <w:tcW w:w="2560" w:type="dxa"/>
            <w:vAlign w:val="bottom"/>
            <w:gridSpan w:val="7"/>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90"/>
        </w:trPr>
        <w:tc>
          <w:tcPr>
            <w:tcW w:w="1040" w:type="dxa"/>
            <w:vAlign w:val="bottom"/>
          </w:tcPr>
          <w:p>
            <w:pPr>
              <w:spacing w:after="0"/>
              <w:rPr>
                <w:sz w:val="24"/>
                <w:szCs w:val="24"/>
                <w:color w:val="auto"/>
              </w:rPr>
            </w:pPr>
          </w:p>
        </w:tc>
        <w:tc>
          <w:tcPr>
            <w:tcW w:w="92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Consolidated Statements of Operations for the three and nine months ended September 30, 2026 and 2025 (Unaudited)</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91"/>
        </w:trPr>
        <w:tc>
          <w:tcPr>
            <w:tcW w:w="1040" w:type="dxa"/>
            <w:vAlign w:val="bottom"/>
          </w:tcPr>
          <w:p>
            <w:pPr>
              <w:spacing w:after="0"/>
              <w:rPr>
                <w:sz w:val="24"/>
                <w:szCs w:val="24"/>
                <w:color w:val="auto"/>
              </w:rPr>
            </w:pPr>
          </w:p>
        </w:tc>
        <w:tc>
          <w:tcPr>
            <w:tcW w:w="7640" w:type="dxa"/>
            <w:vAlign w:val="bottom"/>
            <w:tcBorders>
              <w:top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rPr>
              <w:t>Consolidated Schedules of Investments as of September 30, 2026 (Unaudited) and December 31, 2025</w:t>
            </w:r>
          </w:p>
        </w:tc>
        <w:tc>
          <w:tcPr>
            <w:tcW w:w="40" w:type="dxa"/>
            <w:vAlign w:val="bottom"/>
          </w:tcPr>
          <w:p>
            <w:pPr>
              <w:spacing w:after="0"/>
              <w:rPr>
                <w:sz w:val="24"/>
                <w:szCs w:val="24"/>
                <w:color w:val="auto"/>
              </w:rPr>
            </w:pPr>
          </w:p>
        </w:tc>
        <w:tc>
          <w:tcPr>
            <w:tcW w:w="880" w:type="dxa"/>
            <w:vAlign w:val="bottom"/>
            <w:tcBorders>
              <w:top w:val="single" w:sz="8" w:color="0000FF"/>
            </w:tcBorders>
            <w:gridSpan w:val="3"/>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40" w:type="dxa"/>
            <w:vAlign w:val="bottom"/>
          </w:tcPr>
          <w:p>
            <w:pPr>
              <w:spacing w:after="0"/>
              <w:rPr>
                <w:sz w:val="24"/>
                <w:szCs w:val="24"/>
                <w:color w:val="auto"/>
              </w:rPr>
            </w:pPr>
          </w:p>
        </w:tc>
        <w:tc>
          <w:tcPr>
            <w:tcW w:w="852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rPr>
              <w:t>Consolidated Statements of Changes in Net Assets for the three and nine months ended September 30, 2026 and 2025</w:t>
            </w:r>
          </w:p>
        </w:tc>
        <w:tc>
          <w:tcPr>
            <w:tcW w:w="68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920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(Unaudited)</w:t>
            </w:r>
          </w:p>
        </w:tc>
        <w:tc>
          <w:tcPr>
            <w:tcW w:w="10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40" w:type="dxa"/>
            <w:vAlign w:val="bottom"/>
            <w:gridSpan w:val="5"/>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40" w:type="dxa"/>
            <w:vAlign w:val="bottom"/>
          </w:tcPr>
          <w:p>
            <w:pPr>
              <w:spacing w:after="0"/>
              <w:rPr>
                <w:sz w:val="24"/>
                <w:szCs w:val="24"/>
                <w:color w:val="auto"/>
              </w:rPr>
            </w:pPr>
          </w:p>
        </w:tc>
        <w:tc>
          <w:tcPr>
            <w:tcW w:w="790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for the nine months ended September 30, 2026 and 2025 (Unaudited)</w:t>
            </w:r>
          </w:p>
        </w:tc>
        <w:tc>
          <w:tcPr>
            <w:tcW w:w="1300" w:type="dxa"/>
            <w:vAlign w:val="bottom"/>
            <w:gridSpan w:val="3"/>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91"/>
        </w:trPr>
        <w:tc>
          <w:tcPr>
            <w:tcW w:w="1040" w:type="dxa"/>
            <w:vAlign w:val="bottom"/>
          </w:tcPr>
          <w:p>
            <w:pPr>
              <w:spacing w:after="0"/>
              <w:rPr>
                <w:sz w:val="24"/>
                <w:szCs w:val="24"/>
                <w:color w:val="auto"/>
              </w:rPr>
            </w:pPr>
          </w:p>
        </w:tc>
        <w:tc>
          <w:tcPr>
            <w:tcW w:w="40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 (Unaudited)</w:t>
            </w:r>
          </w:p>
        </w:tc>
        <w:tc>
          <w:tcPr>
            <w:tcW w:w="20" w:type="dxa"/>
            <w:vAlign w:val="bottom"/>
            <w:tcBorders>
              <w:bottom w:val="single" w:sz="8" w:color="0000EE"/>
            </w:tcBorders>
          </w:tcPr>
          <w:p>
            <w:pPr>
              <w:spacing w:after="0"/>
              <w:rPr>
                <w:sz w:val="24"/>
                <w:szCs w:val="24"/>
                <w:color w:val="auto"/>
              </w:rPr>
            </w:pPr>
          </w:p>
        </w:tc>
        <w:tc>
          <w:tcPr>
            <w:tcW w:w="5120" w:type="dxa"/>
            <w:vAlign w:val="bottom"/>
            <w:gridSpan w:val="11"/>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9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2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91"/>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top w:val="single" w:sz="8" w:color="0000FF"/>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00" w:type="dxa"/>
            <w:vAlign w:val="bottom"/>
            <w:tcBorders>
              <w:top w:val="single" w:sz="8" w:color="0000FF"/>
            </w:tcBorders>
          </w:tcPr>
          <w:p>
            <w:pPr>
              <w:spacing w:after="0"/>
              <w:rPr>
                <w:sz w:val="24"/>
                <w:szCs w:val="24"/>
                <w:color w:val="auto"/>
              </w:rPr>
            </w:pPr>
          </w:p>
        </w:tc>
        <w:tc>
          <w:tcPr>
            <w:tcW w:w="2740" w:type="dxa"/>
            <w:vAlign w:val="bottom"/>
            <w:gridSpan w:val="8"/>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91"/>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2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860" w:type="dxa"/>
            <w:vAlign w:val="bottom"/>
            <w:gridSpan w:val="1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PART II.</w:t>
            </w:r>
          </w:p>
        </w:tc>
        <w:tc>
          <w:tcPr>
            <w:tcW w:w="190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300" w:type="dxa"/>
            <w:vAlign w:val="bottom"/>
            <w:gridSpan w:val="15"/>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91"/>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2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9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20" w:type="dxa"/>
            <w:vAlign w:val="bottom"/>
            <w:tcBorders>
              <w:top w:val="single" w:sz="8" w:color="0000FF"/>
              <w:bottom w:val="single" w:sz="8" w:color="0000EE"/>
            </w:tcBorders>
          </w:tcPr>
          <w:p>
            <w:pPr>
              <w:spacing w:after="0"/>
              <w:rPr>
                <w:sz w:val="24"/>
                <w:szCs w:val="24"/>
                <w:color w:val="auto"/>
              </w:rPr>
            </w:pPr>
          </w:p>
        </w:tc>
        <w:tc>
          <w:tcPr>
            <w:tcW w:w="400" w:type="dxa"/>
            <w:vAlign w:val="bottom"/>
            <w:tcBorders>
              <w:top w:val="single" w:sz="8" w:color="0000FF"/>
            </w:tcBorders>
            <w:gridSpan w:val="2"/>
          </w:tcPr>
          <w:p>
            <w:pPr>
              <w:spacing w:after="0"/>
              <w:rPr>
                <w:sz w:val="24"/>
                <w:szCs w:val="24"/>
                <w:color w:val="auto"/>
              </w:rPr>
            </w:pPr>
          </w:p>
        </w:tc>
        <w:tc>
          <w:tcPr>
            <w:tcW w:w="7880" w:type="dxa"/>
            <w:vAlign w:val="bottom"/>
            <w:gridSpan w:val="19"/>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91"/>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2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9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2020" w:type="dxa"/>
            <w:vAlign w:val="bottom"/>
            <w:tcBorders>
              <w:top w:val="single" w:sz="8" w:color="0000FF"/>
            </w:tcBorders>
            <w:gridSpan w:val="3"/>
          </w:tcPr>
          <w:p>
            <w:pPr>
              <w:spacing w:after="0"/>
              <w:rPr>
                <w:sz w:val="24"/>
                <w:szCs w:val="24"/>
                <w:color w:val="auto"/>
              </w:rPr>
            </w:pPr>
          </w:p>
        </w:tc>
        <w:tc>
          <w:tcPr>
            <w:tcW w:w="4860" w:type="dxa"/>
            <w:vAlign w:val="bottom"/>
            <w:gridSpan w:val="10"/>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9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2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9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78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420" w:type="dxa"/>
            <w:vAlign w:val="bottom"/>
            <w:gridSpan w:val="16"/>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9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00" w:type="dxa"/>
            <w:vAlign w:val="bottom"/>
            <w:tcBorders>
              <w:top w:val="single" w:sz="8" w:color="0000FF"/>
            </w:tcBorders>
            <w:gridSpan w:val="4"/>
          </w:tcPr>
          <w:p>
            <w:pPr>
              <w:spacing w:after="0"/>
              <w:rPr>
                <w:sz w:val="24"/>
                <w:szCs w:val="24"/>
                <w:color w:val="auto"/>
              </w:rPr>
            </w:pPr>
          </w:p>
        </w:tc>
        <w:tc>
          <w:tcPr>
            <w:tcW w:w="7900" w:type="dxa"/>
            <w:vAlign w:val="bottom"/>
            <w:gridSpan w:val="20"/>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90"/>
        </w:trPr>
        <w:tc>
          <w:tcPr>
            <w:tcW w:w="1024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453"/>
        </w:trPr>
        <w:tc>
          <w:tcPr>
            <w:tcW w:w="10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380" w:type="dxa"/>
            <w:vAlign w:val="bottom"/>
            <w:gridSpan w:val="17"/>
          </w:tcPr>
          <w:p>
            <w:pPr>
              <w:jc w:val="right"/>
              <w:ind w:right="1768"/>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0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89" w:lineRule="exact"/>
        <w:rPr>
          <w:sz w:val="20"/>
          <w:szCs w:val="20"/>
          <w:color w:val="auto"/>
        </w:rPr>
      </w:pPr>
    </w:p>
    <w:p>
      <w:pPr>
        <w:ind w:right="100" w:firstLine="255"/>
        <w:spacing w:after="0" w:line="256" w:lineRule="auto"/>
        <w:rPr>
          <w:sz w:val="20"/>
          <w:szCs w:val="20"/>
          <w:color w:val="auto"/>
        </w:rPr>
      </w:pPr>
      <w:r>
        <w:rPr>
          <w:rFonts w:ascii="Times New Roman" w:cs="Times New Roman" w:eastAsia="Times New Roman" w:hAnsi="Times New Roman"/>
          <w:sz w:val="18"/>
          <w:szCs w:val="18"/>
          <w:color w:val="auto"/>
        </w:rPr>
        <w:t>This report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p>
    <w:p>
      <w:pPr>
        <w:spacing w:after="0" w:line="187" w:lineRule="exact"/>
        <w:rPr>
          <w:sz w:val="20"/>
          <w:szCs w:val="20"/>
          <w:color w:val="auto"/>
        </w:rPr>
      </w:pPr>
    </w:p>
    <w:p>
      <w:pPr>
        <w:jc w:val="both"/>
        <w:ind w:right="120" w:firstLine="255"/>
        <w:spacing w:after="0" w:line="266" w:lineRule="auto"/>
        <w:rPr>
          <w:sz w:val="20"/>
          <w:szCs w:val="20"/>
          <w:color w:val="auto"/>
        </w:rPr>
      </w:pPr>
      <w:r>
        <w:rPr>
          <w:rFonts w:ascii="Times New Roman" w:cs="Times New Roman" w:eastAsia="Times New Roman" w:hAnsi="Times New Roman"/>
          <w:sz w:val="18"/>
          <w:szCs w:val="18"/>
          <w:color w:val="auto"/>
        </w:rPr>
        <w:t>In addition to factors previously identified elsewhere in the reports and other documents Sixth Street Lending Partners (the “Company”, “we”, “us” or “our”), has filed with the U.S. Securities and Exchange Commission (the “SEC”), the following factors, among others, could cause actual results to differ materially from forward-looking statements or historical performance:</w:t>
      </w:r>
    </w:p>
    <w:p>
      <w:pPr>
        <w:spacing w:after="0" w:line="68" w:lineRule="exact"/>
        <w:rPr>
          <w:sz w:val="20"/>
          <w:szCs w:val="20"/>
          <w:color w:val="auto"/>
        </w:rPr>
      </w:pPr>
    </w:p>
    <w:p>
      <w:pPr>
        <w:ind w:left="520" w:right="400" w:hanging="257"/>
        <w:spacing w:after="0" w:line="282" w:lineRule="auto"/>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economic downturn could impair our portfolio companies’ abilities to continue to operate, which could lead to the loss of some or all of our investments in those portfolio companies;</w:t>
      </w:r>
    </w:p>
    <w:p>
      <w:pPr>
        <w:spacing w:after="0" w:line="53" w:lineRule="exact"/>
        <w:rPr>
          <w:rFonts w:ascii="Times New Roman" w:cs="Times New Roman" w:eastAsia="Times New Roman" w:hAnsi="Times New Roman"/>
          <w:sz w:val="18"/>
          <w:szCs w:val="18"/>
          <w:color w:val="auto"/>
        </w:rPr>
      </w:pPr>
    </w:p>
    <w:p>
      <w:pPr>
        <w:ind w:left="520" w:right="200" w:hanging="257"/>
        <w:spacing w:after="0" w:line="312" w:lineRule="auto"/>
        <w:tabs>
          <w:tab w:leader="none" w:pos="5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spacing w:after="0" w:line="31" w:lineRule="exact"/>
        <w:rPr>
          <w:rFonts w:ascii="Times New Roman" w:cs="Times New Roman" w:eastAsia="Times New Roman" w:hAnsi="Times New Roman"/>
          <w:sz w:val="17"/>
          <w:szCs w:val="17"/>
          <w:color w:val="auto"/>
        </w:rPr>
      </w:pPr>
    </w:p>
    <w:p>
      <w:pPr>
        <w:ind w:left="520" w:hanging="257"/>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an economic downturn could also impact availability and pricing of our financing;</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access the capital markets could impair our ability to raise capital and our investment activities;</w:t>
      </w:r>
    </w:p>
    <w:p>
      <w:pPr>
        <w:spacing w:after="0" w:line="117" w:lineRule="exact"/>
        <w:rPr>
          <w:rFonts w:ascii="Times New Roman" w:cs="Times New Roman" w:eastAsia="Times New Roman" w:hAnsi="Times New Roman"/>
          <w:sz w:val="18"/>
          <w:szCs w:val="18"/>
          <w:color w:val="auto"/>
        </w:rPr>
      </w:pPr>
    </w:p>
    <w:p>
      <w:pPr>
        <w:ind w:left="520" w:right="180" w:hanging="257"/>
        <w:spacing w:after="0" w:line="282" w:lineRule="auto"/>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could negatively impact our business, including our ability to access the debt markets on favorable terms, or could negatively impact our portfolio companies;</w:t>
      </w:r>
    </w:p>
    <w:p>
      <w:pPr>
        <w:spacing w:after="0" w:line="53" w:lineRule="exact"/>
        <w:rPr>
          <w:rFonts w:ascii="Times New Roman" w:cs="Times New Roman" w:eastAsia="Times New Roman" w:hAnsi="Times New Roman"/>
          <w:sz w:val="18"/>
          <w:szCs w:val="18"/>
          <w:color w:val="auto"/>
        </w:rPr>
      </w:pPr>
    </w:p>
    <w:p>
      <w:pPr>
        <w:ind w:left="520" w:right="240" w:hanging="257"/>
        <w:spacing w:after="0" w:line="266" w:lineRule="auto"/>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political, economic or industry conditions, the interest rate environment or conditions affecting the financial and capital markets, including the effects of trade policies, government regulation and geopolitical conflicts may adversely affect our operations and the operations of our portfolio companies; and</w:t>
      </w:r>
    </w:p>
    <w:p>
      <w:pPr>
        <w:spacing w:after="0" w:line="67" w:lineRule="exact"/>
        <w:rPr>
          <w:rFonts w:ascii="Times New Roman" w:cs="Times New Roman" w:eastAsia="Times New Roman" w:hAnsi="Times New Roman"/>
          <w:sz w:val="18"/>
          <w:szCs w:val="18"/>
          <w:color w:val="auto"/>
        </w:rPr>
      </w:pPr>
    </w:p>
    <w:p>
      <w:pPr>
        <w:ind w:left="520" w:right="80" w:hanging="257"/>
        <w:spacing w:after="0" w:line="282" w:lineRule="auto"/>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uncertainties and other factors we identify in the section entitled “Risk Factors” in this report, in our Annual Report on Form 10-K for the year ended December 31, 2025, filed with the SEC on February 13, 2026, and elsewhere in our filings with the SEC.</w:t>
      </w:r>
    </w:p>
    <w:p>
      <w:pPr>
        <w:spacing w:after="0" w:line="162"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8"/>
          <w:szCs w:val="18"/>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report should not be regarded as a representation by us that our plans and objectives will be achieved. You should not place undue reliance on these forward-looking statements, which apply only as of the date of this report. We do not undertake any obligation to update or revise any forward-looking statements or any other information contained herein, except as required by applicable law.</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Sixth Street Lending Partners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96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20" w:type="dxa"/>
            <w:vAlign w:val="bottom"/>
          </w:tcPr>
          <w:p>
            <w:pPr>
              <w:spacing w:after="0"/>
              <w:rPr>
                <w:sz w:val="13"/>
                <w:szCs w:val="13"/>
                <w:color w:val="auto"/>
              </w:rPr>
            </w:pPr>
          </w:p>
        </w:tc>
        <w:tc>
          <w:tcPr>
            <w:tcW w:w="17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9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ind w:right="8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9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320" w:type="dxa"/>
            <w:vAlign w:val="bottom"/>
            <w:shd w:val="clear" w:color="auto" w:fill="CFF0FC"/>
          </w:tcPr>
          <w:p>
            <w:pPr>
              <w:spacing w:after="0"/>
              <w:rPr>
                <w:sz w:val="12"/>
                <w:szCs w:val="12"/>
                <w:color w:val="auto"/>
              </w:rPr>
            </w:pPr>
          </w:p>
        </w:tc>
        <w:tc>
          <w:tcPr>
            <w:tcW w:w="17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Investments at fair value</w:t>
            </w:r>
          </w:p>
        </w:tc>
        <w:tc>
          <w:tcPr>
            <w:tcW w:w="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90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Non-controlled, non-affiliated investments (amortized cost of $9,176,421 and $7,892,866, respectively)</w:t>
            </w:r>
          </w:p>
        </w:tc>
        <w:tc>
          <w:tcPr>
            <w:tcW w:w="320" w:type="dxa"/>
            <w:vAlign w:val="bottom"/>
            <w:shd w:val="clear" w:color="auto" w:fill="CFF0FC"/>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9,173,173</w:t>
            </w:r>
          </w:p>
        </w:tc>
        <w:tc>
          <w:tcPr>
            <w:tcW w:w="240" w:type="dxa"/>
            <w:vAlign w:val="bottom"/>
            <w:shd w:val="clear" w:color="auto" w:fill="CFF0FC"/>
          </w:tcPr>
          <w:p>
            <w:pPr>
              <w:spacing w:after="0"/>
              <w:rPr>
                <w:sz w:val="12"/>
                <w:szCs w:val="12"/>
                <w:color w:val="auto"/>
              </w:rPr>
            </w:pPr>
          </w:p>
        </w:tc>
        <w:tc>
          <w:tcPr>
            <w:tcW w:w="320" w:type="dxa"/>
            <w:vAlign w:val="bottom"/>
            <w:shd w:val="clear" w:color="auto" w:fill="CFF0FC"/>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8,108,654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9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Non-controlled, affiliated investments (amortized cost of $37,832 and $0, respectively)</w:t>
            </w:r>
          </w:p>
        </w:tc>
        <w:tc>
          <w:tcPr>
            <w:tcW w:w="320" w:type="dxa"/>
            <w:vAlign w:val="bottom"/>
          </w:tcPr>
          <w:p>
            <w:pPr>
              <w:spacing w:after="0"/>
              <w:rPr>
                <w:sz w:val="12"/>
                <w:szCs w:val="12"/>
                <w:color w:val="auto"/>
              </w:rPr>
            </w:pPr>
          </w:p>
        </w:tc>
        <w:tc>
          <w:tcPr>
            <w:tcW w:w="1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40,007</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69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 investments at fair value (amortized cost of $9,214,253 and $7,892,866, respectively)</w:t>
            </w:r>
          </w:p>
        </w:tc>
        <w:tc>
          <w:tcPr>
            <w:tcW w:w="320" w:type="dxa"/>
            <w:vAlign w:val="bottom"/>
            <w:tcBorders>
              <w:top w:val="single" w:sz="8" w:color="auto"/>
            </w:tcBorders>
            <w:shd w:val="clear" w:color="auto" w:fill="CFF0FC"/>
          </w:tcPr>
          <w:p>
            <w:pPr>
              <w:spacing w:after="0"/>
              <w:rPr>
                <w:sz w:val="12"/>
                <w:szCs w:val="12"/>
                <w:color w:val="auto"/>
              </w:rPr>
            </w:pPr>
          </w:p>
        </w:tc>
        <w:tc>
          <w:tcPr>
            <w:tcW w:w="172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9,213,180</w:t>
            </w:r>
          </w:p>
        </w:tc>
        <w:tc>
          <w:tcPr>
            <w:tcW w:w="240" w:type="dxa"/>
            <w:vAlign w:val="bottom"/>
            <w:shd w:val="clear" w:color="auto" w:fill="CFF0FC"/>
          </w:tcPr>
          <w:p>
            <w:pPr>
              <w:spacing w:after="0"/>
              <w:rPr>
                <w:sz w:val="12"/>
                <w:szCs w:val="12"/>
                <w:color w:val="auto"/>
              </w:rPr>
            </w:pPr>
          </w:p>
        </w:tc>
        <w:tc>
          <w:tcPr>
            <w:tcW w:w="320" w:type="dxa"/>
            <w:vAlign w:val="bottom"/>
            <w:tcBorders>
              <w:top w:val="single" w:sz="8" w:color="auto"/>
            </w:tcBorders>
            <w:shd w:val="clear" w:color="auto" w:fill="CFF0FC"/>
          </w:tcPr>
          <w:p>
            <w:pPr>
              <w:spacing w:after="0"/>
              <w:rPr>
                <w:sz w:val="12"/>
                <w:szCs w:val="12"/>
                <w:color w:val="auto"/>
              </w:rPr>
            </w:pPr>
          </w:p>
        </w:tc>
        <w:tc>
          <w:tcPr>
            <w:tcW w:w="164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8,108,654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 (restricted cash of $77,211 and $47,671, respectively)</w:t>
            </w:r>
          </w:p>
        </w:tc>
        <w:tc>
          <w:tcPr>
            <w:tcW w:w="320" w:type="dxa"/>
            <w:vAlign w:val="bottom"/>
          </w:tcPr>
          <w:p>
            <w:pPr>
              <w:spacing w:after="0"/>
              <w:rPr>
                <w:sz w:val="12"/>
                <w:szCs w:val="12"/>
                <w:color w:val="auto"/>
              </w:rPr>
            </w:pPr>
          </w:p>
        </w:tc>
        <w:tc>
          <w:tcPr>
            <w:tcW w:w="1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622,605</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454,681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9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Interest and dividends receivable</w:t>
            </w:r>
          </w:p>
        </w:tc>
        <w:tc>
          <w:tcPr>
            <w:tcW w:w="320" w:type="dxa"/>
            <w:vAlign w:val="bottom"/>
            <w:shd w:val="clear" w:color="auto" w:fill="CFF0FC"/>
          </w:tcPr>
          <w:p>
            <w:pPr>
              <w:spacing w:after="0"/>
              <w:rPr>
                <w:sz w:val="12"/>
                <w:szCs w:val="12"/>
                <w:color w:val="auto"/>
              </w:rPr>
            </w:pPr>
          </w:p>
        </w:tc>
        <w:tc>
          <w:tcPr>
            <w:tcW w:w="1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93,574</w:t>
            </w:r>
          </w:p>
        </w:tc>
        <w:tc>
          <w:tcPr>
            <w:tcW w:w="2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75,018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Prepaid expenses and other assets</w:t>
            </w:r>
          </w:p>
        </w:tc>
        <w:tc>
          <w:tcPr>
            <w:tcW w:w="32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22,738</w:t>
            </w: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52,948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900" w:type="dxa"/>
            <w:vAlign w:val="bottom"/>
            <w:tcBorders>
              <w:bottom w:val="single" w:sz="8" w:color="CFF0FC"/>
            </w:tcBorders>
            <w:shd w:val="clear" w:color="auto" w:fill="CFF0FC"/>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320" w:type="dxa"/>
            <w:vAlign w:val="bottom"/>
            <w:tcBorders>
              <w:bottom w:val="single" w:sz="8" w:color="auto"/>
            </w:tcBorders>
            <w:shd w:val="clear" w:color="auto" w:fill="CFF0FC"/>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9,952,097</w:t>
            </w:r>
          </w:p>
        </w:tc>
        <w:tc>
          <w:tcPr>
            <w:tcW w:w="24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8,691,301</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900" w:type="dxa"/>
            <w:vAlign w:val="bottom"/>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3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9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Debt (net of deferred financing costs of $46,447 and $37,041, respectively)</w:t>
            </w:r>
          </w:p>
        </w:tc>
        <w:tc>
          <w:tcPr>
            <w:tcW w:w="320" w:type="dxa"/>
            <w:vAlign w:val="bottom"/>
            <w:shd w:val="clear" w:color="auto" w:fill="CFF0FC"/>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4,662,495</w:t>
            </w:r>
          </w:p>
        </w:tc>
        <w:tc>
          <w:tcPr>
            <w:tcW w:w="240" w:type="dxa"/>
            <w:vAlign w:val="bottom"/>
            <w:shd w:val="clear" w:color="auto" w:fill="CFF0FC"/>
          </w:tcPr>
          <w:p>
            <w:pPr>
              <w:spacing w:after="0"/>
              <w:rPr>
                <w:sz w:val="12"/>
                <w:szCs w:val="12"/>
                <w:color w:val="auto"/>
              </w:rPr>
            </w:pPr>
          </w:p>
        </w:tc>
        <w:tc>
          <w:tcPr>
            <w:tcW w:w="320" w:type="dxa"/>
            <w:vAlign w:val="bottom"/>
            <w:shd w:val="clear" w:color="auto" w:fill="CFF0FC"/>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4,132,825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Management fees payable to affiliate</w:t>
            </w:r>
          </w:p>
        </w:tc>
        <w:tc>
          <w:tcPr>
            <w:tcW w:w="320" w:type="dxa"/>
            <w:vAlign w:val="bottom"/>
          </w:tcPr>
          <w:p>
            <w:pPr>
              <w:spacing w:after="0"/>
              <w:rPr>
                <w:sz w:val="12"/>
                <w:szCs w:val="12"/>
                <w:color w:val="auto"/>
              </w:rPr>
            </w:pPr>
          </w:p>
        </w:tc>
        <w:tc>
          <w:tcPr>
            <w:tcW w:w="1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11,654</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10,261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9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Incentive fees on net investment income payable to affiliate</w:t>
            </w:r>
          </w:p>
        </w:tc>
        <w:tc>
          <w:tcPr>
            <w:tcW w:w="320" w:type="dxa"/>
            <w:vAlign w:val="bottom"/>
            <w:shd w:val="clear" w:color="auto" w:fill="CFF0FC"/>
          </w:tcPr>
          <w:p>
            <w:pPr>
              <w:spacing w:after="0"/>
              <w:rPr>
                <w:sz w:val="12"/>
                <w:szCs w:val="12"/>
                <w:color w:val="auto"/>
              </w:rPr>
            </w:pPr>
          </w:p>
        </w:tc>
        <w:tc>
          <w:tcPr>
            <w:tcW w:w="1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20,958</w:t>
            </w:r>
          </w:p>
        </w:tc>
        <w:tc>
          <w:tcPr>
            <w:tcW w:w="2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19,818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Incentive fees on net capital gains accrued to affiliate</w:t>
            </w:r>
          </w:p>
        </w:tc>
        <w:tc>
          <w:tcPr>
            <w:tcW w:w="320" w:type="dxa"/>
            <w:vAlign w:val="bottom"/>
          </w:tcPr>
          <w:p>
            <w:pPr>
              <w:spacing w:after="0"/>
              <w:rPr>
                <w:sz w:val="12"/>
                <w:szCs w:val="12"/>
                <w:color w:val="auto"/>
              </w:rPr>
            </w:pPr>
          </w:p>
        </w:tc>
        <w:tc>
          <w:tcPr>
            <w:tcW w:w="19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1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14,922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9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payables to affiliate</w:t>
            </w:r>
          </w:p>
        </w:tc>
        <w:tc>
          <w:tcPr>
            <w:tcW w:w="320" w:type="dxa"/>
            <w:vAlign w:val="bottom"/>
            <w:shd w:val="clear" w:color="auto" w:fill="CFF0FC"/>
          </w:tcPr>
          <w:p>
            <w:pPr>
              <w:spacing w:after="0"/>
              <w:rPr>
                <w:sz w:val="12"/>
                <w:szCs w:val="12"/>
                <w:color w:val="auto"/>
              </w:rPr>
            </w:pPr>
          </w:p>
        </w:tc>
        <w:tc>
          <w:tcPr>
            <w:tcW w:w="1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5,547</w:t>
            </w:r>
          </w:p>
        </w:tc>
        <w:tc>
          <w:tcPr>
            <w:tcW w:w="2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4,193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Dividends payable</w:t>
            </w:r>
          </w:p>
        </w:tc>
        <w:tc>
          <w:tcPr>
            <w:tcW w:w="320" w:type="dxa"/>
            <w:vAlign w:val="bottom"/>
          </w:tcPr>
          <w:p>
            <w:pPr>
              <w:spacing w:after="0"/>
              <w:rPr>
                <w:sz w:val="12"/>
                <w:szCs w:val="12"/>
                <w:color w:val="auto"/>
              </w:rPr>
            </w:pPr>
          </w:p>
        </w:tc>
        <w:tc>
          <w:tcPr>
            <w:tcW w:w="1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126,285</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260,389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90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liabilities</w:t>
            </w:r>
          </w:p>
        </w:tc>
        <w:tc>
          <w:tcPr>
            <w:tcW w:w="320" w:type="dxa"/>
            <w:vAlign w:val="bottom"/>
            <w:tcBorders>
              <w:bottom w:val="single" w:sz="8" w:color="auto"/>
            </w:tcBorders>
            <w:shd w:val="clear" w:color="auto" w:fill="CFF0FC"/>
          </w:tcPr>
          <w:p>
            <w:pPr>
              <w:spacing w:after="0"/>
              <w:rPr>
                <w:sz w:val="12"/>
                <w:szCs w:val="12"/>
                <w:color w:val="auto"/>
              </w:rPr>
            </w:pPr>
          </w:p>
        </w:tc>
        <w:tc>
          <w:tcPr>
            <w:tcW w:w="17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50,520</w:t>
            </w:r>
          </w:p>
        </w:tc>
        <w:tc>
          <w:tcPr>
            <w:tcW w:w="240" w:type="dxa"/>
            <w:vAlign w:val="bottom"/>
            <w:tcBorders>
              <w:bottom w:val="single" w:sz="8" w:color="CFF0FC"/>
            </w:tcBorders>
            <w:shd w:val="clear" w:color="auto" w:fill="CFF0FC"/>
          </w:tcPr>
          <w:p>
            <w:pPr>
              <w:spacing w:after="0"/>
              <w:rPr>
                <w:sz w:val="12"/>
                <w:szCs w:val="12"/>
                <w:color w:val="auto"/>
              </w:rPr>
            </w:pPr>
          </w:p>
        </w:tc>
        <w:tc>
          <w:tcPr>
            <w:tcW w:w="320" w:type="dxa"/>
            <w:vAlign w:val="bottom"/>
            <w:tcBorders>
              <w:bottom w:val="single" w:sz="8" w:color="auto"/>
            </w:tcBorders>
            <w:shd w:val="clear" w:color="auto" w:fill="CFF0FC"/>
          </w:tcPr>
          <w:p>
            <w:pPr>
              <w:spacing w:after="0"/>
              <w:rPr>
                <w:sz w:val="12"/>
                <w:szCs w:val="12"/>
                <w:color w:val="auto"/>
              </w:rPr>
            </w:pPr>
          </w:p>
        </w:tc>
        <w:tc>
          <w:tcPr>
            <w:tcW w:w="16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78,405</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900" w:type="dxa"/>
            <w:vAlign w:val="bottom"/>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32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4,877,459</w:t>
            </w: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4,520,813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9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Commitments and contingencies (Note 8)</w:t>
            </w:r>
          </w:p>
        </w:tc>
        <w:tc>
          <w:tcPr>
            <w:tcW w:w="320" w:type="dxa"/>
            <w:vAlign w:val="bottom"/>
            <w:shd w:val="clear" w:color="auto" w:fill="CFF0FC"/>
          </w:tcPr>
          <w:p>
            <w:pPr>
              <w:spacing w:after="0"/>
              <w:rPr>
                <w:sz w:val="12"/>
                <w:szCs w:val="12"/>
                <w:color w:val="auto"/>
              </w:rPr>
            </w:pPr>
          </w:p>
        </w:tc>
        <w:tc>
          <w:tcPr>
            <w:tcW w:w="17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9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Assets</w:t>
            </w:r>
          </w:p>
        </w:tc>
        <w:tc>
          <w:tcPr>
            <w:tcW w:w="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690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Common shares, $0.001 par value; unlimited shares authorized (180,406,820 and 146,285,685, shares issued and</w:t>
            </w:r>
          </w:p>
        </w:tc>
        <w:tc>
          <w:tcPr>
            <w:tcW w:w="320" w:type="dxa"/>
            <w:vAlign w:val="bottom"/>
            <w:shd w:val="clear" w:color="auto" w:fill="CFF0FC"/>
          </w:tcPr>
          <w:p>
            <w:pPr>
              <w:spacing w:after="0"/>
              <w:rPr>
                <w:sz w:val="10"/>
                <w:szCs w:val="10"/>
                <w:color w:val="auto"/>
              </w:rPr>
            </w:pPr>
          </w:p>
        </w:tc>
        <w:tc>
          <w:tcPr>
            <w:tcW w:w="1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24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outstanding, respectively)</w:t>
            </w:r>
          </w:p>
        </w:tc>
        <w:tc>
          <w:tcPr>
            <w:tcW w:w="320" w:type="dxa"/>
            <w:vAlign w:val="bottom"/>
            <w:shd w:val="clear" w:color="auto" w:fill="CFF0FC"/>
          </w:tcPr>
          <w:p>
            <w:pPr>
              <w:spacing w:after="0"/>
              <w:rPr>
                <w:sz w:val="14"/>
                <w:szCs w:val="14"/>
                <w:color w:val="auto"/>
              </w:rPr>
            </w:pPr>
          </w:p>
        </w:tc>
        <w:tc>
          <w:tcPr>
            <w:tcW w:w="172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6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320" w:type="dxa"/>
            <w:vAlign w:val="bottom"/>
          </w:tcPr>
          <w:p>
            <w:pPr>
              <w:spacing w:after="0"/>
              <w:rPr>
                <w:sz w:val="12"/>
                <w:szCs w:val="12"/>
                <w:color w:val="auto"/>
              </w:rPr>
            </w:pPr>
          </w:p>
        </w:tc>
        <w:tc>
          <w:tcPr>
            <w:tcW w:w="1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5,078,268</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4,100,272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9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Distributable earnings</w:t>
            </w:r>
          </w:p>
        </w:tc>
        <w:tc>
          <w:tcPr>
            <w:tcW w:w="320" w:type="dxa"/>
            <w:vAlign w:val="bottom"/>
            <w:shd w:val="clear" w:color="auto" w:fill="CFF0FC"/>
          </w:tcPr>
          <w:p>
            <w:pPr>
              <w:spacing w:after="0"/>
              <w:rPr>
                <w:sz w:val="12"/>
                <w:szCs w:val="12"/>
                <w:color w:val="auto"/>
              </w:rPr>
            </w:pPr>
          </w:p>
        </w:tc>
        <w:tc>
          <w:tcPr>
            <w:tcW w:w="196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(3,810)</w:t>
            </w:r>
          </w:p>
        </w:tc>
        <w:tc>
          <w:tcPr>
            <w:tcW w:w="320" w:type="dxa"/>
            <w:vAlign w:val="bottom"/>
            <w:shd w:val="clear" w:color="auto" w:fill="CFF0FC"/>
          </w:tcPr>
          <w:p>
            <w:pPr>
              <w:spacing w:after="0"/>
              <w:rPr>
                <w:sz w:val="12"/>
                <w:szCs w:val="12"/>
                <w:color w:val="auto"/>
              </w:rPr>
            </w:pPr>
          </w:p>
        </w:tc>
        <w:tc>
          <w:tcPr>
            <w:tcW w:w="1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70,070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900" w:type="dxa"/>
            <w:vAlign w:val="bottom"/>
            <w:tcBorders>
              <w:top w:val="single" w:sz="8" w:color="CFF0FC"/>
            </w:tcBorders>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Total Net Assets</w:t>
            </w:r>
          </w:p>
        </w:tc>
        <w:tc>
          <w:tcPr>
            <w:tcW w:w="320" w:type="dxa"/>
            <w:vAlign w:val="bottom"/>
            <w:tcBorders>
              <w:top w:val="single" w:sz="8" w:color="auto"/>
              <w:bottom w:val="single" w:sz="8" w:color="auto"/>
            </w:tcBorders>
          </w:tcPr>
          <w:p>
            <w:pPr>
              <w:spacing w:after="0"/>
              <w:rPr>
                <w:sz w:val="12"/>
                <w:szCs w:val="12"/>
                <w:color w:val="auto"/>
              </w:rPr>
            </w:pPr>
          </w:p>
        </w:tc>
        <w:tc>
          <w:tcPr>
            <w:tcW w:w="1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5,074,638</w:t>
            </w:r>
          </w:p>
        </w:tc>
        <w:tc>
          <w:tcPr>
            <w:tcW w:w="240" w:type="dxa"/>
            <w:vAlign w:val="bottom"/>
            <w:tcBorders>
              <w:top w:val="single" w:sz="8" w:color="CFF0FC"/>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6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4,170,488</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900" w:type="dxa"/>
            <w:vAlign w:val="bottom"/>
            <w:tcBorders>
              <w:bottom w:val="single" w:sz="8" w:color="CFF0FC"/>
            </w:tcBorders>
            <w:shd w:val="clear" w:color="auto" w:fill="CFF0FC"/>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 and Net Assets</w:t>
            </w:r>
          </w:p>
        </w:tc>
        <w:tc>
          <w:tcPr>
            <w:tcW w:w="320" w:type="dxa"/>
            <w:vAlign w:val="bottom"/>
            <w:tcBorders>
              <w:bottom w:val="single" w:sz="8" w:color="auto"/>
            </w:tcBorders>
            <w:shd w:val="clear" w:color="auto" w:fill="CFF0FC"/>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9,952,097</w:t>
            </w:r>
          </w:p>
        </w:tc>
        <w:tc>
          <w:tcPr>
            <w:tcW w:w="24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8,691,301</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900" w:type="dxa"/>
            <w:vAlign w:val="bottom"/>
          </w:tcPr>
          <w:p>
            <w:pPr>
              <w:ind w:left="260"/>
              <w:spacing w:after="0" w:line="129" w:lineRule="exact"/>
              <w:rPr>
                <w:sz w:val="20"/>
                <w:szCs w:val="20"/>
                <w:color w:val="auto"/>
              </w:rPr>
            </w:pPr>
            <w:r>
              <w:rPr>
                <w:rFonts w:ascii="Times New Roman" w:cs="Times New Roman" w:eastAsia="Times New Roman" w:hAnsi="Times New Roman"/>
                <w:sz w:val="14"/>
                <w:szCs w:val="14"/>
                <w:b w:val="1"/>
                <w:bCs w:val="1"/>
                <w:color w:val="auto"/>
              </w:rPr>
              <w:t>Net Asset Value Per Share</w:t>
            </w:r>
          </w:p>
        </w:tc>
        <w:tc>
          <w:tcPr>
            <w:tcW w:w="320" w:type="dxa"/>
            <w:vAlign w:val="bottom"/>
            <w:tcBorders>
              <w:bottom w:val="single" w:sz="8" w:color="auto"/>
            </w:tcBorders>
          </w:tcPr>
          <w:p>
            <w:pPr>
              <w:jc w:val="right"/>
              <w:ind w:right="16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28.13</w:t>
            </w:r>
          </w:p>
        </w:tc>
        <w:tc>
          <w:tcPr>
            <w:tcW w:w="240" w:type="dxa"/>
            <w:vAlign w:val="bottom"/>
          </w:tcPr>
          <w:p>
            <w:pPr>
              <w:spacing w:after="0"/>
              <w:rPr>
                <w:sz w:val="11"/>
                <w:szCs w:val="11"/>
                <w:color w:val="auto"/>
              </w:rPr>
            </w:pPr>
          </w:p>
        </w:tc>
        <w:tc>
          <w:tcPr>
            <w:tcW w:w="320" w:type="dxa"/>
            <w:vAlign w:val="bottom"/>
            <w:tcBorders>
              <w:bottom w:val="single" w:sz="8" w:color="auto"/>
            </w:tcBorders>
          </w:tcPr>
          <w:p>
            <w:pPr>
              <w:jc w:val="right"/>
              <w:ind w:right="16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28.51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-1807845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-1791335</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-1807845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-1791335</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-1028065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-1028065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-351155</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-351155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-145415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-128270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Sixth Street Lending Partners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40" w:type="dxa"/>
            <w:vAlign w:val="bottom"/>
            <w:gridSpan w:val="6"/>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80" w:type="dxa"/>
            <w:vAlign w:val="bottom"/>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142"/>
        </w:trPr>
        <w:tc>
          <w:tcPr>
            <w:tcW w:w="4980" w:type="dxa"/>
            <w:vAlign w:val="bottom"/>
          </w:tcPr>
          <w:p>
            <w:pPr>
              <w:spacing w:after="0"/>
              <w:rPr>
                <w:sz w:val="12"/>
                <w:szCs w:val="12"/>
                <w:color w:val="auto"/>
              </w:rPr>
            </w:pPr>
          </w:p>
        </w:tc>
        <w:tc>
          <w:tcPr>
            <w:tcW w:w="1460" w:type="dxa"/>
            <w:vAlign w:val="bottom"/>
            <w:tcBorders>
              <w:top w:val="single" w:sz="8" w:color="auto"/>
            </w:tcBorders>
            <w:gridSpan w:val="3"/>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2026</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2"/>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2026</w:t>
            </w:r>
          </w:p>
        </w:tc>
        <w:tc>
          <w:tcPr>
            <w:tcW w:w="124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2025</w:t>
            </w:r>
          </w:p>
        </w:tc>
        <w:tc>
          <w:tcPr>
            <w:tcW w:w="280" w:type="dxa"/>
            <w:vAlign w:val="bottom"/>
          </w:tcPr>
          <w:p>
            <w:pPr>
              <w:spacing w:after="0"/>
              <w:rPr>
                <w:sz w:val="12"/>
                <w:szCs w:val="12"/>
                <w:color w:val="auto"/>
              </w:rPr>
            </w:pPr>
          </w:p>
        </w:tc>
      </w:tr>
      <w:tr>
        <w:trPr>
          <w:trHeight w:val="142"/>
        </w:trPr>
        <w:tc>
          <w:tcPr>
            <w:tcW w:w="49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Income</w:t>
            </w:r>
          </w:p>
        </w:tc>
        <w:tc>
          <w:tcPr>
            <w:tcW w:w="340" w:type="dxa"/>
            <w:vAlign w:val="bottom"/>
            <w:tcBorders>
              <w:top w:val="single" w:sz="8" w:color="auto"/>
            </w:tcBorders>
            <w:shd w:val="clear" w:color="auto" w:fill="CFF0FC"/>
          </w:tcPr>
          <w:p>
            <w:pPr>
              <w:spacing w:after="0"/>
              <w:rPr>
                <w:sz w:val="12"/>
                <w:szCs w:val="12"/>
                <w:color w:val="auto"/>
              </w:rPr>
            </w:pPr>
          </w:p>
        </w:tc>
        <w:tc>
          <w:tcPr>
            <w:tcW w:w="100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132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1300" w:type="dxa"/>
            <w:vAlign w:val="bottom"/>
            <w:tcBorders>
              <w:top w:val="single" w:sz="8" w:color="auto"/>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80" w:type="dxa"/>
            <w:vAlign w:val="bottom"/>
            <w:tcBorders>
              <w:top w:val="single" w:sz="8" w:color="auto"/>
            </w:tcBorders>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r>
      <w:tr>
        <w:trPr>
          <w:trHeight w:val="148"/>
        </w:trPr>
        <w:tc>
          <w:tcPr>
            <w:tcW w:w="4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Investment income from non-controlled, non-affiliated investments:</w:t>
            </w: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48"/>
        </w:trPr>
        <w:tc>
          <w:tcPr>
            <w:tcW w:w="498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Interest from investments</w:t>
            </w:r>
          </w:p>
        </w:tc>
        <w:tc>
          <w:tcPr>
            <w:tcW w:w="340" w:type="dxa"/>
            <w:vAlign w:val="bottom"/>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217,329</w:t>
            </w:r>
          </w:p>
        </w:tc>
        <w:tc>
          <w:tcPr>
            <w:tcW w:w="120" w:type="dxa"/>
            <w:vAlign w:val="bottom"/>
            <w:shd w:val="clear" w:color="auto" w:fill="CFF0FC"/>
          </w:tcPr>
          <w:p>
            <w:pPr>
              <w:spacing w:after="0"/>
              <w:rPr>
                <w:sz w:val="12"/>
                <w:szCs w:val="12"/>
                <w:color w:val="auto"/>
              </w:rPr>
            </w:pPr>
          </w:p>
        </w:tc>
        <w:tc>
          <w:tcPr>
            <w:tcW w:w="1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197,047</w:t>
            </w:r>
          </w:p>
        </w:tc>
        <w:tc>
          <w:tcPr>
            <w:tcW w:w="120" w:type="dxa"/>
            <w:vAlign w:val="bottom"/>
            <w:shd w:val="clear" w:color="auto" w:fill="CFF0FC"/>
          </w:tcPr>
          <w:p>
            <w:pPr>
              <w:spacing w:after="0"/>
              <w:rPr>
                <w:sz w:val="12"/>
                <w:szCs w:val="12"/>
                <w:color w:val="auto"/>
              </w:rPr>
            </w:pPr>
          </w:p>
        </w:tc>
        <w:tc>
          <w:tcPr>
            <w:tcW w:w="1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615,441</w:t>
            </w:r>
          </w:p>
        </w:tc>
        <w:tc>
          <w:tcPr>
            <w:tcW w:w="2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629,558</w:t>
            </w:r>
          </w:p>
        </w:tc>
        <w:tc>
          <w:tcPr>
            <w:tcW w:w="280" w:type="dxa"/>
            <w:vAlign w:val="bottom"/>
            <w:shd w:val="clear" w:color="auto" w:fill="CFF0FC"/>
          </w:tcPr>
          <w:p>
            <w:pPr>
              <w:spacing w:after="0"/>
              <w:rPr>
                <w:sz w:val="12"/>
                <w:szCs w:val="12"/>
                <w:color w:val="auto"/>
              </w:rPr>
            </w:pPr>
          </w:p>
        </w:tc>
      </w:tr>
      <w:tr>
        <w:trPr>
          <w:trHeight w:val="148"/>
        </w:trPr>
        <w:tc>
          <w:tcPr>
            <w:tcW w:w="49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Paid-in-kind interest income</w:t>
            </w:r>
          </w:p>
        </w:tc>
        <w:tc>
          <w:tcPr>
            <w:tcW w:w="34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20,900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18,969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57,585</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50,256</w:t>
            </w:r>
          </w:p>
        </w:tc>
        <w:tc>
          <w:tcPr>
            <w:tcW w:w="280" w:type="dxa"/>
            <w:vAlign w:val="bottom"/>
          </w:tcPr>
          <w:p>
            <w:pPr>
              <w:spacing w:after="0"/>
              <w:rPr>
                <w:sz w:val="12"/>
                <w:szCs w:val="12"/>
                <w:color w:val="auto"/>
              </w:rPr>
            </w:pPr>
          </w:p>
        </w:tc>
      </w:tr>
      <w:tr>
        <w:trPr>
          <w:trHeight w:val="148"/>
        </w:trPr>
        <w:tc>
          <w:tcPr>
            <w:tcW w:w="498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Dividend income</w:t>
            </w:r>
          </w:p>
        </w:tc>
        <w:tc>
          <w:tcPr>
            <w:tcW w:w="34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50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4,604</w:t>
            </w:r>
          </w:p>
        </w:tc>
        <w:tc>
          <w:tcPr>
            <w:tcW w:w="280" w:type="dxa"/>
            <w:vAlign w:val="bottom"/>
            <w:shd w:val="clear" w:color="auto" w:fill="CFF0FC"/>
          </w:tcPr>
          <w:p>
            <w:pPr>
              <w:spacing w:after="0"/>
              <w:rPr>
                <w:sz w:val="12"/>
                <w:szCs w:val="12"/>
                <w:color w:val="auto"/>
              </w:rPr>
            </w:pPr>
          </w:p>
        </w:tc>
      </w:tr>
      <w:tr>
        <w:trPr>
          <w:trHeight w:val="149"/>
        </w:trPr>
        <w:tc>
          <w:tcPr>
            <w:tcW w:w="49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 income</w:t>
            </w:r>
          </w:p>
        </w:tc>
        <w:tc>
          <w:tcPr>
            <w:tcW w:w="3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7,251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19,699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27,536</w:t>
            </w:r>
          </w:p>
        </w:tc>
        <w:tc>
          <w:tcPr>
            <w:tcW w:w="20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32,914</w:t>
            </w:r>
          </w:p>
        </w:tc>
        <w:tc>
          <w:tcPr>
            <w:tcW w:w="280" w:type="dxa"/>
            <w:vAlign w:val="bottom"/>
          </w:tcPr>
          <w:p>
            <w:pPr>
              <w:spacing w:after="0"/>
              <w:rPr>
                <w:sz w:val="12"/>
                <w:szCs w:val="12"/>
                <w:color w:val="auto"/>
              </w:rPr>
            </w:pPr>
          </w:p>
        </w:tc>
      </w:tr>
      <w:tr>
        <w:trPr>
          <w:trHeight w:val="142"/>
        </w:trPr>
        <w:tc>
          <w:tcPr>
            <w:tcW w:w="4980" w:type="dxa"/>
            <w:vAlign w:val="bottom"/>
            <w:shd w:val="clear" w:color="auto" w:fill="CFF0FC"/>
          </w:tcPr>
          <w:p>
            <w:pPr>
              <w:ind w:left="180"/>
              <w:spacing w:after="0" w:line="142" w:lineRule="exact"/>
              <w:rPr>
                <w:sz w:val="20"/>
                <w:szCs w:val="20"/>
                <w:color w:val="auto"/>
              </w:rPr>
            </w:pPr>
            <w:r>
              <w:rPr>
                <w:rFonts w:ascii="Times New Roman" w:cs="Times New Roman" w:eastAsia="Times New Roman" w:hAnsi="Times New Roman"/>
                <w:sz w:val="14"/>
                <w:szCs w:val="14"/>
                <w:color w:val="auto"/>
              </w:rPr>
              <w:t>Total investment income from non-controlled, non-affiliated investments</w:t>
            </w:r>
          </w:p>
        </w:tc>
        <w:tc>
          <w:tcPr>
            <w:tcW w:w="3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245,480</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235,715</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700,562</w:t>
            </w:r>
          </w:p>
        </w:tc>
        <w:tc>
          <w:tcPr>
            <w:tcW w:w="2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717,332</w:t>
            </w:r>
          </w:p>
        </w:tc>
        <w:tc>
          <w:tcPr>
            <w:tcW w:w="280" w:type="dxa"/>
            <w:vAlign w:val="bottom"/>
            <w:shd w:val="clear" w:color="auto" w:fill="CFF0FC"/>
          </w:tcPr>
          <w:p>
            <w:pPr>
              <w:spacing w:after="0"/>
              <w:rPr>
                <w:sz w:val="12"/>
                <w:szCs w:val="12"/>
                <w:color w:val="auto"/>
              </w:rPr>
            </w:pPr>
          </w:p>
        </w:tc>
      </w:tr>
      <w:tr>
        <w:trPr>
          <w:trHeight w:val="148"/>
        </w:trPr>
        <w:tc>
          <w:tcPr>
            <w:tcW w:w="4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Investment income from non-controlled, affiliated investments:</w:t>
            </w: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48"/>
        </w:trPr>
        <w:tc>
          <w:tcPr>
            <w:tcW w:w="4980" w:type="dxa"/>
            <w:vAlign w:val="bottom"/>
            <w:tcBorders>
              <w:bottom w:val="single" w:sz="8" w:color="CFF0FC"/>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Dividend income</w:t>
            </w:r>
          </w:p>
        </w:tc>
        <w:tc>
          <w:tcPr>
            <w:tcW w:w="340" w:type="dxa"/>
            <w:vAlign w:val="bottom"/>
            <w:tcBorders>
              <w:bottom w:val="single" w:sz="8" w:color="auto"/>
            </w:tcBorders>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1,630</w:t>
            </w:r>
          </w:p>
        </w:tc>
        <w:tc>
          <w:tcPr>
            <w:tcW w:w="1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13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13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2,587</w:t>
            </w:r>
          </w:p>
        </w:tc>
        <w:tc>
          <w:tcPr>
            <w:tcW w:w="200" w:type="dxa"/>
            <w:vAlign w:val="bottom"/>
            <w:tcBorders>
              <w:bottom w:val="single" w:sz="8" w:color="CFF0FC"/>
            </w:tcBorders>
            <w:shd w:val="clear" w:color="auto" w:fill="CFF0FC"/>
          </w:tcPr>
          <w:p>
            <w:pPr>
              <w:spacing w:after="0"/>
              <w:rPr>
                <w:sz w:val="12"/>
                <w:szCs w:val="12"/>
                <w:color w:val="auto"/>
              </w:rPr>
            </w:pPr>
          </w:p>
        </w:tc>
        <w:tc>
          <w:tcPr>
            <w:tcW w:w="48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FF0FC"/>
            </w:tcBorders>
            <w:shd w:val="clear" w:color="auto" w:fill="CFF0FC"/>
          </w:tcPr>
          <w:p>
            <w:pPr>
              <w:spacing w:after="0"/>
              <w:rPr>
                <w:sz w:val="12"/>
                <w:szCs w:val="12"/>
                <w:color w:val="auto"/>
              </w:rPr>
            </w:pPr>
          </w:p>
        </w:tc>
      </w:tr>
      <w:tr>
        <w:trPr>
          <w:trHeight w:val="162"/>
        </w:trPr>
        <w:tc>
          <w:tcPr>
            <w:tcW w:w="4980" w:type="dxa"/>
            <w:vAlign w:val="bottom"/>
          </w:tcPr>
          <w:p>
            <w:pPr>
              <w:ind w:left="180"/>
              <w:spacing w:after="0" w:line="142" w:lineRule="exact"/>
              <w:rPr>
                <w:sz w:val="20"/>
                <w:szCs w:val="20"/>
                <w:color w:val="auto"/>
              </w:rPr>
            </w:pPr>
            <w:r>
              <w:rPr>
                <w:rFonts w:ascii="Times New Roman" w:cs="Times New Roman" w:eastAsia="Times New Roman" w:hAnsi="Times New Roman"/>
                <w:sz w:val="14"/>
                <w:szCs w:val="14"/>
                <w:color w:val="auto"/>
              </w:rPr>
              <w:t>Total investment income from non-controlled, affiliated investments</w:t>
            </w:r>
          </w:p>
        </w:tc>
        <w:tc>
          <w:tcPr>
            <w:tcW w:w="340" w:type="dxa"/>
            <w:vAlign w:val="bottom"/>
          </w:tcPr>
          <w:p>
            <w:pPr>
              <w:spacing w:after="0"/>
              <w:rPr>
                <w:sz w:val="14"/>
                <w:szCs w:val="14"/>
                <w:color w:val="auto"/>
              </w:rPr>
            </w:pPr>
          </w:p>
        </w:tc>
        <w:tc>
          <w:tcPr>
            <w:tcW w:w="10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1,630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2,587</w:t>
            </w: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gridSpan w:val="2"/>
          </w:tcPr>
          <w:p>
            <w:pPr>
              <w:jc w:val="right"/>
              <w:ind w:right="280"/>
              <w:spacing w:after="0" w:line="142" w:lineRule="exact"/>
              <w:rPr>
                <w:sz w:val="20"/>
                <w:szCs w:val="20"/>
                <w:color w:val="auto"/>
              </w:rPr>
            </w:pPr>
            <w:r>
              <w:rPr>
                <w:rFonts w:ascii="Times New Roman" w:cs="Times New Roman" w:eastAsia="Times New Roman" w:hAnsi="Times New Roman"/>
                <w:sz w:val="14"/>
                <w:szCs w:val="14"/>
                <w:color w:val="auto"/>
              </w:rPr>
              <w:t>—</w:t>
            </w:r>
          </w:p>
        </w:tc>
      </w:tr>
      <w:tr>
        <w:trPr>
          <w:trHeight w:val="135"/>
        </w:trPr>
        <w:tc>
          <w:tcPr>
            <w:tcW w:w="4980" w:type="dxa"/>
            <w:vAlign w:val="bottom"/>
            <w:tcBorders>
              <w:top w:val="single" w:sz="8" w:color="CFF0FC"/>
              <w:bottom w:val="single" w:sz="8" w:color="CFF0FC"/>
            </w:tcBorders>
            <w:shd w:val="clear" w:color="auto" w:fill="CFF0FC"/>
          </w:tcPr>
          <w:p>
            <w:pPr>
              <w:ind w:left="280"/>
              <w:spacing w:after="0" w:line="136" w:lineRule="exact"/>
              <w:rPr>
                <w:sz w:val="20"/>
                <w:szCs w:val="20"/>
                <w:color w:val="auto"/>
              </w:rPr>
            </w:pPr>
            <w:r>
              <w:rPr>
                <w:rFonts w:ascii="Times New Roman" w:cs="Times New Roman" w:eastAsia="Times New Roman" w:hAnsi="Times New Roman"/>
                <w:sz w:val="14"/>
                <w:szCs w:val="14"/>
                <w:b w:val="1"/>
                <w:bCs w:val="1"/>
                <w:color w:val="auto"/>
              </w:rPr>
              <w:t>Total Investment Income</w:t>
            </w:r>
          </w:p>
        </w:tc>
        <w:tc>
          <w:tcPr>
            <w:tcW w:w="340" w:type="dxa"/>
            <w:vAlign w:val="bottom"/>
            <w:tcBorders>
              <w:top w:val="single" w:sz="8" w:color="auto"/>
              <w:bottom w:val="single" w:sz="8" w:color="auto"/>
            </w:tcBorders>
            <w:shd w:val="clear" w:color="auto" w:fill="CFF0FC"/>
          </w:tcPr>
          <w:p>
            <w:pPr>
              <w:spacing w:after="0"/>
              <w:rPr>
                <w:sz w:val="11"/>
                <w:szCs w:val="11"/>
                <w:color w:val="auto"/>
              </w:rPr>
            </w:pPr>
          </w:p>
        </w:tc>
        <w:tc>
          <w:tcPr>
            <w:tcW w:w="1000" w:type="dxa"/>
            <w:vAlign w:val="bottom"/>
            <w:tcBorders>
              <w:top w:val="single" w:sz="8" w:color="auto"/>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4"/>
                <w:szCs w:val="14"/>
                <w:color w:val="auto"/>
              </w:rPr>
              <w:t>247,110</w:t>
            </w:r>
          </w:p>
        </w:tc>
        <w:tc>
          <w:tcPr>
            <w:tcW w:w="120" w:type="dxa"/>
            <w:vAlign w:val="bottom"/>
            <w:tcBorders>
              <w:top w:val="single" w:sz="8" w:color="CFF0FC"/>
              <w:bottom w:val="single" w:sz="8" w:color="CFF0FC"/>
            </w:tcBorders>
            <w:shd w:val="clear" w:color="auto" w:fill="CFF0FC"/>
          </w:tcPr>
          <w:p>
            <w:pPr>
              <w:spacing w:after="0"/>
              <w:rPr>
                <w:sz w:val="11"/>
                <w:szCs w:val="11"/>
                <w:color w:val="auto"/>
              </w:rPr>
            </w:pPr>
          </w:p>
        </w:tc>
        <w:tc>
          <w:tcPr>
            <w:tcW w:w="80" w:type="dxa"/>
            <w:vAlign w:val="bottom"/>
            <w:tcBorders>
              <w:top w:val="single" w:sz="8" w:color="CFF0FC"/>
              <w:bottom w:val="single" w:sz="8" w:color="CFF0FC"/>
            </w:tcBorders>
            <w:shd w:val="clear" w:color="auto" w:fill="CFF0FC"/>
          </w:tcPr>
          <w:p>
            <w:pPr>
              <w:spacing w:after="0"/>
              <w:rPr>
                <w:sz w:val="11"/>
                <w:szCs w:val="11"/>
                <w:color w:val="auto"/>
              </w:rPr>
            </w:pP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1320" w:type="dxa"/>
            <w:vAlign w:val="bottom"/>
            <w:tcBorders>
              <w:top w:val="single" w:sz="8" w:color="auto"/>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4"/>
                <w:szCs w:val="14"/>
                <w:color w:val="auto"/>
              </w:rPr>
              <w:t>235,715</w:t>
            </w:r>
          </w:p>
        </w:tc>
        <w:tc>
          <w:tcPr>
            <w:tcW w:w="120" w:type="dxa"/>
            <w:vAlign w:val="bottom"/>
            <w:tcBorders>
              <w:top w:val="single" w:sz="8" w:color="CFF0FC"/>
              <w:bottom w:val="single" w:sz="8" w:color="CFF0FC"/>
            </w:tcBorders>
            <w:shd w:val="clear" w:color="auto" w:fill="CFF0FC"/>
          </w:tcPr>
          <w:p>
            <w:pPr>
              <w:spacing w:after="0"/>
              <w:rPr>
                <w:sz w:val="11"/>
                <w:szCs w:val="11"/>
                <w:color w:val="auto"/>
              </w:rPr>
            </w:pPr>
          </w:p>
        </w:tc>
        <w:tc>
          <w:tcPr>
            <w:tcW w:w="80" w:type="dxa"/>
            <w:vAlign w:val="bottom"/>
            <w:tcBorders>
              <w:top w:val="single" w:sz="8" w:color="CFF0FC"/>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1300" w:type="dxa"/>
            <w:vAlign w:val="bottom"/>
            <w:tcBorders>
              <w:top w:val="single" w:sz="8" w:color="auto"/>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4"/>
                <w:szCs w:val="14"/>
                <w:color w:val="auto"/>
              </w:rPr>
              <w:t>703,149</w:t>
            </w:r>
          </w:p>
        </w:tc>
        <w:tc>
          <w:tcPr>
            <w:tcW w:w="200" w:type="dxa"/>
            <w:vAlign w:val="bottom"/>
            <w:tcBorders>
              <w:top w:val="single" w:sz="8" w:color="CFF0FC"/>
              <w:bottom w:val="single" w:sz="8" w:color="CFF0FC"/>
            </w:tcBorders>
            <w:shd w:val="clear" w:color="auto" w:fill="CFF0FC"/>
          </w:tcPr>
          <w:p>
            <w:pPr>
              <w:spacing w:after="0"/>
              <w:rPr>
                <w:sz w:val="11"/>
                <w:szCs w:val="11"/>
                <w:color w:val="auto"/>
              </w:rPr>
            </w:pPr>
          </w:p>
        </w:tc>
        <w:tc>
          <w:tcPr>
            <w:tcW w:w="480" w:type="dxa"/>
            <w:vAlign w:val="bottom"/>
            <w:tcBorders>
              <w:top w:val="single" w:sz="8" w:color="auto"/>
              <w:bottom w:val="single" w:sz="8" w:color="auto"/>
            </w:tcBorders>
            <w:shd w:val="clear" w:color="auto" w:fill="CFF0FC"/>
          </w:tcPr>
          <w:p>
            <w:pPr>
              <w:spacing w:after="0"/>
              <w:rPr>
                <w:sz w:val="11"/>
                <w:szCs w:val="11"/>
                <w:color w:val="auto"/>
              </w:rPr>
            </w:pPr>
          </w:p>
        </w:tc>
        <w:tc>
          <w:tcPr>
            <w:tcW w:w="760" w:type="dxa"/>
            <w:vAlign w:val="bottom"/>
            <w:tcBorders>
              <w:top w:val="single" w:sz="8" w:color="auto"/>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4"/>
                <w:szCs w:val="14"/>
                <w:color w:val="auto"/>
              </w:rPr>
              <w:t>717,332</w:t>
            </w:r>
          </w:p>
        </w:tc>
        <w:tc>
          <w:tcPr>
            <w:tcW w:w="280" w:type="dxa"/>
            <w:vAlign w:val="bottom"/>
            <w:tcBorders>
              <w:top w:val="single" w:sz="8" w:color="CFF0FC"/>
              <w:bottom w:val="single" w:sz="8" w:color="CFF0FC"/>
            </w:tcBorders>
            <w:shd w:val="clear" w:color="auto" w:fill="CFF0FC"/>
          </w:tcPr>
          <w:p>
            <w:pPr>
              <w:spacing w:after="0"/>
              <w:rPr>
                <w:sz w:val="11"/>
                <w:szCs w:val="11"/>
                <w:color w:val="auto"/>
              </w:rPr>
            </w:pPr>
          </w:p>
        </w:tc>
      </w:tr>
      <w:tr>
        <w:trPr>
          <w:trHeight w:val="142"/>
        </w:trPr>
        <w:tc>
          <w:tcPr>
            <w:tcW w:w="49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Expenses</w:t>
            </w: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48"/>
        </w:trPr>
        <w:tc>
          <w:tcPr>
            <w:tcW w:w="49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Interest</w:t>
            </w:r>
          </w:p>
        </w:tc>
        <w:tc>
          <w:tcPr>
            <w:tcW w:w="3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62,001</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59,989</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178,674</w:t>
            </w:r>
          </w:p>
        </w:tc>
        <w:tc>
          <w:tcPr>
            <w:tcW w:w="2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175,158</w:t>
            </w:r>
          </w:p>
        </w:tc>
        <w:tc>
          <w:tcPr>
            <w:tcW w:w="280" w:type="dxa"/>
            <w:vAlign w:val="bottom"/>
            <w:shd w:val="clear" w:color="auto" w:fill="CFF0FC"/>
          </w:tcPr>
          <w:p>
            <w:pPr>
              <w:spacing w:after="0"/>
              <w:rPr>
                <w:sz w:val="12"/>
                <w:szCs w:val="12"/>
                <w:color w:val="auto"/>
              </w:rPr>
            </w:pPr>
          </w:p>
        </w:tc>
      </w:tr>
      <w:tr>
        <w:trPr>
          <w:trHeight w:val="148"/>
        </w:trPr>
        <w:tc>
          <w:tcPr>
            <w:tcW w:w="4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Management fees</w:t>
            </w:r>
          </w:p>
        </w:tc>
        <w:tc>
          <w:tcPr>
            <w:tcW w:w="34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29,342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28,051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83,808</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79,920</w:t>
            </w:r>
          </w:p>
        </w:tc>
        <w:tc>
          <w:tcPr>
            <w:tcW w:w="280" w:type="dxa"/>
            <w:vAlign w:val="bottom"/>
          </w:tcPr>
          <w:p>
            <w:pPr>
              <w:spacing w:after="0"/>
              <w:rPr>
                <w:sz w:val="12"/>
                <w:szCs w:val="12"/>
                <w:color w:val="auto"/>
              </w:rPr>
            </w:pPr>
          </w:p>
        </w:tc>
      </w:tr>
      <w:tr>
        <w:trPr>
          <w:trHeight w:val="148"/>
        </w:trPr>
        <w:tc>
          <w:tcPr>
            <w:tcW w:w="49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Incentive fees on net investment income</w:t>
            </w:r>
          </w:p>
        </w:tc>
        <w:tc>
          <w:tcPr>
            <w:tcW w:w="3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20,957</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20,228</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59,755</w:t>
            </w:r>
          </w:p>
        </w:tc>
        <w:tc>
          <w:tcPr>
            <w:tcW w:w="2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62,622</w:t>
            </w:r>
          </w:p>
        </w:tc>
        <w:tc>
          <w:tcPr>
            <w:tcW w:w="280" w:type="dxa"/>
            <w:vAlign w:val="bottom"/>
            <w:shd w:val="clear" w:color="auto" w:fill="CFF0FC"/>
          </w:tcPr>
          <w:p>
            <w:pPr>
              <w:spacing w:after="0"/>
              <w:rPr>
                <w:sz w:val="12"/>
                <w:szCs w:val="12"/>
                <w:color w:val="auto"/>
              </w:rPr>
            </w:pPr>
          </w:p>
        </w:tc>
      </w:tr>
      <w:tr>
        <w:trPr>
          <w:trHeight w:val="148"/>
        </w:trPr>
        <w:tc>
          <w:tcPr>
            <w:tcW w:w="4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Incentive fees on net capital gains (losses)</w:t>
            </w:r>
          </w:p>
        </w:tc>
        <w:tc>
          <w:tcPr>
            <w:tcW w:w="340" w:type="dxa"/>
            <w:vAlign w:val="bottom"/>
          </w:tcPr>
          <w:p>
            <w:pPr>
              <w:spacing w:after="0"/>
              <w:rPr>
                <w:sz w:val="12"/>
                <w:szCs w:val="12"/>
                <w:color w:val="auto"/>
              </w:rPr>
            </w:pPr>
          </w:p>
        </w:tc>
        <w:tc>
          <w:tcPr>
            <w:tcW w:w="11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(977)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(14,922)</w:t>
            </w:r>
          </w:p>
        </w:tc>
        <w:tc>
          <w:tcPr>
            <w:tcW w:w="480" w:type="dxa"/>
            <w:vAlign w:val="bottom"/>
          </w:tcPr>
          <w:p>
            <w:pPr>
              <w:spacing w:after="0"/>
              <w:rPr>
                <w:sz w:val="12"/>
                <w:szCs w:val="12"/>
                <w:color w:val="auto"/>
              </w:rPr>
            </w:pPr>
          </w:p>
        </w:tc>
        <w:tc>
          <w:tcPr>
            <w:tcW w:w="10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(3,795)</w:t>
            </w:r>
          </w:p>
        </w:tc>
      </w:tr>
      <w:tr>
        <w:trPr>
          <w:trHeight w:val="149"/>
        </w:trPr>
        <w:tc>
          <w:tcPr>
            <w:tcW w:w="49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Professional fees</w:t>
            </w:r>
          </w:p>
        </w:tc>
        <w:tc>
          <w:tcPr>
            <w:tcW w:w="3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3,730</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1,740</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7,530</w:t>
            </w:r>
          </w:p>
        </w:tc>
        <w:tc>
          <w:tcPr>
            <w:tcW w:w="2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5,912</w:t>
            </w:r>
          </w:p>
        </w:tc>
        <w:tc>
          <w:tcPr>
            <w:tcW w:w="280" w:type="dxa"/>
            <w:vAlign w:val="bottom"/>
            <w:shd w:val="clear" w:color="auto" w:fill="CFF0FC"/>
          </w:tcPr>
          <w:p>
            <w:pPr>
              <w:spacing w:after="0"/>
              <w:rPr>
                <w:sz w:val="12"/>
                <w:szCs w:val="12"/>
                <w:color w:val="auto"/>
              </w:rPr>
            </w:pPr>
          </w:p>
        </w:tc>
      </w:tr>
      <w:tr>
        <w:trPr>
          <w:trHeight w:val="148"/>
        </w:trPr>
        <w:tc>
          <w:tcPr>
            <w:tcW w:w="4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Trustees’ fees</w:t>
            </w:r>
          </w:p>
        </w:tc>
        <w:tc>
          <w:tcPr>
            <w:tcW w:w="34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612</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489</w:t>
            </w:r>
          </w:p>
        </w:tc>
        <w:tc>
          <w:tcPr>
            <w:tcW w:w="280" w:type="dxa"/>
            <w:vAlign w:val="bottom"/>
          </w:tcPr>
          <w:p>
            <w:pPr>
              <w:spacing w:after="0"/>
              <w:rPr>
                <w:sz w:val="12"/>
                <w:szCs w:val="12"/>
                <w:color w:val="auto"/>
              </w:rPr>
            </w:pPr>
          </w:p>
        </w:tc>
      </w:tr>
      <w:tr>
        <w:trPr>
          <w:trHeight w:val="148"/>
        </w:trPr>
        <w:tc>
          <w:tcPr>
            <w:tcW w:w="498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general and administrative</w:t>
            </w:r>
          </w:p>
        </w:tc>
        <w:tc>
          <w:tcPr>
            <w:tcW w:w="340" w:type="dxa"/>
            <w:vAlign w:val="bottom"/>
            <w:tcBorders>
              <w:bottom w:val="single" w:sz="8" w:color="auto"/>
            </w:tcBorders>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1,848</w:t>
            </w:r>
          </w:p>
        </w:tc>
        <w:tc>
          <w:tcPr>
            <w:tcW w:w="1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13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1,847</w:t>
            </w:r>
          </w:p>
        </w:tc>
        <w:tc>
          <w:tcPr>
            <w:tcW w:w="1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13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5,800</w:t>
            </w:r>
          </w:p>
        </w:tc>
        <w:tc>
          <w:tcPr>
            <w:tcW w:w="200" w:type="dxa"/>
            <w:vAlign w:val="bottom"/>
            <w:tcBorders>
              <w:bottom w:val="single" w:sz="8" w:color="CFF0FC"/>
            </w:tcBorders>
            <w:shd w:val="clear" w:color="auto" w:fill="CFF0FC"/>
          </w:tcPr>
          <w:p>
            <w:pPr>
              <w:spacing w:after="0"/>
              <w:rPr>
                <w:sz w:val="12"/>
                <w:szCs w:val="12"/>
                <w:color w:val="auto"/>
              </w:rPr>
            </w:pPr>
          </w:p>
        </w:tc>
        <w:tc>
          <w:tcPr>
            <w:tcW w:w="48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4,979</w:t>
            </w:r>
          </w:p>
        </w:tc>
        <w:tc>
          <w:tcPr>
            <w:tcW w:w="280" w:type="dxa"/>
            <w:vAlign w:val="bottom"/>
            <w:tcBorders>
              <w:bottom w:val="single" w:sz="8" w:color="CFF0FC"/>
            </w:tcBorders>
            <w:shd w:val="clear" w:color="auto" w:fill="CFF0FC"/>
          </w:tcPr>
          <w:p>
            <w:pPr>
              <w:spacing w:after="0"/>
              <w:rPr>
                <w:sz w:val="12"/>
                <w:szCs w:val="12"/>
                <w:color w:val="auto"/>
              </w:rPr>
            </w:pPr>
          </w:p>
        </w:tc>
      </w:tr>
      <w:tr>
        <w:trPr>
          <w:trHeight w:val="142"/>
        </w:trPr>
        <w:tc>
          <w:tcPr>
            <w:tcW w:w="4980" w:type="dxa"/>
            <w:vAlign w:val="bottom"/>
          </w:tcPr>
          <w:p>
            <w:pPr>
              <w:ind w:left="180"/>
              <w:spacing w:after="0" w:line="142" w:lineRule="exact"/>
              <w:rPr>
                <w:sz w:val="20"/>
                <w:szCs w:val="20"/>
                <w:color w:val="auto"/>
              </w:rPr>
            </w:pPr>
            <w:r>
              <w:rPr>
                <w:rFonts w:ascii="Times New Roman" w:cs="Times New Roman" w:eastAsia="Times New Roman" w:hAnsi="Times New Roman"/>
                <w:sz w:val="14"/>
                <w:szCs w:val="14"/>
                <w:color w:val="auto"/>
              </w:rPr>
              <w:t>Total expenses</w:t>
            </w:r>
          </w:p>
        </w:tc>
        <w:tc>
          <w:tcPr>
            <w:tcW w:w="3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118,091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111,045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321,257</w:t>
            </w:r>
          </w:p>
        </w:tc>
        <w:tc>
          <w:tcPr>
            <w:tcW w:w="20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325,285</w:t>
            </w:r>
          </w:p>
        </w:tc>
        <w:tc>
          <w:tcPr>
            <w:tcW w:w="280" w:type="dxa"/>
            <w:vAlign w:val="bottom"/>
          </w:tcPr>
          <w:p>
            <w:pPr>
              <w:spacing w:after="0"/>
              <w:rPr>
                <w:sz w:val="12"/>
                <w:szCs w:val="12"/>
                <w:color w:val="auto"/>
              </w:rPr>
            </w:pPr>
          </w:p>
        </w:tc>
      </w:tr>
      <w:tr>
        <w:trPr>
          <w:trHeight w:val="142"/>
        </w:trPr>
        <w:tc>
          <w:tcPr>
            <w:tcW w:w="49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Management fees waived (Note 3)</w:t>
            </w:r>
          </w:p>
        </w:tc>
        <w:tc>
          <w:tcPr>
            <w:tcW w:w="34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(17,688)</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(17,901)</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50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(51,326)</w:t>
            </w:r>
          </w:p>
        </w:tc>
        <w:tc>
          <w:tcPr>
            <w:tcW w:w="4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(50,122)</w:t>
            </w:r>
          </w:p>
        </w:tc>
      </w:tr>
      <w:tr>
        <w:trPr>
          <w:trHeight w:val="142"/>
        </w:trPr>
        <w:tc>
          <w:tcPr>
            <w:tcW w:w="4980" w:type="dxa"/>
            <w:vAlign w:val="bottom"/>
            <w:tcBorders>
              <w:top w:val="single" w:sz="8" w:color="CFF0FC"/>
            </w:tcBorders>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Net Expenses</w:t>
            </w:r>
          </w:p>
        </w:tc>
        <w:tc>
          <w:tcPr>
            <w:tcW w:w="34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100,403</w:t>
            </w:r>
          </w:p>
        </w:tc>
        <w:tc>
          <w:tcPr>
            <w:tcW w:w="120" w:type="dxa"/>
            <w:vAlign w:val="bottom"/>
            <w:tcBorders>
              <w:top w:val="single" w:sz="8" w:color="CFF0FC"/>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93,144</w:t>
            </w:r>
          </w:p>
        </w:tc>
        <w:tc>
          <w:tcPr>
            <w:tcW w:w="120" w:type="dxa"/>
            <w:vAlign w:val="bottom"/>
            <w:tcBorders>
              <w:top w:val="single" w:sz="8" w:color="CFF0FC"/>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269,931</w:t>
            </w:r>
          </w:p>
        </w:tc>
        <w:tc>
          <w:tcPr>
            <w:tcW w:w="200" w:type="dxa"/>
            <w:vAlign w:val="bottom"/>
            <w:tcBorders>
              <w:top w:val="single" w:sz="8" w:color="CFF0FC"/>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275,163</w:t>
            </w:r>
          </w:p>
        </w:tc>
        <w:tc>
          <w:tcPr>
            <w:tcW w:w="280" w:type="dxa"/>
            <w:vAlign w:val="bottom"/>
            <w:tcBorders>
              <w:top w:val="single" w:sz="8" w:color="CFF0FC"/>
            </w:tcBorders>
          </w:tcPr>
          <w:p>
            <w:pPr>
              <w:spacing w:after="0"/>
              <w:rPr>
                <w:sz w:val="12"/>
                <w:szCs w:val="12"/>
                <w:color w:val="auto"/>
              </w:rPr>
            </w:pPr>
          </w:p>
        </w:tc>
      </w:tr>
      <w:tr>
        <w:trPr>
          <w:trHeight w:val="142"/>
        </w:trPr>
        <w:tc>
          <w:tcPr>
            <w:tcW w:w="49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Investment Income Before Income Taxes</w:t>
            </w:r>
          </w:p>
        </w:tc>
        <w:tc>
          <w:tcPr>
            <w:tcW w:w="3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146,707</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142,571</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433,218</w:t>
            </w:r>
          </w:p>
        </w:tc>
        <w:tc>
          <w:tcPr>
            <w:tcW w:w="2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442,169</w:t>
            </w:r>
          </w:p>
        </w:tc>
        <w:tc>
          <w:tcPr>
            <w:tcW w:w="280" w:type="dxa"/>
            <w:vAlign w:val="bottom"/>
            <w:shd w:val="clear" w:color="auto" w:fill="CFF0FC"/>
          </w:tcPr>
          <w:p>
            <w:pPr>
              <w:spacing w:after="0"/>
              <w:rPr>
                <w:sz w:val="12"/>
                <w:szCs w:val="12"/>
                <w:color w:val="auto"/>
              </w:rPr>
            </w:pPr>
          </w:p>
        </w:tc>
      </w:tr>
      <w:tr>
        <w:trPr>
          <w:trHeight w:val="149"/>
        </w:trPr>
        <w:tc>
          <w:tcPr>
            <w:tcW w:w="4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Income taxes, including excise taxes</w:t>
            </w:r>
          </w:p>
        </w:tc>
        <w:tc>
          <w:tcPr>
            <w:tcW w:w="34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280" w:type="dxa"/>
            <w:vAlign w:val="bottom"/>
          </w:tcPr>
          <w:p>
            <w:pPr>
              <w:spacing w:after="0"/>
              <w:rPr>
                <w:sz w:val="12"/>
                <w:szCs w:val="12"/>
                <w:color w:val="auto"/>
              </w:rPr>
            </w:pPr>
          </w:p>
        </w:tc>
      </w:tr>
      <w:tr>
        <w:trPr>
          <w:trHeight w:val="142"/>
        </w:trPr>
        <w:tc>
          <w:tcPr>
            <w:tcW w:w="49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Investment Income</w:t>
            </w:r>
          </w:p>
        </w:tc>
        <w:tc>
          <w:tcPr>
            <w:tcW w:w="340" w:type="dxa"/>
            <w:vAlign w:val="bottom"/>
            <w:tcBorders>
              <w:top w:val="single" w:sz="8" w:color="auto"/>
            </w:tcBorders>
            <w:shd w:val="clear" w:color="auto" w:fill="CFF0FC"/>
          </w:tcPr>
          <w:p>
            <w:pPr>
              <w:spacing w:after="0"/>
              <w:rPr>
                <w:sz w:val="12"/>
                <w:szCs w:val="12"/>
                <w:color w:val="auto"/>
              </w:rPr>
            </w:pPr>
          </w:p>
        </w:tc>
        <w:tc>
          <w:tcPr>
            <w:tcW w:w="100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146,706</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132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142,571</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130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433,211</w:t>
            </w:r>
          </w:p>
        </w:tc>
        <w:tc>
          <w:tcPr>
            <w:tcW w:w="200" w:type="dxa"/>
            <w:vAlign w:val="bottom"/>
            <w:shd w:val="clear" w:color="auto" w:fill="CFF0FC"/>
          </w:tcPr>
          <w:p>
            <w:pPr>
              <w:spacing w:after="0"/>
              <w:rPr>
                <w:sz w:val="12"/>
                <w:szCs w:val="12"/>
                <w:color w:val="auto"/>
              </w:rPr>
            </w:pPr>
          </w:p>
        </w:tc>
        <w:tc>
          <w:tcPr>
            <w:tcW w:w="480" w:type="dxa"/>
            <w:vAlign w:val="bottom"/>
            <w:tcBorders>
              <w:top w:val="single" w:sz="8" w:color="auto"/>
            </w:tcBorders>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442,152</w:t>
            </w:r>
          </w:p>
        </w:tc>
        <w:tc>
          <w:tcPr>
            <w:tcW w:w="280" w:type="dxa"/>
            <w:vAlign w:val="bottom"/>
            <w:shd w:val="clear" w:color="auto" w:fill="CFF0FC"/>
          </w:tcPr>
          <w:p>
            <w:pPr>
              <w:spacing w:after="0"/>
              <w:rPr>
                <w:sz w:val="12"/>
                <w:szCs w:val="12"/>
                <w:color w:val="auto"/>
              </w:rPr>
            </w:pPr>
          </w:p>
        </w:tc>
      </w:tr>
      <w:tr>
        <w:trPr>
          <w:trHeight w:val="148"/>
        </w:trPr>
        <w:tc>
          <w:tcPr>
            <w:tcW w:w="49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Unrealized and Realized Gains (Losses)</w:t>
            </w: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49"/>
        </w:trPr>
        <w:tc>
          <w:tcPr>
            <w:tcW w:w="49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change in unrealized gains (losses):</w:t>
            </w:r>
          </w:p>
        </w:tc>
        <w:tc>
          <w:tcPr>
            <w:tcW w:w="3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r>
      <w:tr>
        <w:trPr>
          <w:trHeight w:val="148"/>
        </w:trPr>
        <w:tc>
          <w:tcPr>
            <w:tcW w:w="49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Non-controlled, non-affiliated investments</w:t>
            </w:r>
          </w:p>
        </w:tc>
        <w:tc>
          <w:tcPr>
            <w:tcW w:w="340" w:type="dxa"/>
            <w:vAlign w:val="bottom"/>
          </w:tcPr>
          <w:p>
            <w:pPr>
              <w:spacing w:after="0"/>
              <w:rPr>
                <w:sz w:val="12"/>
                <w:szCs w:val="12"/>
                <w:color w:val="auto"/>
              </w:rPr>
            </w:pPr>
          </w:p>
        </w:tc>
        <w:tc>
          <w:tcPr>
            <w:tcW w:w="11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(42,902)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(19,272)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(219,036)</w:t>
            </w:r>
          </w:p>
        </w:tc>
        <w:tc>
          <w:tcPr>
            <w:tcW w:w="4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119,608</w:t>
            </w:r>
          </w:p>
        </w:tc>
        <w:tc>
          <w:tcPr>
            <w:tcW w:w="280" w:type="dxa"/>
            <w:vAlign w:val="bottom"/>
          </w:tcPr>
          <w:p>
            <w:pPr>
              <w:spacing w:after="0"/>
              <w:rPr>
                <w:sz w:val="12"/>
                <w:szCs w:val="12"/>
                <w:color w:val="auto"/>
              </w:rPr>
            </w:pPr>
          </w:p>
        </w:tc>
      </w:tr>
      <w:tr>
        <w:trPr>
          <w:trHeight w:val="149"/>
        </w:trPr>
        <w:tc>
          <w:tcPr>
            <w:tcW w:w="498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Non-controlled, affiliated investments</w:t>
            </w:r>
          </w:p>
        </w:tc>
        <w:tc>
          <w:tcPr>
            <w:tcW w:w="3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954</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2,175</w:t>
            </w:r>
          </w:p>
        </w:tc>
        <w:tc>
          <w:tcPr>
            <w:tcW w:w="2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9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Translation of other assets and liabilities in foreign currencies</w:t>
            </w:r>
          </w:p>
        </w:tc>
        <w:tc>
          <w:tcPr>
            <w:tcW w:w="34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11,844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6,001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52,740</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(137,408)</w:t>
            </w:r>
          </w:p>
        </w:tc>
      </w:tr>
      <w:tr>
        <w:trPr>
          <w:trHeight w:val="148"/>
        </w:trPr>
        <w:tc>
          <w:tcPr>
            <w:tcW w:w="498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Foreign currency forward contracts</w:t>
            </w:r>
          </w:p>
        </w:tc>
        <w:tc>
          <w:tcPr>
            <w:tcW w:w="34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7,394</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50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1,734</w:t>
            </w:r>
          </w:p>
        </w:tc>
        <w:tc>
          <w:tcPr>
            <w:tcW w:w="280" w:type="dxa"/>
            <w:vAlign w:val="bottom"/>
            <w:shd w:val="clear" w:color="auto" w:fill="CFF0FC"/>
          </w:tcPr>
          <w:p>
            <w:pPr>
              <w:spacing w:after="0"/>
              <w:rPr>
                <w:sz w:val="12"/>
                <w:szCs w:val="12"/>
                <w:color w:val="auto"/>
              </w:rPr>
            </w:pPr>
          </w:p>
        </w:tc>
      </w:tr>
      <w:tr>
        <w:trPr>
          <w:trHeight w:val="149"/>
        </w:trPr>
        <w:tc>
          <w:tcPr>
            <w:tcW w:w="49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Income tax provision</w:t>
            </w:r>
          </w:p>
        </w:tc>
        <w:tc>
          <w:tcPr>
            <w:tcW w:w="3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846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r>
      <w:tr>
        <w:trPr>
          <w:trHeight w:val="142"/>
        </w:trPr>
        <w:tc>
          <w:tcPr>
            <w:tcW w:w="4980" w:type="dxa"/>
            <w:vAlign w:val="bottom"/>
            <w:shd w:val="clear" w:color="auto" w:fill="CFF0FC"/>
          </w:tcPr>
          <w:p>
            <w:pPr>
              <w:ind w:left="280"/>
              <w:spacing w:after="0" w:line="142" w:lineRule="exact"/>
              <w:rPr>
                <w:sz w:val="20"/>
                <w:szCs w:val="20"/>
                <w:color w:val="auto"/>
              </w:rPr>
            </w:pPr>
            <w:r>
              <w:rPr>
                <w:rFonts w:ascii="Times New Roman" w:cs="Times New Roman" w:eastAsia="Times New Roman" w:hAnsi="Times New Roman"/>
                <w:sz w:val="14"/>
                <w:szCs w:val="14"/>
                <w:color w:val="auto"/>
              </w:rPr>
              <w:t>Total net change in unrealized gains (losses)</w:t>
            </w:r>
          </w:p>
        </w:tc>
        <w:tc>
          <w:tcPr>
            <w:tcW w:w="34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(30,104)</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(5,031)</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50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(164,121)</w:t>
            </w:r>
          </w:p>
        </w:tc>
        <w:tc>
          <w:tcPr>
            <w:tcW w:w="4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(16,066)</w:t>
            </w:r>
          </w:p>
        </w:tc>
      </w:tr>
      <w:tr>
        <w:trPr>
          <w:trHeight w:val="142"/>
        </w:trPr>
        <w:tc>
          <w:tcPr>
            <w:tcW w:w="498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color w:val="auto"/>
              </w:rPr>
              <w:t>Realized gains (losses):</w:t>
            </w:r>
          </w:p>
        </w:tc>
        <w:tc>
          <w:tcPr>
            <w:tcW w:w="3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200" w:type="dxa"/>
            <w:vAlign w:val="bottom"/>
            <w:tcBorders>
              <w:top w:val="single" w:sz="8" w:color="CFF0FC"/>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80" w:type="dxa"/>
            <w:vAlign w:val="bottom"/>
            <w:tcBorders>
              <w:top w:val="single" w:sz="8" w:color="CFF0FC"/>
            </w:tcBorders>
          </w:tcPr>
          <w:p>
            <w:pPr>
              <w:spacing w:after="0"/>
              <w:rPr>
                <w:sz w:val="12"/>
                <w:szCs w:val="12"/>
                <w:color w:val="auto"/>
              </w:rPr>
            </w:pPr>
          </w:p>
        </w:tc>
      </w:tr>
      <w:tr>
        <w:trPr>
          <w:trHeight w:val="149"/>
        </w:trPr>
        <w:tc>
          <w:tcPr>
            <w:tcW w:w="498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Non-controlled, non-affiliated investments</w:t>
            </w:r>
          </w:p>
        </w:tc>
        <w:tc>
          <w:tcPr>
            <w:tcW w:w="34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6,160</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1,736</w:t>
            </w:r>
          </w:p>
        </w:tc>
        <w:tc>
          <w:tcPr>
            <w:tcW w:w="2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15,147</w:t>
            </w:r>
          </w:p>
        </w:tc>
        <w:tc>
          <w:tcPr>
            <w:tcW w:w="280" w:type="dxa"/>
            <w:vAlign w:val="bottom"/>
            <w:shd w:val="clear" w:color="auto" w:fill="CFF0FC"/>
          </w:tcPr>
          <w:p>
            <w:pPr>
              <w:spacing w:after="0"/>
              <w:rPr>
                <w:sz w:val="12"/>
                <w:szCs w:val="12"/>
                <w:color w:val="auto"/>
              </w:rPr>
            </w:pPr>
          </w:p>
        </w:tc>
      </w:tr>
      <w:tr>
        <w:trPr>
          <w:trHeight w:val="148"/>
        </w:trPr>
        <w:tc>
          <w:tcPr>
            <w:tcW w:w="49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Foreign currency transactions</w:t>
            </w:r>
          </w:p>
        </w:tc>
        <w:tc>
          <w:tcPr>
            <w:tcW w:w="340" w:type="dxa"/>
            <w:vAlign w:val="bottom"/>
          </w:tcPr>
          <w:p>
            <w:pPr>
              <w:spacing w:after="0"/>
              <w:rPr>
                <w:sz w:val="12"/>
                <w:szCs w:val="12"/>
                <w:color w:val="auto"/>
              </w:rPr>
            </w:pPr>
          </w:p>
        </w:tc>
        <w:tc>
          <w:tcPr>
            <w:tcW w:w="11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(173)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(253)</w:t>
            </w:r>
          </w:p>
        </w:tc>
        <w:tc>
          <w:tcPr>
            <w:tcW w:w="480" w:type="dxa"/>
            <w:vAlign w:val="bottom"/>
          </w:tcPr>
          <w:p>
            <w:pPr>
              <w:spacing w:after="0"/>
              <w:rPr>
                <w:sz w:val="12"/>
                <w:szCs w:val="12"/>
                <w:color w:val="auto"/>
              </w:rPr>
            </w:pPr>
          </w:p>
        </w:tc>
        <w:tc>
          <w:tcPr>
            <w:tcW w:w="10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(1,451)</w:t>
            </w:r>
          </w:p>
        </w:tc>
      </w:tr>
      <w:tr>
        <w:trPr>
          <w:trHeight w:val="148"/>
        </w:trPr>
        <w:tc>
          <w:tcPr>
            <w:tcW w:w="498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Foreign currency forward contracts</w:t>
            </w:r>
          </w:p>
        </w:tc>
        <w:tc>
          <w:tcPr>
            <w:tcW w:w="34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(4,038)</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50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(14,260)</w:t>
            </w:r>
          </w:p>
        </w:tc>
      </w:tr>
      <w:tr>
        <w:trPr>
          <w:trHeight w:val="149"/>
        </w:trPr>
        <w:tc>
          <w:tcPr>
            <w:tcW w:w="49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Income tax provision</w:t>
            </w:r>
          </w:p>
        </w:tc>
        <w:tc>
          <w:tcPr>
            <w:tcW w:w="34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(1,108)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2"/>
                <w:szCs w:val="12"/>
                <w:color w:val="auto"/>
              </w:rPr>
            </w:pPr>
          </w:p>
        </w:tc>
        <w:tc>
          <w:tcPr>
            <w:tcW w:w="10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(1,108)</w:t>
            </w:r>
          </w:p>
        </w:tc>
      </w:tr>
      <w:tr>
        <w:trPr>
          <w:trHeight w:val="20"/>
        </w:trPr>
        <w:tc>
          <w:tcPr>
            <w:tcW w:w="49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42"/>
        </w:trPr>
        <w:tc>
          <w:tcPr>
            <w:tcW w:w="4980" w:type="dxa"/>
            <w:vAlign w:val="bottom"/>
            <w:shd w:val="clear" w:color="auto" w:fill="CFF0FC"/>
          </w:tcPr>
          <w:p>
            <w:pPr>
              <w:ind w:left="280"/>
              <w:spacing w:after="0" w:line="142" w:lineRule="exact"/>
              <w:rPr>
                <w:sz w:val="20"/>
                <w:szCs w:val="20"/>
                <w:color w:val="auto"/>
              </w:rPr>
            </w:pPr>
            <w:r>
              <w:rPr>
                <w:rFonts w:ascii="Times New Roman" w:cs="Times New Roman" w:eastAsia="Times New Roman" w:hAnsi="Times New Roman"/>
                <w:sz w:val="14"/>
                <w:szCs w:val="14"/>
                <w:color w:val="auto"/>
              </w:rPr>
              <w:t>Total net realized gains (losses)</w:t>
            </w:r>
          </w:p>
        </w:tc>
        <w:tc>
          <w:tcPr>
            <w:tcW w:w="34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841</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1,483</w:t>
            </w:r>
          </w:p>
        </w:tc>
        <w:tc>
          <w:tcPr>
            <w:tcW w:w="2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(1,672)</w:t>
            </w:r>
          </w:p>
        </w:tc>
      </w:tr>
      <w:tr>
        <w:trPr>
          <w:trHeight w:val="20"/>
        </w:trPr>
        <w:tc>
          <w:tcPr>
            <w:tcW w:w="49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r>
      <w:tr>
        <w:trPr>
          <w:trHeight w:val="142"/>
        </w:trPr>
        <w:tc>
          <w:tcPr>
            <w:tcW w:w="4980" w:type="dxa"/>
            <w:vAlign w:val="bottom"/>
          </w:tcPr>
          <w:p>
            <w:pPr>
              <w:ind w:left="360"/>
              <w:spacing w:after="0" w:line="142" w:lineRule="exact"/>
              <w:rPr>
                <w:sz w:val="20"/>
                <w:szCs w:val="20"/>
                <w:color w:val="auto"/>
              </w:rPr>
            </w:pPr>
            <w:r>
              <w:rPr>
                <w:rFonts w:ascii="Times New Roman" w:cs="Times New Roman" w:eastAsia="Times New Roman" w:hAnsi="Times New Roman"/>
                <w:sz w:val="14"/>
                <w:szCs w:val="14"/>
                <w:b w:val="1"/>
                <w:bCs w:val="1"/>
                <w:color w:val="auto"/>
              </w:rPr>
              <w:t>Total Net Unrealized and Realized Gains (Losses)</w:t>
            </w:r>
          </w:p>
        </w:tc>
        <w:tc>
          <w:tcPr>
            <w:tcW w:w="340" w:type="dxa"/>
            <w:vAlign w:val="bottom"/>
          </w:tcPr>
          <w:p>
            <w:pPr>
              <w:spacing w:after="0"/>
              <w:rPr>
                <w:sz w:val="12"/>
                <w:szCs w:val="12"/>
                <w:color w:val="auto"/>
              </w:rPr>
            </w:pPr>
          </w:p>
        </w:tc>
        <w:tc>
          <w:tcPr>
            <w:tcW w:w="112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(30,111)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(4,190)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(162,638)</w:t>
            </w:r>
          </w:p>
        </w:tc>
        <w:tc>
          <w:tcPr>
            <w:tcW w:w="480" w:type="dxa"/>
            <w:vAlign w:val="bottom"/>
          </w:tcPr>
          <w:p>
            <w:pPr>
              <w:spacing w:after="0"/>
              <w:rPr>
                <w:sz w:val="12"/>
                <w:szCs w:val="12"/>
                <w:color w:val="auto"/>
              </w:rPr>
            </w:pPr>
          </w:p>
        </w:tc>
        <w:tc>
          <w:tcPr>
            <w:tcW w:w="104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(17,738)</w:t>
            </w:r>
          </w:p>
        </w:tc>
      </w:tr>
      <w:tr>
        <w:trPr>
          <w:trHeight w:val="182"/>
        </w:trPr>
        <w:tc>
          <w:tcPr>
            <w:tcW w:w="4980" w:type="dxa"/>
            <w:vAlign w:val="bottom"/>
            <w:tcBorders>
              <w:bottom w:val="single" w:sz="8" w:color="CFF0FC"/>
            </w:tcBorders>
            <w:shd w:val="clear" w:color="auto" w:fill="CFF0FC"/>
          </w:tcPr>
          <w:p>
            <w:pPr>
              <w:ind w:left="360"/>
              <w:spacing w:after="0" w:line="142" w:lineRule="exact"/>
              <w:rPr>
                <w:sz w:val="20"/>
                <w:szCs w:val="20"/>
                <w:color w:val="auto"/>
              </w:rPr>
            </w:pPr>
            <w:r>
              <w:rPr>
                <w:rFonts w:ascii="Times New Roman" w:cs="Times New Roman" w:eastAsia="Times New Roman" w:hAnsi="Times New Roman"/>
                <w:sz w:val="14"/>
                <w:szCs w:val="14"/>
                <w:b w:val="1"/>
                <w:bCs w:val="1"/>
                <w:color w:val="auto"/>
              </w:rPr>
              <w:t>Increase (Decrease) in Net Assets Resulting from Operations</w:t>
            </w:r>
          </w:p>
        </w:tc>
        <w:tc>
          <w:tcPr>
            <w:tcW w:w="340" w:type="dxa"/>
            <w:vAlign w:val="bottom"/>
            <w:tcBorders>
              <w:top w:val="single" w:sz="8" w:color="auto"/>
              <w:bottom w:val="single" w:sz="8" w:color="auto"/>
            </w:tcBorders>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116,595</w:t>
            </w:r>
          </w:p>
        </w:tc>
        <w:tc>
          <w:tcPr>
            <w:tcW w:w="1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138,381</w:t>
            </w:r>
          </w:p>
        </w:tc>
        <w:tc>
          <w:tcPr>
            <w:tcW w:w="1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270,573</w:t>
            </w:r>
          </w:p>
        </w:tc>
        <w:tc>
          <w:tcPr>
            <w:tcW w:w="200" w:type="dxa"/>
            <w:vAlign w:val="bottom"/>
            <w:tcBorders>
              <w:bottom w:val="single" w:sz="8" w:color="CFF0FC"/>
            </w:tcBorders>
            <w:shd w:val="clear" w:color="auto" w:fill="CFF0FC"/>
          </w:tcPr>
          <w:p>
            <w:pPr>
              <w:spacing w:after="0"/>
              <w:rPr>
                <w:sz w:val="15"/>
                <w:szCs w:val="15"/>
                <w:color w:val="auto"/>
              </w:rPr>
            </w:pPr>
          </w:p>
        </w:tc>
        <w:tc>
          <w:tcPr>
            <w:tcW w:w="480" w:type="dxa"/>
            <w:vAlign w:val="bottom"/>
            <w:tcBorders>
              <w:top w:val="single" w:sz="8" w:color="auto"/>
              <w:bottom w:val="single" w:sz="8" w:color="auto"/>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424,414</w:t>
            </w:r>
          </w:p>
        </w:tc>
        <w:tc>
          <w:tcPr>
            <w:tcW w:w="280" w:type="dxa"/>
            <w:vAlign w:val="bottom"/>
            <w:tcBorders>
              <w:bottom w:val="single" w:sz="8" w:color="CFF0FC"/>
            </w:tcBorders>
            <w:shd w:val="clear" w:color="auto" w:fill="CFF0FC"/>
          </w:tcPr>
          <w:p>
            <w:pPr>
              <w:spacing w:after="0"/>
              <w:rPr>
                <w:sz w:val="15"/>
                <w:szCs w:val="15"/>
                <w:color w:val="auto"/>
              </w:rPr>
            </w:pPr>
          </w:p>
        </w:tc>
      </w:tr>
      <w:tr>
        <w:trPr>
          <w:trHeight w:val="129"/>
        </w:trPr>
        <w:tc>
          <w:tcPr>
            <w:tcW w:w="4980" w:type="dxa"/>
            <w:vAlign w:val="bottom"/>
          </w:tcPr>
          <w:p>
            <w:pPr>
              <w:spacing w:after="0" w:line="129" w:lineRule="exact"/>
              <w:rPr>
                <w:sz w:val="20"/>
                <w:szCs w:val="20"/>
                <w:color w:val="auto"/>
              </w:rPr>
            </w:pPr>
            <w:r>
              <w:rPr>
                <w:rFonts w:ascii="Times New Roman" w:cs="Times New Roman" w:eastAsia="Times New Roman" w:hAnsi="Times New Roman"/>
                <w:sz w:val="14"/>
                <w:szCs w:val="14"/>
                <w:color w:val="auto"/>
              </w:rPr>
              <w:t>Earnings per common share—basic and diluted</w:t>
            </w:r>
          </w:p>
        </w:tc>
        <w:tc>
          <w:tcPr>
            <w:tcW w:w="340" w:type="dxa"/>
            <w:vAlign w:val="bottom"/>
          </w:tcPr>
          <w:p>
            <w:pPr>
              <w:jc w:val="right"/>
              <w:ind w:right="220"/>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0.69</w:t>
            </w:r>
          </w:p>
        </w:tc>
        <w:tc>
          <w:tcPr>
            <w:tcW w:w="120" w:type="dxa"/>
            <w:vAlign w:val="bottom"/>
          </w:tcPr>
          <w:p>
            <w:pPr>
              <w:spacing w:after="0"/>
              <w:rPr>
                <w:sz w:val="11"/>
                <w:szCs w:val="11"/>
                <w:color w:val="auto"/>
              </w:rPr>
            </w:pPr>
          </w:p>
        </w:tc>
        <w:tc>
          <w:tcPr>
            <w:tcW w:w="18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0.96</w:t>
            </w:r>
          </w:p>
        </w:tc>
        <w:tc>
          <w:tcPr>
            <w:tcW w:w="120" w:type="dxa"/>
            <w:vAlign w:val="bottom"/>
          </w:tcPr>
          <w:p>
            <w:pPr>
              <w:spacing w:after="0"/>
              <w:rPr>
                <w:sz w:val="11"/>
                <w:szCs w:val="11"/>
                <w:color w:val="auto"/>
              </w:rPr>
            </w:pPr>
          </w:p>
        </w:tc>
        <w:tc>
          <w:tcPr>
            <w:tcW w:w="16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1.73</w:t>
            </w:r>
          </w:p>
        </w:tc>
        <w:tc>
          <w:tcPr>
            <w:tcW w:w="200" w:type="dxa"/>
            <w:vAlign w:val="bottom"/>
          </w:tcPr>
          <w:p>
            <w:pPr>
              <w:spacing w:after="0"/>
              <w:rPr>
                <w:sz w:val="11"/>
                <w:szCs w:val="11"/>
                <w:color w:val="auto"/>
              </w:rPr>
            </w:pPr>
          </w:p>
        </w:tc>
        <w:tc>
          <w:tcPr>
            <w:tcW w:w="480" w:type="dxa"/>
            <w:vAlign w:val="bottom"/>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2.98</w:t>
            </w:r>
          </w:p>
        </w:tc>
        <w:tc>
          <w:tcPr>
            <w:tcW w:w="280" w:type="dxa"/>
            <w:vAlign w:val="bottom"/>
          </w:tcPr>
          <w:p>
            <w:pPr>
              <w:spacing w:after="0"/>
              <w:rPr>
                <w:sz w:val="11"/>
                <w:szCs w:val="11"/>
                <w:color w:val="auto"/>
              </w:rPr>
            </w:pPr>
          </w:p>
        </w:tc>
      </w:tr>
      <w:tr>
        <w:trPr>
          <w:trHeight w:val="142"/>
        </w:trPr>
        <w:tc>
          <w:tcPr>
            <w:tcW w:w="498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Weighted average common shares outstanding—basic and diluted</w:t>
            </w:r>
          </w:p>
        </w:tc>
        <w:tc>
          <w:tcPr>
            <w:tcW w:w="340" w:type="dxa"/>
            <w:vAlign w:val="bottom"/>
            <w:tcBorders>
              <w:top w:val="single" w:sz="8" w:color="auto"/>
              <w:bottom w:val="single" w:sz="8" w:color="auto"/>
            </w:tcBorders>
            <w:shd w:val="clear" w:color="auto" w:fill="CFF0FC"/>
          </w:tcPr>
          <w:p>
            <w:pPr>
              <w:spacing w:after="0"/>
              <w:rPr>
                <w:sz w:val="12"/>
                <w:szCs w:val="12"/>
                <w:color w:val="auto"/>
              </w:rPr>
            </w:pPr>
          </w:p>
        </w:tc>
        <w:tc>
          <w:tcPr>
            <w:tcW w:w="10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167,917,394</w:t>
            </w:r>
          </w:p>
        </w:tc>
        <w:tc>
          <w:tcPr>
            <w:tcW w:w="1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spacing w:after="0"/>
              <w:rPr>
                <w:sz w:val="12"/>
                <w:szCs w:val="12"/>
                <w:color w:val="auto"/>
              </w:rPr>
            </w:pPr>
          </w:p>
        </w:tc>
        <w:tc>
          <w:tcPr>
            <w:tcW w:w="13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144,109,918</w:t>
            </w:r>
          </w:p>
        </w:tc>
        <w:tc>
          <w:tcPr>
            <w:tcW w:w="1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13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156,601,888</w:t>
            </w:r>
          </w:p>
        </w:tc>
        <w:tc>
          <w:tcPr>
            <w:tcW w:w="200" w:type="dxa"/>
            <w:vAlign w:val="bottom"/>
            <w:tcBorders>
              <w:bottom w:val="single" w:sz="8" w:color="CFF0FC"/>
            </w:tcBorders>
            <w:shd w:val="clear" w:color="auto" w:fill="CFF0FC"/>
          </w:tcPr>
          <w:p>
            <w:pPr>
              <w:spacing w:after="0"/>
              <w:rPr>
                <w:sz w:val="12"/>
                <w:szCs w:val="12"/>
                <w:color w:val="auto"/>
              </w:rPr>
            </w:pPr>
          </w:p>
        </w:tc>
        <w:tc>
          <w:tcPr>
            <w:tcW w:w="480" w:type="dxa"/>
            <w:vAlign w:val="bottom"/>
            <w:tcBorders>
              <w:top w:val="single" w:sz="8" w:color="auto"/>
              <w:bottom w:val="single" w:sz="8" w:color="auto"/>
            </w:tcBorders>
            <w:shd w:val="clear" w:color="auto" w:fill="CFF0FC"/>
          </w:tcPr>
          <w:p>
            <w:pPr>
              <w:spacing w:after="0"/>
              <w:rPr>
                <w:sz w:val="12"/>
                <w:szCs w:val="12"/>
                <w:color w:val="auto"/>
              </w:rPr>
            </w:pPr>
          </w:p>
        </w:tc>
        <w:tc>
          <w:tcPr>
            <w:tcW w:w="7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142,632,179</w:t>
            </w:r>
          </w:p>
        </w:tc>
        <w:tc>
          <w:tcPr>
            <w:tcW w:w="280" w:type="dxa"/>
            <w:vAlign w:val="bottom"/>
            <w:tcBorders>
              <w:bottom w:val="single" w:sz="8" w:color="CFF0FC"/>
            </w:tcBorders>
            <w:shd w:val="clear" w:color="auto" w:fill="CFF0FC"/>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-3368040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-3368040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-3368040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-3368040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-3154045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-3154045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-3154045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6953250</wp:posOffset>
            </wp:positionH>
            <wp:positionV relativeFrom="paragraph">
              <wp:posOffset>-3269615</wp:posOffset>
            </wp:positionV>
            <wp:extent cx="93980" cy="1365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3980" cy="13652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-2390775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-2390775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-2390775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-2390775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-2185035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-2185035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-2185035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-2185035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-1019810</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-1019810</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-1019810</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-1019810</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-436880</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-436880</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-436880</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-436880</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-231140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-213995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-231140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-213995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-231140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-213995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-231140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-213995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-8255</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-8255</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-8255</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-8255</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Sixth Street Lending Partners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Schedule of Investments as of September 30, 2026</w:t>
      </w:r>
    </w:p>
    <w:p>
      <w:pPr>
        <w:spacing w:after="0" w:line="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008"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49"/>
        </w:trPr>
        <w:tc>
          <w:tcPr>
            <w:tcW w:w="2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Initial</w:t>
            </w:r>
          </w:p>
        </w:tc>
        <w:tc>
          <w:tcPr>
            <w:tcW w:w="40" w:type="dxa"/>
            <w:vAlign w:val="bottom"/>
          </w:tcPr>
          <w:p>
            <w:pPr>
              <w:spacing w:after="0"/>
              <w:rPr>
                <w:sz w:val="12"/>
                <w:szCs w:val="12"/>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Reference</w:t>
            </w:r>
          </w:p>
        </w:tc>
        <w:tc>
          <w:tcPr>
            <w:tcW w:w="1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Amortize</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3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 xml:space="preserve">Company </w:t>
            </w:r>
            <w:r>
              <w:rPr>
                <w:rFonts w:ascii="Times New Roman" w:cs="Times New Roman" w:eastAsia="Times New Roman" w:hAnsi="Times New Roman"/>
                <w:sz w:val="16"/>
                <w:szCs w:val="16"/>
                <w:b w:val="1"/>
                <w:bCs w:val="1"/>
                <w:color w:val="auto"/>
                <w:vertAlign w:val="superscript"/>
              </w:rPr>
              <w:t>(1)</w:t>
            </w:r>
          </w:p>
        </w:tc>
        <w:tc>
          <w:tcPr>
            <w:tcW w:w="6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40" w:type="dxa"/>
            <w:vAlign w:val="bottom"/>
          </w:tcPr>
          <w:p>
            <w:pPr>
              <w:spacing w:after="0"/>
              <w:rPr>
                <w:sz w:val="11"/>
                <w:szCs w:val="11"/>
                <w:color w:val="auto"/>
              </w:rPr>
            </w:pPr>
          </w:p>
        </w:tc>
        <w:tc>
          <w:tcPr>
            <w:tcW w:w="1160" w:type="dxa"/>
            <w:vAlign w:val="bottom"/>
            <w:gridSpan w:val="2"/>
          </w:tcPr>
          <w:p>
            <w:pPr>
              <w:jc w:val="center"/>
              <w:ind w:right="180"/>
              <w:spacing w:after="0" w:line="128" w:lineRule="exact"/>
              <w:rPr>
                <w:sz w:val="20"/>
                <w:szCs w:val="20"/>
                <w:color w:val="auto"/>
              </w:rPr>
            </w:pPr>
            <w:r>
              <w:rPr>
                <w:rFonts w:ascii="Times New Roman" w:cs="Times New Roman" w:eastAsia="Times New Roman" w:hAnsi="Times New Roman"/>
                <w:sz w:val="13"/>
                <w:szCs w:val="13"/>
                <w:b w:val="1"/>
                <w:bCs w:val="1"/>
                <w:color w:val="auto"/>
                <w:w w:val="99"/>
              </w:rPr>
              <w:t>Rate and</w:t>
            </w:r>
          </w:p>
        </w:tc>
        <w:tc>
          <w:tcPr>
            <w:tcW w:w="1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rPr>
              <w:t>d</w:t>
            </w:r>
          </w:p>
        </w:tc>
        <w:tc>
          <w:tcPr>
            <w:tcW w:w="2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w w:val="87"/>
              </w:rPr>
              <w:t xml:space="preserve">Fair Value </w:t>
            </w:r>
            <w:r>
              <w:rPr>
                <w:rFonts w:ascii="Times New Roman" w:cs="Times New Roman" w:eastAsia="Times New Roman" w:hAnsi="Times New Roman"/>
                <w:sz w:val="16"/>
                <w:szCs w:val="16"/>
                <w:b w:val="1"/>
                <w:bCs w:val="1"/>
                <w:color w:val="auto"/>
                <w:w w:val="87"/>
                <w:vertAlign w:val="superscript"/>
              </w:rPr>
              <w:t>(8)</w:t>
            </w:r>
          </w:p>
        </w:tc>
        <w:tc>
          <w:tcPr>
            <w:tcW w:w="160" w:type="dxa"/>
            <w:vAlign w:val="bottom"/>
          </w:tcPr>
          <w:p>
            <w:pPr>
              <w:spacing w:after="0"/>
              <w:rPr>
                <w:sz w:val="11"/>
                <w:szCs w:val="11"/>
                <w:color w:val="auto"/>
              </w:rPr>
            </w:pPr>
          </w:p>
        </w:tc>
        <w:tc>
          <w:tcPr>
            <w:tcW w:w="980" w:type="dxa"/>
            <w:vAlign w:val="bottom"/>
            <w:gridSpan w:val="2"/>
          </w:tcPr>
          <w:p>
            <w:pPr>
              <w:jc w:val="right"/>
              <w:ind w:right="260"/>
              <w:spacing w:after="0" w:line="128"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0" w:type="dxa"/>
            <w:vAlign w:val="bottom"/>
          </w:tcPr>
          <w:p>
            <w:pPr>
              <w:spacing w:after="0"/>
              <w:rPr>
                <w:sz w:val="1"/>
                <w:szCs w:val="1"/>
                <w:color w:val="auto"/>
              </w:rPr>
            </w:pPr>
          </w:p>
        </w:tc>
      </w:tr>
      <w:tr>
        <w:trPr>
          <w:trHeight w:val="162"/>
        </w:trPr>
        <w:tc>
          <w:tcPr>
            <w:tcW w:w="23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700" w:type="dxa"/>
            <w:vAlign w:val="bottom"/>
          </w:tcPr>
          <w:p>
            <w:pPr>
              <w:ind w:left="104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Date</w:t>
            </w:r>
          </w:p>
        </w:tc>
        <w:tc>
          <w:tcPr>
            <w:tcW w:w="40" w:type="dxa"/>
            <w:vAlign w:val="bottom"/>
          </w:tcPr>
          <w:p>
            <w:pPr>
              <w:spacing w:after="0"/>
              <w:rPr>
                <w:sz w:val="14"/>
                <w:szCs w:val="14"/>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5"/>
              </w:rPr>
              <w:t>Spread</w:t>
            </w:r>
          </w:p>
        </w:tc>
        <w:tc>
          <w:tcPr>
            <w:tcW w:w="144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Interest Rate</w:t>
            </w:r>
          </w:p>
        </w:tc>
        <w:tc>
          <w:tcPr>
            <w:tcW w:w="40" w:type="dxa"/>
            <w:vAlign w:val="bottom"/>
          </w:tcPr>
          <w:p>
            <w:pPr>
              <w:spacing w:after="0"/>
              <w:rPr>
                <w:sz w:val="14"/>
                <w:szCs w:val="14"/>
                <w:color w:val="auto"/>
              </w:rPr>
            </w:pPr>
          </w:p>
        </w:tc>
        <w:tc>
          <w:tcPr>
            <w:tcW w:w="580" w:type="dxa"/>
            <w:vAlign w:val="bottom"/>
          </w:tcPr>
          <w:p>
            <w:pPr>
              <w:jc w:val="center"/>
              <w:spacing w:after="0" w:line="162" w:lineRule="exact"/>
              <w:rPr>
                <w:sz w:val="20"/>
                <w:szCs w:val="20"/>
                <w:color w:val="auto"/>
              </w:rPr>
            </w:pPr>
            <w:r>
              <w:rPr>
                <w:rFonts w:ascii="Times New Roman" w:cs="Times New Roman" w:eastAsia="Times New Roman" w:hAnsi="Times New Roman"/>
                <w:sz w:val="18"/>
                <w:szCs w:val="18"/>
                <w:b w:val="1"/>
                <w:bCs w:val="1"/>
                <w:color w:val="auto"/>
                <w:vertAlign w:val="subscript"/>
              </w:rPr>
              <w:t>Cost</w:t>
            </w:r>
            <w:r>
              <w:rPr>
                <w:rFonts w:ascii="Times New Roman" w:cs="Times New Roman" w:eastAsia="Times New Roman" w:hAnsi="Times New Roman"/>
                <w:sz w:val="7"/>
                <w:szCs w:val="7"/>
                <w:b w:val="1"/>
                <w:bCs w:val="1"/>
                <w:color w:val="auto"/>
              </w:rPr>
              <w:t xml:space="preserve"> (2) (7)</w:t>
            </w:r>
          </w:p>
        </w:tc>
        <w:tc>
          <w:tcPr>
            <w:tcW w:w="2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of Net Assets</w:t>
            </w:r>
          </w:p>
        </w:tc>
        <w:tc>
          <w:tcPr>
            <w:tcW w:w="0" w:type="dxa"/>
            <w:vAlign w:val="bottom"/>
          </w:tcPr>
          <w:p>
            <w:pPr>
              <w:spacing w:after="0"/>
              <w:rPr>
                <w:sz w:val="1"/>
                <w:szCs w:val="1"/>
                <w:color w:val="auto"/>
              </w:rPr>
            </w:pPr>
          </w:p>
        </w:tc>
      </w:tr>
      <w:tr>
        <w:trPr>
          <w:trHeight w:val="142"/>
        </w:trPr>
        <w:tc>
          <w:tcPr>
            <w:tcW w:w="2380" w:type="dxa"/>
            <w:vAlign w:val="bottom"/>
            <w:tcBorders>
              <w:top w:val="single" w:sz="8" w:color="auto"/>
            </w:tcBorders>
            <w:shd w:val="clear" w:color="auto" w:fill="CFF0FC"/>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Debt Investments</w:t>
            </w:r>
          </w:p>
        </w:tc>
        <w:tc>
          <w:tcPr>
            <w:tcW w:w="60" w:type="dxa"/>
            <w:vAlign w:val="bottom"/>
            <w:shd w:val="clear" w:color="auto" w:fill="CFF0FC"/>
          </w:tcPr>
          <w:p>
            <w:pPr>
              <w:spacing w:after="0"/>
              <w:rPr>
                <w:sz w:val="12"/>
                <w:szCs w:val="12"/>
                <w:color w:val="auto"/>
              </w:rPr>
            </w:pPr>
          </w:p>
        </w:tc>
        <w:tc>
          <w:tcPr>
            <w:tcW w:w="2700" w:type="dxa"/>
            <w:vAlign w:val="bottom"/>
            <w:tcBorders>
              <w:top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980" w:type="dxa"/>
            <w:vAlign w:val="bottom"/>
            <w:tcBorders>
              <w:top w:val="single" w:sz="8" w:color="auto"/>
            </w:tcBorders>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300" w:type="dxa"/>
            <w:vAlign w:val="bottom"/>
            <w:tcBorders>
              <w:top w:val="single" w:sz="8" w:color="auto"/>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580" w:type="dxa"/>
            <w:vAlign w:val="bottom"/>
            <w:tcBorders>
              <w:top w:val="single" w:sz="8" w:color="auto"/>
            </w:tcBorders>
            <w:shd w:val="clear" w:color="auto" w:fill="CFF0FC"/>
          </w:tcPr>
          <w:p>
            <w:pPr>
              <w:spacing w:after="0"/>
              <w:rPr>
                <w:sz w:val="12"/>
                <w:szCs w:val="12"/>
                <w:color w:val="auto"/>
              </w:rPr>
            </w:pPr>
          </w:p>
        </w:tc>
        <w:tc>
          <w:tcPr>
            <w:tcW w:w="220" w:type="dxa"/>
            <w:vAlign w:val="bottom"/>
            <w:tcBorders>
              <w:right w:val="single" w:sz="8" w:color="CFF0FC"/>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38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Automotive</w:t>
            </w:r>
          </w:p>
        </w:tc>
        <w:tc>
          <w:tcPr>
            <w:tcW w:w="6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 xml:space="preserve">Truck-Lite Co., LLC </w:t>
            </w:r>
            <w:r>
              <w:rPr>
                <w:rFonts w:ascii="Times New Roman" w:cs="Times New Roman" w:eastAsia="Times New Roman" w:hAnsi="Times New Roman"/>
                <w:sz w:val="15"/>
                <w:szCs w:val="15"/>
                <w:color w:val="auto"/>
                <w:vertAlign w:val="superscript"/>
              </w:rPr>
              <w:t>(3)</w:t>
            </w:r>
          </w:p>
        </w:tc>
        <w:tc>
          <w:tcPr>
            <w:tcW w:w="60" w:type="dxa"/>
            <w:vAlign w:val="bottom"/>
            <w:shd w:val="clear" w:color="auto" w:fill="CFF0FC"/>
          </w:tcPr>
          <w:p>
            <w:pPr>
              <w:spacing w:after="0"/>
              <w:rPr>
                <w:sz w:val="11"/>
                <w:szCs w:val="11"/>
                <w:color w:val="auto"/>
              </w:rPr>
            </w:pPr>
          </w:p>
        </w:tc>
        <w:tc>
          <w:tcPr>
            <w:tcW w:w="27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First-lien loan ($301,630 par, due 2/2032)</w:t>
            </w:r>
          </w:p>
        </w:tc>
        <w:tc>
          <w:tcPr>
            <w:tcW w:w="76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2/13/2024</w:t>
            </w:r>
          </w:p>
        </w:tc>
        <w:tc>
          <w:tcPr>
            <w:tcW w:w="4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SOFR + 4.75%</w:t>
            </w:r>
          </w:p>
        </w:tc>
        <w:tc>
          <w:tcPr>
            <w:tcW w:w="1440" w:type="dxa"/>
            <w:vAlign w:val="bottom"/>
            <w:gridSpan w:val="2"/>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8.49%</w:t>
            </w:r>
          </w:p>
        </w:tc>
        <w:tc>
          <w:tcPr>
            <w:tcW w:w="62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  299,265</w:t>
            </w:r>
          </w:p>
        </w:tc>
        <w:tc>
          <w:tcPr>
            <w:tcW w:w="220" w:type="dxa"/>
            <w:vAlign w:val="bottom"/>
            <w:tcBorders>
              <w:right w:val="single" w:sz="8" w:color="CFF0FC"/>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298,308</w:t>
            </w:r>
          </w:p>
        </w:tc>
        <w:tc>
          <w:tcPr>
            <w:tcW w:w="1140" w:type="dxa"/>
            <w:vAlign w:val="bottom"/>
            <w:gridSpan w:val="3"/>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5.9%</w:t>
            </w:r>
          </w:p>
        </w:tc>
        <w:tc>
          <w:tcPr>
            <w:tcW w:w="0" w:type="dxa"/>
            <w:vAlign w:val="bottom"/>
          </w:tcPr>
          <w:p>
            <w:pPr>
              <w:spacing w:after="0"/>
              <w:rPr>
                <w:sz w:val="1"/>
                <w:szCs w:val="1"/>
                <w:color w:val="auto"/>
              </w:rPr>
            </w:pPr>
          </w:p>
        </w:tc>
      </w:tr>
      <w:tr>
        <w:trPr>
          <w:trHeight w:val="135"/>
        </w:trPr>
        <w:tc>
          <w:tcPr>
            <w:tcW w:w="238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Business Services</w:t>
            </w:r>
          </w:p>
        </w:tc>
        <w:tc>
          <w:tcPr>
            <w:tcW w:w="6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 xml:space="preserve">Artisan Bidco, Inc. </w:t>
            </w:r>
            <w:r>
              <w:rPr>
                <w:rFonts w:ascii="Times New Roman" w:cs="Times New Roman" w:eastAsia="Times New Roman" w:hAnsi="Times New Roman"/>
                <w:sz w:val="15"/>
                <w:szCs w:val="15"/>
                <w:color w:val="auto"/>
                <w:vertAlign w:val="superscript"/>
              </w:rPr>
              <w:t>(3)</w:t>
            </w:r>
          </w:p>
        </w:tc>
        <w:tc>
          <w:tcPr>
            <w:tcW w:w="60" w:type="dxa"/>
            <w:vAlign w:val="bottom"/>
            <w:shd w:val="clear" w:color="auto" w:fill="CFF0FC"/>
          </w:tcPr>
          <w:p>
            <w:pPr>
              <w:spacing w:after="0"/>
              <w:rPr>
                <w:sz w:val="11"/>
                <w:szCs w:val="11"/>
                <w:color w:val="auto"/>
              </w:rPr>
            </w:pPr>
          </w:p>
        </w:tc>
        <w:tc>
          <w:tcPr>
            <w:tcW w:w="27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First-lien loan ($112,128 par, due 11/2029)</w:t>
            </w:r>
          </w:p>
        </w:tc>
        <w:tc>
          <w:tcPr>
            <w:tcW w:w="76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11/7/2023</w:t>
            </w:r>
          </w:p>
        </w:tc>
        <w:tc>
          <w:tcPr>
            <w:tcW w:w="4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SOFR + 7.00%</w:t>
            </w:r>
          </w:p>
        </w:tc>
        <w:tc>
          <w:tcPr>
            <w:tcW w:w="1440" w:type="dxa"/>
            <w:vAlign w:val="bottom"/>
            <w:gridSpan w:val="2"/>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10.74%</w:t>
            </w:r>
          </w:p>
        </w:tc>
        <w:tc>
          <w:tcPr>
            <w:tcW w:w="62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110,820</w:t>
            </w:r>
          </w:p>
        </w:tc>
        <w:tc>
          <w:tcPr>
            <w:tcW w:w="220" w:type="dxa"/>
            <w:vAlign w:val="bottom"/>
            <w:tcBorders>
              <w:right w:val="single" w:sz="8" w:color="CFF0FC"/>
            </w:tcBorders>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110,166</w:t>
            </w:r>
          </w:p>
        </w:tc>
        <w:tc>
          <w:tcPr>
            <w:tcW w:w="1140" w:type="dxa"/>
            <w:vAlign w:val="bottom"/>
            <w:gridSpan w:val="3"/>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2.2%</w:t>
            </w:r>
          </w:p>
        </w:tc>
        <w:tc>
          <w:tcPr>
            <w:tcW w:w="0" w:type="dxa"/>
            <w:vAlign w:val="bottom"/>
          </w:tcPr>
          <w:p>
            <w:pPr>
              <w:spacing w:after="0"/>
              <w:rPr>
                <w:sz w:val="1"/>
                <w:szCs w:val="1"/>
                <w:color w:val="auto"/>
              </w:rPr>
            </w:pPr>
          </w:p>
        </w:tc>
      </w:tr>
      <w:tr>
        <w:trPr>
          <w:trHeight w:val="117"/>
        </w:trPr>
        <w:tc>
          <w:tcPr>
            <w:tcW w:w="2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70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First-lien loan (EUR 50,946 par, due 11/2029)</w:t>
            </w:r>
          </w:p>
        </w:tc>
        <w:tc>
          <w:tcPr>
            <w:tcW w:w="76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11/7/2023</w:t>
            </w:r>
          </w:p>
        </w:tc>
        <w:tc>
          <w:tcPr>
            <w:tcW w:w="40" w:type="dxa"/>
            <w:vAlign w:val="bottom"/>
          </w:tcPr>
          <w:p>
            <w:pPr>
              <w:spacing w:after="0"/>
              <w:rPr>
                <w:sz w:val="10"/>
                <w:szCs w:val="10"/>
                <w:color w:val="auto"/>
              </w:rPr>
            </w:pPr>
          </w:p>
        </w:tc>
        <w:tc>
          <w:tcPr>
            <w:tcW w:w="116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E + 7.00%</w:t>
            </w:r>
          </w:p>
        </w:tc>
        <w:tc>
          <w:tcPr>
            <w:tcW w:w="1440" w:type="dxa"/>
            <w:vAlign w:val="bottom"/>
            <w:gridSpan w:val="2"/>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9.31%</w:t>
            </w:r>
          </w:p>
        </w:tc>
        <w:tc>
          <w:tcPr>
            <w:tcW w:w="6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54,117</w:t>
            </w:r>
          </w:p>
        </w:tc>
        <w:tc>
          <w:tcPr>
            <w:tcW w:w="220" w:type="dxa"/>
            <w:vAlign w:val="bottom"/>
          </w:tcPr>
          <w:p>
            <w:pPr>
              <w:spacing w:after="0"/>
              <w:rPr>
                <w:sz w:val="10"/>
                <w:szCs w:val="10"/>
                <w:color w:val="auto"/>
              </w:rPr>
            </w:pPr>
          </w:p>
        </w:tc>
        <w:tc>
          <w:tcPr>
            <w:tcW w:w="72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56,854</w:t>
            </w:r>
          </w:p>
        </w:tc>
        <w:tc>
          <w:tcPr>
            <w:tcW w:w="114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53"/>
        </w:trPr>
        <w:tc>
          <w:tcPr>
            <w:tcW w:w="2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4"/>
              </w:rPr>
              <w:t>(EUR 50,054)</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3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7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w w:val="98"/>
              </w:rPr>
              <w:t>First-lien revolving loan ($15,197 par, due 11/2029)</w:t>
            </w:r>
          </w:p>
        </w:tc>
        <w:tc>
          <w:tcPr>
            <w:tcW w:w="76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11/7/2023</w:t>
            </w:r>
          </w:p>
        </w:tc>
        <w:tc>
          <w:tcPr>
            <w:tcW w:w="4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SOFR + 7.00%</w:t>
            </w:r>
          </w:p>
        </w:tc>
        <w:tc>
          <w:tcPr>
            <w:tcW w:w="1440" w:type="dxa"/>
            <w:vAlign w:val="bottom"/>
            <w:gridSpan w:val="2"/>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10.73%</w:t>
            </w:r>
          </w:p>
        </w:tc>
        <w:tc>
          <w:tcPr>
            <w:tcW w:w="62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15,023</w:t>
            </w:r>
          </w:p>
        </w:tc>
        <w:tc>
          <w:tcPr>
            <w:tcW w:w="220" w:type="dxa"/>
            <w:vAlign w:val="bottom"/>
            <w:tcBorders>
              <w:right w:val="single" w:sz="8" w:color="CFF0FC"/>
            </w:tcBorders>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14,902</w:t>
            </w:r>
          </w:p>
        </w:tc>
        <w:tc>
          <w:tcPr>
            <w:tcW w:w="1140" w:type="dxa"/>
            <w:vAlign w:val="bottom"/>
            <w:gridSpan w:val="3"/>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0.3%</w:t>
            </w:r>
          </w:p>
        </w:tc>
        <w:tc>
          <w:tcPr>
            <w:tcW w:w="0" w:type="dxa"/>
            <w:vAlign w:val="bottom"/>
          </w:tcPr>
          <w:p>
            <w:pPr>
              <w:spacing w:after="0"/>
              <w:rPr>
                <w:sz w:val="1"/>
                <w:szCs w:val="1"/>
                <w:color w:val="auto"/>
              </w:rPr>
            </w:pPr>
          </w:p>
        </w:tc>
      </w:tr>
      <w:tr>
        <w:trPr>
          <w:trHeight w:val="135"/>
        </w:trPr>
        <w:tc>
          <w:tcPr>
            <w:tcW w:w="23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 xml:space="preserve">Azurite Intermediate Holdings, Inc. </w:t>
            </w:r>
            <w:r>
              <w:rPr>
                <w:rFonts w:ascii="Times New Roman" w:cs="Times New Roman" w:eastAsia="Times New Roman" w:hAnsi="Times New Roman"/>
                <w:sz w:val="15"/>
                <w:szCs w:val="15"/>
                <w:color w:val="auto"/>
                <w:vertAlign w:val="superscript"/>
              </w:rPr>
              <w:t>(3)</w:t>
            </w:r>
          </w:p>
        </w:tc>
        <w:tc>
          <w:tcPr>
            <w:tcW w:w="60" w:type="dxa"/>
            <w:vAlign w:val="bottom"/>
          </w:tcPr>
          <w:p>
            <w:pPr>
              <w:spacing w:after="0"/>
              <w:rPr>
                <w:sz w:val="11"/>
                <w:szCs w:val="11"/>
                <w:color w:val="auto"/>
              </w:rPr>
            </w:pPr>
          </w:p>
        </w:tc>
        <w:tc>
          <w:tcPr>
            <w:tcW w:w="27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First-lien loan ($212,681 par, due 3/2031)</w:t>
            </w:r>
          </w:p>
        </w:tc>
        <w:tc>
          <w:tcPr>
            <w:tcW w:w="7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3/19/2024</w:t>
            </w:r>
          </w:p>
        </w:tc>
        <w:tc>
          <w:tcPr>
            <w:tcW w:w="40" w:type="dxa"/>
            <w:vAlign w:val="bottom"/>
          </w:tcPr>
          <w:p>
            <w:pPr>
              <w:spacing w:after="0"/>
              <w:rPr>
                <w:sz w:val="11"/>
                <w:szCs w:val="11"/>
                <w:color w:val="auto"/>
              </w:rPr>
            </w:pPr>
          </w:p>
        </w:tc>
        <w:tc>
          <w:tcPr>
            <w:tcW w:w="11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SOFR + 6.00%</w:t>
            </w:r>
          </w:p>
        </w:tc>
        <w:tc>
          <w:tcPr>
            <w:tcW w:w="144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9.90%</w:t>
            </w:r>
          </w:p>
        </w:tc>
        <w:tc>
          <w:tcPr>
            <w:tcW w:w="6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210,063</w:t>
            </w:r>
          </w:p>
        </w:tc>
        <w:tc>
          <w:tcPr>
            <w:tcW w:w="22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209,726</w:t>
            </w:r>
          </w:p>
        </w:tc>
        <w:tc>
          <w:tcPr>
            <w:tcW w:w="1140" w:type="dxa"/>
            <w:vAlign w:val="bottom"/>
            <w:gridSpan w:val="3"/>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4.1%</w:t>
            </w:r>
          </w:p>
        </w:tc>
        <w:tc>
          <w:tcPr>
            <w:tcW w:w="0" w:type="dxa"/>
            <w:vAlign w:val="bottom"/>
          </w:tcPr>
          <w:p>
            <w:pPr>
              <w:spacing w:after="0"/>
              <w:rPr>
                <w:sz w:val="1"/>
                <w:szCs w:val="1"/>
                <w:color w:val="auto"/>
              </w:rPr>
            </w:pPr>
          </w:p>
        </w:tc>
      </w:tr>
      <w:tr>
        <w:trPr>
          <w:trHeight w:val="135"/>
        </w:trPr>
        <w:tc>
          <w:tcPr>
            <w:tcW w:w="23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 xml:space="preserve">BCTO Ignition Purchaser, Inc. </w:t>
            </w:r>
            <w:r>
              <w:rPr>
                <w:rFonts w:ascii="Times New Roman" w:cs="Times New Roman" w:eastAsia="Times New Roman" w:hAnsi="Times New Roman"/>
                <w:sz w:val="15"/>
                <w:szCs w:val="15"/>
                <w:color w:val="auto"/>
                <w:vertAlign w:val="superscript"/>
              </w:rPr>
              <w:t>(3)</w:t>
            </w:r>
          </w:p>
        </w:tc>
        <w:tc>
          <w:tcPr>
            <w:tcW w:w="60" w:type="dxa"/>
            <w:vAlign w:val="bottom"/>
            <w:shd w:val="clear" w:color="auto" w:fill="CFF0FC"/>
          </w:tcPr>
          <w:p>
            <w:pPr>
              <w:spacing w:after="0"/>
              <w:rPr>
                <w:sz w:val="11"/>
                <w:szCs w:val="11"/>
                <w:color w:val="auto"/>
              </w:rPr>
            </w:pPr>
          </w:p>
        </w:tc>
        <w:tc>
          <w:tcPr>
            <w:tcW w:w="27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First-lien holdco loan ($237,700 par, due 10/2030)</w:t>
            </w:r>
          </w:p>
        </w:tc>
        <w:tc>
          <w:tcPr>
            <w:tcW w:w="76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4/18/2023</w:t>
            </w:r>
          </w:p>
        </w:tc>
        <w:tc>
          <w:tcPr>
            <w:tcW w:w="4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SOFR + 7.50%</w:t>
            </w:r>
          </w:p>
        </w:tc>
        <w:tc>
          <w:tcPr>
            <w:tcW w:w="144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11.23% PIK</w:t>
            </w:r>
          </w:p>
        </w:tc>
        <w:tc>
          <w:tcPr>
            <w:tcW w:w="62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234,779</w:t>
            </w:r>
          </w:p>
        </w:tc>
        <w:tc>
          <w:tcPr>
            <w:tcW w:w="220" w:type="dxa"/>
            <w:vAlign w:val="bottom"/>
            <w:tcBorders>
              <w:right w:val="single" w:sz="8" w:color="CFF0FC"/>
            </w:tcBorders>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240,077</w:t>
            </w:r>
          </w:p>
        </w:tc>
        <w:tc>
          <w:tcPr>
            <w:tcW w:w="1140" w:type="dxa"/>
            <w:vAlign w:val="bottom"/>
            <w:gridSpan w:val="3"/>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4.7%</w:t>
            </w:r>
          </w:p>
        </w:tc>
        <w:tc>
          <w:tcPr>
            <w:tcW w:w="0" w:type="dxa"/>
            <w:vAlign w:val="bottom"/>
          </w:tcPr>
          <w:p>
            <w:pPr>
              <w:spacing w:after="0"/>
              <w:rPr>
                <w:sz w:val="1"/>
                <w:szCs w:val="1"/>
                <w:color w:val="auto"/>
              </w:rPr>
            </w:pPr>
          </w:p>
        </w:tc>
      </w:tr>
      <w:tr>
        <w:trPr>
          <w:trHeight w:val="108"/>
        </w:trPr>
        <w:tc>
          <w:tcPr>
            <w:tcW w:w="238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 xml:space="preserve">Cascade Parent Limited </w:t>
            </w:r>
            <w:r>
              <w:rPr>
                <w:rFonts w:ascii="Times New Roman" w:cs="Times New Roman" w:eastAsia="Times New Roman" w:hAnsi="Times New Roman"/>
                <w:sz w:val="12"/>
                <w:szCs w:val="12"/>
                <w:color w:val="auto"/>
                <w:vertAlign w:val="superscript"/>
              </w:rPr>
              <w:t>(3)(4)</w:t>
            </w:r>
          </w:p>
        </w:tc>
        <w:tc>
          <w:tcPr>
            <w:tcW w:w="60" w:type="dxa"/>
            <w:vAlign w:val="bottom"/>
          </w:tcPr>
          <w:p>
            <w:pPr>
              <w:spacing w:after="0"/>
              <w:rPr>
                <w:sz w:val="9"/>
                <w:szCs w:val="9"/>
                <w:color w:val="auto"/>
              </w:rPr>
            </w:pPr>
          </w:p>
        </w:tc>
        <w:tc>
          <w:tcPr>
            <w:tcW w:w="2700" w:type="dxa"/>
            <w:vAlign w:val="bottom"/>
          </w:tcPr>
          <w:p>
            <w:pPr>
              <w:spacing w:after="0" w:line="108" w:lineRule="exact"/>
              <w:rPr>
                <w:sz w:val="20"/>
                <w:szCs w:val="20"/>
                <w:color w:val="auto"/>
              </w:rPr>
            </w:pPr>
            <w:r>
              <w:rPr>
                <w:rFonts w:ascii="Times New Roman" w:cs="Times New Roman" w:eastAsia="Times New Roman" w:hAnsi="Times New Roman"/>
                <w:sz w:val="12"/>
                <w:szCs w:val="12"/>
                <w:color w:val="auto"/>
              </w:rPr>
              <w:t>First-lien loan ($195,556 par, due 8/2030)</w:t>
            </w:r>
          </w:p>
        </w:tc>
        <w:tc>
          <w:tcPr>
            <w:tcW w:w="76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2"/>
                <w:szCs w:val="12"/>
                <w:color w:val="auto"/>
              </w:rPr>
              <w:t>8/17/2026</w:t>
            </w:r>
          </w:p>
        </w:tc>
        <w:tc>
          <w:tcPr>
            <w:tcW w:w="40" w:type="dxa"/>
            <w:vAlign w:val="bottom"/>
          </w:tcPr>
          <w:p>
            <w:pPr>
              <w:spacing w:after="0"/>
              <w:rPr>
                <w:sz w:val="9"/>
                <w:szCs w:val="9"/>
                <w:color w:val="auto"/>
              </w:rPr>
            </w:pPr>
          </w:p>
        </w:tc>
        <w:tc>
          <w:tcPr>
            <w:tcW w:w="116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2"/>
                <w:szCs w:val="12"/>
                <w:color w:val="auto"/>
              </w:rPr>
              <w:t>SOFR + 6.75%</w:t>
            </w:r>
          </w:p>
        </w:tc>
        <w:tc>
          <w:tcPr>
            <w:tcW w:w="1440" w:type="dxa"/>
            <w:vAlign w:val="bottom"/>
            <w:gridSpan w:val="2"/>
          </w:tcPr>
          <w:p>
            <w:pPr>
              <w:jc w:val="right"/>
              <w:ind w:right="20"/>
              <w:spacing w:after="0" w:line="108" w:lineRule="exact"/>
              <w:rPr>
                <w:sz w:val="20"/>
                <w:szCs w:val="20"/>
                <w:color w:val="auto"/>
              </w:rPr>
            </w:pPr>
            <w:r>
              <w:rPr>
                <w:rFonts w:ascii="Times New Roman" w:cs="Times New Roman" w:eastAsia="Times New Roman" w:hAnsi="Times New Roman"/>
                <w:sz w:val="12"/>
                <w:szCs w:val="12"/>
                <w:color w:val="auto"/>
              </w:rPr>
              <w:t>10.49%</w:t>
            </w:r>
          </w:p>
        </w:tc>
        <w:tc>
          <w:tcPr>
            <w:tcW w:w="62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2"/>
                <w:szCs w:val="12"/>
                <w:color w:val="auto"/>
              </w:rPr>
              <w:t>186,979</w:t>
            </w:r>
          </w:p>
        </w:tc>
        <w:tc>
          <w:tcPr>
            <w:tcW w:w="220" w:type="dxa"/>
            <w:vAlign w:val="bottom"/>
          </w:tcPr>
          <w:p>
            <w:pPr>
              <w:spacing w:after="0"/>
              <w:rPr>
                <w:sz w:val="9"/>
                <w:szCs w:val="9"/>
                <w:color w:val="auto"/>
              </w:rPr>
            </w:pPr>
          </w:p>
        </w:tc>
        <w:tc>
          <w:tcPr>
            <w:tcW w:w="72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auto"/>
              </w:rPr>
              <w:t>186,755</w:t>
            </w:r>
          </w:p>
        </w:tc>
        <w:tc>
          <w:tcPr>
            <w:tcW w:w="1140" w:type="dxa"/>
            <w:vAlign w:val="bottom"/>
            <w:gridSpan w:val="3"/>
          </w:tcPr>
          <w:p>
            <w:pPr>
              <w:jc w:val="right"/>
              <w:ind w:right="20"/>
              <w:spacing w:after="0" w:line="108" w:lineRule="exact"/>
              <w:rPr>
                <w:sz w:val="20"/>
                <w:szCs w:val="20"/>
                <w:color w:val="auto"/>
              </w:rPr>
            </w:pPr>
            <w:r>
              <w:rPr>
                <w:rFonts w:ascii="Times New Roman" w:cs="Times New Roman" w:eastAsia="Times New Roman" w:hAnsi="Times New Roman"/>
                <w:sz w:val="12"/>
                <w:szCs w:val="12"/>
                <w:color w:val="auto"/>
              </w:rPr>
              <w:t>3.7%</w:t>
            </w:r>
          </w:p>
        </w:tc>
        <w:tc>
          <w:tcPr>
            <w:tcW w:w="0" w:type="dxa"/>
            <w:vAlign w:val="bottom"/>
          </w:tcPr>
          <w:p>
            <w:pPr>
              <w:spacing w:after="0"/>
              <w:rPr>
                <w:sz w:val="1"/>
                <w:szCs w:val="1"/>
                <w:color w:val="auto"/>
              </w:rPr>
            </w:pPr>
          </w:p>
        </w:tc>
      </w:tr>
      <w:tr>
        <w:trPr>
          <w:trHeight w:val="135"/>
        </w:trPr>
        <w:tc>
          <w:tcPr>
            <w:tcW w:w="23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 xml:space="preserve">Crewline Buyer, Inc. </w:t>
            </w:r>
            <w:r>
              <w:rPr>
                <w:rFonts w:ascii="Times New Roman" w:cs="Times New Roman" w:eastAsia="Times New Roman" w:hAnsi="Times New Roman"/>
                <w:sz w:val="15"/>
                <w:szCs w:val="15"/>
                <w:color w:val="auto"/>
                <w:vertAlign w:val="superscript"/>
              </w:rPr>
              <w:t>(3)</w:t>
            </w:r>
          </w:p>
        </w:tc>
        <w:tc>
          <w:tcPr>
            <w:tcW w:w="60" w:type="dxa"/>
            <w:vAlign w:val="bottom"/>
          </w:tcPr>
          <w:p>
            <w:pPr>
              <w:spacing w:after="0"/>
              <w:rPr>
                <w:sz w:val="11"/>
                <w:szCs w:val="11"/>
                <w:color w:val="auto"/>
              </w:rPr>
            </w:pPr>
          </w:p>
        </w:tc>
        <w:tc>
          <w:tcPr>
            <w:tcW w:w="27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First-lien loan ($152,696 par, due 11/2030)</w:t>
            </w:r>
          </w:p>
        </w:tc>
        <w:tc>
          <w:tcPr>
            <w:tcW w:w="7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11/8/2023</w:t>
            </w:r>
          </w:p>
        </w:tc>
        <w:tc>
          <w:tcPr>
            <w:tcW w:w="40" w:type="dxa"/>
            <w:vAlign w:val="bottom"/>
          </w:tcPr>
          <w:p>
            <w:pPr>
              <w:spacing w:after="0"/>
              <w:rPr>
                <w:sz w:val="11"/>
                <w:szCs w:val="11"/>
                <w:color w:val="auto"/>
              </w:rPr>
            </w:pPr>
          </w:p>
        </w:tc>
        <w:tc>
          <w:tcPr>
            <w:tcW w:w="11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SOFR + 6.75%</w:t>
            </w:r>
          </w:p>
        </w:tc>
        <w:tc>
          <w:tcPr>
            <w:tcW w:w="144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10.57%</w:t>
            </w:r>
          </w:p>
        </w:tc>
        <w:tc>
          <w:tcPr>
            <w:tcW w:w="6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149,863</w:t>
            </w:r>
          </w:p>
        </w:tc>
        <w:tc>
          <w:tcPr>
            <w:tcW w:w="22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145,555</w:t>
            </w:r>
          </w:p>
        </w:tc>
        <w:tc>
          <w:tcPr>
            <w:tcW w:w="1140" w:type="dxa"/>
            <w:vAlign w:val="bottom"/>
            <w:gridSpan w:val="3"/>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2.9%</w:t>
            </w:r>
          </w:p>
        </w:tc>
        <w:tc>
          <w:tcPr>
            <w:tcW w:w="0" w:type="dxa"/>
            <w:vAlign w:val="bottom"/>
          </w:tcPr>
          <w:p>
            <w:pPr>
              <w:spacing w:after="0"/>
              <w:rPr>
                <w:sz w:val="1"/>
                <w:szCs w:val="1"/>
                <w:color w:val="auto"/>
              </w:rPr>
            </w:pPr>
          </w:p>
        </w:tc>
      </w:tr>
      <w:tr>
        <w:trPr>
          <w:trHeight w:val="176"/>
        </w:trPr>
        <w:tc>
          <w:tcPr>
            <w:tcW w:w="2380" w:type="dxa"/>
            <w:vAlign w:val="bottom"/>
          </w:tcPr>
          <w:p>
            <w:pPr>
              <w:spacing w:after="0" w:line="176" w:lineRule="exact"/>
              <w:rPr>
                <w:sz w:val="20"/>
                <w:szCs w:val="20"/>
                <w:color w:val="auto"/>
              </w:rPr>
            </w:pPr>
            <w:r>
              <w:rPr>
                <w:rFonts w:ascii="Times New Roman" w:cs="Times New Roman" w:eastAsia="Times New Roman" w:hAnsi="Times New Roman"/>
                <w:sz w:val="13"/>
                <w:szCs w:val="13"/>
                <w:color w:val="auto"/>
              </w:rPr>
              <w:t xml:space="preserve">Crucible Buyer, Inc. </w:t>
            </w:r>
            <w:r>
              <w:rPr>
                <w:rFonts w:ascii="Times New Roman" w:cs="Times New Roman" w:eastAsia="Times New Roman" w:hAnsi="Times New Roman"/>
                <w:sz w:val="18"/>
                <w:szCs w:val="18"/>
                <w:color w:val="auto"/>
                <w:vertAlign w:val="superscript"/>
              </w:rPr>
              <w:t>(3)</w:t>
            </w:r>
          </w:p>
        </w:tc>
        <w:tc>
          <w:tcPr>
            <w:tcW w:w="60" w:type="dxa"/>
            <w:vAlign w:val="bottom"/>
          </w:tcPr>
          <w:p>
            <w:pPr>
              <w:spacing w:after="0"/>
              <w:rPr>
                <w:sz w:val="15"/>
                <w:szCs w:val="15"/>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3"/>
                <w:szCs w:val="13"/>
                <w:color w:val="auto"/>
              </w:rPr>
              <w:t>First-lien loan ($286,230 par, due 8/2033)</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8/31/2026</w:t>
            </w:r>
          </w:p>
        </w:tc>
        <w:tc>
          <w:tcPr>
            <w:tcW w:w="40" w:type="dxa"/>
            <w:vAlign w:val="bottom"/>
          </w:tcPr>
          <w:p>
            <w:pPr>
              <w:spacing w:after="0"/>
              <w:rPr>
                <w:sz w:val="15"/>
                <w:szCs w:val="15"/>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SOFR + 5.00%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8.76%</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283,247</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283,861</w:t>
            </w: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5.6%</w:t>
            </w:r>
          </w:p>
        </w:tc>
        <w:tc>
          <w:tcPr>
            <w:tcW w:w="0" w:type="dxa"/>
            <w:vAlign w:val="bottom"/>
          </w:tcPr>
          <w:p>
            <w:pPr>
              <w:spacing w:after="0"/>
              <w:rPr>
                <w:sz w:val="1"/>
                <w:szCs w:val="1"/>
                <w:color w:val="auto"/>
              </w:rPr>
            </w:pPr>
          </w:p>
        </w:tc>
      </w:tr>
      <w:tr>
        <w:trPr>
          <w:trHeight w:val="135"/>
        </w:trPr>
        <w:tc>
          <w:tcPr>
            <w:tcW w:w="23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7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First-lien revolving loan ($4,918 par, due 8/2032)</w:t>
            </w:r>
          </w:p>
        </w:tc>
        <w:tc>
          <w:tcPr>
            <w:tcW w:w="76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8/31/2026</w:t>
            </w:r>
          </w:p>
        </w:tc>
        <w:tc>
          <w:tcPr>
            <w:tcW w:w="4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SOFR + 5.00%</w:t>
            </w:r>
          </w:p>
        </w:tc>
        <w:tc>
          <w:tcPr>
            <w:tcW w:w="1440" w:type="dxa"/>
            <w:vAlign w:val="bottom"/>
            <w:gridSpan w:val="2"/>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8.76%</w:t>
            </w:r>
          </w:p>
        </w:tc>
        <w:tc>
          <w:tcPr>
            <w:tcW w:w="62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4,675</w:t>
            </w:r>
          </w:p>
        </w:tc>
        <w:tc>
          <w:tcPr>
            <w:tcW w:w="220" w:type="dxa"/>
            <w:vAlign w:val="bottom"/>
            <w:tcBorders>
              <w:right w:val="single" w:sz="8" w:color="CFF0FC"/>
            </w:tcBorders>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4,734</w:t>
            </w:r>
          </w:p>
        </w:tc>
        <w:tc>
          <w:tcPr>
            <w:tcW w:w="1140" w:type="dxa"/>
            <w:vAlign w:val="bottom"/>
            <w:gridSpan w:val="3"/>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35"/>
        </w:trPr>
        <w:tc>
          <w:tcPr>
            <w:tcW w:w="2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7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First-lien revolving loan ($3,934 par, due 8/2032)</w:t>
            </w:r>
          </w:p>
        </w:tc>
        <w:tc>
          <w:tcPr>
            <w:tcW w:w="7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8/31/2026</w:t>
            </w:r>
          </w:p>
        </w:tc>
        <w:tc>
          <w:tcPr>
            <w:tcW w:w="40" w:type="dxa"/>
            <w:vAlign w:val="bottom"/>
          </w:tcPr>
          <w:p>
            <w:pPr>
              <w:spacing w:after="0"/>
              <w:rPr>
                <w:sz w:val="11"/>
                <w:szCs w:val="11"/>
                <w:color w:val="auto"/>
              </w:rPr>
            </w:pPr>
          </w:p>
        </w:tc>
        <w:tc>
          <w:tcPr>
            <w:tcW w:w="11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P + 4.00%</w:t>
            </w:r>
          </w:p>
        </w:tc>
        <w:tc>
          <w:tcPr>
            <w:tcW w:w="144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11.00%</w:t>
            </w:r>
          </w:p>
        </w:tc>
        <w:tc>
          <w:tcPr>
            <w:tcW w:w="6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3,740</w:t>
            </w:r>
          </w:p>
        </w:tc>
        <w:tc>
          <w:tcPr>
            <w:tcW w:w="22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3,787</w:t>
            </w:r>
          </w:p>
        </w:tc>
        <w:tc>
          <w:tcPr>
            <w:tcW w:w="1140" w:type="dxa"/>
            <w:vAlign w:val="bottom"/>
            <w:gridSpan w:val="3"/>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35"/>
        </w:trPr>
        <w:tc>
          <w:tcPr>
            <w:tcW w:w="23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 xml:space="preserve">Elements Finco Limited </w:t>
            </w:r>
            <w:r>
              <w:rPr>
                <w:rFonts w:ascii="Times New Roman" w:cs="Times New Roman" w:eastAsia="Times New Roman" w:hAnsi="Times New Roman"/>
                <w:sz w:val="15"/>
                <w:szCs w:val="15"/>
                <w:color w:val="auto"/>
                <w:vertAlign w:val="superscript"/>
              </w:rPr>
              <w:t>(3)(4)</w:t>
            </w:r>
          </w:p>
        </w:tc>
        <w:tc>
          <w:tcPr>
            <w:tcW w:w="60" w:type="dxa"/>
            <w:vAlign w:val="bottom"/>
            <w:shd w:val="clear" w:color="auto" w:fill="CFF0FC"/>
          </w:tcPr>
          <w:p>
            <w:pPr>
              <w:spacing w:after="0"/>
              <w:rPr>
                <w:sz w:val="11"/>
                <w:szCs w:val="11"/>
                <w:color w:val="auto"/>
              </w:rPr>
            </w:pPr>
          </w:p>
        </w:tc>
        <w:tc>
          <w:tcPr>
            <w:tcW w:w="27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First-lien loan ($26,060 par, due 4/2031)</w:t>
            </w:r>
          </w:p>
        </w:tc>
        <w:tc>
          <w:tcPr>
            <w:tcW w:w="76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4/29/2024</w:t>
            </w:r>
          </w:p>
        </w:tc>
        <w:tc>
          <w:tcPr>
            <w:tcW w:w="4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SOFR + 5.25%</w:t>
            </w:r>
          </w:p>
        </w:tc>
        <w:tc>
          <w:tcPr>
            <w:tcW w:w="144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w w:val="98"/>
              </w:rPr>
              <w:t>9.15% (incl. 2.25% PIK)</w:t>
            </w:r>
          </w:p>
        </w:tc>
        <w:tc>
          <w:tcPr>
            <w:tcW w:w="62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25,921</w:t>
            </w:r>
          </w:p>
        </w:tc>
        <w:tc>
          <w:tcPr>
            <w:tcW w:w="220" w:type="dxa"/>
            <w:vAlign w:val="bottom"/>
            <w:tcBorders>
              <w:right w:val="single" w:sz="8" w:color="CFF0FC"/>
            </w:tcBorders>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24,887</w:t>
            </w:r>
          </w:p>
        </w:tc>
        <w:tc>
          <w:tcPr>
            <w:tcW w:w="1140" w:type="dxa"/>
            <w:vAlign w:val="bottom"/>
            <w:gridSpan w:val="3"/>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0.5%</w:t>
            </w:r>
          </w:p>
        </w:tc>
        <w:tc>
          <w:tcPr>
            <w:tcW w:w="0" w:type="dxa"/>
            <w:vAlign w:val="bottom"/>
          </w:tcPr>
          <w:p>
            <w:pPr>
              <w:spacing w:after="0"/>
              <w:rPr>
                <w:sz w:val="1"/>
                <w:szCs w:val="1"/>
                <w:color w:val="auto"/>
              </w:rPr>
            </w:pPr>
          </w:p>
        </w:tc>
      </w:tr>
      <w:tr>
        <w:trPr>
          <w:trHeight w:val="135"/>
        </w:trPr>
        <w:tc>
          <w:tcPr>
            <w:tcW w:w="2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7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First-lien loan ($20,857 par, due 4/2031)</w:t>
            </w:r>
          </w:p>
        </w:tc>
        <w:tc>
          <w:tcPr>
            <w:tcW w:w="7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4/29/2024</w:t>
            </w:r>
          </w:p>
        </w:tc>
        <w:tc>
          <w:tcPr>
            <w:tcW w:w="40" w:type="dxa"/>
            <w:vAlign w:val="bottom"/>
          </w:tcPr>
          <w:p>
            <w:pPr>
              <w:spacing w:after="0"/>
              <w:rPr>
                <w:sz w:val="11"/>
                <w:szCs w:val="11"/>
                <w:color w:val="auto"/>
              </w:rPr>
            </w:pPr>
          </w:p>
        </w:tc>
        <w:tc>
          <w:tcPr>
            <w:tcW w:w="11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SOFR + 5.00%</w:t>
            </w:r>
          </w:p>
        </w:tc>
        <w:tc>
          <w:tcPr>
            <w:tcW w:w="144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8.90%</w:t>
            </w:r>
          </w:p>
        </w:tc>
        <w:tc>
          <w:tcPr>
            <w:tcW w:w="6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20,720</w:t>
            </w:r>
          </w:p>
        </w:tc>
        <w:tc>
          <w:tcPr>
            <w:tcW w:w="22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19,866</w:t>
            </w:r>
          </w:p>
        </w:tc>
        <w:tc>
          <w:tcPr>
            <w:tcW w:w="1140" w:type="dxa"/>
            <w:vAlign w:val="bottom"/>
            <w:gridSpan w:val="3"/>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0.4%</w:t>
            </w:r>
          </w:p>
        </w:tc>
        <w:tc>
          <w:tcPr>
            <w:tcW w:w="0" w:type="dxa"/>
            <w:vAlign w:val="bottom"/>
          </w:tcPr>
          <w:p>
            <w:pPr>
              <w:spacing w:after="0"/>
              <w:rPr>
                <w:sz w:val="1"/>
                <w:szCs w:val="1"/>
                <w:color w:val="auto"/>
              </w:rPr>
            </w:pPr>
          </w:p>
        </w:tc>
      </w:tr>
      <w:tr>
        <w:trPr>
          <w:trHeight w:val="117"/>
        </w:trPr>
        <w:tc>
          <w:tcPr>
            <w:tcW w:w="23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70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First-lien loan (GBP 121,044 par, due 4/2031)</w:t>
            </w:r>
          </w:p>
        </w:tc>
        <w:tc>
          <w:tcPr>
            <w:tcW w:w="76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4/29/2024</w:t>
            </w:r>
          </w:p>
        </w:tc>
        <w:tc>
          <w:tcPr>
            <w:tcW w:w="40" w:type="dxa"/>
            <w:vAlign w:val="bottom"/>
            <w:shd w:val="clear" w:color="auto" w:fill="CFF0FC"/>
          </w:tcPr>
          <w:p>
            <w:pPr>
              <w:spacing w:after="0"/>
              <w:rPr>
                <w:sz w:val="10"/>
                <w:szCs w:val="10"/>
                <w:color w:val="auto"/>
              </w:rPr>
            </w:pPr>
          </w:p>
        </w:tc>
        <w:tc>
          <w:tcPr>
            <w:tcW w:w="1160" w:type="dxa"/>
            <w:vAlign w:val="bottom"/>
            <w:gridSpan w:val="2"/>
            <w:shd w:val="clear" w:color="auto" w:fill="CFF0FC"/>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S + 5.50%</w:t>
            </w:r>
          </w:p>
        </w:tc>
        <w:tc>
          <w:tcPr>
            <w:tcW w:w="1440" w:type="dxa"/>
            <w:vAlign w:val="bottom"/>
            <w:gridSpan w:val="2"/>
            <w:shd w:val="clear" w:color="auto" w:fill="CFF0FC"/>
          </w:tcPr>
          <w:p>
            <w:pPr>
              <w:jc w:val="right"/>
              <w:ind w:right="140"/>
              <w:spacing w:after="0" w:line="117" w:lineRule="exact"/>
              <w:rPr>
                <w:sz w:val="20"/>
                <w:szCs w:val="20"/>
                <w:color w:val="auto"/>
              </w:rPr>
            </w:pPr>
            <w:r>
              <w:rPr>
                <w:rFonts w:ascii="Times New Roman" w:cs="Times New Roman" w:eastAsia="Times New Roman" w:hAnsi="Times New Roman"/>
                <w:sz w:val="13"/>
                <w:szCs w:val="13"/>
                <w:color w:val="auto"/>
                <w:w w:val="98"/>
              </w:rPr>
              <w:t>9.23% (incl. 2.50% PIK)</w:t>
            </w:r>
          </w:p>
        </w:tc>
        <w:tc>
          <w:tcPr>
            <w:tcW w:w="62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151,274</w:t>
            </w:r>
          </w:p>
        </w:tc>
        <w:tc>
          <w:tcPr>
            <w:tcW w:w="220" w:type="dxa"/>
            <w:vAlign w:val="bottom"/>
            <w:tcBorders>
              <w:right w:val="single" w:sz="8" w:color="CFF0FC"/>
            </w:tcBorders>
            <w:shd w:val="clear" w:color="auto" w:fill="CFF0FC"/>
          </w:tcPr>
          <w:p>
            <w:pPr>
              <w:spacing w:after="0"/>
              <w:rPr>
                <w:sz w:val="10"/>
                <w:szCs w:val="10"/>
                <w:color w:val="auto"/>
              </w:rPr>
            </w:pPr>
          </w:p>
        </w:tc>
        <w:tc>
          <w:tcPr>
            <w:tcW w:w="72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154,369</w:t>
            </w:r>
          </w:p>
        </w:tc>
        <w:tc>
          <w:tcPr>
            <w:tcW w:w="1140" w:type="dxa"/>
            <w:vAlign w:val="bottom"/>
            <w:gridSpan w:val="3"/>
            <w:shd w:val="clear" w:color="auto" w:fill="CFF0FC"/>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3.0%</w:t>
            </w:r>
          </w:p>
        </w:tc>
        <w:tc>
          <w:tcPr>
            <w:tcW w:w="0" w:type="dxa"/>
            <w:vAlign w:val="bottom"/>
          </w:tcPr>
          <w:p>
            <w:pPr>
              <w:spacing w:after="0"/>
              <w:rPr>
                <w:sz w:val="1"/>
                <w:szCs w:val="1"/>
                <w:color w:val="auto"/>
              </w:rPr>
            </w:pPr>
          </w:p>
        </w:tc>
      </w:tr>
      <w:tr>
        <w:trPr>
          <w:trHeight w:val="135"/>
        </w:trPr>
        <w:tc>
          <w:tcPr>
            <w:tcW w:w="23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7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3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tcBorders>
              <w:right w:val="single" w:sz="8" w:color="CFF0FC"/>
            </w:tcBorders>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(GBP</w:t>
            </w:r>
          </w:p>
        </w:tc>
        <w:tc>
          <w:tcPr>
            <w:tcW w:w="1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3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7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20" w:type="dxa"/>
            <w:vAlign w:val="bottom"/>
            <w:tcBorders>
              <w:right w:val="single" w:sz="8" w:color="CFF0FC"/>
            </w:tcBorders>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116,202)</w:t>
            </w: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380" w:type="dxa"/>
            <w:vAlign w:val="bottom"/>
          </w:tcPr>
          <w:p>
            <w:pPr>
              <w:spacing w:after="0" w:line="117" w:lineRule="exact"/>
              <w:rPr>
                <w:sz w:val="20"/>
                <w:szCs w:val="20"/>
                <w:color w:val="auto"/>
              </w:rPr>
            </w:pPr>
            <w:r>
              <w:rPr>
                <w:rFonts w:ascii="Times New Roman" w:cs="Times New Roman" w:eastAsia="Times New Roman" w:hAnsi="Times New Roman"/>
                <w:sz w:val="10"/>
                <w:szCs w:val="10"/>
                <w:color w:val="auto"/>
              </w:rPr>
              <w:t xml:space="preserve">Lynx BidCo </w:t>
            </w:r>
            <w:r>
              <w:rPr>
                <w:rFonts w:ascii="Times New Roman" w:cs="Times New Roman" w:eastAsia="Times New Roman" w:hAnsi="Times New Roman"/>
                <w:sz w:val="13"/>
                <w:szCs w:val="13"/>
                <w:color w:val="auto"/>
                <w:vertAlign w:val="superscript"/>
              </w:rPr>
              <w:t>(3)(4)</w:t>
            </w:r>
          </w:p>
        </w:tc>
        <w:tc>
          <w:tcPr>
            <w:tcW w:w="60" w:type="dxa"/>
            <w:vAlign w:val="bottom"/>
          </w:tcPr>
          <w:p>
            <w:pPr>
              <w:spacing w:after="0"/>
              <w:rPr>
                <w:sz w:val="10"/>
                <w:szCs w:val="10"/>
                <w:color w:val="auto"/>
              </w:rPr>
            </w:pPr>
          </w:p>
        </w:tc>
        <w:tc>
          <w:tcPr>
            <w:tcW w:w="270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First-lien loan ($42,776 par, due 7/2031)</w:t>
            </w:r>
          </w:p>
        </w:tc>
        <w:tc>
          <w:tcPr>
            <w:tcW w:w="76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7/5/2024</w:t>
            </w:r>
          </w:p>
        </w:tc>
        <w:tc>
          <w:tcPr>
            <w:tcW w:w="40" w:type="dxa"/>
            <w:vAlign w:val="bottom"/>
          </w:tcPr>
          <w:p>
            <w:pPr>
              <w:spacing w:after="0"/>
              <w:rPr>
                <w:sz w:val="10"/>
                <w:szCs w:val="10"/>
                <w:color w:val="auto"/>
              </w:rPr>
            </w:pPr>
          </w:p>
        </w:tc>
        <w:tc>
          <w:tcPr>
            <w:tcW w:w="116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SOFR + 6.25%</w:t>
            </w:r>
          </w:p>
        </w:tc>
        <w:tc>
          <w:tcPr>
            <w:tcW w:w="1440" w:type="dxa"/>
            <w:vAlign w:val="bottom"/>
            <w:gridSpan w:val="2"/>
          </w:tcPr>
          <w:p>
            <w:pPr>
              <w:jc w:val="right"/>
              <w:ind w:right="180"/>
              <w:spacing w:after="0" w:line="117" w:lineRule="exact"/>
              <w:rPr>
                <w:sz w:val="20"/>
                <w:szCs w:val="20"/>
                <w:color w:val="auto"/>
              </w:rPr>
            </w:pPr>
            <w:r>
              <w:rPr>
                <w:rFonts w:ascii="Times New Roman" w:cs="Times New Roman" w:eastAsia="Times New Roman" w:hAnsi="Times New Roman"/>
                <w:sz w:val="13"/>
                <w:szCs w:val="13"/>
                <w:color w:val="auto"/>
              </w:rPr>
              <w:t>10.32% (incl. 5.61%</w:t>
            </w:r>
          </w:p>
        </w:tc>
        <w:tc>
          <w:tcPr>
            <w:tcW w:w="6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41,979</w:t>
            </w:r>
          </w:p>
        </w:tc>
        <w:tc>
          <w:tcPr>
            <w:tcW w:w="220" w:type="dxa"/>
            <w:vAlign w:val="bottom"/>
          </w:tcPr>
          <w:p>
            <w:pPr>
              <w:spacing w:after="0"/>
              <w:rPr>
                <w:sz w:val="10"/>
                <w:szCs w:val="10"/>
                <w:color w:val="auto"/>
              </w:rPr>
            </w:pPr>
          </w:p>
        </w:tc>
        <w:tc>
          <w:tcPr>
            <w:tcW w:w="72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42,639</w:t>
            </w:r>
          </w:p>
        </w:tc>
        <w:tc>
          <w:tcPr>
            <w:tcW w:w="114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0.8%</w:t>
            </w:r>
          </w:p>
        </w:tc>
        <w:tc>
          <w:tcPr>
            <w:tcW w:w="0" w:type="dxa"/>
            <w:vAlign w:val="bottom"/>
          </w:tcPr>
          <w:p>
            <w:pPr>
              <w:spacing w:after="0"/>
              <w:rPr>
                <w:sz w:val="1"/>
                <w:szCs w:val="1"/>
                <w:color w:val="auto"/>
              </w:rPr>
            </w:pPr>
          </w:p>
        </w:tc>
      </w:tr>
      <w:tr>
        <w:trPr>
          <w:trHeight w:val="153"/>
        </w:trPr>
        <w:tc>
          <w:tcPr>
            <w:tcW w:w="2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PIK)</w:t>
            </w: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3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70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First-lien loan (EUR 68,894 par, due 7/2031)</w:t>
            </w:r>
          </w:p>
        </w:tc>
        <w:tc>
          <w:tcPr>
            <w:tcW w:w="76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7/5/2024</w:t>
            </w:r>
          </w:p>
        </w:tc>
        <w:tc>
          <w:tcPr>
            <w:tcW w:w="40" w:type="dxa"/>
            <w:vAlign w:val="bottom"/>
            <w:shd w:val="clear" w:color="auto" w:fill="CFF0FC"/>
          </w:tcPr>
          <w:p>
            <w:pPr>
              <w:spacing w:after="0"/>
              <w:rPr>
                <w:sz w:val="10"/>
                <w:szCs w:val="10"/>
                <w:color w:val="auto"/>
              </w:rPr>
            </w:pPr>
          </w:p>
        </w:tc>
        <w:tc>
          <w:tcPr>
            <w:tcW w:w="1160" w:type="dxa"/>
            <w:vAlign w:val="bottom"/>
            <w:gridSpan w:val="2"/>
            <w:shd w:val="clear" w:color="auto" w:fill="CFF0FC"/>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E + 6.25%</w:t>
            </w:r>
          </w:p>
        </w:tc>
        <w:tc>
          <w:tcPr>
            <w:tcW w:w="1440" w:type="dxa"/>
            <w:vAlign w:val="bottom"/>
            <w:gridSpan w:val="2"/>
            <w:shd w:val="clear" w:color="auto" w:fill="CFF0FC"/>
          </w:tcPr>
          <w:p>
            <w:pPr>
              <w:jc w:val="right"/>
              <w:ind w:right="140"/>
              <w:spacing w:after="0" w:line="117" w:lineRule="exact"/>
              <w:rPr>
                <w:sz w:val="20"/>
                <w:szCs w:val="20"/>
                <w:color w:val="auto"/>
              </w:rPr>
            </w:pPr>
            <w:r>
              <w:rPr>
                <w:rFonts w:ascii="Times New Roman" w:cs="Times New Roman" w:eastAsia="Times New Roman" w:hAnsi="Times New Roman"/>
                <w:sz w:val="13"/>
                <w:szCs w:val="13"/>
                <w:color w:val="auto"/>
                <w:w w:val="98"/>
              </w:rPr>
              <w:t>8.84% (incl. 5.61% PIK)</w:t>
            </w:r>
          </w:p>
        </w:tc>
        <w:tc>
          <w:tcPr>
            <w:tcW w:w="62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77,664</w:t>
            </w:r>
          </w:p>
        </w:tc>
        <w:tc>
          <w:tcPr>
            <w:tcW w:w="220" w:type="dxa"/>
            <w:vAlign w:val="bottom"/>
            <w:tcBorders>
              <w:right w:val="single" w:sz="8" w:color="CFF0FC"/>
            </w:tcBorders>
            <w:shd w:val="clear" w:color="auto" w:fill="CFF0FC"/>
          </w:tcPr>
          <w:p>
            <w:pPr>
              <w:spacing w:after="0"/>
              <w:rPr>
                <w:sz w:val="10"/>
                <w:szCs w:val="10"/>
                <w:color w:val="auto"/>
              </w:rPr>
            </w:pPr>
          </w:p>
        </w:tc>
        <w:tc>
          <w:tcPr>
            <w:tcW w:w="72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77,957</w:t>
            </w:r>
          </w:p>
        </w:tc>
        <w:tc>
          <w:tcPr>
            <w:tcW w:w="1140" w:type="dxa"/>
            <w:vAlign w:val="bottom"/>
            <w:gridSpan w:val="3"/>
            <w:shd w:val="clear" w:color="auto" w:fill="CFF0FC"/>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153"/>
        </w:trPr>
        <w:tc>
          <w:tcPr>
            <w:tcW w:w="23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7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20" w:type="dxa"/>
            <w:vAlign w:val="bottom"/>
            <w:tcBorders>
              <w:right w:val="single" w:sz="8" w:color="CFF0FC"/>
            </w:tcBorders>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4"/>
              </w:rPr>
              <w:t>(EUR 68,634)</w:t>
            </w: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380" w:type="dxa"/>
            <w:vAlign w:val="bottom"/>
          </w:tcPr>
          <w:p>
            <w:pPr>
              <w:spacing w:after="0" w:line="117" w:lineRule="exact"/>
              <w:rPr>
                <w:sz w:val="20"/>
                <w:szCs w:val="20"/>
                <w:color w:val="auto"/>
              </w:rPr>
            </w:pPr>
            <w:r>
              <w:rPr>
                <w:rFonts w:ascii="Times New Roman" w:cs="Times New Roman" w:eastAsia="Times New Roman" w:hAnsi="Times New Roman"/>
                <w:sz w:val="10"/>
                <w:szCs w:val="10"/>
                <w:color w:val="auto"/>
              </w:rPr>
              <w:t xml:space="preserve">Price Fx Inc. </w:t>
            </w:r>
            <w:r>
              <w:rPr>
                <w:rFonts w:ascii="Times New Roman" w:cs="Times New Roman" w:eastAsia="Times New Roman" w:hAnsi="Times New Roman"/>
                <w:sz w:val="13"/>
                <w:szCs w:val="13"/>
                <w:color w:val="auto"/>
                <w:vertAlign w:val="superscript"/>
              </w:rPr>
              <w:t>(3)(4)</w:t>
            </w:r>
          </w:p>
        </w:tc>
        <w:tc>
          <w:tcPr>
            <w:tcW w:w="60" w:type="dxa"/>
            <w:vAlign w:val="bottom"/>
          </w:tcPr>
          <w:p>
            <w:pPr>
              <w:spacing w:after="0"/>
              <w:rPr>
                <w:sz w:val="10"/>
                <w:szCs w:val="10"/>
                <w:color w:val="auto"/>
              </w:rPr>
            </w:pPr>
          </w:p>
        </w:tc>
        <w:tc>
          <w:tcPr>
            <w:tcW w:w="270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First-lien loan (EUR 910 par, due 10/2029)</w:t>
            </w:r>
          </w:p>
        </w:tc>
        <w:tc>
          <w:tcPr>
            <w:tcW w:w="76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10/27/2023</w:t>
            </w:r>
          </w:p>
        </w:tc>
        <w:tc>
          <w:tcPr>
            <w:tcW w:w="40" w:type="dxa"/>
            <w:vAlign w:val="bottom"/>
          </w:tcPr>
          <w:p>
            <w:pPr>
              <w:spacing w:after="0"/>
              <w:rPr>
                <w:sz w:val="10"/>
                <w:szCs w:val="10"/>
                <w:color w:val="auto"/>
              </w:rPr>
            </w:pPr>
          </w:p>
        </w:tc>
        <w:tc>
          <w:tcPr>
            <w:tcW w:w="116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E + 7.00%</w:t>
            </w:r>
          </w:p>
        </w:tc>
        <w:tc>
          <w:tcPr>
            <w:tcW w:w="1440" w:type="dxa"/>
            <w:vAlign w:val="bottom"/>
            <w:gridSpan w:val="2"/>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9.45%</w:t>
            </w:r>
          </w:p>
        </w:tc>
        <w:tc>
          <w:tcPr>
            <w:tcW w:w="6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973</w:t>
            </w:r>
          </w:p>
        </w:tc>
        <w:tc>
          <w:tcPr>
            <w:tcW w:w="220" w:type="dxa"/>
            <w:vAlign w:val="bottom"/>
          </w:tcPr>
          <w:p>
            <w:pPr>
              <w:spacing w:after="0"/>
              <w:rPr>
                <w:sz w:val="10"/>
                <w:szCs w:val="10"/>
                <w:color w:val="auto"/>
              </w:rPr>
            </w:pPr>
          </w:p>
        </w:tc>
        <w:tc>
          <w:tcPr>
            <w:tcW w:w="72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1,039</w:t>
            </w:r>
          </w:p>
        </w:tc>
        <w:tc>
          <w:tcPr>
            <w:tcW w:w="114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0.0%</w:t>
            </w:r>
          </w:p>
        </w:tc>
        <w:tc>
          <w:tcPr>
            <w:tcW w:w="0" w:type="dxa"/>
            <w:vAlign w:val="bottom"/>
          </w:tcPr>
          <w:p>
            <w:pPr>
              <w:spacing w:after="0"/>
              <w:rPr>
                <w:sz w:val="1"/>
                <w:szCs w:val="1"/>
                <w:color w:val="auto"/>
              </w:rPr>
            </w:pPr>
          </w:p>
        </w:tc>
      </w:tr>
      <w:tr>
        <w:trPr>
          <w:trHeight w:val="153"/>
        </w:trPr>
        <w:tc>
          <w:tcPr>
            <w:tcW w:w="2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(EUR 915)</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3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70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First-lien loan (EUR 910 par, due 10/2029)</w:t>
            </w:r>
          </w:p>
        </w:tc>
        <w:tc>
          <w:tcPr>
            <w:tcW w:w="76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12/19/2024</w:t>
            </w:r>
          </w:p>
        </w:tc>
        <w:tc>
          <w:tcPr>
            <w:tcW w:w="40" w:type="dxa"/>
            <w:vAlign w:val="bottom"/>
            <w:shd w:val="clear" w:color="auto" w:fill="CFF0FC"/>
          </w:tcPr>
          <w:p>
            <w:pPr>
              <w:spacing w:after="0"/>
              <w:rPr>
                <w:sz w:val="10"/>
                <w:szCs w:val="10"/>
                <w:color w:val="auto"/>
              </w:rPr>
            </w:pPr>
          </w:p>
        </w:tc>
        <w:tc>
          <w:tcPr>
            <w:tcW w:w="1160" w:type="dxa"/>
            <w:vAlign w:val="bottom"/>
            <w:gridSpan w:val="2"/>
            <w:shd w:val="clear" w:color="auto" w:fill="CFF0FC"/>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E + 6.25%</w:t>
            </w:r>
          </w:p>
        </w:tc>
        <w:tc>
          <w:tcPr>
            <w:tcW w:w="1440" w:type="dxa"/>
            <w:vAlign w:val="bottom"/>
            <w:gridSpan w:val="2"/>
            <w:shd w:val="clear" w:color="auto" w:fill="CFF0FC"/>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8.70%</w:t>
            </w:r>
          </w:p>
        </w:tc>
        <w:tc>
          <w:tcPr>
            <w:tcW w:w="62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930</w:t>
            </w:r>
          </w:p>
        </w:tc>
        <w:tc>
          <w:tcPr>
            <w:tcW w:w="220" w:type="dxa"/>
            <w:vAlign w:val="bottom"/>
            <w:tcBorders>
              <w:right w:val="single" w:sz="8" w:color="CFF0FC"/>
            </w:tcBorders>
            <w:shd w:val="clear" w:color="auto" w:fill="CFF0FC"/>
          </w:tcPr>
          <w:p>
            <w:pPr>
              <w:spacing w:after="0"/>
              <w:rPr>
                <w:sz w:val="10"/>
                <w:szCs w:val="10"/>
                <w:color w:val="auto"/>
              </w:rPr>
            </w:pPr>
          </w:p>
        </w:tc>
        <w:tc>
          <w:tcPr>
            <w:tcW w:w="72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1,039</w:t>
            </w:r>
          </w:p>
        </w:tc>
        <w:tc>
          <w:tcPr>
            <w:tcW w:w="1140" w:type="dxa"/>
            <w:vAlign w:val="bottom"/>
            <w:gridSpan w:val="3"/>
            <w:shd w:val="clear" w:color="auto" w:fill="CFF0FC"/>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0.0%</w:t>
            </w:r>
          </w:p>
        </w:tc>
        <w:tc>
          <w:tcPr>
            <w:tcW w:w="0" w:type="dxa"/>
            <w:vAlign w:val="bottom"/>
          </w:tcPr>
          <w:p>
            <w:pPr>
              <w:spacing w:after="0"/>
              <w:rPr>
                <w:sz w:val="1"/>
                <w:szCs w:val="1"/>
                <w:color w:val="auto"/>
              </w:rPr>
            </w:pPr>
          </w:p>
        </w:tc>
      </w:tr>
      <w:tr>
        <w:trPr>
          <w:trHeight w:val="153"/>
        </w:trPr>
        <w:tc>
          <w:tcPr>
            <w:tcW w:w="23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7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20" w:type="dxa"/>
            <w:vAlign w:val="bottom"/>
            <w:tcBorders>
              <w:right w:val="single" w:sz="8" w:color="CFF0FC"/>
            </w:tcBorders>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(EUR 915)</w:t>
            </w: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3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 xml:space="preserve">USA DeBusk, LLC </w:t>
            </w:r>
            <w:r>
              <w:rPr>
                <w:rFonts w:ascii="Times New Roman" w:cs="Times New Roman" w:eastAsia="Times New Roman" w:hAnsi="Times New Roman"/>
                <w:sz w:val="15"/>
                <w:szCs w:val="15"/>
                <w:color w:val="auto"/>
                <w:vertAlign w:val="superscript"/>
              </w:rPr>
              <w:t>(3)</w:t>
            </w:r>
          </w:p>
        </w:tc>
        <w:tc>
          <w:tcPr>
            <w:tcW w:w="60" w:type="dxa"/>
            <w:vAlign w:val="bottom"/>
          </w:tcPr>
          <w:p>
            <w:pPr>
              <w:spacing w:after="0"/>
              <w:rPr>
                <w:sz w:val="11"/>
                <w:szCs w:val="11"/>
                <w:color w:val="auto"/>
              </w:rPr>
            </w:pPr>
          </w:p>
        </w:tc>
        <w:tc>
          <w:tcPr>
            <w:tcW w:w="27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First-lien loan ($141,310 par, due 4/2031)</w:t>
            </w:r>
          </w:p>
        </w:tc>
        <w:tc>
          <w:tcPr>
            <w:tcW w:w="7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4/30/2024</w:t>
            </w:r>
          </w:p>
        </w:tc>
        <w:tc>
          <w:tcPr>
            <w:tcW w:w="40" w:type="dxa"/>
            <w:vAlign w:val="bottom"/>
          </w:tcPr>
          <w:p>
            <w:pPr>
              <w:spacing w:after="0"/>
              <w:rPr>
                <w:sz w:val="11"/>
                <w:szCs w:val="11"/>
                <w:color w:val="auto"/>
              </w:rPr>
            </w:pPr>
          </w:p>
        </w:tc>
        <w:tc>
          <w:tcPr>
            <w:tcW w:w="11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SOFR + 5.25%</w:t>
            </w:r>
          </w:p>
        </w:tc>
        <w:tc>
          <w:tcPr>
            <w:tcW w:w="144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9.04%</w:t>
            </w:r>
          </w:p>
        </w:tc>
        <w:tc>
          <w:tcPr>
            <w:tcW w:w="6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139,828</w:t>
            </w:r>
          </w:p>
        </w:tc>
        <w:tc>
          <w:tcPr>
            <w:tcW w:w="22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142,370</w:t>
            </w:r>
          </w:p>
        </w:tc>
        <w:tc>
          <w:tcPr>
            <w:tcW w:w="1140" w:type="dxa"/>
            <w:vAlign w:val="bottom"/>
            <w:gridSpan w:val="3"/>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2.8%</w:t>
            </w:r>
          </w:p>
        </w:tc>
        <w:tc>
          <w:tcPr>
            <w:tcW w:w="0" w:type="dxa"/>
            <w:vAlign w:val="bottom"/>
          </w:tcPr>
          <w:p>
            <w:pPr>
              <w:spacing w:after="0"/>
              <w:rPr>
                <w:sz w:val="1"/>
                <w:szCs w:val="1"/>
                <w:color w:val="auto"/>
              </w:rPr>
            </w:pPr>
          </w:p>
        </w:tc>
      </w:tr>
      <w:tr>
        <w:trPr>
          <w:trHeight w:val="135"/>
        </w:trPr>
        <w:tc>
          <w:tcPr>
            <w:tcW w:w="23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7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First-lien revolving loan ($17,863 par, due 4/2030)</w:t>
            </w:r>
          </w:p>
        </w:tc>
        <w:tc>
          <w:tcPr>
            <w:tcW w:w="76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4/30/2024</w:t>
            </w:r>
          </w:p>
        </w:tc>
        <w:tc>
          <w:tcPr>
            <w:tcW w:w="4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SOFR + 5.25%</w:t>
            </w:r>
          </w:p>
        </w:tc>
        <w:tc>
          <w:tcPr>
            <w:tcW w:w="1440" w:type="dxa"/>
            <w:vAlign w:val="bottom"/>
            <w:gridSpan w:val="2"/>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9.10%</w:t>
            </w:r>
          </w:p>
        </w:tc>
        <w:tc>
          <w:tcPr>
            <w:tcW w:w="62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17,692</w:t>
            </w:r>
          </w:p>
        </w:tc>
        <w:tc>
          <w:tcPr>
            <w:tcW w:w="220" w:type="dxa"/>
            <w:vAlign w:val="bottom"/>
            <w:tcBorders>
              <w:right w:val="single" w:sz="8" w:color="CFF0FC"/>
            </w:tcBorders>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18,026</w:t>
            </w:r>
          </w:p>
        </w:tc>
        <w:tc>
          <w:tcPr>
            <w:tcW w:w="1140" w:type="dxa"/>
            <w:vAlign w:val="bottom"/>
            <w:gridSpan w:val="3"/>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0.4%</w:t>
            </w:r>
          </w:p>
        </w:tc>
        <w:tc>
          <w:tcPr>
            <w:tcW w:w="0" w:type="dxa"/>
            <w:vAlign w:val="bottom"/>
          </w:tcPr>
          <w:p>
            <w:pPr>
              <w:spacing w:after="0"/>
              <w:rPr>
                <w:sz w:val="1"/>
                <w:szCs w:val="1"/>
                <w:color w:val="auto"/>
              </w:rPr>
            </w:pPr>
          </w:p>
        </w:tc>
      </w:tr>
      <w:tr>
        <w:trPr>
          <w:trHeight w:val="135"/>
        </w:trPr>
        <w:tc>
          <w:tcPr>
            <w:tcW w:w="23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 xml:space="preserve">Wrangler TopCo, LLC </w:t>
            </w:r>
            <w:r>
              <w:rPr>
                <w:rFonts w:ascii="Times New Roman" w:cs="Times New Roman" w:eastAsia="Times New Roman" w:hAnsi="Times New Roman"/>
                <w:sz w:val="15"/>
                <w:szCs w:val="15"/>
                <w:color w:val="auto"/>
                <w:vertAlign w:val="superscript"/>
              </w:rPr>
              <w:t>(3)</w:t>
            </w:r>
          </w:p>
        </w:tc>
        <w:tc>
          <w:tcPr>
            <w:tcW w:w="60" w:type="dxa"/>
            <w:vAlign w:val="bottom"/>
          </w:tcPr>
          <w:p>
            <w:pPr>
              <w:spacing w:after="0"/>
              <w:rPr>
                <w:sz w:val="11"/>
                <w:szCs w:val="11"/>
                <w:color w:val="auto"/>
              </w:rPr>
            </w:pPr>
          </w:p>
        </w:tc>
        <w:tc>
          <w:tcPr>
            <w:tcW w:w="27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First-lien loan ($133,891 par, due 9/2029)</w:t>
            </w:r>
          </w:p>
        </w:tc>
        <w:tc>
          <w:tcPr>
            <w:tcW w:w="7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7/7/2023</w:t>
            </w:r>
          </w:p>
        </w:tc>
        <w:tc>
          <w:tcPr>
            <w:tcW w:w="40" w:type="dxa"/>
            <w:vAlign w:val="bottom"/>
          </w:tcPr>
          <w:p>
            <w:pPr>
              <w:spacing w:after="0"/>
              <w:rPr>
                <w:sz w:val="11"/>
                <w:szCs w:val="11"/>
                <w:color w:val="auto"/>
              </w:rPr>
            </w:pPr>
          </w:p>
        </w:tc>
        <w:tc>
          <w:tcPr>
            <w:tcW w:w="11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SOFR + 5.50%</w:t>
            </w:r>
          </w:p>
        </w:tc>
        <w:tc>
          <w:tcPr>
            <w:tcW w:w="144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9.25%</w:t>
            </w:r>
          </w:p>
        </w:tc>
        <w:tc>
          <w:tcPr>
            <w:tcW w:w="4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132,125</w:t>
            </w:r>
          </w:p>
        </w:tc>
        <w:tc>
          <w:tcPr>
            <w:tcW w:w="22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134,261</w:t>
            </w:r>
          </w:p>
        </w:tc>
        <w:tc>
          <w:tcPr>
            <w:tcW w:w="160" w:type="dxa"/>
            <w:vAlign w:val="bottom"/>
          </w:tcPr>
          <w:p>
            <w:pPr>
              <w:spacing w:after="0"/>
              <w:rPr>
                <w:sz w:val="11"/>
                <w:szCs w:val="11"/>
                <w:color w:val="auto"/>
              </w:rPr>
            </w:pPr>
          </w:p>
        </w:tc>
        <w:tc>
          <w:tcPr>
            <w:tcW w:w="98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2.7%</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23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27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3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line="110" w:lineRule="exact"/>
              <w:rPr>
                <w:sz w:val="20"/>
                <w:szCs w:val="20"/>
                <w:color w:val="auto"/>
              </w:rPr>
            </w:pPr>
            <w:r>
              <w:rPr>
                <w:rFonts w:ascii="Times New Roman" w:cs="Times New Roman" w:eastAsia="Times New Roman" w:hAnsi="Times New Roman"/>
                <w:sz w:val="12"/>
                <w:szCs w:val="12"/>
                <w:color w:val="auto"/>
              </w:rPr>
              <w:t>1,862,41</w:t>
            </w:r>
          </w:p>
        </w:tc>
        <w:tc>
          <w:tcPr>
            <w:tcW w:w="220" w:type="dxa"/>
            <w:vAlign w:val="bottom"/>
            <w:tcBorders>
              <w:right w:val="single" w:sz="8" w:color="CFF0FC"/>
            </w:tcBorders>
            <w:shd w:val="clear" w:color="auto" w:fill="CFF0FC"/>
          </w:tcPr>
          <w:p>
            <w:pPr>
              <w:spacing w:after="0"/>
              <w:rPr>
                <w:sz w:val="9"/>
                <w:szCs w:val="9"/>
                <w:color w:val="auto"/>
              </w:rPr>
            </w:pPr>
          </w:p>
        </w:tc>
        <w:tc>
          <w:tcPr>
            <w:tcW w:w="720" w:type="dxa"/>
            <w:vAlign w:val="bottom"/>
            <w:shd w:val="clear" w:color="auto" w:fill="CFF0FC"/>
          </w:tcPr>
          <w:p>
            <w:pPr>
              <w:jc w:val="right"/>
              <w:spacing w:after="0" w:line="110" w:lineRule="exact"/>
              <w:rPr>
                <w:sz w:val="20"/>
                <w:szCs w:val="20"/>
                <w:color w:val="auto"/>
              </w:rPr>
            </w:pPr>
            <w:r>
              <w:rPr>
                <w:rFonts w:ascii="Times New Roman" w:cs="Times New Roman" w:eastAsia="Times New Roman" w:hAnsi="Times New Roman"/>
                <w:sz w:val="12"/>
                <w:szCs w:val="12"/>
                <w:color w:val="auto"/>
              </w:rPr>
              <w:t>1,872,870</w:t>
            </w:r>
          </w:p>
        </w:tc>
        <w:tc>
          <w:tcPr>
            <w:tcW w:w="160" w:type="dxa"/>
            <w:vAlign w:val="bottom"/>
            <w:shd w:val="clear" w:color="auto" w:fill="CFF0FC"/>
          </w:tcPr>
          <w:p>
            <w:pPr>
              <w:spacing w:after="0"/>
              <w:rPr>
                <w:sz w:val="9"/>
                <w:szCs w:val="9"/>
                <w:color w:val="auto"/>
              </w:rPr>
            </w:pPr>
          </w:p>
        </w:tc>
        <w:tc>
          <w:tcPr>
            <w:tcW w:w="980" w:type="dxa"/>
            <w:vAlign w:val="bottom"/>
            <w:gridSpan w:val="2"/>
            <w:shd w:val="clear" w:color="auto" w:fill="CFF0FC"/>
          </w:tcPr>
          <w:p>
            <w:pPr>
              <w:jc w:val="right"/>
              <w:ind w:right="20"/>
              <w:spacing w:after="0" w:line="110" w:lineRule="exact"/>
              <w:rPr>
                <w:sz w:val="20"/>
                <w:szCs w:val="20"/>
                <w:color w:val="auto"/>
              </w:rPr>
            </w:pPr>
            <w:r>
              <w:rPr>
                <w:rFonts w:ascii="Times New Roman" w:cs="Times New Roman" w:eastAsia="Times New Roman" w:hAnsi="Times New Roman"/>
                <w:sz w:val="12"/>
                <w:szCs w:val="12"/>
                <w:color w:val="auto"/>
              </w:rPr>
              <w:t>36.9%</w:t>
            </w:r>
          </w:p>
        </w:tc>
        <w:tc>
          <w:tcPr>
            <w:tcW w:w="0" w:type="dxa"/>
            <w:vAlign w:val="bottom"/>
          </w:tcPr>
          <w:p>
            <w:pPr>
              <w:spacing w:after="0"/>
              <w:rPr>
                <w:sz w:val="1"/>
                <w:szCs w:val="1"/>
                <w:color w:val="auto"/>
              </w:rPr>
            </w:pPr>
          </w:p>
        </w:tc>
      </w:tr>
      <w:tr>
        <w:trPr>
          <w:trHeight w:val="153"/>
        </w:trPr>
        <w:tc>
          <w:tcPr>
            <w:tcW w:w="23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7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20" w:type="dxa"/>
            <w:vAlign w:val="bottom"/>
            <w:tcBorders>
              <w:right w:val="single" w:sz="8" w:color="CFF0FC"/>
            </w:tcBorders>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38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Chemicals</w:t>
            </w:r>
          </w:p>
        </w:tc>
        <w:tc>
          <w:tcPr>
            <w:tcW w:w="60" w:type="dxa"/>
            <w:vAlign w:val="bottom"/>
            <w:tcBorders>
              <w:top w:val="single" w:sz="8" w:color="CFF0FC"/>
            </w:tcBorders>
          </w:tcPr>
          <w:p>
            <w:pPr>
              <w:spacing w:after="0"/>
              <w:rPr>
                <w:sz w:val="11"/>
                <w:szCs w:val="11"/>
                <w:color w:val="auto"/>
              </w:rPr>
            </w:pPr>
          </w:p>
        </w:tc>
        <w:tc>
          <w:tcPr>
            <w:tcW w:w="2700" w:type="dxa"/>
            <w:vAlign w:val="bottom"/>
            <w:tcBorders>
              <w:top w:val="single" w:sz="8" w:color="CFF0FC"/>
            </w:tcBorders>
          </w:tcPr>
          <w:p>
            <w:pPr>
              <w:spacing w:after="0"/>
              <w:rPr>
                <w:sz w:val="11"/>
                <w:szCs w:val="11"/>
                <w:color w:val="auto"/>
              </w:rPr>
            </w:pPr>
          </w:p>
        </w:tc>
        <w:tc>
          <w:tcPr>
            <w:tcW w:w="60" w:type="dxa"/>
            <w:vAlign w:val="bottom"/>
            <w:tcBorders>
              <w:top w:val="single" w:sz="8" w:color="CFF0FC"/>
            </w:tcBorders>
          </w:tcPr>
          <w:p>
            <w:pPr>
              <w:spacing w:after="0"/>
              <w:rPr>
                <w:sz w:val="11"/>
                <w:szCs w:val="11"/>
                <w:color w:val="auto"/>
              </w:rPr>
            </w:pPr>
          </w:p>
        </w:tc>
        <w:tc>
          <w:tcPr>
            <w:tcW w:w="700" w:type="dxa"/>
            <w:vAlign w:val="bottom"/>
            <w:tcBorders>
              <w:top w:val="single" w:sz="8" w:color="CFF0FC"/>
            </w:tcBorders>
          </w:tcPr>
          <w:p>
            <w:pPr>
              <w:spacing w:after="0"/>
              <w:rPr>
                <w:sz w:val="11"/>
                <w:szCs w:val="11"/>
                <w:color w:val="auto"/>
              </w:rPr>
            </w:pPr>
          </w:p>
        </w:tc>
        <w:tc>
          <w:tcPr>
            <w:tcW w:w="40" w:type="dxa"/>
            <w:vAlign w:val="bottom"/>
            <w:tcBorders>
              <w:top w:val="single" w:sz="8" w:color="CFF0FC"/>
            </w:tcBorders>
          </w:tcPr>
          <w:p>
            <w:pPr>
              <w:spacing w:after="0"/>
              <w:rPr>
                <w:sz w:val="11"/>
                <w:szCs w:val="11"/>
                <w:color w:val="auto"/>
              </w:rPr>
            </w:pPr>
          </w:p>
        </w:tc>
        <w:tc>
          <w:tcPr>
            <w:tcW w:w="980" w:type="dxa"/>
            <w:vAlign w:val="bottom"/>
            <w:tcBorders>
              <w:top w:val="single" w:sz="8" w:color="CFF0FC"/>
            </w:tcBorders>
          </w:tcPr>
          <w:p>
            <w:pPr>
              <w:spacing w:after="0"/>
              <w:rPr>
                <w:sz w:val="11"/>
                <w:szCs w:val="11"/>
                <w:color w:val="auto"/>
              </w:rPr>
            </w:pPr>
          </w:p>
        </w:tc>
        <w:tc>
          <w:tcPr>
            <w:tcW w:w="180" w:type="dxa"/>
            <w:vAlign w:val="bottom"/>
            <w:tcBorders>
              <w:top w:val="single" w:sz="8" w:color="CFF0FC"/>
            </w:tcBorders>
          </w:tcPr>
          <w:p>
            <w:pPr>
              <w:spacing w:after="0"/>
              <w:rPr>
                <w:sz w:val="11"/>
                <w:szCs w:val="11"/>
                <w:color w:val="auto"/>
              </w:rPr>
            </w:pPr>
          </w:p>
        </w:tc>
        <w:tc>
          <w:tcPr>
            <w:tcW w:w="1300" w:type="dxa"/>
            <w:vAlign w:val="bottom"/>
            <w:tcBorders>
              <w:top w:val="single" w:sz="8" w:color="CFF0FC"/>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c>
          <w:tcPr>
            <w:tcW w:w="40" w:type="dxa"/>
            <w:vAlign w:val="bottom"/>
            <w:tcBorders>
              <w:top w:val="single" w:sz="8" w:color="CFF0FC"/>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60" w:type="dxa"/>
            <w:vAlign w:val="bottom"/>
            <w:tcBorders>
              <w:top w:val="single" w:sz="8" w:color="CFF0FC"/>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38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0"/>
                <w:szCs w:val="10"/>
                <w:color w:val="auto"/>
              </w:rPr>
              <w:t xml:space="preserve">Erling Lux Bidco SARL </w:t>
            </w:r>
            <w:r>
              <w:rPr>
                <w:rFonts w:ascii="Times New Roman" w:cs="Times New Roman" w:eastAsia="Times New Roman" w:hAnsi="Times New Roman"/>
                <w:sz w:val="13"/>
                <w:szCs w:val="13"/>
                <w:color w:val="auto"/>
                <w:vertAlign w:val="superscript"/>
              </w:rPr>
              <w:t>(3)(4)</w:t>
            </w:r>
          </w:p>
        </w:tc>
        <w:tc>
          <w:tcPr>
            <w:tcW w:w="60" w:type="dxa"/>
            <w:vAlign w:val="bottom"/>
            <w:shd w:val="clear" w:color="auto" w:fill="CFF0FC"/>
          </w:tcPr>
          <w:p>
            <w:pPr>
              <w:spacing w:after="0"/>
              <w:rPr>
                <w:sz w:val="10"/>
                <w:szCs w:val="10"/>
                <w:color w:val="auto"/>
              </w:rPr>
            </w:pPr>
          </w:p>
        </w:tc>
        <w:tc>
          <w:tcPr>
            <w:tcW w:w="270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First-lien loan (EUR 11,047 par, due 9/2028)</w:t>
            </w:r>
          </w:p>
        </w:tc>
        <w:tc>
          <w:tcPr>
            <w:tcW w:w="76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9/6/2022</w:t>
            </w:r>
          </w:p>
        </w:tc>
        <w:tc>
          <w:tcPr>
            <w:tcW w:w="40" w:type="dxa"/>
            <w:vAlign w:val="bottom"/>
            <w:shd w:val="clear" w:color="auto" w:fill="CFF0FC"/>
          </w:tcPr>
          <w:p>
            <w:pPr>
              <w:spacing w:after="0"/>
              <w:rPr>
                <w:sz w:val="10"/>
                <w:szCs w:val="10"/>
                <w:color w:val="auto"/>
              </w:rPr>
            </w:pPr>
          </w:p>
        </w:tc>
        <w:tc>
          <w:tcPr>
            <w:tcW w:w="1160" w:type="dxa"/>
            <w:vAlign w:val="bottom"/>
            <w:gridSpan w:val="2"/>
            <w:shd w:val="clear" w:color="auto" w:fill="CFF0FC"/>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E + 7.00%</w:t>
            </w:r>
          </w:p>
        </w:tc>
        <w:tc>
          <w:tcPr>
            <w:tcW w:w="1440" w:type="dxa"/>
            <w:vAlign w:val="bottom"/>
            <w:gridSpan w:val="2"/>
            <w:shd w:val="clear" w:color="auto" w:fill="CFF0FC"/>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9.46%</w:t>
            </w:r>
          </w:p>
        </w:tc>
        <w:tc>
          <w:tcPr>
            <w:tcW w:w="62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11,256</w:t>
            </w:r>
          </w:p>
        </w:tc>
        <w:tc>
          <w:tcPr>
            <w:tcW w:w="220" w:type="dxa"/>
            <w:vAlign w:val="bottom"/>
            <w:tcBorders>
              <w:right w:val="single" w:sz="8" w:color="CFF0FC"/>
            </w:tcBorders>
            <w:shd w:val="clear" w:color="auto" w:fill="CFF0FC"/>
          </w:tcPr>
          <w:p>
            <w:pPr>
              <w:spacing w:after="0"/>
              <w:rPr>
                <w:sz w:val="10"/>
                <w:szCs w:val="10"/>
                <w:color w:val="auto"/>
              </w:rPr>
            </w:pPr>
          </w:p>
        </w:tc>
        <w:tc>
          <w:tcPr>
            <w:tcW w:w="72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12,456</w:t>
            </w:r>
          </w:p>
        </w:tc>
        <w:tc>
          <w:tcPr>
            <w:tcW w:w="1140" w:type="dxa"/>
            <w:vAlign w:val="bottom"/>
            <w:gridSpan w:val="3"/>
            <w:shd w:val="clear" w:color="auto" w:fill="CFF0FC"/>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0.3%</w:t>
            </w:r>
          </w:p>
        </w:tc>
        <w:tc>
          <w:tcPr>
            <w:tcW w:w="0" w:type="dxa"/>
            <w:vAlign w:val="bottom"/>
          </w:tcPr>
          <w:p>
            <w:pPr>
              <w:spacing w:after="0"/>
              <w:rPr>
                <w:sz w:val="1"/>
                <w:szCs w:val="1"/>
                <w:color w:val="auto"/>
              </w:rPr>
            </w:pPr>
          </w:p>
        </w:tc>
      </w:tr>
      <w:tr>
        <w:trPr>
          <w:trHeight w:val="153"/>
        </w:trPr>
        <w:tc>
          <w:tcPr>
            <w:tcW w:w="23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7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20" w:type="dxa"/>
            <w:vAlign w:val="bottom"/>
            <w:tcBorders>
              <w:right w:val="single" w:sz="8" w:color="CFF0FC"/>
            </w:tcBorders>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4"/>
              </w:rPr>
              <w:t>(EUR 10,967)</w:t>
            </w: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70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First-lien loan (GBP 19,087 par, due 9/2028)</w:t>
            </w:r>
          </w:p>
        </w:tc>
        <w:tc>
          <w:tcPr>
            <w:tcW w:w="76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9/6/2022</w:t>
            </w:r>
          </w:p>
        </w:tc>
        <w:tc>
          <w:tcPr>
            <w:tcW w:w="40" w:type="dxa"/>
            <w:vAlign w:val="bottom"/>
          </w:tcPr>
          <w:p>
            <w:pPr>
              <w:spacing w:after="0"/>
              <w:rPr>
                <w:sz w:val="10"/>
                <w:szCs w:val="10"/>
                <w:color w:val="auto"/>
              </w:rPr>
            </w:pPr>
          </w:p>
        </w:tc>
        <w:tc>
          <w:tcPr>
            <w:tcW w:w="116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S + 7.00%</w:t>
            </w:r>
          </w:p>
        </w:tc>
        <w:tc>
          <w:tcPr>
            <w:tcW w:w="1440" w:type="dxa"/>
            <w:vAlign w:val="bottom"/>
            <w:gridSpan w:val="2"/>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10.73%</w:t>
            </w:r>
          </w:p>
        </w:tc>
        <w:tc>
          <w:tcPr>
            <w:tcW w:w="6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22,711</w:t>
            </w:r>
          </w:p>
        </w:tc>
        <w:tc>
          <w:tcPr>
            <w:tcW w:w="220" w:type="dxa"/>
            <w:vAlign w:val="bottom"/>
          </w:tcPr>
          <w:p>
            <w:pPr>
              <w:spacing w:after="0"/>
              <w:rPr>
                <w:sz w:val="10"/>
                <w:szCs w:val="10"/>
                <w:color w:val="auto"/>
              </w:rPr>
            </w:pPr>
          </w:p>
        </w:tc>
        <w:tc>
          <w:tcPr>
            <w:tcW w:w="72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25,229</w:t>
            </w:r>
          </w:p>
        </w:tc>
        <w:tc>
          <w:tcPr>
            <w:tcW w:w="114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0.5%</w:t>
            </w:r>
          </w:p>
        </w:tc>
        <w:tc>
          <w:tcPr>
            <w:tcW w:w="0" w:type="dxa"/>
            <w:vAlign w:val="bottom"/>
          </w:tcPr>
          <w:p>
            <w:pPr>
              <w:spacing w:after="0"/>
              <w:rPr>
                <w:sz w:val="1"/>
                <w:szCs w:val="1"/>
                <w:color w:val="auto"/>
              </w:rPr>
            </w:pPr>
          </w:p>
        </w:tc>
      </w:tr>
      <w:tr>
        <w:trPr>
          <w:trHeight w:val="153"/>
        </w:trPr>
        <w:tc>
          <w:tcPr>
            <w:tcW w:w="2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5"/>
              </w:rPr>
              <w:t>(GBP 18,992)</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3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70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First-lien loan (NOK 7,123 par, due 9/2028)</w:t>
            </w:r>
          </w:p>
        </w:tc>
        <w:tc>
          <w:tcPr>
            <w:tcW w:w="76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9/6/2022</w:t>
            </w:r>
          </w:p>
        </w:tc>
        <w:tc>
          <w:tcPr>
            <w:tcW w:w="40" w:type="dxa"/>
            <w:vAlign w:val="bottom"/>
            <w:shd w:val="clear" w:color="auto" w:fill="CFF0FC"/>
          </w:tcPr>
          <w:p>
            <w:pPr>
              <w:spacing w:after="0"/>
              <w:rPr>
                <w:sz w:val="10"/>
                <w:szCs w:val="10"/>
                <w:color w:val="auto"/>
              </w:rPr>
            </w:pPr>
          </w:p>
        </w:tc>
        <w:tc>
          <w:tcPr>
            <w:tcW w:w="1160" w:type="dxa"/>
            <w:vAlign w:val="bottom"/>
            <w:gridSpan w:val="2"/>
            <w:shd w:val="clear" w:color="auto" w:fill="CFF0FC"/>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N + 7.00%</w:t>
            </w:r>
          </w:p>
        </w:tc>
        <w:tc>
          <w:tcPr>
            <w:tcW w:w="1440" w:type="dxa"/>
            <w:vAlign w:val="bottom"/>
            <w:gridSpan w:val="2"/>
            <w:shd w:val="clear" w:color="auto" w:fill="CFF0FC"/>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11.62%</w:t>
            </w:r>
          </w:p>
        </w:tc>
        <w:tc>
          <w:tcPr>
            <w:tcW w:w="62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684</w:t>
            </w:r>
          </w:p>
        </w:tc>
        <w:tc>
          <w:tcPr>
            <w:tcW w:w="220" w:type="dxa"/>
            <w:vAlign w:val="bottom"/>
            <w:tcBorders>
              <w:right w:val="single" w:sz="8" w:color="CFF0FC"/>
            </w:tcBorders>
            <w:shd w:val="clear" w:color="auto" w:fill="CFF0FC"/>
          </w:tcPr>
          <w:p>
            <w:pPr>
              <w:spacing w:after="0"/>
              <w:rPr>
                <w:sz w:val="10"/>
                <w:szCs w:val="10"/>
                <w:color w:val="auto"/>
              </w:rPr>
            </w:pPr>
          </w:p>
        </w:tc>
        <w:tc>
          <w:tcPr>
            <w:tcW w:w="72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739</w:t>
            </w:r>
          </w:p>
        </w:tc>
        <w:tc>
          <w:tcPr>
            <w:tcW w:w="1140" w:type="dxa"/>
            <w:vAlign w:val="bottom"/>
            <w:gridSpan w:val="3"/>
            <w:shd w:val="clear" w:color="auto" w:fill="CFF0FC"/>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0.0%</w:t>
            </w:r>
          </w:p>
        </w:tc>
        <w:tc>
          <w:tcPr>
            <w:tcW w:w="0" w:type="dxa"/>
            <w:vAlign w:val="bottom"/>
          </w:tcPr>
          <w:p>
            <w:pPr>
              <w:spacing w:after="0"/>
              <w:rPr>
                <w:sz w:val="1"/>
                <w:szCs w:val="1"/>
                <w:color w:val="auto"/>
              </w:rPr>
            </w:pPr>
          </w:p>
        </w:tc>
      </w:tr>
      <w:tr>
        <w:trPr>
          <w:trHeight w:val="153"/>
        </w:trPr>
        <w:tc>
          <w:tcPr>
            <w:tcW w:w="23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7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20" w:type="dxa"/>
            <w:vAlign w:val="bottom"/>
            <w:tcBorders>
              <w:right w:val="single" w:sz="8" w:color="CFF0FC"/>
            </w:tcBorders>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(NOK 7,088)</w:t>
            </w: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70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w w:val="98"/>
              </w:rPr>
              <w:t>First-lien revolving loan (GBP 319 par, due 9/2028)</w:t>
            </w:r>
          </w:p>
        </w:tc>
        <w:tc>
          <w:tcPr>
            <w:tcW w:w="76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9/6/2022</w:t>
            </w:r>
          </w:p>
        </w:tc>
        <w:tc>
          <w:tcPr>
            <w:tcW w:w="40" w:type="dxa"/>
            <w:vAlign w:val="bottom"/>
          </w:tcPr>
          <w:p>
            <w:pPr>
              <w:spacing w:after="0"/>
              <w:rPr>
                <w:sz w:val="10"/>
                <w:szCs w:val="10"/>
                <w:color w:val="auto"/>
              </w:rPr>
            </w:pPr>
          </w:p>
        </w:tc>
        <w:tc>
          <w:tcPr>
            <w:tcW w:w="116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S + 7.00%</w:t>
            </w:r>
          </w:p>
        </w:tc>
        <w:tc>
          <w:tcPr>
            <w:tcW w:w="1440" w:type="dxa"/>
            <w:vAlign w:val="bottom"/>
            <w:gridSpan w:val="2"/>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10.73%</w:t>
            </w:r>
          </w:p>
        </w:tc>
        <w:tc>
          <w:tcPr>
            <w:tcW w:w="6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377</w:t>
            </w:r>
          </w:p>
        </w:tc>
        <w:tc>
          <w:tcPr>
            <w:tcW w:w="220" w:type="dxa"/>
            <w:vAlign w:val="bottom"/>
          </w:tcPr>
          <w:p>
            <w:pPr>
              <w:spacing w:after="0"/>
              <w:rPr>
                <w:sz w:val="10"/>
                <w:szCs w:val="10"/>
                <w:color w:val="auto"/>
              </w:rPr>
            </w:pPr>
          </w:p>
        </w:tc>
        <w:tc>
          <w:tcPr>
            <w:tcW w:w="72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422</w:t>
            </w:r>
          </w:p>
        </w:tc>
        <w:tc>
          <w:tcPr>
            <w:tcW w:w="114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0.0%</w:t>
            </w:r>
          </w:p>
        </w:tc>
        <w:tc>
          <w:tcPr>
            <w:tcW w:w="0" w:type="dxa"/>
            <w:vAlign w:val="bottom"/>
          </w:tcPr>
          <w:p>
            <w:pPr>
              <w:spacing w:after="0"/>
              <w:rPr>
                <w:sz w:val="1"/>
                <w:szCs w:val="1"/>
                <w:color w:val="auto"/>
              </w:rPr>
            </w:pPr>
          </w:p>
        </w:tc>
      </w:tr>
      <w:tr>
        <w:trPr>
          <w:trHeight w:val="153"/>
        </w:trPr>
        <w:tc>
          <w:tcPr>
            <w:tcW w:w="2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(GBP 318)</w:t>
            </w:r>
          </w:p>
        </w:tc>
        <w:tc>
          <w:tcPr>
            <w:tcW w:w="16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3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7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3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35,028</w:t>
            </w:r>
          </w:p>
        </w:tc>
        <w:tc>
          <w:tcPr>
            <w:tcW w:w="220" w:type="dxa"/>
            <w:vAlign w:val="bottom"/>
            <w:tcBorders>
              <w:right w:val="single" w:sz="8" w:color="CFF0FC"/>
            </w:tcBorders>
            <w:shd w:val="clear" w:color="auto" w:fill="CFF0FC"/>
          </w:tcPr>
          <w:p>
            <w:pPr>
              <w:spacing w:after="0"/>
              <w:rPr>
                <w:sz w:val="11"/>
                <w:szCs w:val="11"/>
                <w:color w:val="auto"/>
              </w:rPr>
            </w:pPr>
          </w:p>
        </w:tc>
        <w:tc>
          <w:tcPr>
            <w:tcW w:w="7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38,846</w:t>
            </w:r>
          </w:p>
        </w:tc>
        <w:tc>
          <w:tcPr>
            <w:tcW w:w="1140" w:type="dxa"/>
            <w:vAlign w:val="bottom"/>
            <w:gridSpan w:val="3"/>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0.8%</w:t>
            </w:r>
          </w:p>
        </w:tc>
        <w:tc>
          <w:tcPr>
            <w:tcW w:w="0" w:type="dxa"/>
            <w:vAlign w:val="bottom"/>
          </w:tcPr>
          <w:p>
            <w:pPr>
              <w:spacing w:after="0"/>
              <w:rPr>
                <w:sz w:val="1"/>
                <w:szCs w:val="1"/>
                <w:color w:val="auto"/>
              </w:rPr>
            </w:pPr>
          </w:p>
        </w:tc>
      </w:tr>
      <w:tr>
        <w:trPr>
          <w:trHeight w:val="129"/>
        </w:trPr>
        <w:tc>
          <w:tcPr>
            <w:tcW w:w="238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Communications</w:t>
            </w:r>
          </w:p>
        </w:tc>
        <w:tc>
          <w:tcPr>
            <w:tcW w:w="60" w:type="dxa"/>
            <w:vAlign w:val="bottom"/>
            <w:tcBorders>
              <w:top w:val="single" w:sz="8" w:color="CFF0FC"/>
            </w:tcBorders>
          </w:tcPr>
          <w:p>
            <w:pPr>
              <w:spacing w:after="0"/>
              <w:rPr>
                <w:sz w:val="11"/>
                <w:szCs w:val="11"/>
                <w:color w:val="auto"/>
              </w:rPr>
            </w:pPr>
          </w:p>
        </w:tc>
        <w:tc>
          <w:tcPr>
            <w:tcW w:w="2700" w:type="dxa"/>
            <w:vAlign w:val="bottom"/>
            <w:tcBorders>
              <w:top w:val="single" w:sz="8" w:color="CFF0FC"/>
            </w:tcBorders>
          </w:tcPr>
          <w:p>
            <w:pPr>
              <w:spacing w:after="0"/>
              <w:rPr>
                <w:sz w:val="11"/>
                <w:szCs w:val="11"/>
                <w:color w:val="auto"/>
              </w:rPr>
            </w:pPr>
          </w:p>
        </w:tc>
        <w:tc>
          <w:tcPr>
            <w:tcW w:w="60" w:type="dxa"/>
            <w:vAlign w:val="bottom"/>
            <w:tcBorders>
              <w:top w:val="single" w:sz="8" w:color="CFF0FC"/>
            </w:tcBorders>
          </w:tcPr>
          <w:p>
            <w:pPr>
              <w:spacing w:after="0"/>
              <w:rPr>
                <w:sz w:val="11"/>
                <w:szCs w:val="11"/>
                <w:color w:val="auto"/>
              </w:rPr>
            </w:pPr>
          </w:p>
        </w:tc>
        <w:tc>
          <w:tcPr>
            <w:tcW w:w="700" w:type="dxa"/>
            <w:vAlign w:val="bottom"/>
            <w:tcBorders>
              <w:top w:val="single" w:sz="8" w:color="CFF0FC"/>
            </w:tcBorders>
          </w:tcPr>
          <w:p>
            <w:pPr>
              <w:spacing w:after="0"/>
              <w:rPr>
                <w:sz w:val="11"/>
                <w:szCs w:val="11"/>
                <w:color w:val="auto"/>
              </w:rPr>
            </w:pPr>
          </w:p>
        </w:tc>
        <w:tc>
          <w:tcPr>
            <w:tcW w:w="40" w:type="dxa"/>
            <w:vAlign w:val="bottom"/>
            <w:tcBorders>
              <w:top w:val="single" w:sz="8" w:color="CFF0FC"/>
            </w:tcBorders>
          </w:tcPr>
          <w:p>
            <w:pPr>
              <w:spacing w:after="0"/>
              <w:rPr>
                <w:sz w:val="11"/>
                <w:szCs w:val="11"/>
                <w:color w:val="auto"/>
              </w:rPr>
            </w:pPr>
          </w:p>
        </w:tc>
        <w:tc>
          <w:tcPr>
            <w:tcW w:w="980" w:type="dxa"/>
            <w:vAlign w:val="bottom"/>
            <w:tcBorders>
              <w:top w:val="single" w:sz="8" w:color="CFF0FC"/>
            </w:tcBorders>
          </w:tcPr>
          <w:p>
            <w:pPr>
              <w:spacing w:after="0"/>
              <w:rPr>
                <w:sz w:val="11"/>
                <w:szCs w:val="11"/>
                <w:color w:val="auto"/>
              </w:rPr>
            </w:pPr>
          </w:p>
        </w:tc>
        <w:tc>
          <w:tcPr>
            <w:tcW w:w="180" w:type="dxa"/>
            <w:vAlign w:val="bottom"/>
            <w:tcBorders>
              <w:top w:val="single" w:sz="8" w:color="CFF0FC"/>
            </w:tcBorders>
          </w:tcPr>
          <w:p>
            <w:pPr>
              <w:spacing w:after="0"/>
              <w:rPr>
                <w:sz w:val="11"/>
                <w:szCs w:val="11"/>
                <w:color w:val="auto"/>
              </w:rPr>
            </w:pPr>
          </w:p>
        </w:tc>
        <w:tc>
          <w:tcPr>
            <w:tcW w:w="1300" w:type="dxa"/>
            <w:vAlign w:val="bottom"/>
            <w:tcBorders>
              <w:top w:val="single" w:sz="8" w:color="CFF0FC"/>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c>
          <w:tcPr>
            <w:tcW w:w="40" w:type="dxa"/>
            <w:vAlign w:val="bottom"/>
            <w:tcBorders>
              <w:top w:val="single" w:sz="8" w:color="CFF0FC"/>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60" w:type="dxa"/>
            <w:vAlign w:val="bottom"/>
            <w:tcBorders>
              <w:top w:val="single" w:sz="8" w:color="CFF0FC"/>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38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0"/>
                <w:szCs w:val="10"/>
                <w:color w:val="auto"/>
              </w:rPr>
              <w:t xml:space="preserve">Aurelia Netherlands B.V. </w:t>
            </w:r>
            <w:r>
              <w:rPr>
                <w:rFonts w:ascii="Times New Roman" w:cs="Times New Roman" w:eastAsia="Times New Roman" w:hAnsi="Times New Roman"/>
                <w:sz w:val="13"/>
                <w:szCs w:val="13"/>
                <w:color w:val="auto"/>
                <w:vertAlign w:val="superscript"/>
              </w:rPr>
              <w:t>(3)(4)</w:t>
            </w:r>
          </w:p>
        </w:tc>
        <w:tc>
          <w:tcPr>
            <w:tcW w:w="60" w:type="dxa"/>
            <w:vAlign w:val="bottom"/>
            <w:shd w:val="clear" w:color="auto" w:fill="CFF0FC"/>
          </w:tcPr>
          <w:p>
            <w:pPr>
              <w:spacing w:after="0"/>
              <w:rPr>
                <w:sz w:val="10"/>
                <w:szCs w:val="10"/>
                <w:color w:val="auto"/>
              </w:rPr>
            </w:pPr>
          </w:p>
        </w:tc>
        <w:tc>
          <w:tcPr>
            <w:tcW w:w="270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First-lien loan (EUR 326,566 par, due 5/2031)</w:t>
            </w:r>
          </w:p>
        </w:tc>
        <w:tc>
          <w:tcPr>
            <w:tcW w:w="76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5/22/2024</w:t>
            </w:r>
          </w:p>
        </w:tc>
        <w:tc>
          <w:tcPr>
            <w:tcW w:w="40" w:type="dxa"/>
            <w:vAlign w:val="bottom"/>
            <w:shd w:val="clear" w:color="auto" w:fill="CFF0FC"/>
          </w:tcPr>
          <w:p>
            <w:pPr>
              <w:spacing w:after="0"/>
              <w:rPr>
                <w:sz w:val="10"/>
                <w:szCs w:val="10"/>
                <w:color w:val="auto"/>
              </w:rPr>
            </w:pPr>
          </w:p>
        </w:tc>
        <w:tc>
          <w:tcPr>
            <w:tcW w:w="1160" w:type="dxa"/>
            <w:vAlign w:val="bottom"/>
            <w:gridSpan w:val="2"/>
            <w:shd w:val="clear" w:color="auto" w:fill="CFF0FC"/>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E + 4.75%</w:t>
            </w:r>
          </w:p>
        </w:tc>
        <w:tc>
          <w:tcPr>
            <w:tcW w:w="1440" w:type="dxa"/>
            <w:vAlign w:val="bottom"/>
            <w:gridSpan w:val="2"/>
            <w:shd w:val="clear" w:color="auto" w:fill="CFF0FC"/>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7.16%</w:t>
            </w:r>
          </w:p>
        </w:tc>
        <w:tc>
          <w:tcPr>
            <w:tcW w:w="62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355,283</w:t>
            </w:r>
          </w:p>
        </w:tc>
        <w:tc>
          <w:tcPr>
            <w:tcW w:w="220" w:type="dxa"/>
            <w:vAlign w:val="bottom"/>
            <w:tcBorders>
              <w:right w:val="single" w:sz="8" w:color="CFF0FC"/>
            </w:tcBorders>
            <w:shd w:val="clear" w:color="auto" w:fill="CFF0FC"/>
          </w:tcPr>
          <w:p>
            <w:pPr>
              <w:spacing w:after="0"/>
              <w:rPr>
                <w:sz w:val="10"/>
                <w:szCs w:val="10"/>
                <w:color w:val="auto"/>
              </w:rPr>
            </w:pPr>
          </w:p>
        </w:tc>
        <w:tc>
          <w:tcPr>
            <w:tcW w:w="72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369,075</w:t>
            </w:r>
          </w:p>
        </w:tc>
        <w:tc>
          <w:tcPr>
            <w:tcW w:w="1140" w:type="dxa"/>
            <w:vAlign w:val="bottom"/>
            <w:gridSpan w:val="3"/>
            <w:shd w:val="clear" w:color="auto" w:fill="CFF0FC"/>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7.3%</w:t>
            </w:r>
          </w:p>
        </w:tc>
        <w:tc>
          <w:tcPr>
            <w:tcW w:w="0" w:type="dxa"/>
            <w:vAlign w:val="bottom"/>
          </w:tcPr>
          <w:p>
            <w:pPr>
              <w:spacing w:after="0"/>
              <w:rPr>
                <w:sz w:val="1"/>
                <w:szCs w:val="1"/>
                <w:color w:val="auto"/>
              </w:rPr>
            </w:pPr>
          </w:p>
        </w:tc>
      </w:tr>
      <w:tr>
        <w:trPr>
          <w:trHeight w:val="135"/>
        </w:trPr>
        <w:tc>
          <w:tcPr>
            <w:tcW w:w="23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7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3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tcBorders>
              <w:right w:val="single" w:sz="8" w:color="CFF0FC"/>
            </w:tcBorders>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(EUR</w:t>
            </w:r>
          </w:p>
        </w:tc>
        <w:tc>
          <w:tcPr>
            <w:tcW w:w="1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3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7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20" w:type="dxa"/>
            <w:vAlign w:val="bottom"/>
            <w:tcBorders>
              <w:right w:val="single" w:sz="8" w:color="CFF0FC"/>
            </w:tcBorders>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324,933)</w:t>
            </w: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38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Education</w:t>
            </w:r>
          </w:p>
        </w:tc>
        <w:tc>
          <w:tcPr>
            <w:tcW w:w="6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 xml:space="preserve">Kangaroo Bidco AS </w:t>
            </w:r>
            <w:r>
              <w:rPr>
                <w:rFonts w:ascii="Times New Roman" w:cs="Times New Roman" w:eastAsia="Times New Roman" w:hAnsi="Times New Roman"/>
                <w:sz w:val="15"/>
                <w:szCs w:val="15"/>
                <w:color w:val="auto"/>
                <w:vertAlign w:val="superscript"/>
              </w:rPr>
              <w:t>(3)(4)</w:t>
            </w:r>
          </w:p>
        </w:tc>
        <w:tc>
          <w:tcPr>
            <w:tcW w:w="60" w:type="dxa"/>
            <w:vAlign w:val="bottom"/>
            <w:shd w:val="clear" w:color="auto" w:fill="CFF0FC"/>
          </w:tcPr>
          <w:p>
            <w:pPr>
              <w:spacing w:after="0"/>
              <w:rPr>
                <w:sz w:val="11"/>
                <w:szCs w:val="11"/>
                <w:color w:val="auto"/>
              </w:rPr>
            </w:pPr>
          </w:p>
        </w:tc>
        <w:tc>
          <w:tcPr>
            <w:tcW w:w="27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First-lien loan ($157,500 par, due 11/2030)</w:t>
            </w:r>
          </w:p>
        </w:tc>
        <w:tc>
          <w:tcPr>
            <w:tcW w:w="76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11/2/2023</w:t>
            </w:r>
          </w:p>
        </w:tc>
        <w:tc>
          <w:tcPr>
            <w:tcW w:w="4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SOFR + 6.25%</w:t>
            </w:r>
          </w:p>
        </w:tc>
        <w:tc>
          <w:tcPr>
            <w:tcW w:w="1440" w:type="dxa"/>
            <w:vAlign w:val="bottom"/>
            <w:gridSpan w:val="2"/>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9.91%</w:t>
            </w:r>
          </w:p>
        </w:tc>
        <w:tc>
          <w:tcPr>
            <w:tcW w:w="62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154,544</w:t>
            </w:r>
          </w:p>
        </w:tc>
        <w:tc>
          <w:tcPr>
            <w:tcW w:w="220" w:type="dxa"/>
            <w:vAlign w:val="bottom"/>
            <w:tcBorders>
              <w:right w:val="single" w:sz="8" w:color="CFF0FC"/>
            </w:tcBorders>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156,150</w:t>
            </w:r>
          </w:p>
        </w:tc>
        <w:tc>
          <w:tcPr>
            <w:tcW w:w="1140" w:type="dxa"/>
            <w:vAlign w:val="bottom"/>
            <w:gridSpan w:val="3"/>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3.1%</w:t>
            </w:r>
          </w:p>
        </w:tc>
        <w:tc>
          <w:tcPr>
            <w:tcW w:w="0" w:type="dxa"/>
            <w:vAlign w:val="bottom"/>
          </w:tcPr>
          <w:p>
            <w:pPr>
              <w:spacing w:after="0"/>
              <w:rPr>
                <w:sz w:val="1"/>
                <w:szCs w:val="1"/>
                <w:color w:val="auto"/>
              </w:rPr>
            </w:pPr>
          </w:p>
        </w:tc>
      </w:tr>
      <w:tr>
        <w:trPr>
          <w:trHeight w:val="135"/>
        </w:trPr>
        <w:tc>
          <w:tcPr>
            <w:tcW w:w="23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 xml:space="preserve">Severin Acquisition, LLC </w:t>
            </w:r>
            <w:r>
              <w:rPr>
                <w:rFonts w:ascii="Times New Roman" w:cs="Times New Roman" w:eastAsia="Times New Roman" w:hAnsi="Times New Roman"/>
                <w:sz w:val="15"/>
                <w:szCs w:val="15"/>
                <w:color w:val="auto"/>
                <w:vertAlign w:val="superscript"/>
              </w:rPr>
              <w:t>(3)</w:t>
            </w:r>
          </w:p>
        </w:tc>
        <w:tc>
          <w:tcPr>
            <w:tcW w:w="60" w:type="dxa"/>
            <w:vAlign w:val="bottom"/>
          </w:tcPr>
          <w:p>
            <w:pPr>
              <w:spacing w:after="0"/>
              <w:rPr>
                <w:sz w:val="11"/>
                <w:szCs w:val="11"/>
                <w:color w:val="auto"/>
              </w:rPr>
            </w:pPr>
          </w:p>
        </w:tc>
        <w:tc>
          <w:tcPr>
            <w:tcW w:w="27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First-lien loan ($193,642 par, due 10/2031)</w:t>
            </w:r>
          </w:p>
        </w:tc>
        <w:tc>
          <w:tcPr>
            <w:tcW w:w="7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10/1/2024</w:t>
            </w:r>
          </w:p>
        </w:tc>
        <w:tc>
          <w:tcPr>
            <w:tcW w:w="40" w:type="dxa"/>
            <w:vAlign w:val="bottom"/>
          </w:tcPr>
          <w:p>
            <w:pPr>
              <w:spacing w:after="0"/>
              <w:rPr>
                <w:sz w:val="11"/>
                <w:szCs w:val="11"/>
                <w:color w:val="auto"/>
              </w:rPr>
            </w:pPr>
          </w:p>
        </w:tc>
        <w:tc>
          <w:tcPr>
            <w:tcW w:w="11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SOFR + 4.75%</w:t>
            </w:r>
          </w:p>
        </w:tc>
        <w:tc>
          <w:tcPr>
            <w:tcW w:w="144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8.65%</w:t>
            </w:r>
          </w:p>
        </w:tc>
        <w:tc>
          <w:tcPr>
            <w:tcW w:w="4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193,438</w:t>
            </w:r>
          </w:p>
        </w:tc>
        <w:tc>
          <w:tcPr>
            <w:tcW w:w="22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183,927</w:t>
            </w:r>
          </w:p>
        </w:tc>
        <w:tc>
          <w:tcPr>
            <w:tcW w:w="160" w:type="dxa"/>
            <w:vAlign w:val="bottom"/>
          </w:tcPr>
          <w:p>
            <w:pPr>
              <w:spacing w:after="0"/>
              <w:rPr>
                <w:sz w:val="11"/>
                <w:szCs w:val="11"/>
                <w:color w:val="auto"/>
              </w:rPr>
            </w:pPr>
          </w:p>
        </w:tc>
        <w:tc>
          <w:tcPr>
            <w:tcW w:w="98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3.6%</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3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7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3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347,982</w:t>
            </w:r>
          </w:p>
        </w:tc>
        <w:tc>
          <w:tcPr>
            <w:tcW w:w="220" w:type="dxa"/>
            <w:vAlign w:val="bottom"/>
            <w:tcBorders>
              <w:right w:val="single" w:sz="8" w:color="CFF0FC"/>
            </w:tcBorders>
            <w:shd w:val="clear" w:color="auto" w:fill="CFF0FC"/>
          </w:tcPr>
          <w:p>
            <w:pPr>
              <w:spacing w:after="0"/>
              <w:rPr>
                <w:sz w:val="11"/>
                <w:szCs w:val="11"/>
                <w:color w:val="auto"/>
              </w:rPr>
            </w:pPr>
          </w:p>
        </w:tc>
        <w:tc>
          <w:tcPr>
            <w:tcW w:w="7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340,077</w:t>
            </w:r>
          </w:p>
        </w:tc>
        <w:tc>
          <w:tcPr>
            <w:tcW w:w="160" w:type="dxa"/>
            <w:vAlign w:val="bottom"/>
            <w:shd w:val="clear" w:color="auto" w:fill="CFF0FC"/>
          </w:tcPr>
          <w:p>
            <w:pPr>
              <w:spacing w:after="0"/>
              <w:rPr>
                <w:sz w:val="11"/>
                <w:szCs w:val="11"/>
                <w:color w:val="auto"/>
              </w:rPr>
            </w:pPr>
          </w:p>
        </w:tc>
        <w:tc>
          <w:tcPr>
            <w:tcW w:w="98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6.7%</w:t>
            </w:r>
          </w:p>
        </w:tc>
        <w:tc>
          <w:tcPr>
            <w:tcW w:w="0" w:type="dxa"/>
            <w:vAlign w:val="bottom"/>
          </w:tcPr>
          <w:p>
            <w:pPr>
              <w:spacing w:after="0"/>
              <w:rPr>
                <w:sz w:val="1"/>
                <w:szCs w:val="1"/>
                <w:color w:val="auto"/>
              </w:rPr>
            </w:pPr>
          </w:p>
        </w:tc>
      </w:tr>
      <w:tr>
        <w:trPr>
          <w:trHeight w:val="128"/>
        </w:trPr>
        <w:tc>
          <w:tcPr>
            <w:tcW w:w="238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Electronics</w:t>
            </w:r>
          </w:p>
        </w:tc>
        <w:tc>
          <w:tcPr>
            <w:tcW w:w="60" w:type="dxa"/>
            <w:vAlign w:val="bottom"/>
            <w:tcBorders>
              <w:top w:val="single" w:sz="8" w:color="CFF0FC"/>
            </w:tcBorders>
          </w:tcPr>
          <w:p>
            <w:pPr>
              <w:spacing w:after="0"/>
              <w:rPr>
                <w:sz w:val="11"/>
                <w:szCs w:val="11"/>
                <w:color w:val="auto"/>
              </w:rPr>
            </w:pPr>
          </w:p>
        </w:tc>
        <w:tc>
          <w:tcPr>
            <w:tcW w:w="2700" w:type="dxa"/>
            <w:vAlign w:val="bottom"/>
            <w:tcBorders>
              <w:top w:val="single" w:sz="8" w:color="CFF0FC"/>
            </w:tcBorders>
          </w:tcPr>
          <w:p>
            <w:pPr>
              <w:spacing w:after="0"/>
              <w:rPr>
                <w:sz w:val="11"/>
                <w:szCs w:val="11"/>
                <w:color w:val="auto"/>
              </w:rPr>
            </w:pPr>
          </w:p>
        </w:tc>
        <w:tc>
          <w:tcPr>
            <w:tcW w:w="60" w:type="dxa"/>
            <w:vAlign w:val="bottom"/>
            <w:tcBorders>
              <w:top w:val="single" w:sz="8" w:color="CFF0FC"/>
            </w:tcBorders>
          </w:tcPr>
          <w:p>
            <w:pPr>
              <w:spacing w:after="0"/>
              <w:rPr>
                <w:sz w:val="11"/>
                <w:szCs w:val="11"/>
                <w:color w:val="auto"/>
              </w:rPr>
            </w:pPr>
          </w:p>
        </w:tc>
        <w:tc>
          <w:tcPr>
            <w:tcW w:w="700" w:type="dxa"/>
            <w:vAlign w:val="bottom"/>
            <w:tcBorders>
              <w:top w:val="single" w:sz="8" w:color="CFF0FC"/>
            </w:tcBorders>
          </w:tcPr>
          <w:p>
            <w:pPr>
              <w:spacing w:after="0"/>
              <w:rPr>
                <w:sz w:val="11"/>
                <w:szCs w:val="11"/>
                <w:color w:val="auto"/>
              </w:rPr>
            </w:pPr>
          </w:p>
        </w:tc>
        <w:tc>
          <w:tcPr>
            <w:tcW w:w="40" w:type="dxa"/>
            <w:vAlign w:val="bottom"/>
            <w:tcBorders>
              <w:top w:val="single" w:sz="8" w:color="CFF0FC"/>
            </w:tcBorders>
          </w:tcPr>
          <w:p>
            <w:pPr>
              <w:spacing w:after="0"/>
              <w:rPr>
                <w:sz w:val="11"/>
                <w:szCs w:val="11"/>
                <w:color w:val="auto"/>
              </w:rPr>
            </w:pPr>
          </w:p>
        </w:tc>
        <w:tc>
          <w:tcPr>
            <w:tcW w:w="980" w:type="dxa"/>
            <w:vAlign w:val="bottom"/>
            <w:tcBorders>
              <w:top w:val="single" w:sz="8" w:color="CFF0FC"/>
            </w:tcBorders>
          </w:tcPr>
          <w:p>
            <w:pPr>
              <w:spacing w:after="0"/>
              <w:rPr>
                <w:sz w:val="11"/>
                <w:szCs w:val="11"/>
                <w:color w:val="auto"/>
              </w:rPr>
            </w:pPr>
          </w:p>
        </w:tc>
        <w:tc>
          <w:tcPr>
            <w:tcW w:w="180" w:type="dxa"/>
            <w:vAlign w:val="bottom"/>
            <w:tcBorders>
              <w:top w:val="single" w:sz="8" w:color="CFF0FC"/>
            </w:tcBorders>
          </w:tcPr>
          <w:p>
            <w:pPr>
              <w:spacing w:after="0"/>
              <w:rPr>
                <w:sz w:val="11"/>
                <w:szCs w:val="11"/>
                <w:color w:val="auto"/>
              </w:rPr>
            </w:pPr>
          </w:p>
        </w:tc>
        <w:tc>
          <w:tcPr>
            <w:tcW w:w="1300" w:type="dxa"/>
            <w:vAlign w:val="bottom"/>
            <w:tcBorders>
              <w:top w:val="single" w:sz="8" w:color="CFF0FC"/>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c>
          <w:tcPr>
            <w:tcW w:w="40" w:type="dxa"/>
            <w:vAlign w:val="bottom"/>
            <w:tcBorders>
              <w:top w:val="single" w:sz="8" w:color="CFF0FC"/>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60" w:type="dxa"/>
            <w:vAlign w:val="bottom"/>
            <w:tcBorders>
              <w:top w:val="single" w:sz="8" w:color="CFF0FC"/>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 xml:space="preserve">Sapphire Software Buyer, Inc. </w:t>
            </w:r>
            <w:r>
              <w:rPr>
                <w:rFonts w:ascii="Times New Roman" w:cs="Times New Roman" w:eastAsia="Times New Roman" w:hAnsi="Times New Roman"/>
                <w:sz w:val="15"/>
                <w:szCs w:val="15"/>
                <w:color w:val="auto"/>
                <w:vertAlign w:val="superscript"/>
              </w:rPr>
              <w:t>(3)</w:t>
            </w:r>
          </w:p>
        </w:tc>
        <w:tc>
          <w:tcPr>
            <w:tcW w:w="60" w:type="dxa"/>
            <w:vAlign w:val="bottom"/>
            <w:shd w:val="clear" w:color="auto" w:fill="CFF0FC"/>
          </w:tcPr>
          <w:p>
            <w:pPr>
              <w:spacing w:after="0"/>
              <w:rPr>
                <w:sz w:val="11"/>
                <w:szCs w:val="11"/>
                <w:color w:val="auto"/>
              </w:rPr>
            </w:pPr>
          </w:p>
        </w:tc>
        <w:tc>
          <w:tcPr>
            <w:tcW w:w="27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First-lien loan ($223,023 par, due 9/2031)</w:t>
            </w:r>
          </w:p>
        </w:tc>
        <w:tc>
          <w:tcPr>
            <w:tcW w:w="76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9/30/2024</w:t>
            </w:r>
          </w:p>
        </w:tc>
        <w:tc>
          <w:tcPr>
            <w:tcW w:w="4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SOFR + 5.00%</w:t>
            </w:r>
          </w:p>
        </w:tc>
        <w:tc>
          <w:tcPr>
            <w:tcW w:w="1440" w:type="dxa"/>
            <w:vAlign w:val="bottom"/>
            <w:gridSpan w:val="2"/>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9.07%</w:t>
            </w:r>
          </w:p>
        </w:tc>
        <w:tc>
          <w:tcPr>
            <w:tcW w:w="62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221,150</w:t>
            </w:r>
          </w:p>
        </w:tc>
        <w:tc>
          <w:tcPr>
            <w:tcW w:w="220" w:type="dxa"/>
            <w:vAlign w:val="bottom"/>
            <w:tcBorders>
              <w:right w:val="single" w:sz="8" w:color="CFF0FC"/>
            </w:tcBorders>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215,522</w:t>
            </w:r>
          </w:p>
        </w:tc>
        <w:tc>
          <w:tcPr>
            <w:tcW w:w="1140" w:type="dxa"/>
            <w:vAlign w:val="bottom"/>
            <w:gridSpan w:val="3"/>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4.3%</w:t>
            </w:r>
          </w:p>
        </w:tc>
        <w:tc>
          <w:tcPr>
            <w:tcW w:w="0" w:type="dxa"/>
            <w:vAlign w:val="bottom"/>
          </w:tcPr>
          <w:p>
            <w:pPr>
              <w:spacing w:after="0"/>
              <w:rPr>
                <w:sz w:val="1"/>
                <w:szCs w:val="1"/>
                <w:color w:val="auto"/>
              </w:rPr>
            </w:pPr>
          </w:p>
        </w:tc>
      </w:tr>
      <w:tr>
        <w:trPr>
          <w:trHeight w:val="135"/>
        </w:trPr>
        <w:tc>
          <w:tcPr>
            <w:tcW w:w="238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Financial Services</w:t>
            </w:r>
          </w:p>
        </w:tc>
        <w:tc>
          <w:tcPr>
            <w:tcW w:w="6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38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0"/>
                <w:szCs w:val="10"/>
                <w:color w:val="auto"/>
              </w:rPr>
              <w:t xml:space="preserve">Alaska Bidco Oy </w:t>
            </w:r>
            <w:r>
              <w:rPr>
                <w:rFonts w:ascii="Times New Roman" w:cs="Times New Roman" w:eastAsia="Times New Roman" w:hAnsi="Times New Roman"/>
                <w:sz w:val="13"/>
                <w:szCs w:val="13"/>
                <w:color w:val="auto"/>
                <w:vertAlign w:val="superscript"/>
              </w:rPr>
              <w:t>(3)(4)</w:t>
            </w:r>
          </w:p>
        </w:tc>
        <w:tc>
          <w:tcPr>
            <w:tcW w:w="60" w:type="dxa"/>
            <w:vAlign w:val="bottom"/>
            <w:shd w:val="clear" w:color="auto" w:fill="CFF0FC"/>
          </w:tcPr>
          <w:p>
            <w:pPr>
              <w:spacing w:after="0"/>
              <w:rPr>
                <w:sz w:val="10"/>
                <w:szCs w:val="10"/>
                <w:color w:val="auto"/>
              </w:rPr>
            </w:pPr>
          </w:p>
        </w:tc>
        <w:tc>
          <w:tcPr>
            <w:tcW w:w="270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First-lien loan (EUR 727 par, due 5/2030)</w:t>
            </w:r>
          </w:p>
        </w:tc>
        <w:tc>
          <w:tcPr>
            <w:tcW w:w="76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5/30/2023</w:t>
            </w:r>
          </w:p>
        </w:tc>
        <w:tc>
          <w:tcPr>
            <w:tcW w:w="40" w:type="dxa"/>
            <w:vAlign w:val="bottom"/>
            <w:shd w:val="clear" w:color="auto" w:fill="CFF0FC"/>
          </w:tcPr>
          <w:p>
            <w:pPr>
              <w:spacing w:after="0"/>
              <w:rPr>
                <w:sz w:val="10"/>
                <w:szCs w:val="10"/>
                <w:color w:val="auto"/>
              </w:rPr>
            </w:pPr>
          </w:p>
        </w:tc>
        <w:tc>
          <w:tcPr>
            <w:tcW w:w="1160" w:type="dxa"/>
            <w:vAlign w:val="bottom"/>
            <w:gridSpan w:val="2"/>
            <w:shd w:val="clear" w:color="auto" w:fill="CFF0FC"/>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E + 5.75%</w:t>
            </w:r>
          </w:p>
        </w:tc>
        <w:tc>
          <w:tcPr>
            <w:tcW w:w="1440" w:type="dxa"/>
            <w:vAlign w:val="bottom"/>
            <w:gridSpan w:val="2"/>
            <w:shd w:val="clear" w:color="auto" w:fill="CFF0FC"/>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8.31%</w:t>
            </w:r>
          </w:p>
        </w:tc>
        <w:tc>
          <w:tcPr>
            <w:tcW w:w="62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769</w:t>
            </w:r>
          </w:p>
        </w:tc>
        <w:tc>
          <w:tcPr>
            <w:tcW w:w="220" w:type="dxa"/>
            <w:vAlign w:val="bottom"/>
            <w:tcBorders>
              <w:right w:val="single" w:sz="8" w:color="CFF0FC"/>
            </w:tcBorders>
            <w:shd w:val="clear" w:color="auto" w:fill="CFF0FC"/>
          </w:tcPr>
          <w:p>
            <w:pPr>
              <w:spacing w:after="0"/>
              <w:rPr>
                <w:sz w:val="10"/>
                <w:szCs w:val="10"/>
                <w:color w:val="auto"/>
              </w:rPr>
            </w:pPr>
          </w:p>
        </w:tc>
        <w:tc>
          <w:tcPr>
            <w:tcW w:w="72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835</w:t>
            </w:r>
          </w:p>
        </w:tc>
        <w:tc>
          <w:tcPr>
            <w:tcW w:w="1140" w:type="dxa"/>
            <w:vAlign w:val="bottom"/>
            <w:gridSpan w:val="3"/>
            <w:shd w:val="clear" w:color="auto" w:fill="CFF0FC"/>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0.0%</w:t>
            </w:r>
          </w:p>
        </w:tc>
        <w:tc>
          <w:tcPr>
            <w:tcW w:w="0" w:type="dxa"/>
            <w:vAlign w:val="bottom"/>
          </w:tcPr>
          <w:p>
            <w:pPr>
              <w:spacing w:after="0"/>
              <w:rPr>
                <w:sz w:val="1"/>
                <w:szCs w:val="1"/>
                <w:color w:val="auto"/>
              </w:rPr>
            </w:pPr>
          </w:p>
        </w:tc>
      </w:tr>
      <w:tr>
        <w:trPr>
          <w:trHeight w:val="153"/>
        </w:trPr>
        <w:tc>
          <w:tcPr>
            <w:tcW w:w="23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7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20" w:type="dxa"/>
            <w:vAlign w:val="bottom"/>
            <w:tcBorders>
              <w:right w:val="single" w:sz="8" w:color="CFF0FC"/>
            </w:tcBorders>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(EUR 735)</w:t>
            </w: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3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 xml:space="preserve">Arlberg Bidco, LLC </w:t>
            </w:r>
            <w:r>
              <w:rPr>
                <w:rFonts w:ascii="Times New Roman" w:cs="Times New Roman" w:eastAsia="Times New Roman" w:hAnsi="Times New Roman"/>
                <w:sz w:val="15"/>
                <w:szCs w:val="15"/>
                <w:color w:val="auto"/>
                <w:vertAlign w:val="superscript"/>
              </w:rPr>
              <w:t>(3)(4)(5)</w:t>
            </w:r>
          </w:p>
        </w:tc>
        <w:tc>
          <w:tcPr>
            <w:tcW w:w="60" w:type="dxa"/>
            <w:vAlign w:val="bottom"/>
          </w:tcPr>
          <w:p>
            <w:pPr>
              <w:spacing w:after="0"/>
              <w:rPr>
                <w:sz w:val="11"/>
                <w:szCs w:val="11"/>
                <w:color w:val="auto"/>
              </w:rPr>
            </w:pPr>
          </w:p>
        </w:tc>
        <w:tc>
          <w:tcPr>
            <w:tcW w:w="27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First-lien loan ($5,000 par, due 2/2031)</w:t>
            </w:r>
          </w:p>
        </w:tc>
        <w:tc>
          <w:tcPr>
            <w:tcW w:w="7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2/14/2025</w:t>
            </w:r>
          </w:p>
        </w:tc>
        <w:tc>
          <w:tcPr>
            <w:tcW w:w="40" w:type="dxa"/>
            <w:vAlign w:val="bottom"/>
          </w:tcPr>
          <w:p>
            <w:pPr>
              <w:spacing w:after="0"/>
              <w:rPr>
                <w:sz w:val="11"/>
                <w:szCs w:val="11"/>
                <w:color w:val="auto"/>
              </w:rPr>
            </w:pPr>
          </w:p>
        </w:tc>
        <w:tc>
          <w:tcPr>
            <w:tcW w:w="11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SOFR + 5.75%</w:t>
            </w:r>
          </w:p>
        </w:tc>
        <w:tc>
          <w:tcPr>
            <w:tcW w:w="144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9.48%</w:t>
            </w:r>
          </w:p>
        </w:tc>
        <w:tc>
          <w:tcPr>
            <w:tcW w:w="6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4,912</w:t>
            </w:r>
          </w:p>
        </w:tc>
        <w:tc>
          <w:tcPr>
            <w:tcW w:w="22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4,950</w:t>
            </w:r>
          </w:p>
        </w:tc>
        <w:tc>
          <w:tcPr>
            <w:tcW w:w="1140" w:type="dxa"/>
            <w:vAlign w:val="bottom"/>
            <w:gridSpan w:val="3"/>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17"/>
        </w:trPr>
        <w:tc>
          <w:tcPr>
            <w:tcW w:w="238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0"/>
                <w:szCs w:val="10"/>
                <w:color w:val="auto"/>
              </w:rPr>
              <w:t xml:space="preserve">GreenShoot BidCo B.V. </w:t>
            </w:r>
            <w:r>
              <w:rPr>
                <w:rFonts w:ascii="Times New Roman" w:cs="Times New Roman" w:eastAsia="Times New Roman" w:hAnsi="Times New Roman"/>
                <w:sz w:val="13"/>
                <w:szCs w:val="13"/>
                <w:color w:val="auto"/>
                <w:vertAlign w:val="superscript"/>
              </w:rPr>
              <w:t>(3)(4)</w:t>
            </w:r>
          </w:p>
        </w:tc>
        <w:tc>
          <w:tcPr>
            <w:tcW w:w="60" w:type="dxa"/>
            <w:vAlign w:val="bottom"/>
            <w:shd w:val="clear" w:color="auto" w:fill="CFF0FC"/>
          </w:tcPr>
          <w:p>
            <w:pPr>
              <w:spacing w:after="0"/>
              <w:rPr>
                <w:sz w:val="10"/>
                <w:szCs w:val="10"/>
                <w:color w:val="auto"/>
              </w:rPr>
            </w:pPr>
          </w:p>
        </w:tc>
        <w:tc>
          <w:tcPr>
            <w:tcW w:w="270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First-lien loan (EUR 5,107 par, due 5/2030)</w:t>
            </w:r>
          </w:p>
        </w:tc>
        <w:tc>
          <w:tcPr>
            <w:tcW w:w="76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5/28/2024</w:t>
            </w:r>
          </w:p>
        </w:tc>
        <w:tc>
          <w:tcPr>
            <w:tcW w:w="40" w:type="dxa"/>
            <w:vAlign w:val="bottom"/>
            <w:shd w:val="clear" w:color="auto" w:fill="CFF0FC"/>
          </w:tcPr>
          <w:p>
            <w:pPr>
              <w:spacing w:after="0"/>
              <w:rPr>
                <w:sz w:val="10"/>
                <w:szCs w:val="10"/>
                <w:color w:val="auto"/>
              </w:rPr>
            </w:pPr>
          </w:p>
        </w:tc>
        <w:tc>
          <w:tcPr>
            <w:tcW w:w="1160" w:type="dxa"/>
            <w:vAlign w:val="bottom"/>
            <w:gridSpan w:val="2"/>
            <w:shd w:val="clear" w:color="auto" w:fill="CFF0FC"/>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E + 5.75%</w:t>
            </w:r>
          </w:p>
        </w:tc>
        <w:tc>
          <w:tcPr>
            <w:tcW w:w="1440" w:type="dxa"/>
            <w:vAlign w:val="bottom"/>
            <w:gridSpan w:val="2"/>
            <w:shd w:val="clear" w:color="auto" w:fill="CFF0FC"/>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8.30%</w:t>
            </w:r>
          </w:p>
        </w:tc>
        <w:tc>
          <w:tcPr>
            <w:tcW w:w="62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5,446</w:t>
            </w:r>
          </w:p>
        </w:tc>
        <w:tc>
          <w:tcPr>
            <w:tcW w:w="220" w:type="dxa"/>
            <w:vAlign w:val="bottom"/>
            <w:tcBorders>
              <w:right w:val="single" w:sz="8" w:color="CFF0FC"/>
            </w:tcBorders>
            <w:shd w:val="clear" w:color="auto" w:fill="CFF0FC"/>
          </w:tcPr>
          <w:p>
            <w:pPr>
              <w:spacing w:after="0"/>
              <w:rPr>
                <w:sz w:val="10"/>
                <w:szCs w:val="10"/>
                <w:color w:val="auto"/>
              </w:rPr>
            </w:pPr>
          </w:p>
        </w:tc>
        <w:tc>
          <w:tcPr>
            <w:tcW w:w="72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5,582</w:t>
            </w:r>
          </w:p>
        </w:tc>
        <w:tc>
          <w:tcPr>
            <w:tcW w:w="1140" w:type="dxa"/>
            <w:vAlign w:val="bottom"/>
            <w:gridSpan w:val="3"/>
            <w:shd w:val="clear" w:color="auto" w:fill="CFF0FC"/>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53"/>
        </w:trPr>
        <w:tc>
          <w:tcPr>
            <w:tcW w:w="23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7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20" w:type="dxa"/>
            <w:vAlign w:val="bottom"/>
            <w:tcBorders>
              <w:right w:val="single" w:sz="8" w:color="CFF0FC"/>
            </w:tcBorders>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(EUR 4,915)</w:t>
            </w: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3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Volante Technologies, Inc.</w:t>
            </w:r>
          </w:p>
        </w:tc>
        <w:tc>
          <w:tcPr>
            <w:tcW w:w="60" w:type="dxa"/>
            <w:vAlign w:val="bottom"/>
          </w:tcPr>
          <w:p>
            <w:pPr>
              <w:spacing w:after="0"/>
              <w:rPr>
                <w:sz w:val="11"/>
                <w:szCs w:val="11"/>
                <w:color w:val="auto"/>
              </w:rPr>
            </w:pPr>
          </w:p>
        </w:tc>
        <w:tc>
          <w:tcPr>
            <w:tcW w:w="27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First-lien loan ($3,157 par, due 9/2028)</w:t>
            </w:r>
          </w:p>
        </w:tc>
        <w:tc>
          <w:tcPr>
            <w:tcW w:w="7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9/29/2023</w:t>
            </w:r>
          </w:p>
        </w:tc>
        <w:tc>
          <w:tcPr>
            <w:tcW w:w="1200" w:type="dxa"/>
            <w:vAlign w:val="bottom"/>
            <w:gridSpan w:val="3"/>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16.50%</w:t>
            </w:r>
          </w:p>
        </w:tc>
        <w:tc>
          <w:tcPr>
            <w:tcW w:w="14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16.50% PIK</w:t>
            </w:r>
          </w:p>
        </w:tc>
        <w:tc>
          <w:tcPr>
            <w:tcW w:w="4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3,153</w:t>
            </w:r>
          </w:p>
        </w:tc>
        <w:tc>
          <w:tcPr>
            <w:tcW w:w="22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3,236</w:t>
            </w:r>
          </w:p>
        </w:tc>
        <w:tc>
          <w:tcPr>
            <w:tcW w:w="160" w:type="dxa"/>
            <w:vAlign w:val="bottom"/>
          </w:tcPr>
          <w:p>
            <w:pPr>
              <w:spacing w:after="0"/>
              <w:rPr>
                <w:sz w:val="11"/>
                <w:szCs w:val="11"/>
                <w:color w:val="auto"/>
              </w:rPr>
            </w:pPr>
          </w:p>
        </w:tc>
        <w:tc>
          <w:tcPr>
            <w:tcW w:w="98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3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7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3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14,280</w:t>
            </w:r>
          </w:p>
        </w:tc>
        <w:tc>
          <w:tcPr>
            <w:tcW w:w="220" w:type="dxa"/>
            <w:vAlign w:val="bottom"/>
            <w:tcBorders>
              <w:right w:val="single" w:sz="8" w:color="CFF0FC"/>
            </w:tcBorders>
            <w:shd w:val="clear" w:color="auto" w:fill="CFF0FC"/>
          </w:tcPr>
          <w:p>
            <w:pPr>
              <w:spacing w:after="0"/>
              <w:rPr>
                <w:sz w:val="11"/>
                <w:szCs w:val="11"/>
                <w:color w:val="auto"/>
              </w:rPr>
            </w:pPr>
          </w:p>
        </w:tc>
        <w:tc>
          <w:tcPr>
            <w:tcW w:w="7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14,603</w:t>
            </w:r>
          </w:p>
        </w:tc>
        <w:tc>
          <w:tcPr>
            <w:tcW w:w="160" w:type="dxa"/>
            <w:vAlign w:val="bottom"/>
            <w:shd w:val="clear" w:color="auto" w:fill="CFF0FC"/>
          </w:tcPr>
          <w:p>
            <w:pPr>
              <w:spacing w:after="0"/>
              <w:rPr>
                <w:sz w:val="11"/>
                <w:szCs w:val="11"/>
                <w:color w:val="auto"/>
              </w:rPr>
            </w:pPr>
          </w:p>
        </w:tc>
        <w:tc>
          <w:tcPr>
            <w:tcW w:w="98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0.3%</w:t>
            </w:r>
          </w:p>
        </w:tc>
        <w:tc>
          <w:tcPr>
            <w:tcW w:w="0" w:type="dxa"/>
            <w:vAlign w:val="bottom"/>
          </w:tcPr>
          <w:p>
            <w:pPr>
              <w:spacing w:after="0"/>
              <w:rPr>
                <w:sz w:val="1"/>
                <w:szCs w:val="1"/>
                <w:color w:val="auto"/>
              </w:rPr>
            </w:pPr>
          </w:p>
        </w:tc>
      </w:tr>
      <w:tr>
        <w:trPr>
          <w:trHeight w:val="128"/>
        </w:trPr>
        <w:tc>
          <w:tcPr>
            <w:tcW w:w="238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Healthcare</w:t>
            </w:r>
          </w:p>
        </w:tc>
        <w:tc>
          <w:tcPr>
            <w:tcW w:w="60" w:type="dxa"/>
            <w:vAlign w:val="bottom"/>
            <w:tcBorders>
              <w:top w:val="single" w:sz="8" w:color="CFF0FC"/>
            </w:tcBorders>
          </w:tcPr>
          <w:p>
            <w:pPr>
              <w:spacing w:after="0"/>
              <w:rPr>
                <w:sz w:val="11"/>
                <w:szCs w:val="11"/>
                <w:color w:val="auto"/>
              </w:rPr>
            </w:pPr>
          </w:p>
        </w:tc>
        <w:tc>
          <w:tcPr>
            <w:tcW w:w="2700" w:type="dxa"/>
            <w:vAlign w:val="bottom"/>
            <w:tcBorders>
              <w:top w:val="single" w:sz="8" w:color="CFF0FC"/>
            </w:tcBorders>
          </w:tcPr>
          <w:p>
            <w:pPr>
              <w:spacing w:after="0"/>
              <w:rPr>
                <w:sz w:val="11"/>
                <w:szCs w:val="11"/>
                <w:color w:val="auto"/>
              </w:rPr>
            </w:pPr>
          </w:p>
        </w:tc>
        <w:tc>
          <w:tcPr>
            <w:tcW w:w="60" w:type="dxa"/>
            <w:vAlign w:val="bottom"/>
            <w:tcBorders>
              <w:top w:val="single" w:sz="8" w:color="CFF0FC"/>
            </w:tcBorders>
          </w:tcPr>
          <w:p>
            <w:pPr>
              <w:spacing w:after="0"/>
              <w:rPr>
                <w:sz w:val="11"/>
                <w:szCs w:val="11"/>
                <w:color w:val="auto"/>
              </w:rPr>
            </w:pPr>
          </w:p>
        </w:tc>
        <w:tc>
          <w:tcPr>
            <w:tcW w:w="700" w:type="dxa"/>
            <w:vAlign w:val="bottom"/>
            <w:tcBorders>
              <w:top w:val="single" w:sz="8" w:color="CFF0FC"/>
            </w:tcBorders>
          </w:tcPr>
          <w:p>
            <w:pPr>
              <w:spacing w:after="0"/>
              <w:rPr>
                <w:sz w:val="11"/>
                <w:szCs w:val="11"/>
                <w:color w:val="auto"/>
              </w:rPr>
            </w:pPr>
          </w:p>
        </w:tc>
        <w:tc>
          <w:tcPr>
            <w:tcW w:w="40" w:type="dxa"/>
            <w:vAlign w:val="bottom"/>
            <w:tcBorders>
              <w:top w:val="single" w:sz="8" w:color="CFF0FC"/>
            </w:tcBorders>
          </w:tcPr>
          <w:p>
            <w:pPr>
              <w:spacing w:after="0"/>
              <w:rPr>
                <w:sz w:val="11"/>
                <w:szCs w:val="11"/>
                <w:color w:val="auto"/>
              </w:rPr>
            </w:pPr>
          </w:p>
        </w:tc>
        <w:tc>
          <w:tcPr>
            <w:tcW w:w="980" w:type="dxa"/>
            <w:vAlign w:val="bottom"/>
            <w:tcBorders>
              <w:top w:val="single" w:sz="8" w:color="CFF0FC"/>
            </w:tcBorders>
          </w:tcPr>
          <w:p>
            <w:pPr>
              <w:spacing w:after="0"/>
              <w:rPr>
                <w:sz w:val="11"/>
                <w:szCs w:val="11"/>
                <w:color w:val="auto"/>
              </w:rPr>
            </w:pPr>
          </w:p>
        </w:tc>
        <w:tc>
          <w:tcPr>
            <w:tcW w:w="180" w:type="dxa"/>
            <w:vAlign w:val="bottom"/>
            <w:tcBorders>
              <w:top w:val="single" w:sz="8" w:color="CFF0FC"/>
            </w:tcBorders>
          </w:tcPr>
          <w:p>
            <w:pPr>
              <w:spacing w:after="0"/>
              <w:rPr>
                <w:sz w:val="11"/>
                <w:szCs w:val="11"/>
                <w:color w:val="auto"/>
              </w:rPr>
            </w:pPr>
          </w:p>
        </w:tc>
        <w:tc>
          <w:tcPr>
            <w:tcW w:w="1300" w:type="dxa"/>
            <w:vAlign w:val="bottom"/>
            <w:tcBorders>
              <w:top w:val="single" w:sz="8" w:color="CFF0FC"/>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c>
          <w:tcPr>
            <w:tcW w:w="40" w:type="dxa"/>
            <w:vAlign w:val="bottom"/>
            <w:tcBorders>
              <w:top w:val="single" w:sz="8" w:color="CFF0FC"/>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60" w:type="dxa"/>
            <w:vAlign w:val="bottom"/>
            <w:tcBorders>
              <w:top w:val="single" w:sz="8" w:color="CFF0FC"/>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 xml:space="preserve">Aledade, Inc. </w:t>
            </w:r>
            <w:r>
              <w:rPr>
                <w:rFonts w:ascii="Times New Roman" w:cs="Times New Roman" w:eastAsia="Times New Roman" w:hAnsi="Times New Roman"/>
                <w:sz w:val="15"/>
                <w:szCs w:val="15"/>
                <w:color w:val="auto"/>
                <w:vertAlign w:val="superscript"/>
              </w:rPr>
              <w:t>(3)</w:t>
            </w:r>
          </w:p>
        </w:tc>
        <w:tc>
          <w:tcPr>
            <w:tcW w:w="60" w:type="dxa"/>
            <w:vAlign w:val="bottom"/>
            <w:shd w:val="clear" w:color="auto" w:fill="CFF0FC"/>
          </w:tcPr>
          <w:p>
            <w:pPr>
              <w:spacing w:after="0"/>
              <w:rPr>
                <w:sz w:val="11"/>
                <w:szCs w:val="11"/>
                <w:color w:val="auto"/>
              </w:rPr>
            </w:pPr>
          </w:p>
        </w:tc>
        <w:tc>
          <w:tcPr>
            <w:tcW w:w="27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w w:val="98"/>
              </w:rPr>
              <w:t>First-lien revolving loan ($64,628 par, due 11/2028)</w:t>
            </w:r>
          </w:p>
        </w:tc>
        <w:tc>
          <w:tcPr>
            <w:tcW w:w="76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11/21/2025</w:t>
            </w:r>
          </w:p>
        </w:tc>
        <w:tc>
          <w:tcPr>
            <w:tcW w:w="4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SOFR + 6.00%</w:t>
            </w:r>
          </w:p>
        </w:tc>
        <w:tc>
          <w:tcPr>
            <w:tcW w:w="1440" w:type="dxa"/>
            <w:vAlign w:val="bottom"/>
            <w:gridSpan w:val="2"/>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9.80%</w:t>
            </w:r>
          </w:p>
        </w:tc>
        <w:tc>
          <w:tcPr>
            <w:tcW w:w="62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63,883</w:t>
            </w:r>
          </w:p>
        </w:tc>
        <w:tc>
          <w:tcPr>
            <w:tcW w:w="220" w:type="dxa"/>
            <w:vAlign w:val="bottom"/>
            <w:tcBorders>
              <w:right w:val="single" w:sz="8" w:color="CFF0FC"/>
            </w:tcBorders>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64,853</w:t>
            </w:r>
          </w:p>
        </w:tc>
        <w:tc>
          <w:tcPr>
            <w:tcW w:w="1140" w:type="dxa"/>
            <w:vAlign w:val="bottom"/>
            <w:gridSpan w:val="3"/>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35"/>
        </w:trPr>
        <w:tc>
          <w:tcPr>
            <w:tcW w:w="23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 xml:space="preserve">BCTO Ace Purchaser, Inc. </w:t>
            </w:r>
            <w:r>
              <w:rPr>
                <w:rFonts w:ascii="Times New Roman" w:cs="Times New Roman" w:eastAsia="Times New Roman" w:hAnsi="Times New Roman"/>
                <w:sz w:val="15"/>
                <w:szCs w:val="15"/>
                <w:color w:val="auto"/>
                <w:vertAlign w:val="superscript"/>
              </w:rPr>
              <w:t>(3)(5)</w:t>
            </w:r>
          </w:p>
        </w:tc>
        <w:tc>
          <w:tcPr>
            <w:tcW w:w="60" w:type="dxa"/>
            <w:vAlign w:val="bottom"/>
          </w:tcPr>
          <w:p>
            <w:pPr>
              <w:spacing w:after="0"/>
              <w:rPr>
                <w:sz w:val="11"/>
                <w:szCs w:val="11"/>
                <w:color w:val="auto"/>
              </w:rPr>
            </w:pPr>
          </w:p>
        </w:tc>
        <w:tc>
          <w:tcPr>
            <w:tcW w:w="27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First-lien loan ($90,000 par, due 6/2031)</w:t>
            </w:r>
          </w:p>
        </w:tc>
        <w:tc>
          <w:tcPr>
            <w:tcW w:w="7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6/4/2026</w:t>
            </w:r>
          </w:p>
        </w:tc>
        <w:tc>
          <w:tcPr>
            <w:tcW w:w="40" w:type="dxa"/>
            <w:vAlign w:val="bottom"/>
          </w:tcPr>
          <w:p>
            <w:pPr>
              <w:spacing w:after="0"/>
              <w:rPr>
                <w:sz w:val="11"/>
                <w:szCs w:val="11"/>
                <w:color w:val="auto"/>
              </w:rPr>
            </w:pPr>
          </w:p>
        </w:tc>
        <w:tc>
          <w:tcPr>
            <w:tcW w:w="11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SOFR + 6.00%</w:t>
            </w:r>
          </w:p>
        </w:tc>
        <w:tc>
          <w:tcPr>
            <w:tcW w:w="144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9.84%</w:t>
            </w:r>
          </w:p>
        </w:tc>
        <w:tc>
          <w:tcPr>
            <w:tcW w:w="6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88,472</w:t>
            </w:r>
          </w:p>
        </w:tc>
        <w:tc>
          <w:tcPr>
            <w:tcW w:w="22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88,602</w:t>
            </w:r>
          </w:p>
        </w:tc>
        <w:tc>
          <w:tcPr>
            <w:tcW w:w="1140" w:type="dxa"/>
            <w:vAlign w:val="bottom"/>
            <w:gridSpan w:val="3"/>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1.7%</w:t>
            </w:r>
          </w:p>
        </w:tc>
        <w:tc>
          <w:tcPr>
            <w:tcW w:w="0" w:type="dxa"/>
            <w:vAlign w:val="bottom"/>
          </w:tcPr>
          <w:p>
            <w:pPr>
              <w:spacing w:after="0"/>
              <w:rPr>
                <w:sz w:val="1"/>
                <w:szCs w:val="1"/>
                <w:color w:val="auto"/>
              </w:rPr>
            </w:pPr>
          </w:p>
        </w:tc>
      </w:tr>
      <w:tr>
        <w:trPr>
          <w:trHeight w:val="135"/>
        </w:trPr>
        <w:tc>
          <w:tcPr>
            <w:tcW w:w="23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 xml:space="preserve">EC Homecare Holdings Buyer Inc. </w:t>
            </w:r>
            <w:r>
              <w:rPr>
                <w:rFonts w:ascii="Times New Roman" w:cs="Times New Roman" w:eastAsia="Times New Roman" w:hAnsi="Times New Roman"/>
                <w:sz w:val="15"/>
                <w:szCs w:val="15"/>
                <w:color w:val="auto"/>
                <w:vertAlign w:val="superscript"/>
              </w:rPr>
              <w:t>(3)</w:t>
            </w:r>
          </w:p>
        </w:tc>
        <w:tc>
          <w:tcPr>
            <w:tcW w:w="60" w:type="dxa"/>
            <w:vAlign w:val="bottom"/>
            <w:shd w:val="clear" w:color="auto" w:fill="CFF0FC"/>
          </w:tcPr>
          <w:p>
            <w:pPr>
              <w:spacing w:after="0"/>
              <w:rPr>
                <w:sz w:val="11"/>
                <w:szCs w:val="11"/>
                <w:color w:val="auto"/>
              </w:rPr>
            </w:pPr>
          </w:p>
        </w:tc>
        <w:tc>
          <w:tcPr>
            <w:tcW w:w="27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First-lien loan ($128,816 par, due 7/2032)</w:t>
            </w:r>
          </w:p>
        </w:tc>
        <w:tc>
          <w:tcPr>
            <w:tcW w:w="76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7/20/2026</w:t>
            </w:r>
          </w:p>
        </w:tc>
        <w:tc>
          <w:tcPr>
            <w:tcW w:w="4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SOFR + 5.50%</w:t>
            </w:r>
          </w:p>
        </w:tc>
        <w:tc>
          <w:tcPr>
            <w:tcW w:w="1440" w:type="dxa"/>
            <w:vAlign w:val="bottom"/>
            <w:gridSpan w:val="2"/>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9.33%</w:t>
            </w:r>
          </w:p>
        </w:tc>
        <w:tc>
          <w:tcPr>
            <w:tcW w:w="62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126,575</w:t>
            </w:r>
          </w:p>
        </w:tc>
        <w:tc>
          <w:tcPr>
            <w:tcW w:w="220" w:type="dxa"/>
            <w:vAlign w:val="bottom"/>
            <w:tcBorders>
              <w:right w:val="single" w:sz="8" w:color="CFF0FC"/>
            </w:tcBorders>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126,339</w:t>
            </w:r>
          </w:p>
        </w:tc>
        <w:tc>
          <w:tcPr>
            <w:tcW w:w="1140" w:type="dxa"/>
            <w:vAlign w:val="bottom"/>
            <w:gridSpan w:val="3"/>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2.5%</w:t>
            </w:r>
          </w:p>
        </w:tc>
        <w:tc>
          <w:tcPr>
            <w:tcW w:w="0" w:type="dxa"/>
            <w:vAlign w:val="bottom"/>
          </w:tcPr>
          <w:p>
            <w:pPr>
              <w:spacing w:after="0"/>
              <w:rPr>
                <w:sz w:val="1"/>
                <w:szCs w:val="1"/>
                <w:color w:val="auto"/>
              </w:rPr>
            </w:pPr>
          </w:p>
        </w:tc>
      </w:tr>
      <w:tr>
        <w:trPr>
          <w:trHeight w:val="135"/>
        </w:trPr>
        <w:tc>
          <w:tcPr>
            <w:tcW w:w="23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 xml:space="preserve">Eventus Buyer, LLC </w:t>
            </w:r>
            <w:r>
              <w:rPr>
                <w:rFonts w:ascii="Times New Roman" w:cs="Times New Roman" w:eastAsia="Times New Roman" w:hAnsi="Times New Roman"/>
                <w:sz w:val="15"/>
                <w:szCs w:val="15"/>
                <w:color w:val="auto"/>
                <w:vertAlign w:val="superscript"/>
              </w:rPr>
              <w:t>(3)</w:t>
            </w:r>
          </w:p>
        </w:tc>
        <w:tc>
          <w:tcPr>
            <w:tcW w:w="60" w:type="dxa"/>
            <w:vAlign w:val="bottom"/>
          </w:tcPr>
          <w:p>
            <w:pPr>
              <w:spacing w:after="0"/>
              <w:rPr>
                <w:sz w:val="11"/>
                <w:szCs w:val="11"/>
                <w:color w:val="auto"/>
              </w:rPr>
            </w:pPr>
          </w:p>
        </w:tc>
        <w:tc>
          <w:tcPr>
            <w:tcW w:w="27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First-lien loan ($53,377 par, due 11/2030)</w:t>
            </w:r>
          </w:p>
        </w:tc>
        <w:tc>
          <w:tcPr>
            <w:tcW w:w="7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11/1/2024</w:t>
            </w:r>
          </w:p>
        </w:tc>
        <w:tc>
          <w:tcPr>
            <w:tcW w:w="40" w:type="dxa"/>
            <w:vAlign w:val="bottom"/>
          </w:tcPr>
          <w:p>
            <w:pPr>
              <w:spacing w:after="0"/>
              <w:rPr>
                <w:sz w:val="11"/>
                <w:szCs w:val="11"/>
                <w:color w:val="auto"/>
              </w:rPr>
            </w:pPr>
          </w:p>
        </w:tc>
        <w:tc>
          <w:tcPr>
            <w:tcW w:w="11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SOFR + 5.50%</w:t>
            </w:r>
          </w:p>
        </w:tc>
        <w:tc>
          <w:tcPr>
            <w:tcW w:w="144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9.40%</w:t>
            </w:r>
          </w:p>
        </w:tc>
        <w:tc>
          <w:tcPr>
            <w:tcW w:w="6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52,845</w:t>
            </w:r>
          </w:p>
        </w:tc>
        <w:tc>
          <w:tcPr>
            <w:tcW w:w="22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53,377</w:t>
            </w:r>
          </w:p>
        </w:tc>
        <w:tc>
          <w:tcPr>
            <w:tcW w:w="1140" w:type="dxa"/>
            <w:vAlign w:val="bottom"/>
            <w:gridSpan w:val="3"/>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35"/>
        </w:trPr>
        <w:tc>
          <w:tcPr>
            <w:tcW w:w="23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7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First-lien revolving loan ($3,493 par, due 11/2030)</w:t>
            </w:r>
          </w:p>
        </w:tc>
        <w:tc>
          <w:tcPr>
            <w:tcW w:w="76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11/1/2024</w:t>
            </w:r>
          </w:p>
        </w:tc>
        <w:tc>
          <w:tcPr>
            <w:tcW w:w="4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SOFR + 5.50%</w:t>
            </w:r>
          </w:p>
        </w:tc>
        <w:tc>
          <w:tcPr>
            <w:tcW w:w="1440" w:type="dxa"/>
            <w:vAlign w:val="bottom"/>
            <w:gridSpan w:val="2"/>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9.40%</w:t>
            </w:r>
          </w:p>
        </w:tc>
        <w:tc>
          <w:tcPr>
            <w:tcW w:w="62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3,426</w:t>
            </w:r>
          </w:p>
        </w:tc>
        <w:tc>
          <w:tcPr>
            <w:tcW w:w="220" w:type="dxa"/>
            <w:vAlign w:val="bottom"/>
            <w:tcBorders>
              <w:right w:val="single" w:sz="8" w:color="CFF0FC"/>
            </w:tcBorders>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3,493</w:t>
            </w:r>
          </w:p>
        </w:tc>
        <w:tc>
          <w:tcPr>
            <w:tcW w:w="1140" w:type="dxa"/>
            <w:vAlign w:val="bottom"/>
            <w:gridSpan w:val="3"/>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220"/>
        </w:trPr>
        <w:tc>
          <w:tcPr>
            <w:tcW w:w="238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HMP Omnimedia, LLC </w:t>
            </w:r>
            <w:r>
              <w:rPr>
                <w:rFonts w:ascii="Times New Roman" w:cs="Times New Roman" w:eastAsia="Times New Roman" w:hAnsi="Times New Roman"/>
                <w:sz w:val="16"/>
                <w:szCs w:val="16"/>
                <w:color w:val="auto"/>
                <w:vertAlign w:val="superscript"/>
              </w:rPr>
              <w:t>(3)</w:t>
            </w:r>
          </w:p>
        </w:tc>
        <w:tc>
          <w:tcPr>
            <w:tcW w:w="60" w:type="dxa"/>
            <w:vAlign w:val="bottom"/>
          </w:tcPr>
          <w:p>
            <w:pPr>
              <w:spacing w:after="0"/>
              <w:rPr>
                <w:sz w:val="19"/>
                <w:szCs w:val="19"/>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3"/>
                <w:szCs w:val="13"/>
                <w:color w:val="auto"/>
              </w:rPr>
              <w:t>First-lien loan ($118,577 par, due 7/2032)</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7/31/2025</w:t>
            </w:r>
          </w:p>
        </w:tc>
        <w:tc>
          <w:tcPr>
            <w:tcW w:w="4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SOFR + 5.25%</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9.15%</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116,245</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119,494</w:t>
            </w: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-5016500</wp:posOffset>
            </wp:positionV>
            <wp:extent cx="7132320" cy="857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-3113405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-3113405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-3113405</wp:posOffset>
            </wp:positionV>
            <wp:extent cx="774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-2239010</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-2239010</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-2239010</wp:posOffset>
            </wp:positionV>
            <wp:extent cx="7747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-1536065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-1536065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-1536065</wp:posOffset>
            </wp:positionV>
            <wp:extent cx="7747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-661670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-661670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-661670</wp:posOffset>
            </wp:positionV>
            <wp:extent cx="774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6"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
        </w:trPr>
        <w:tc>
          <w:tcPr>
            <w:tcW w:w="24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5"/>
        </w:trPr>
        <w:tc>
          <w:tcPr>
            <w:tcW w:w="24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 xml:space="preserve">Ingenovis Health Finance, LLC </w:t>
            </w:r>
            <w:r>
              <w:rPr>
                <w:rFonts w:ascii="Times New Roman" w:cs="Times New Roman" w:eastAsia="Times New Roman" w:hAnsi="Times New Roman"/>
                <w:sz w:val="15"/>
                <w:szCs w:val="15"/>
                <w:color w:val="auto"/>
                <w:vertAlign w:val="superscript"/>
              </w:rPr>
              <w:t>(3)</w:t>
            </w:r>
          </w:p>
        </w:tc>
        <w:tc>
          <w:tcPr>
            <w:tcW w:w="278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First-lien revolving loan ($10,000 par, due 5/2030)</w:t>
            </w: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5/13/2025</w:t>
            </w:r>
          </w:p>
        </w:tc>
        <w:tc>
          <w:tcPr>
            <w:tcW w:w="1140" w:type="dxa"/>
            <w:vAlign w:val="bottom"/>
            <w:shd w:val="clear" w:color="auto" w:fill="CFF0FC"/>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SOFR + 6.00%</w:t>
            </w:r>
          </w:p>
        </w:tc>
        <w:tc>
          <w:tcPr>
            <w:tcW w:w="15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9.76%</w:t>
            </w: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9,711</w:t>
            </w:r>
          </w:p>
        </w:tc>
        <w:tc>
          <w:tcPr>
            <w:tcW w:w="94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9,950</w:t>
            </w:r>
          </w:p>
        </w:tc>
        <w:tc>
          <w:tcPr>
            <w:tcW w:w="1140" w:type="dxa"/>
            <w:vAlign w:val="bottom"/>
            <w:gridSpan w:val="3"/>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0.2%</w:t>
            </w:r>
          </w:p>
        </w:tc>
      </w:tr>
      <w:tr>
        <w:trPr>
          <w:trHeight w:val="117"/>
        </w:trPr>
        <w:tc>
          <w:tcPr>
            <w:tcW w:w="2400" w:type="dxa"/>
            <w:vAlign w:val="bottom"/>
          </w:tcPr>
          <w:p>
            <w:pPr>
              <w:spacing w:after="0" w:line="117" w:lineRule="exact"/>
              <w:rPr>
                <w:sz w:val="20"/>
                <w:szCs w:val="20"/>
                <w:color w:val="auto"/>
              </w:rPr>
            </w:pPr>
            <w:r>
              <w:rPr>
                <w:rFonts w:ascii="Times New Roman" w:cs="Times New Roman" w:eastAsia="Times New Roman" w:hAnsi="Times New Roman"/>
                <w:sz w:val="10"/>
                <w:szCs w:val="10"/>
                <w:color w:val="auto"/>
              </w:rPr>
              <w:t xml:space="preserve">LIHA Holdco B.V. </w:t>
            </w:r>
            <w:r>
              <w:rPr>
                <w:rFonts w:ascii="Times New Roman" w:cs="Times New Roman" w:eastAsia="Times New Roman" w:hAnsi="Times New Roman"/>
                <w:sz w:val="13"/>
                <w:szCs w:val="13"/>
                <w:color w:val="auto"/>
                <w:vertAlign w:val="superscript"/>
              </w:rPr>
              <w:t>(3)(4)(5)</w:t>
            </w:r>
          </w:p>
        </w:tc>
        <w:tc>
          <w:tcPr>
            <w:tcW w:w="2780" w:type="dxa"/>
            <w:vAlign w:val="bottom"/>
          </w:tcPr>
          <w:p>
            <w:pPr>
              <w:ind w:left="40"/>
              <w:spacing w:after="0" w:line="117" w:lineRule="exact"/>
              <w:rPr>
                <w:sz w:val="20"/>
                <w:szCs w:val="20"/>
                <w:color w:val="auto"/>
              </w:rPr>
            </w:pPr>
            <w:r>
              <w:rPr>
                <w:rFonts w:ascii="Times New Roman" w:cs="Times New Roman" w:eastAsia="Times New Roman" w:hAnsi="Times New Roman"/>
                <w:sz w:val="13"/>
                <w:szCs w:val="13"/>
                <w:color w:val="auto"/>
              </w:rPr>
              <w:t>First-lien loan (EUR 5,858 par, due 2/2029)</w:t>
            </w:r>
          </w:p>
        </w:tc>
        <w:tc>
          <w:tcPr>
            <w:tcW w:w="76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2/24/2023</w:t>
            </w:r>
          </w:p>
        </w:tc>
        <w:tc>
          <w:tcPr>
            <w:tcW w:w="1140" w:type="dxa"/>
            <w:vAlign w:val="bottom"/>
          </w:tcPr>
          <w:p>
            <w:pPr>
              <w:jc w:val="right"/>
              <w:ind w:right="117"/>
              <w:spacing w:after="0" w:line="117" w:lineRule="exact"/>
              <w:rPr>
                <w:sz w:val="20"/>
                <w:szCs w:val="20"/>
                <w:color w:val="auto"/>
              </w:rPr>
            </w:pPr>
            <w:r>
              <w:rPr>
                <w:rFonts w:ascii="Times New Roman" w:cs="Times New Roman" w:eastAsia="Times New Roman" w:hAnsi="Times New Roman"/>
                <w:sz w:val="13"/>
                <w:szCs w:val="13"/>
                <w:color w:val="auto"/>
              </w:rPr>
              <w:t>E + 6.50%</w:t>
            </w:r>
          </w:p>
        </w:tc>
        <w:tc>
          <w:tcPr>
            <w:tcW w:w="150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9.09%</w:t>
            </w: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6,234</w:t>
            </w:r>
          </w:p>
        </w:tc>
        <w:tc>
          <w:tcPr>
            <w:tcW w:w="9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6,618</w:t>
            </w:r>
          </w:p>
        </w:tc>
        <w:tc>
          <w:tcPr>
            <w:tcW w:w="114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0.1%</w:t>
            </w:r>
          </w:p>
        </w:tc>
      </w:tr>
      <w:tr>
        <w:trPr>
          <w:trHeight w:val="153"/>
        </w:trPr>
        <w:tc>
          <w:tcPr>
            <w:tcW w:w="240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(EUR 5,827)</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35"/>
        </w:trPr>
        <w:tc>
          <w:tcPr>
            <w:tcW w:w="24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 xml:space="preserve">Raptor US Buyer II Corp. </w:t>
            </w:r>
            <w:r>
              <w:rPr>
                <w:rFonts w:ascii="Times New Roman" w:cs="Times New Roman" w:eastAsia="Times New Roman" w:hAnsi="Times New Roman"/>
                <w:sz w:val="15"/>
                <w:szCs w:val="15"/>
                <w:color w:val="auto"/>
                <w:vertAlign w:val="superscript"/>
              </w:rPr>
              <w:t>(3)(5)</w:t>
            </w:r>
          </w:p>
        </w:tc>
        <w:tc>
          <w:tcPr>
            <w:tcW w:w="278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First-lien loan ($112,802 par, due 3/2029)</w:t>
            </w: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3/24/2023</w:t>
            </w:r>
          </w:p>
        </w:tc>
        <w:tc>
          <w:tcPr>
            <w:tcW w:w="1140" w:type="dxa"/>
            <w:vAlign w:val="bottom"/>
            <w:shd w:val="clear" w:color="auto" w:fill="CFF0FC"/>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SOFR + 6.25%</w:t>
            </w:r>
          </w:p>
        </w:tc>
        <w:tc>
          <w:tcPr>
            <w:tcW w:w="15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10.15%</w:t>
            </w: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111,220</w:t>
            </w:r>
          </w:p>
        </w:tc>
        <w:tc>
          <w:tcPr>
            <w:tcW w:w="94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113,084</w:t>
            </w:r>
          </w:p>
        </w:tc>
        <w:tc>
          <w:tcPr>
            <w:tcW w:w="1140" w:type="dxa"/>
            <w:vAlign w:val="bottom"/>
            <w:gridSpan w:val="3"/>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2.2%</w:t>
            </w:r>
          </w:p>
        </w:tc>
      </w:tr>
      <w:tr>
        <w:trPr>
          <w:trHeight w:val="135"/>
        </w:trPr>
        <w:tc>
          <w:tcPr>
            <w:tcW w:w="2400" w:type="dxa"/>
            <w:vAlign w:val="bottom"/>
          </w:tcPr>
          <w:p>
            <w:pPr>
              <w:spacing w:after="0"/>
              <w:rPr>
                <w:sz w:val="11"/>
                <w:szCs w:val="11"/>
                <w:color w:val="auto"/>
              </w:rPr>
            </w:pPr>
          </w:p>
        </w:tc>
        <w:tc>
          <w:tcPr>
            <w:tcW w:w="278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First-lien revolving loan ($259 par, due 3/2029)</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3/24/2023</w:t>
            </w:r>
          </w:p>
        </w:tc>
        <w:tc>
          <w:tcPr>
            <w:tcW w:w="1140" w:type="dxa"/>
            <w:vAlign w:val="bottom"/>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SOFR + 6.25%</w:t>
            </w:r>
          </w:p>
        </w:tc>
        <w:tc>
          <w:tcPr>
            <w:tcW w:w="1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10.15%</w:t>
            </w: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231</w:t>
            </w:r>
          </w:p>
        </w:tc>
        <w:tc>
          <w:tcPr>
            <w:tcW w:w="9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270</w:t>
            </w:r>
          </w:p>
        </w:tc>
        <w:tc>
          <w:tcPr>
            <w:tcW w:w="1140" w:type="dxa"/>
            <w:vAlign w:val="bottom"/>
            <w:gridSpan w:val="3"/>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0.0%</w:t>
            </w:r>
          </w:p>
        </w:tc>
      </w:tr>
      <w:tr>
        <w:trPr>
          <w:trHeight w:val="135"/>
        </w:trPr>
        <w:tc>
          <w:tcPr>
            <w:tcW w:w="24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 xml:space="preserve">Resistance Holdings, Inc. </w:t>
            </w:r>
            <w:r>
              <w:rPr>
                <w:rFonts w:ascii="Times New Roman" w:cs="Times New Roman" w:eastAsia="Times New Roman" w:hAnsi="Times New Roman"/>
                <w:sz w:val="15"/>
                <w:szCs w:val="15"/>
                <w:color w:val="auto"/>
                <w:vertAlign w:val="superscript"/>
              </w:rPr>
              <w:t>(3)</w:t>
            </w:r>
          </w:p>
        </w:tc>
        <w:tc>
          <w:tcPr>
            <w:tcW w:w="278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First-lien loan ($285,000 par, due 3/2031)</w:t>
            </w: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3/16/2026</w:t>
            </w:r>
          </w:p>
        </w:tc>
        <w:tc>
          <w:tcPr>
            <w:tcW w:w="1140" w:type="dxa"/>
            <w:vAlign w:val="bottom"/>
            <w:shd w:val="clear" w:color="auto" w:fill="CFF0FC"/>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SOFR + 5.00%</w:t>
            </w:r>
          </w:p>
        </w:tc>
        <w:tc>
          <w:tcPr>
            <w:tcW w:w="15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9.07%</w:t>
            </w: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280,981</w:t>
            </w:r>
          </w:p>
        </w:tc>
        <w:tc>
          <w:tcPr>
            <w:tcW w:w="94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283,450</w:t>
            </w:r>
          </w:p>
        </w:tc>
        <w:tc>
          <w:tcPr>
            <w:tcW w:w="1140" w:type="dxa"/>
            <w:vAlign w:val="bottom"/>
            <w:gridSpan w:val="3"/>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5.6%</w:t>
            </w:r>
          </w:p>
        </w:tc>
      </w:tr>
      <w:tr>
        <w:trPr>
          <w:trHeight w:val="148"/>
        </w:trPr>
        <w:tc>
          <w:tcPr>
            <w:tcW w:w="2400" w:type="dxa"/>
            <w:vAlign w:val="bottom"/>
          </w:tcPr>
          <w:p>
            <w:pPr>
              <w:spacing w:after="0" w:line="148" w:lineRule="exact"/>
              <w:rPr>
                <w:sz w:val="20"/>
                <w:szCs w:val="20"/>
                <w:color w:val="auto"/>
              </w:rPr>
            </w:pPr>
            <w:r>
              <w:rPr>
                <w:rFonts w:ascii="Times New Roman" w:cs="Times New Roman" w:eastAsia="Times New Roman" w:hAnsi="Times New Roman"/>
                <w:sz w:val="13"/>
                <w:szCs w:val="13"/>
                <w:color w:val="auto"/>
              </w:rPr>
              <w:t xml:space="preserve">Symplr Software Inc. </w:t>
            </w:r>
            <w:r>
              <w:rPr>
                <w:rFonts w:ascii="Times New Roman" w:cs="Times New Roman" w:eastAsia="Times New Roman" w:hAnsi="Times New Roman"/>
                <w:sz w:val="16"/>
                <w:szCs w:val="16"/>
                <w:color w:val="auto"/>
                <w:vertAlign w:val="superscript"/>
              </w:rPr>
              <w:t>(3)(12)</w:t>
            </w:r>
          </w:p>
        </w:tc>
        <w:tc>
          <w:tcPr>
            <w:tcW w:w="27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First-lien loan ($1,259 par, due 12/2027)</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4/4/2025</w:t>
            </w:r>
          </w:p>
        </w:tc>
        <w:tc>
          <w:tcPr>
            <w:tcW w:w="114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SOFR + 4.60%</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8.42%</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1,039</w:t>
            </w: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0.0%</w:t>
            </w:r>
          </w:p>
        </w:tc>
      </w:tr>
      <w:tr>
        <w:trPr>
          <w:trHeight w:val="148"/>
        </w:trPr>
        <w:tc>
          <w:tcPr>
            <w:tcW w:w="2400" w:type="dxa"/>
            <w:vAlign w:val="bottom"/>
            <w:shd w:val="clear" w:color="auto" w:fill="CFF0FC"/>
          </w:tcPr>
          <w:p>
            <w:pPr>
              <w:spacing w:after="0" w:line="148" w:lineRule="exact"/>
              <w:rPr>
                <w:sz w:val="20"/>
                <w:szCs w:val="20"/>
                <w:color w:val="auto"/>
              </w:rPr>
            </w:pPr>
            <w:r>
              <w:rPr>
                <w:rFonts w:ascii="Times New Roman" w:cs="Times New Roman" w:eastAsia="Times New Roman" w:hAnsi="Times New Roman"/>
                <w:sz w:val="13"/>
                <w:szCs w:val="13"/>
                <w:color w:val="auto"/>
              </w:rPr>
              <w:t xml:space="preserve">Velocity Clinical Research, Inc. </w:t>
            </w:r>
            <w:r>
              <w:rPr>
                <w:rFonts w:ascii="Times New Roman" w:cs="Times New Roman" w:eastAsia="Times New Roman" w:hAnsi="Times New Roman"/>
                <w:sz w:val="16"/>
                <w:szCs w:val="16"/>
                <w:color w:val="auto"/>
                <w:vertAlign w:val="superscript"/>
              </w:rPr>
              <w:t>(3)</w:t>
            </w:r>
          </w:p>
        </w:tc>
        <w:tc>
          <w:tcPr>
            <w:tcW w:w="27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First-lien loan ($275,384 par, due 9/2031)</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9/9/2025</w:t>
            </w:r>
          </w:p>
        </w:tc>
        <w:tc>
          <w:tcPr>
            <w:tcW w:w="1140" w:type="dxa"/>
            <w:vAlign w:val="bottom"/>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SOFR + 7.50%</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11.57%</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271,471</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269,188</w:t>
            </w:r>
          </w:p>
        </w:tc>
        <w:tc>
          <w:tcPr>
            <w:tcW w:w="11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5.3%</w:t>
            </w:r>
          </w:p>
        </w:tc>
      </w:tr>
      <w:tr>
        <w:trPr>
          <w:trHeight w:val="148"/>
        </w:trPr>
        <w:tc>
          <w:tcPr>
            <w:tcW w:w="2400" w:type="dxa"/>
            <w:vAlign w:val="bottom"/>
          </w:tcPr>
          <w:p>
            <w:pPr>
              <w:spacing w:after="0"/>
              <w:rPr>
                <w:sz w:val="12"/>
                <w:szCs w:val="12"/>
                <w:color w:val="auto"/>
              </w:rPr>
            </w:pPr>
          </w:p>
        </w:tc>
        <w:tc>
          <w:tcPr>
            <w:tcW w:w="27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First-lien revolving loan ($2,236 par, due 9/2031)</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9/9/2025</w:t>
            </w:r>
          </w:p>
        </w:tc>
        <w:tc>
          <w:tcPr>
            <w:tcW w:w="114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SOFR + 7.50%</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11.57%</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1,934</w:t>
            </w: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0.0%</w:t>
            </w:r>
          </w:p>
        </w:tc>
      </w:tr>
      <w:tr>
        <w:trPr>
          <w:trHeight w:val="135"/>
        </w:trPr>
        <w:tc>
          <w:tcPr>
            <w:tcW w:w="24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 xml:space="preserve">Women's Care Holdings, Inc. </w:t>
            </w:r>
            <w:r>
              <w:rPr>
                <w:rFonts w:ascii="Times New Roman" w:cs="Times New Roman" w:eastAsia="Times New Roman" w:hAnsi="Times New Roman"/>
                <w:sz w:val="15"/>
                <w:szCs w:val="15"/>
                <w:color w:val="auto"/>
                <w:vertAlign w:val="superscript"/>
              </w:rPr>
              <w:t>(3)</w:t>
            </w:r>
          </w:p>
        </w:tc>
        <w:tc>
          <w:tcPr>
            <w:tcW w:w="278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First-lien loan ($110,391 par, due 8/2031)</w:t>
            </w: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8/25/2026</w:t>
            </w:r>
          </w:p>
        </w:tc>
        <w:tc>
          <w:tcPr>
            <w:tcW w:w="1140" w:type="dxa"/>
            <w:vAlign w:val="bottom"/>
            <w:shd w:val="clear" w:color="auto" w:fill="CFF0FC"/>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SOFR + 5.50%</w:t>
            </w:r>
          </w:p>
        </w:tc>
        <w:tc>
          <w:tcPr>
            <w:tcW w:w="15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9.24%</w:t>
            </w: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108,611</w:t>
            </w:r>
          </w:p>
        </w:tc>
        <w:tc>
          <w:tcPr>
            <w:tcW w:w="16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108,581</w:t>
            </w:r>
          </w:p>
        </w:tc>
        <w:tc>
          <w:tcPr>
            <w:tcW w:w="160" w:type="dxa"/>
            <w:vAlign w:val="bottom"/>
            <w:shd w:val="clear" w:color="auto" w:fill="CFF0FC"/>
          </w:tcPr>
          <w:p>
            <w:pPr>
              <w:spacing w:after="0"/>
              <w:rPr>
                <w:sz w:val="11"/>
                <w:szCs w:val="11"/>
                <w:color w:val="auto"/>
              </w:rPr>
            </w:pPr>
          </w:p>
        </w:tc>
        <w:tc>
          <w:tcPr>
            <w:tcW w:w="980" w:type="dxa"/>
            <w:vAlign w:val="bottom"/>
            <w:gridSpan w:val="2"/>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2.1%</w:t>
            </w:r>
          </w:p>
        </w:tc>
      </w:tr>
      <w:tr>
        <w:trPr>
          <w:trHeight w:val="20"/>
        </w:trPr>
        <w:tc>
          <w:tcPr>
            <w:tcW w:w="2400" w:type="dxa"/>
            <w:vAlign w:val="bottom"/>
            <w:shd w:val="clear" w:color="auto" w:fill="CFF0FC"/>
          </w:tcPr>
          <w:p>
            <w:pPr>
              <w:spacing w:after="0" w:line="20" w:lineRule="exact"/>
              <w:rPr>
                <w:sz w:val="1"/>
                <w:szCs w:val="1"/>
                <w:color w:val="auto"/>
              </w:rPr>
            </w:pPr>
          </w:p>
        </w:tc>
        <w:tc>
          <w:tcPr>
            <w:tcW w:w="2780" w:type="dxa"/>
            <w:vAlign w:val="bottom"/>
            <w:shd w:val="clear" w:color="auto" w:fill="CFF0FC"/>
          </w:tcPr>
          <w:p>
            <w:pPr>
              <w:spacing w:after="0" w:line="20" w:lineRule="exact"/>
              <w:rPr>
                <w:sz w:val="1"/>
                <w:szCs w:val="1"/>
                <w:color w:val="auto"/>
              </w:rPr>
            </w:pPr>
          </w:p>
        </w:tc>
        <w:tc>
          <w:tcPr>
            <w:tcW w:w="760" w:type="dxa"/>
            <w:vAlign w:val="bottom"/>
            <w:shd w:val="clear" w:color="auto" w:fill="CFF0FC"/>
          </w:tcPr>
          <w:p>
            <w:pPr>
              <w:spacing w:after="0" w:line="20" w:lineRule="exact"/>
              <w:rPr>
                <w:sz w:val="1"/>
                <w:szCs w:val="1"/>
                <w:color w:val="auto"/>
              </w:rPr>
            </w:pPr>
          </w:p>
        </w:tc>
        <w:tc>
          <w:tcPr>
            <w:tcW w:w="1140" w:type="dxa"/>
            <w:vAlign w:val="bottom"/>
            <w:shd w:val="clear" w:color="auto" w:fill="CFF0FC"/>
          </w:tcPr>
          <w:p>
            <w:pPr>
              <w:spacing w:after="0" w:line="20" w:lineRule="exact"/>
              <w:rPr>
                <w:sz w:val="1"/>
                <w:szCs w:val="1"/>
                <w:color w:val="auto"/>
              </w:rPr>
            </w:pPr>
          </w:p>
        </w:tc>
        <w:tc>
          <w:tcPr>
            <w:tcW w:w="150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10"/>
        </w:trPr>
        <w:tc>
          <w:tcPr>
            <w:tcW w:w="2400" w:type="dxa"/>
            <w:vAlign w:val="bottom"/>
          </w:tcPr>
          <w:p>
            <w:pPr>
              <w:spacing w:after="0"/>
              <w:rPr>
                <w:sz w:val="9"/>
                <w:szCs w:val="9"/>
                <w:color w:val="auto"/>
              </w:rPr>
            </w:pPr>
          </w:p>
        </w:tc>
        <w:tc>
          <w:tcPr>
            <w:tcW w:w="2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580" w:type="dxa"/>
            <w:vAlign w:val="bottom"/>
          </w:tcPr>
          <w:p>
            <w:pPr>
              <w:jc w:val="right"/>
              <w:spacing w:after="0" w:line="110" w:lineRule="exact"/>
              <w:rPr>
                <w:sz w:val="20"/>
                <w:szCs w:val="20"/>
                <w:color w:val="auto"/>
              </w:rPr>
            </w:pPr>
            <w:r>
              <w:rPr>
                <w:rFonts w:ascii="Times New Roman" w:cs="Times New Roman" w:eastAsia="Times New Roman" w:hAnsi="Times New Roman"/>
                <w:sz w:val="12"/>
                <w:szCs w:val="12"/>
                <w:color w:val="auto"/>
              </w:rPr>
              <w:t>1,243,07</w:t>
            </w:r>
          </w:p>
        </w:tc>
        <w:tc>
          <w:tcPr>
            <w:tcW w:w="160" w:type="dxa"/>
            <w:vAlign w:val="bottom"/>
          </w:tcPr>
          <w:p>
            <w:pPr>
              <w:spacing w:after="0"/>
              <w:rPr>
                <w:sz w:val="9"/>
                <w:szCs w:val="9"/>
                <w:color w:val="auto"/>
              </w:rPr>
            </w:pPr>
          </w:p>
        </w:tc>
        <w:tc>
          <w:tcPr>
            <w:tcW w:w="780" w:type="dxa"/>
            <w:vAlign w:val="bottom"/>
          </w:tcPr>
          <w:p>
            <w:pPr>
              <w:jc w:val="right"/>
              <w:spacing w:after="0" w:line="110" w:lineRule="exact"/>
              <w:rPr>
                <w:sz w:val="20"/>
                <w:szCs w:val="20"/>
                <w:color w:val="auto"/>
              </w:rPr>
            </w:pPr>
            <w:r>
              <w:rPr>
                <w:rFonts w:ascii="Times New Roman" w:cs="Times New Roman" w:eastAsia="Times New Roman" w:hAnsi="Times New Roman"/>
                <w:sz w:val="12"/>
                <w:szCs w:val="12"/>
                <w:color w:val="auto"/>
              </w:rPr>
              <w:t>1,250,272</w:t>
            </w:r>
          </w:p>
        </w:tc>
        <w:tc>
          <w:tcPr>
            <w:tcW w:w="160" w:type="dxa"/>
            <w:vAlign w:val="bottom"/>
          </w:tcPr>
          <w:p>
            <w:pPr>
              <w:spacing w:after="0"/>
              <w:rPr>
                <w:sz w:val="9"/>
                <w:szCs w:val="9"/>
                <w:color w:val="auto"/>
              </w:rPr>
            </w:pPr>
          </w:p>
        </w:tc>
        <w:tc>
          <w:tcPr>
            <w:tcW w:w="980" w:type="dxa"/>
            <w:vAlign w:val="bottom"/>
            <w:gridSpan w:val="2"/>
          </w:tcPr>
          <w:p>
            <w:pPr>
              <w:jc w:val="right"/>
              <w:ind w:right="20"/>
              <w:spacing w:after="0" w:line="110" w:lineRule="exact"/>
              <w:rPr>
                <w:sz w:val="20"/>
                <w:szCs w:val="20"/>
                <w:color w:val="auto"/>
              </w:rPr>
            </w:pPr>
            <w:r>
              <w:rPr>
                <w:rFonts w:ascii="Times New Roman" w:cs="Times New Roman" w:eastAsia="Times New Roman" w:hAnsi="Times New Roman"/>
                <w:sz w:val="12"/>
                <w:szCs w:val="12"/>
                <w:color w:val="auto"/>
              </w:rPr>
              <w:t>24.6%</w:t>
            </w:r>
          </w:p>
        </w:tc>
      </w:tr>
      <w:tr>
        <w:trPr>
          <w:trHeight w:val="153"/>
        </w:trPr>
        <w:tc>
          <w:tcPr>
            <w:tcW w:w="240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6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28"/>
        </w:trPr>
        <w:tc>
          <w:tcPr>
            <w:tcW w:w="240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Hotel, Gaming and Leisure</w:t>
            </w:r>
          </w:p>
        </w:tc>
        <w:tc>
          <w:tcPr>
            <w:tcW w:w="27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15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40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 xml:space="preserve">AVSC Holding Corp. </w:t>
            </w:r>
            <w:r>
              <w:rPr>
                <w:rFonts w:ascii="Times New Roman" w:cs="Times New Roman" w:eastAsia="Times New Roman" w:hAnsi="Times New Roman"/>
                <w:sz w:val="15"/>
                <w:szCs w:val="15"/>
                <w:color w:val="auto"/>
                <w:vertAlign w:val="superscript"/>
              </w:rPr>
              <w:t>(3)</w:t>
            </w:r>
          </w:p>
        </w:tc>
        <w:tc>
          <w:tcPr>
            <w:tcW w:w="278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First-lien loan ($244,693 par, due 12/2031)</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12/5/2024</w:t>
            </w:r>
          </w:p>
        </w:tc>
        <w:tc>
          <w:tcPr>
            <w:tcW w:w="1140" w:type="dxa"/>
            <w:vAlign w:val="bottom"/>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SOFR + 5.00%</w:t>
            </w:r>
          </w:p>
        </w:tc>
        <w:tc>
          <w:tcPr>
            <w:tcW w:w="1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8.90%</w:t>
            </w: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240,804</w:t>
            </w:r>
          </w:p>
        </w:tc>
        <w:tc>
          <w:tcPr>
            <w:tcW w:w="9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244,693</w:t>
            </w:r>
          </w:p>
        </w:tc>
        <w:tc>
          <w:tcPr>
            <w:tcW w:w="1140" w:type="dxa"/>
            <w:vAlign w:val="bottom"/>
            <w:gridSpan w:val="3"/>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4.8%</w:t>
            </w:r>
          </w:p>
        </w:tc>
      </w:tr>
      <w:tr>
        <w:trPr>
          <w:trHeight w:val="135"/>
        </w:trPr>
        <w:tc>
          <w:tcPr>
            <w:tcW w:w="2400" w:type="dxa"/>
            <w:vAlign w:val="bottom"/>
            <w:shd w:val="clear" w:color="auto" w:fill="CFF0FC"/>
          </w:tcPr>
          <w:p>
            <w:pPr>
              <w:spacing w:after="0"/>
              <w:rPr>
                <w:sz w:val="11"/>
                <w:szCs w:val="11"/>
                <w:color w:val="auto"/>
              </w:rPr>
            </w:pPr>
          </w:p>
        </w:tc>
        <w:tc>
          <w:tcPr>
            <w:tcW w:w="278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First-lien revolving loan ($10,526 par, due 12/2029)</w:t>
            </w: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12/5/2024</w:t>
            </w:r>
          </w:p>
        </w:tc>
        <w:tc>
          <w:tcPr>
            <w:tcW w:w="1140" w:type="dxa"/>
            <w:vAlign w:val="bottom"/>
            <w:shd w:val="clear" w:color="auto" w:fill="CFF0FC"/>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SOFR + 5.00%</w:t>
            </w:r>
          </w:p>
        </w:tc>
        <w:tc>
          <w:tcPr>
            <w:tcW w:w="15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8.90%</w:t>
            </w: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10,188</w:t>
            </w:r>
          </w:p>
        </w:tc>
        <w:tc>
          <w:tcPr>
            <w:tcW w:w="94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10,526</w:t>
            </w:r>
          </w:p>
        </w:tc>
        <w:tc>
          <w:tcPr>
            <w:tcW w:w="1140" w:type="dxa"/>
            <w:vAlign w:val="bottom"/>
            <w:gridSpan w:val="3"/>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0.2%</w:t>
            </w:r>
          </w:p>
        </w:tc>
      </w:tr>
      <w:tr>
        <w:trPr>
          <w:trHeight w:val="117"/>
        </w:trPr>
        <w:tc>
          <w:tcPr>
            <w:tcW w:w="2400" w:type="dxa"/>
            <w:vAlign w:val="bottom"/>
          </w:tcPr>
          <w:p>
            <w:pPr>
              <w:spacing w:after="0" w:line="117" w:lineRule="exact"/>
              <w:rPr>
                <w:sz w:val="20"/>
                <w:szCs w:val="20"/>
                <w:color w:val="auto"/>
              </w:rPr>
            </w:pPr>
            <w:r>
              <w:rPr>
                <w:rFonts w:ascii="Times New Roman" w:cs="Times New Roman" w:eastAsia="Times New Roman" w:hAnsi="Times New Roman"/>
                <w:sz w:val="10"/>
                <w:szCs w:val="10"/>
                <w:color w:val="auto"/>
              </w:rPr>
              <w:t xml:space="preserve">Casper Lux Aggregator S.A.R.L. </w:t>
            </w:r>
            <w:r>
              <w:rPr>
                <w:rFonts w:ascii="Times New Roman" w:cs="Times New Roman" w:eastAsia="Times New Roman" w:hAnsi="Times New Roman"/>
                <w:sz w:val="13"/>
                <w:szCs w:val="13"/>
                <w:color w:val="auto"/>
                <w:vertAlign w:val="superscript"/>
              </w:rPr>
              <w:t>(3)(4)</w:t>
            </w:r>
          </w:p>
        </w:tc>
        <w:tc>
          <w:tcPr>
            <w:tcW w:w="2780" w:type="dxa"/>
            <w:vAlign w:val="bottom"/>
          </w:tcPr>
          <w:p>
            <w:pPr>
              <w:ind w:left="40"/>
              <w:spacing w:after="0" w:line="117" w:lineRule="exact"/>
              <w:rPr>
                <w:sz w:val="20"/>
                <w:szCs w:val="20"/>
                <w:color w:val="auto"/>
              </w:rPr>
            </w:pPr>
            <w:r>
              <w:rPr>
                <w:rFonts w:ascii="Times New Roman" w:cs="Times New Roman" w:eastAsia="Times New Roman" w:hAnsi="Times New Roman"/>
                <w:sz w:val="13"/>
                <w:szCs w:val="13"/>
                <w:color w:val="auto"/>
              </w:rPr>
              <w:t>First-lien loan (EUR 60,000 par, due 3/2032)</w:t>
            </w:r>
          </w:p>
        </w:tc>
        <w:tc>
          <w:tcPr>
            <w:tcW w:w="76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8/28/2026</w:t>
            </w:r>
          </w:p>
        </w:tc>
        <w:tc>
          <w:tcPr>
            <w:tcW w:w="1140" w:type="dxa"/>
            <w:vAlign w:val="bottom"/>
          </w:tcPr>
          <w:p>
            <w:pPr>
              <w:jc w:val="right"/>
              <w:ind w:right="117"/>
              <w:spacing w:after="0" w:line="117" w:lineRule="exact"/>
              <w:rPr>
                <w:sz w:val="20"/>
                <w:szCs w:val="20"/>
                <w:color w:val="auto"/>
              </w:rPr>
            </w:pPr>
            <w:r>
              <w:rPr>
                <w:rFonts w:ascii="Times New Roman" w:cs="Times New Roman" w:eastAsia="Times New Roman" w:hAnsi="Times New Roman"/>
                <w:sz w:val="13"/>
                <w:szCs w:val="13"/>
                <w:color w:val="auto"/>
              </w:rPr>
              <w:t>E + 8.25%</w:t>
            </w:r>
          </w:p>
        </w:tc>
        <w:tc>
          <w:tcPr>
            <w:tcW w:w="150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10.80%</w:t>
            </w: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68,349</w:t>
            </w:r>
          </w:p>
        </w:tc>
        <w:tc>
          <w:tcPr>
            <w:tcW w:w="9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66,618</w:t>
            </w:r>
          </w:p>
        </w:tc>
        <w:tc>
          <w:tcPr>
            <w:tcW w:w="114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1.3%</w:t>
            </w:r>
          </w:p>
        </w:tc>
      </w:tr>
      <w:tr>
        <w:trPr>
          <w:trHeight w:val="153"/>
        </w:trPr>
        <w:tc>
          <w:tcPr>
            <w:tcW w:w="240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(EUR 58,650)</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35"/>
        </w:trPr>
        <w:tc>
          <w:tcPr>
            <w:tcW w:w="24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Equinox Holdings, Inc.</w:t>
            </w:r>
          </w:p>
        </w:tc>
        <w:tc>
          <w:tcPr>
            <w:tcW w:w="278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2"/>
                <w:szCs w:val="12"/>
                <w:color w:val="auto"/>
              </w:rPr>
              <w:t xml:space="preserve">First-lien loan ($208,376 par, due 3/2029) </w:t>
            </w:r>
            <w:r>
              <w:rPr>
                <w:rFonts w:ascii="Times New Roman" w:cs="Times New Roman" w:eastAsia="Times New Roman" w:hAnsi="Times New Roman"/>
                <w:sz w:val="15"/>
                <w:szCs w:val="15"/>
                <w:color w:val="auto"/>
                <w:vertAlign w:val="superscript"/>
              </w:rPr>
              <w:t>(3)</w:t>
            </w: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3/8/2024</w:t>
            </w:r>
          </w:p>
        </w:tc>
        <w:tc>
          <w:tcPr>
            <w:tcW w:w="1140" w:type="dxa"/>
            <w:vAlign w:val="bottom"/>
            <w:shd w:val="clear" w:color="auto" w:fill="CFF0FC"/>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SOFR + 7.25%</w:t>
            </w:r>
          </w:p>
        </w:tc>
        <w:tc>
          <w:tcPr>
            <w:tcW w:w="15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11.32%</w:t>
            </w: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206,354</w:t>
            </w:r>
          </w:p>
        </w:tc>
        <w:tc>
          <w:tcPr>
            <w:tcW w:w="94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210,460</w:t>
            </w:r>
          </w:p>
        </w:tc>
        <w:tc>
          <w:tcPr>
            <w:tcW w:w="1140" w:type="dxa"/>
            <w:vAlign w:val="bottom"/>
            <w:gridSpan w:val="3"/>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4.1%</w:t>
            </w:r>
          </w:p>
        </w:tc>
      </w:tr>
      <w:tr>
        <w:trPr>
          <w:trHeight w:val="135"/>
        </w:trPr>
        <w:tc>
          <w:tcPr>
            <w:tcW w:w="2400" w:type="dxa"/>
            <w:vAlign w:val="bottom"/>
          </w:tcPr>
          <w:p>
            <w:pPr>
              <w:spacing w:after="0"/>
              <w:rPr>
                <w:sz w:val="11"/>
                <w:szCs w:val="11"/>
                <w:color w:val="auto"/>
              </w:rPr>
            </w:pPr>
          </w:p>
        </w:tc>
        <w:tc>
          <w:tcPr>
            <w:tcW w:w="278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Second-lien loan ($12,350 par, due 6/2027)</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3/13/2024</w:t>
            </w:r>
          </w:p>
        </w:tc>
        <w:tc>
          <w:tcPr>
            <w:tcW w:w="11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16.00%</w:t>
            </w:r>
          </w:p>
        </w:tc>
        <w:tc>
          <w:tcPr>
            <w:tcW w:w="1500" w:type="dxa"/>
            <w:vAlign w:val="bottom"/>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16.00% PIK</w:t>
            </w: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12,283</w:t>
            </w:r>
          </w:p>
        </w:tc>
        <w:tc>
          <w:tcPr>
            <w:tcW w:w="9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13,616</w:t>
            </w:r>
          </w:p>
        </w:tc>
        <w:tc>
          <w:tcPr>
            <w:tcW w:w="1140" w:type="dxa"/>
            <w:vAlign w:val="bottom"/>
            <w:gridSpan w:val="3"/>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0.3%</w:t>
            </w:r>
          </w:p>
        </w:tc>
      </w:tr>
      <w:tr>
        <w:trPr>
          <w:trHeight w:val="135"/>
        </w:trPr>
        <w:tc>
          <w:tcPr>
            <w:tcW w:w="24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 xml:space="preserve">Mindbody, Inc. </w:t>
            </w:r>
            <w:r>
              <w:rPr>
                <w:rFonts w:ascii="Times New Roman" w:cs="Times New Roman" w:eastAsia="Times New Roman" w:hAnsi="Times New Roman"/>
                <w:sz w:val="15"/>
                <w:szCs w:val="15"/>
                <w:color w:val="auto"/>
                <w:vertAlign w:val="superscript"/>
              </w:rPr>
              <w:t>(3)</w:t>
            </w:r>
          </w:p>
        </w:tc>
        <w:tc>
          <w:tcPr>
            <w:tcW w:w="278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First-lien loan ($177,333 par, due 3/2033)</w:t>
            </w: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3/30/2026</w:t>
            </w:r>
          </w:p>
        </w:tc>
        <w:tc>
          <w:tcPr>
            <w:tcW w:w="1140" w:type="dxa"/>
            <w:vAlign w:val="bottom"/>
            <w:shd w:val="clear" w:color="auto" w:fill="CFF0FC"/>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SOFR + 6.00%</w:t>
            </w:r>
          </w:p>
        </w:tc>
        <w:tc>
          <w:tcPr>
            <w:tcW w:w="15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10.07%</w:t>
            </w: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174,489</w:t>
            </w:r>
          </w:p>
        </w:tc>
        <w:tc>
          <w:tcPr>
            <w:tcW w:w="94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173,841</w:t>
            </w:r>
          </w:p>
        </w:tc>
        <w:tc>
          <w:tcPr>
            <w:tcW w:w="1140" w:type="dxa"/>
            <w:vAlign w:val="bottom"/>
            <w:gridSpan w:val="3"/>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3.4%</w:t>
            </w:r>
          </w:p>
        </w:tc>
      </w:tr>
      <w:tr>
        <w:trPr>
          <w:trHeight w:val="117"/>
        </w:trPr>
        <w:tc>
          <w:tcPr>
            <w:tcW w:w="2400" w:type="dxa"/>
            <w:vAlign w:val="bottom"/>
          </w:tcPr>
          <w:p>
            <w:pPr>
              <w:spacing w:after="0" w:line="117" w:lineRule="exact"/>
              <w:rPr>
                <w:sz w:val="20"/>
                <w:szCs w:val="20"/>
                <w:color w:val="auto"/>
              </w:rPr>
            </w:pPr>
            <w:r>
              <w:rPr>
                <w:rFonts w:ascii="Times New Roman" w:cs="Times New Roman" w:eastAsia="Times New Roman" w:hAnsi="Times New Roman"/>
                <w:sz w:val="10"/>
                <w:szCs w:val="10"/>
                <w:color w:val="auto"/>
              </w:rPr>
              <w:t xml:space="preserve">Sport Alliance GmbH </w:t>
            </w:r>
            <w:r>
              <w:rPr>
                <w:rFonts w:ascii="Times New Roman" w:cs="Times New Roman" w:eastAsia="Times New Roman" w:hAnsi="Times New Roman"/>
                <w:sz w:val="13"/>
                <w:szCs w:val="13"/>
                <w:color w:val="auto"/>
                <w:vertAlign w:val="superscript"/>
              </w:rPr>
              <w:t>(3)(4)</w:t>
            </w:r>
          </w:p>
        </w:tc>
        <w:tc>
          <w:tcPr>
            <w:tcW w:w="2780" w:type="dxa"/>
            <w:vAlign w:val="bottom"/>
          </w:tcPr>
          <w:p>
            <w:pPr>
              <w:ind w:left="40"/>
              <w:spacing w:after="0" w:line="117" w:lineRule="exact"/>
              <w:rPr>
                <w:sz w:val="20"/>
                <w:szCs w:val="20"/>
                <w:color w:val="auto"/>
              </w:rPr>
            </w:pPr>
            <w:r>
              <w:rPr>
                <w:rFonts w:ascii="Times New Roman" w:cs="Times New Roman" w:eastAsia="Times New Roman" w:hAnsi="Times New Roman"/>
                <w:sz w:val="13"/>
                <w:szCs w:val="13"/>
                <w:color w:val="auto"/>
              </w:rPr>
              <w:t>First-lien loan (EUR 38,307 par, due 4/2030)</w:t>
            </w:r>
          </w:p>
        </w:tc>
        <w:tc>
          <w:tcPr>
            <w:tcW w:w="76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4/10/2024</w:t>
            </w:r>
          </w:p>
        </w:tc>
        <w:tc>
          <w:tcPr>
            <w:tcW w:w="1140" w:type="dxa"/>
            <w:vAlign w:val="bottom"/>
          </w:tcPr>
          <w:p>
            <w:pPr>
              <w:jc w:val="right"/>
              <w:ind w:right="117"/>
              <w:spacing w:after="0" w:line="117" w:lineRule="exact"/>
              <w:rPr>
                <w:sz w:val="20"/>
                <w:szCs w:val="20"/>
                <w:color w:val="auto"/>
              </w:rPr>
            </w:pPr>
            <w:r>
              <w:rPr>
                <w:rFonts w:ascii="Times New Roman" w:cs="Times New Roman" w:eastAsia="Times New Roman" w:hAnsi="Times New Roman"/>
                <w:sz w:val="13"/>
                <w:szCs w:val="13"/>
                <w:color w:val="auto"/>
              </w:rPr>
              <w:t>E + 7.75%</w:t>
            </w:r>
          </w:p>
        </w:tc>
        <w:tc>
          <w:tcPr>
            <w:tcW w:w="1500" w:type="dxa"/>
            <w:vAlign w:val="bottom"/>
          </w:tcPr>
          <w:p>
            <w:pPr>
              <w:jc w:val="right"/>
              <w:ind w:right="157"/>
              <w:spacing w:after="0" w:line="117" w:lineRule="exact"/>
              <w:rPr>
                <w:sz w:val="20"/>
                <w:szCs w:val="20"/>
                <w:color w:val="auto"/>
              </w:rPr>
            </w:pPr>
            <w:r>
              <w:rPr>
                <w:rFonts w:ascii="Times New Roman" w:cs="Times New Roman" w:eastAsia="Times New Roman" w:hAnsi="Times New Roman"/>
                <w:sz w:val="13"/>
                <w:szCs w:val="13"/>
                <w:color w:val="auto"/>
              </w:rPr>
              <w:t>10.20% (incl. 4.13%</w:t>
            </w: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43,521</w:t>
            </w:r>
          </w:p>
        </w:tc>
        <w:tc>
          <w:tcPr>
            <w:tcW w:w="9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43,117</w:t>
            </w:r>
          </w:p>
        </w:tc>
        <w:tc>
          <w:tcPr>
            <w:tcW w:w="114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0.9%</w:t>
            </w:r>
          </w:p>
        </w:tc>
      </w:tr>
      <w:tr>
        <w:trPr>
          <w:trHeight w:val="153"/>
        </w:trPr>
        <w:tc>
          <w:tcPr>
            <w:tcW w:w="240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50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PIK)</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(EUR 37,960)</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17"/>
        </w:trPr>
        <w:tc>
          <w:tcPr>
            <w:tcW w:w="2400" w:type="dxa"/>
            <w:vAlign w:val="bottom"/>
            <w:shd w:val="clear" w:color="auto" w:fill="CFF0FC"/>
          </w:tcPr>
          <w:p>
            <w:pPr>
              <w:spacing w:after="0"/>
              <w:rPr>
                <w:sz w:val="10"/>
                <w:szCs w:val="10"/>
                <w:color w:val="auto"/>
              </w:rPr>
            </w:pPr>
          </w:p>
        </w:tc>
        <w:tc>
          <w:tcPr>
            <w:tcW w:w="2780" w:type="dxa"/>
            <w:vAlign w:val="bottom"/>
            <w:shd w:val="clear" w:color="auto" w:fill="CFF0FC"/>
          </w:tcPr>
          <w:p>
            <w:pPr>
              <w:ind w:left="40"/>
              <w:spacing w:after="0" w:line="117" w:lineRule="exact"/>
              <w:rPr>
                <w:sz w:val="20"/>
                <w:szCs w:val="20"/>
                <w:color w:val="auto"/>
              </w:rPr>
            </w:pPr>
            <w:r>
              <w:rPr>
                <w:rFonts w:ascii="Times New Roman" w:cs="Times New Roman" w:eastAsia="Times New Roman" w:hAnsi="Times New Roman"/>
                <w:sz w:val="13"/>
                <w:szCs w:val="13"/>
                <w:color w:val="auto"/>
              </w:rPr>
              <w:t>First-lien revolving loan (EUR 83 par, due 4/2030)</w:t>
            </w:r>
          </w:p>
        </w:tc>
        <w:tc>
          <w:tcPr>
            <w:tcW w:w="76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4/10/2024</w:t>
            </w:r>
          </w:p>
        </w:tc>
        <w:tc>
          <w:tcPr>
            <w:tcW w:w="1140" w:type="dxa"/>
            <w:vAlign w:val="bottom"/>
            <w:shd w:val="clear" w:color="auto" w:fill="CFF0FC"/>
          </w:tcPr>
          <w:p>
            <w:pPr>
              <w:jc w:val="right"/>
              <w:ind w:right="117"/>
              <w:spacing w:after="0" w:line="117" w:lineRule="exact"/>
              <w:rPr>
                <w:sz w:val="20"/>
                <w:szCs w:val="20"/>
                <w:color w:val="auto"/>
              </w:rPr>
            </w:pPr>
            <w:r>
              <w:rPr>
                <w:rFonts w:ascii="Times New Roman" w:cs="Times New Roman" w:eastAsia="Times New Roman" w:hAnsi="Times New Roman"/>
                <w:sz w:val="13"/>
                <w:szCs w:val="13"/>
                <w:color w:val="auto"/>
              </w:rPr>
              <w:t>E + 7.25%</w:t>
            </w:r>
          </w:p>
        </w:tc>
        <w:tc>
          <w:tcPr>
            <w:tcW w:w="150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9.84%</w:t>
            </w:r>
          </w:p>
        </w:tc>
        <w:tc>
          <w:tcPr>
            <w:tcW w:w="58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80</w:t>
            </w:r>
          </w:p>
        </w:tc>
        <w:tc>
          <w:tcPr>
            <w:tcW w:w="94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93</w:t>
            </w:r>
          </w:p>
        </w:tc>
        <w:tc>
          <w:tcPr>
            <w:tcW w:w="1140" w:type="dxa"/>
            <w:vAlign w:val="bottom"/>
            <w:gridSpan w:val="3"/>
            <w:shd w:val="clear" w:color="auto" w:fill="CFF0FC"/>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0.0%</w:t>
            </w:r>
          </w:p>
        </w:tc>
      </w:tr>
      <w:tr>
        <w:trPr>
          <w:trHeight w:val="153"/>
        </w:trPr>
        <w:tc>
          <w:tcPr>
            <w:tcW w:w="2400" w:type="dxa"/>
            <w:vAlign w:val="bottom"/>
            <w:tcBorders>
              <w:bottom w:val="single" w:sz="8" w:color="CFF0FC"/>
            </w:tcBorders>
            <w:shd w:val="clear" w:color="auto" w:fill="CFF0FC"/>
          </w:tcPr>
          <w:p>
            <w:pPr>
              <w:spacing w:after="0"/>
              <w:rPr>
                <w:sz w:val="13"/>
                <w:szCs w:val="13"/>
                <w:color w:val="auto"/>
              </w:rPr>
            </w:pPr>
          </w:p>
        </w:tc>
        <w:tc>
          <w:tcPr>
            <w:tcW w:w="2780" w:type="dxa"/>
            <w:vAlign w:val="bottom"/>
            <w:tcBorders>
              <w:bottom w:val="single" w:sz="8" w:color="CFF0FC"/>
            </w:tcBorders>
            <w:shd w:val="clear" w:color="auto" w:fill="CFF0FC"/>
          </w:tcPr>
          <w:p>
            <w:pPr>
              <w:spacing w:after="0"/>
              <w:rPr>
                <w:sz w:val="13"/>
                <w:szCs w:val="13"/>
                <w:color w:val="auto"/>
              </w:rPr>
            </w:pPr>
          </w:p>
        </w:tc>
        <w:tc>
          <w:tcPr>
            <w:tcW w:w="760" w:type="dxa"/>
            <w:vAlign w:val="bottom"/>
            <w:tcBorders>
              <w:bottom w:val="single" w:sz="8" w:color="CFF0FC"/>
            </w:tcBorders>
            <w:shd w:val="clear" w:color="auto" w:fill="CFF0FC"/>
          </w:tcPr>
          <w:p>
            <w:pPr>
              <w:spacing w:after="0"/>
              <w:rPr>
                <w:sz w:val="13"/>
                <w:szCs w:val="13"/>
                <w:color w:val="auto"/>
              </w:rPr>
            </w:pPr>
          </w:p>
        </w:tc>
        <w:tc>
          <w:tcPr>
            <w:tcW w:w="1140" w:type="dxa"/>
            <w:vAlign w:val="bottom"/>
            <w:tcBorders>
              <w:bottom w:val="single" w:sz="8" w:color="CFF0FC"/>
            </w:tcBorders>
            <w:shd w:val="clear" w:color="auto" w:fill="CFF0FC"/>
          </w:tcPr>
          <w:p>
            <w:pPr>
              <w:spacing w:after="0"/>
              <w:rPr>
                <w:sz w:val="13"/>
                <w:szCs w:val="13"/>
                <w:color w:val="auto"/>
              </w:rPr>
            </w:pPr>
          </w:p>
        </w:tc>
        <w:tc>
          <w:tcPr>
            <w:tcW w:w="1500" w:type="dxa"/>
            <w:vAlign w:val="bottom"/>
            <w:tcBorders>
              <w:bottom w:val="single" w:sz="8" w:color="CFF0FC"/>
            </w:tcBorders>
            <w:shd w:val="clear" w:color="auto" w:fill="CFF0FC"/>
          </w:tcPr>
          <w:p>
            <w:pPr>
              <w:spacing w:after="0"/>
              <w:rPr>
                <w:sz w:val="13"/>
                <w:szCs w:val="13"/>
                <w:color w:val="auto"/>
              </w:rPr>
            </w:pPr>
          </w:p>
        </w:tc>
        <w:tc>
          <w:tcPr>
            <w:tcW w:w="580" w:type="dxa"/>
            <w:vAlign w:val="bottom"/>
            <w:tcBorders>
              <w:bottom w:val="single" w:sz="8" w:color="auto"/>
            </w:tcBorders>
            <w:shd w:val="clear" w:color="auto" w:fill="CFF0FC"/>
          </w:tcPr>
          <w:p>
            <w:pPr>
              <w:spacing w:after="0"/>
              <w:rPr>
                <w:sz w:val="13"/>
                <w:szCs w:val="13"/>
                <w:color w:val="auto"/>
              </w:rPr>
            </w:pPr>
          </w:p>
        </w:tc>
        <w:tc>
          <w:tcPr>
            <w:tcW w:w="16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(EUR 82)</w:t>
            </w:r>
          </w:p>
        </w:tc>
        <w:tc>
          <w:tcPr>
            <w:tcW w:w="16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auto"/>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r>
      <w:tr>
        <w:trPr>
          <w:trHeight w:val="129"/>
        </w:trPr>
        <w:tc>
          <w:tcPr>
            <w:tcW w:w="240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756,068</w:t>
            </w:r>
          </w:p>
        </w:tc>
        <w:tc>
          <w:tcPr>
            <w:tcW w:w="94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762,964</w:t>
            </w:r>
          </w:p>
        </w:tc>
        <w:tc>
          <w:tcPr>
            <w:tcW w:w="1140" w:type="dxa"/>
            <w:vAlign w:val="bottom"/>
            <w:gridSpan w:val="3"/>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15.0%</w:t>
            </w:r>
          </w:p>
        </w:tc>
      </w:tr>
      <w:tr>
        <w:trPr>
          <w:trHeight w:val="128"/>
        </w:trPr>
        <w:tc>
          <w:tcPr>
            <w:tcW w:w="240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Human Resource Support Services</w:t>
            </w:r>
          </w:p>
        </w:tc>
        <w:tc>
          <w:tcPr>
            <w:tcW w:w="27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1500" w:type="dxa"/>
            <w:vAlign w:val="bottom"/>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80" w:type="dxa"/>
            <w:vAlign w:val="bottom"/>
            <w:tcBorders>
              <w:top w:val="single" w:sz="8" w:color="auto"/>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6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40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 xml:space="preserve">bswift, LLC </w:t>
            </w:r>
            <w:r>
              <w:rPr>
                <w:rFonts w:ascii="Times New Roman" w:cs="Times New Roman" w:eastAsia="Times New Roman" w:hAnsi="Times New Roman"/>
                <w:sz w:val="15"/>
                <w:szCs w:val="15"/>
                <w:color w:val="auto"/>
                <w:vertAlign w:val="superscript"/>
              </w:rPr>
              <w:t>(3)(5)</w:t>
            </w:r>
          </w:p>
        </w:tc>
        <w:tc>
          <w:tcPr>
            <w:tcW w:w="278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First-lien loan ($209,828 par, due 11/2028)</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11/7/2022</w:t>
            </w:r>
          </w:p>
        </w:tc>
        <w:tc>
          <w:tcPr>
            <w:tcW w:w="1140" w:type="dxa"/>
            <w:vAlign w:val="bottom"/>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SOFR + 4.75%</w:t>
            </w:r>
          </w:p>
        </w:tc>
        <w:tc>
          <w:tcPr>
            <w:tcW w:w="1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8.49%</w:t>
            </w: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207,733</w:t>
            </w:r>
          </w:p>
        </w:tc>
        <w:tc>
          <w:tcPr>
            <w:tcW w:w="9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208,779</w:t>
            </w:r>
          </w:p>
        </w:tc>
        <w:tc>
          <w:tcPr>
            <w:tcW w:w="1140" w:type="dxa"/>
            <w:vAlign w:val="bottom"/>
            <w:gridSpan w:val="3"/>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4.1%</w:t>
            </w:r>
          </w:p>
        </w:tc>
      </w:tr>
      <w:tr>
        <w:trPr>
          <w:trHeight w:val="135"/>
        </w:trPr>
        <w:tc>
          <w:tcPr>
            <w:tcW w:w="24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 xml:space="preserve">HireVue, Inc. </w:t>
            </w:r>
            <w:r>
              <w:rPr>
                <w:rFonts w:ascii="Times New Roman" w:cs="Times New Roman" w:eastAsia="Times New Roman" w:hAnsi="Times New Roman"/>
                <w:sz w:val="15"/>
                <w:szCs w:val="15"/>
                <w:color w:val="auto"/>
                <w:vertAlign w:val="superscript"/>
              </w:rPr>
              <w:t>(3)</w:t>
            </w:r>
          </w:p>
        </w:tc>
        <w:tc>
          <w:tcPr>
            <w:tcW w:w="278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First-lien loan ($119,941 par, due 5/2029)</w:t>
            </w: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5/3/2023</w:t>
            </w:r>
          </w:p>
        </w:tc>
        <w:tc>
          <w:tcPr>
            <w:tcW w:w="1140" w:type="dxa"/>
            <w:vAlign w:val="bottom"/>
            <w:shd w:val="clear" w:color="auto" w:fill="CFF0FC"/>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SOFR + 7.75%</w:t>
            </w:r>
          </w:p>
        </w:tc>
        <w:tc>
          <w:tcPr>
            <w:tcW w:w="15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11.60%</w:t>
            </w: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118,585</w:t>
            </w:r>
          </w:p>
        </w:tc>
        <w:tc>
          <w:tcPr>
            <w:tcW w:w="94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105,548</w:t>
            </w:r>
          </w:p>
        </w:tc>
        <w:tc>
          <w:tcPr>
            <w:tcW w:w="1140" w:type="dxa"/>
            <w:vAlign w:val="bottom"/>
            <w:gridSpan w:val="3"/>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2.1%</w:t>
            </w:r>
          </w:p>
        </w:tc>
      </w:tr>
      <w:tr>
        <w:trPr>
          <w:trHeight w:val="135"/>
        </w:trPr>
        <w:tc>
          <w:tcPr>
            <w:tcW w:w="2400" w:type="dxa"/>
            <w:vAlign w:val="bottom"/>
          </w:tcPr>
          <w:p>
            <w:pPr>
              <w:spacing w:after="0"/>
              <w:rPr>
                <w:sz w:val="11"/>
                <w:szCs w:val="11"/>
                <w:color w:val="auto"/>
              </w:rPr>
            </w:pPr>
          </w:p>
        </w:tc>
        <w:tc>
          <w:tcPr>
            <w:tcW w:w="278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First-lien revolving loan ($14,257 par, due 5/2029)</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5/3/2023</w:t>
            </w:r>
          </w:p>
        </w:tc>
        <w:tc>
          <w:tcPr>
            <w:tcW w:w="1140" w:type="dxa"/>
            <w:vAlign w:val="bottom"/>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SOFR + 7.75%</w:t>
            </w:r>
          </w:p>
        </w:tc>
        <w:tc>
          <w:tcPr>
            <w:tcW w:w="1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11.82%</w:t>
            </w: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14,080</w:t>
            </w:r>
          </w:p>
        </w:tc>
        <w:tc>
          <w:tcPr>
            <w:tcW w:w="9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12,546</w:t>
            </w:r>
          </w:p>
        </w:tc>
        <w:tc>
          <w:tcPr>
            <w:tcW w:w="1140" w:type="dxa"/>
            <w:vAlign w:val="bottom"/>
            <w:gridSpan w:val="3"/>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0.2%</w:t>
            </w:r>
          </w:p>
        </w:tc>
      </w:tr>
      <w:tr>
        <w:trPr>
          <w:trHeight w:val="135"/>
        </w:trPr>
        <w:tc>
          <w:tcPr>
            <w:tcW w:w="24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 xml:space="preserve">PayScale Holdings, Inc. </w:t>
            </w:r>
            <w:r>
              <w:rPr>
                <w:rFonts w:ascii="Times New Roman" w:cs="Times New Roman" w:eastAsia="Times New Roman" w:hAnsi="Times New Roman"/>
                <w:sz w:val="15"/>
                <w:szCs w:val="15"/>
                <w:color w:val="auto"/>
                <w:vertAlign w:val="superscript"/>
              </w:rPr>
              <w:t>(3)(5)</w:t>
            </w:r>
          </w:p>
        </w:tc>
        <w:tc>
          <w:tcPr>
            <w:tcW w:w="278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First-lien loan ($71,543 par, due 10/2029)</w:t>
            </w: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10/31/2025</w:t>
            </w:r>
          </w:p>
        </w:tc>
        <w:tc>
          <w:tcPr>
            <w:tcW w:w="1140" w:type="dxa"/>
            <w:vAlign w:val="bottom"/>
            <w:shd w:val="clear" w:color="auto" w:fill="CFF0FC"/>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SOFR + 5.00%</w:t>
            </w:r>
          </w:p>
        </w:tc>
        <w:tc>
          <w:tcPr>
            <w:tcW w:w="15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9.07%</w:t>
            </w: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71,109</w:t>
            </w:r>
          </w:p>
        </w:tc>
        <w:tc>
          <w:tcPr>
            <w:tcW w:w="16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70,470</w:t>
            </w:r>
          </w:p>
        </w:tc>
        <w:tc>
          <w:tcPr>
            <w:tcW w:w="160" w:type="dxa"/>
            <w:vAlign w:val="bottom"/>
            <w:shd w:val="clear" w:color="auto" w:fill="CFF0FC"/>
          </w:tcPr>
          <w:p>
            <w:pPr>
              <w:spacing w:after="0"/>
              <w:rPr>
                <w:sz w:val="11"/>
                <w:szCs w:val="11"/>
                <w:color w:val="auto"/>
              </w:rPr>
            </w:pPr>
          </w:p>
        </w:tc>
        <w:tc>
          <w:tcPr>
            <w:tcW w:w="980" w:type="dxa"/>
            <w:vAlign w:val="bottom"/>
            <w:gridSpan w:val="2"/>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1.4%</w:t>
            </w:r>
          </w:p>
        </w:tc>
      </w:tr>
      <w:tr>
        <w:trPr>
          <w:trHeight w:val="20"/>
        </w:trPr>
        <w:tc>
          <w:tcPr>
            <w:tcW w:w="2400" w:type="dxa"/>
            <w:vAlign w:val="bottom"/>
            <w:shd w:val="clear" w:color="auto" w:fill="CFF0FC"/>
          </w:tcPr>
          <w:p>
            <w:pPr>
              <w:spacing w:after="0" w:line="20" w:lineRule="exact"/>
              <w:rPr>
                <w:sz w:val="1"/>
                <w:szCs w:val="1"/>
                <w:color w:val="auto"/>
              </w:rPr>
            </w:pPr>
          </w:p>
        </w:tc>
        <w:tc>
          <w:tcPr>
            <w:tcW w:w="2780" w:type="dxa"/>
            <w:vAlign w:val="bottom"/>
            <w:shd w:val="clear" w:color="auto" w:fill="CFF0FC"/>
          </w:tcPr>
          <w:p>
            <w:pPr>
              <w:spacing w:after="0" w:line="20" w:lineRule="exact"/>
              <w:rPr>
                <w:sz w:val="1"/>
                <w:szCs w:val="1"/>
                <w:color w:val="auto"/>
              </w:rPr>
            </w:pPr>
          </w:p>
        </w:tc>
        <w:tc>
          <w:tcPr>
            <w:tcW w:w="760" w:type="dxa"/>
            <w:vAlign w:val="bottom"/>
            <w:shd w:val="clear" w:color="auto" w:fill="CFF0FC"/>
          </w:tcPr>
          <w:p>
            <w:pPr>
              <w:spacing w:after="0" w:line="20" w:lineRule="exact"/>
              <w:rPr>
                <w:sz w:val="1"/>
                <w:szCs w:val="1"/>
                <w:color w:val="auto"/>
              </w:rPr>
            </w:pPr>
          </w:p>
        </w:tc>
        <w:tc>
          <w:tcPr>
            <w:tcW w:w="1140" w:type="dxa"/>
            <w:vAlign w:val="bottom"/>
            <w:shd w:val="clear" w:color="auto" w:fill="CFF0FC"/>
          </w:tcPr>
          <w:p>
            <w:pPr>
              <w:spacing w:after="0" w:line="20" w:lineRule="exact"/>
              <w:rPr>
                <w:sz w:val="1"/>
                <w:szCs w:val="1"/>
                <w:color w:val="auto"/>
              </w:rPr>
            </w:pPr>
          </w:p>
        </w:tc>
        <w:tc>
          <w:tcPr>
            <w:tcW w:w="150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28"/>
        </w:trPr>
        <w:tc>
          <w:tcPr>
            <w:tcW w:w="240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411,507</w:t>
            </w:r>
          </w:p>
        </w:tc>
        <w:tc>
          <w:tcPr>
            <w:tcW w:w="160" w:type="dxa"/>
            <w:vAlign w:val="bottom"/>
          </w:tcPr>
          <w:p>
            <w:pPr>
              <w:spacing w:after="0"/>
              <w:rPr>
                <w:sz w:val="11"/>
                <w:szCs w:val="11"/>
                <w:color w:val="auto"/>
              </w:rPr>
            </w:pPr>
          </w:p>
        </w:tc>
        <w:tc>
          <w:tcPr>
            <w:tcW w:w="7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397,343</w:t>
            </w:r>
          </w:p>
        </w:tc>
        <w:tc>
          <w:tcPr>
            <w:tcW w:w="160" w:type="dxa"/>
            <w:vAlign w:val="bottom"/>
          </w:tcPr>
          <w:p>
            <w:pPr>
              <w:spacing w:after="0"/>
              <w:rPr>
                <w:sz w:val="11"/>
                <w:szCs w:val="11"/>
                <w:color w:val="auto"/>
              </w:rPr>
            </w:pPr>
          </w:p>
        </w:tc>
        <w:tc>
          <w:tcPr>
            <w:tcW w:w="98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7.8%</w:t>
            </w:r>
          </w:p>
        </w:tc>
      </w:tr>
      <w:tr>
        <w:trPr>
          <w:trHeight w:val="128"/>
        </w:trPr>
        <w:tc>
          <w:tcPr>
            <w:tcW w:w="240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Internet Services</w:t>
            </w:r>
          </w:p>
        </w:tc>
        <w:tc>
          <w:tcPr>
            <w:tcW w:w="27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1500" w:type="dxa"/>
            <w:vAlign w:val="bottom"/>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80" w:type="dxa"/>
            <w:vAlign w:val="bottom"/>
            <w:tcBorders>
              <w:top w:val="single" w:sz="8" w:color="auto"/>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6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40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 xml:space="preserve">Arrow Buyer, Inc. </w:t>
            </w:r>
            <w:r>
              <w:rPr>
                <w:rFonts w:ascii="Times New Roman" w:cs="Times New Roman" w:eastAsia="Times New Roman" w:hAnsi="Times New Roman"/>
                <w:sz w:val="15"/>
                <w:szCs w:val="15"/>
                <w:color w:val="auto"/>
                <w:vertAlign w:val="superscript"/>
              </w:rPr>
              <w:t>(3)</w:t>
            </w:r>
          </w:p>
        </w:tc>
        <w:tc>
          <w:tcPr>
            <w:tcW w:w="278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First-lien loan ($133,815 par, due 7/2030)</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6/30/2023</w:t>
            </w:r>
          </w:p>
        </w:tc>
        <w:tc>
          <w:tcPr>
            <w:tcW w:w="1140" w:type="dxa"/>
            <w:vAlign w:val="bottom"/>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SOFR + 5.00%</w:t>
            </w:r>
          </w:p>
        </w:tc>
        <w:tc>
          <w:tcPr>
            <w:tcW w:w="1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9.07%</w:t>
            </w: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131,743</w:t>
            </w:r>
          </w:p>
        </w:tc>
        <w:tc>
          <w:tcPr>
            <w:tcW w:w="9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132,811</w:t>
            </w:r>
          </w:p>
        </w:tc>
        <w:tc>
          <w:tcPr>
            <w:tcW w:w="1140" w:type="dxa"/>
            <w:vAlign w:val="bottom"/>
            <w:gridSpan w:val="3"/>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2.6%</w:t>
            </w:r>
          </w:p>
        </w:tc>
      </w:tr>
      <w:tr>
        <w:trPr>
          <w:trHeight w:val="135"/>
        </w:trPr>
        <w:tc>
          <w:tcPr>
            <w:tcW w:w="24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 xml:space="preserve">Big Wombat Holdings, Inc. </w:t>
            </w:r>
            <w:r>
              <w:rPr>
                <w:rFonts w:ascii="Times New Roman" w:cs="Times New Roman" w:eastAsia="Times New Roman" w:hAnsi="Times New Roman"/>
                <w:sz w:val="15"/>
                <w:szCs w:val="15"/>
                <w:color w:val="auto"/>
                <w:vertAlign w:val="superscript"/>
              </w:rPr>
              <w:t>(3)(5)</w:t>
            </w:r>
          </w:p>
        </w:tc>
        <w:tc>
          <w:tcPr>
            <w:tcW w:w="278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First-lien loan ($25,767 par, due 4/2031)</w:t>
            </w: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10/20/2025</w:t>
            </w:r>
          </w:p>
        </w:tc>
        <w:tc>
          <w:tcPr>
            <w:tcW w:w="1140" w:type="dxa"/>
            <w:vAlign w:val="bottom"/>
            <w:shd w:val="clear" w:color="auto" w:fill="CFF0FC"/>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SOFR + 7.00%</w:t>
            </w:r>
          </w:p>
        </w:tc>
        <w:tc>
          <w:tcPr>
            <w:tcW w:w="15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11.07%</w:t>
            </w: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25,324</w:t>
            </w:r>
          </w:p>
        </w:tc>
        <w:tc>
          <w:tcPr>
            <w:tcW w:w="94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25,445</w:t>
            </w:r>
          </w:p>
        </w:tc>
        <w:tc>
          <w:tcPr>
            <w:tcW w:w="1140" w:type="dxa"/>
            <w:vAlign w:val="bottom"/>
            <w:gridSpan w:val="3"/>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0.5%</w:t>
            </w:r>
          </w:p>
        </w:tc>
      </w:tr>
      <w:tr>
        <w:trPr>
          <w:trHeight w:val="135"/>
        </w:trPr>
        <w:tc>
          <w:tcPr>
            <w:tcW w:w="240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 xml:space="preserve">Coupa Holdings, LLC </w:t>
            </w:r>
            <w:r>
              <w:rPr>
                <w:rFonts w:ascii="Times New Roman" w:cs="Times New Roman" w:eastAsia="Times New Roman" w:hAnsi="Times New Roman"/>
                <w:sz w:val="15"/>
                <w:szCs w:val="15"/>
                <w:color w:val="auto"/>
                <w:vertAlign w:val="superscript"/>
              </w:rPr>
              <w:t>(3)</w:t>
            </w:r>
          </w:p>
        </w:tc>
        <w:tc>
          <w:tcPr>
            <w:tcW w:w="278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First-lien loan ($156,883 par, due 2/2030)</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2/27/2023</w:t>
            </w:r>
          </w:p>
        </w:tc>
        <w:tc>
          <w:tcPr>
            <w:tcW w:w="1140" w:type="dxa"/>
            <w:vAlign w:val="bottom"/>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SOFR + 5.25%</w:t>
            </w:r>
          </w:p>
        </w:tc>
        <w:tc>
          <w:tcPr>
            <w:tcW w:w="1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9.07%</w:t>
            </w: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154,532</w:t>
            </w:r>
          </w:p>
        </w:tc>
        <w:tc>
          <w:tcPr>
            <w:tcW w:w="9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153,745</w:t>
            </w:r>
          </w:p>
        </w:tc>
        <w:tc>
          <w:tcPr>
            <w:tcW w:w="1140" w:type="dxa"/>
            <w:vAlign w:val="bottom"/>
            <w:gridSpan w:val="3"/>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3.0%</w:t>
            </w:r>
          </w:p>
        </w:tc>
      </w:tr>
      <w:tr>
        <w:trPr>
          <w:trHeight w:val="135"/>
        </w:trPr>
        <w:tc>
          <w:tcPr>
            <w:tcW w:w="2400" w:type="dxa"/>
            <w:vAlign w:val="bottom"/>
            <w:shd w:val="clear" w:color="auto" w:fill="CFF0FC"/>
          </w:tcPr>
          <w:p>
            <w:pPr>
              <w:spacing w:after="0"/>
              <w:rPr>
                <w:sz w:val="11"/>
                <w:szCs w:val="11"/>
                <w:color w:val="auto"/>
              </w:rPr>
            </w:pPr>
          </w:p>
        </w:tc>
        <w:tc>
          <w:tcPr>
            <w:tcW w:w="278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First-lien revolving loan ($6,692 par, due 2/2029)</w:t>
            </w: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2/27/2023</w:t>
            </w:r>
          </w:p>
        </w:tc>
        <w:tc>
          <w:tcPr>
            <w:tcW w:w="1140" w:type="dxa"/>
            <w:vAlign w:val="bottom"/>
            <w:shd w:val="clear" w:color="auto" w:fill="CFF0FC"/>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SOFR + 5.25%</w:t>
            </w:r>
          </w:p>
        </w:tc>
        <w:tc>
          <w:tcPr>
            <w:tcW w:w="15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9.07%</w:t>
            </w: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6,564</w:t>
            </w:r>
          </w:p>
        </w:tc>
        <w:tc>
          <w:tcPr>
            <w:tcW w:w="94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6,491</w:t>
            </w:r>
          </w:p>
        </w:tc>
        <w:tc>
          <w:tcPr>
            <w:tcW w:w="1140" w:type="dxa"/>
            <w:vAlign w:val="bottom"/>
            <w:gridSpan w:val="3"/>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0.1%</w:t>
            </w:r>
          </w:p>
        </w:tc>
      </w:tr>
      <w:tr>
        <w:trPr>
          <w:trHeight w:val="135"/>
        </w:trPr>
        <w:tc>
          <w:tcPr>
            <w:tcW w:w="240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 xml:space="preserve">EDB Parent, LLC </w:t>
            </w:r>
            <w:r>
              <w:rPr>
                <w:rFonts w:ascii="Times New Roman" w:cs="Times New Roman" w:eastAsia="Times New Roman" w:hAnsi="Times New Roman"/>
                <w:sz w:val="15"/>
                <w:szCs w:val="15"/>
                <w:color w:val="auto"/>
                <w:vertAlign w:val="superscript"/>
              </w:rPr>
              <w:t>(3)(5)</w:t>
            </w:r>
          </w:p>
        </w:tc>
        <w:tc>
          <w:tcPr>
            <w:tcW w:w="278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First-lien loan ($18,583 par, due 7/2028)</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8/6/2025</w:t>
            </w:r>
          </w:p>
        </w:tc>
        <w:tc>
          <w:tcPr>
            <w:tcW w:w="1140" w:type="dxa"/>
            <w:vAlign w:val="bottom"/>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SOFR + 5.75%</w:t>
            </w:r>
          </w:p>
        </w:tc>
        <w:tc>
          <w:tcPr>
            <w:tcW w:w="1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9.57%</w:t>
            </w: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18,451</w:t>
            </w:r>
          </w:p>
        </w:tc>
        <w:tc>
          <w:tcPr>
            <w:tcW w:w="9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18,397</w:t>
            </w:r>
          </w:p>
        </w:tc>
        <w:tc>
          <w:tcPr>
            <w:tcW w:w="1140" w:type="dxa"/>
            <w:vAlign w:val="bottom"/>
            <w:gridSpan w:val="3"/>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0.4%</w:t>
            </w:r>
          </w:p>
        </w:tc>
      </w:tr>
      <w:tr>
        <w:trPr>
          <w:trHeight w:val="117"/>
        </w:trPr>
        <w:tc>
          <w:tcPr>
            <w:tcW w:w="240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0"/>
                <w:szCs w:val="10"/>
                <w:color w:val="auto"/>
              </w:rPr>
              <w:t xml:space="preserve">Hippo XPA Bidco AB </w:t>
            </w:r>
            <w:r>
              <w:rPr>
                <w:rFonts w:ascii="Times New Roman" w:cs="Times New Roman" w:eastAsia="Times New Roman" w:hAnsi="Times New Roman"/>
                <w:sz w:val="13"/>
                <w:szCs w:val="13"/>
                <w:color w:val="auto"/>
                <w:vertAlign w:val="superscript"/>
              </w:rPr>
              <w:t>(3)(4)(5)</w:t>
            </w:r>
          </w:p>
        </w:tc>
        <w:tc>
          <w:tcPr>
            <w:tcW w:w="2780" w:type="dxa"/>
            <w:vAlign w:val="bottom"/>
            <w:shd w:val="clear" w:color="auto" w:fill="CFF0FC"/>
          </w:tcPr>
          <w:p>
            <w:pPr>
              <w:ind w:left="40"/>
              <w:spacing w:after="0" w:line="117" w:lineRule="exact"/>
              <w:rPr>
                <w:sz w:val="20"/>
                <w:szCs w:val="20"/>
                <w:color w:val="auto"/>
              </w:rPr>
            </w:pPr>
            <w:r>
              <w:rPr>
                <w:rFonts w:ascii="Times New Roman" w:cs="Times New Roman" w:eastAsia="Times New Roman" w:hAnsi="Times New Roman"/>
                <w:sz w:val="13"/>
                <w:szCs w:val="13"/>
                <w:color w:val="auto"/>
              </w:rPr>
              <w:t>First-lien loan (SEK 881,131 par, due 2/2031)</w:t>
            </w:r>
          </w:p>
        </w:tc>
        <w:tc>
          <w:tcPr>
            <w:tcW w:w="76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2/20/2024</w:t>
            </w:r>
          </w:p>
        </w:tc>
        <w:tc>
          <w:tcPr>
            <w:tcW w:w="1140" w:type="dxa"/>
            <w:vAlign w:val="bottom"/>
            <w:shd w:val="clear" w:color="auto" w:fill="CFF0FC"/>
          </w:tcPr>
          <w:p>
            <w:pPr>
              <w:jc w:val="right"/>
              <w:ind w:right="117"/>
              <w:spacing w:after="0" w:line="117" w:lineRule="exact"/>
              <w:rPr>
                <w:sz w:val="20"/>
                <w:szCs w:val="20"/>
                <w:color w:val="auto"/>
              </w:rPr>
            </w:pPr>
            <w:r>
              <w:rPr>
                <w:rFonts w:ascii="Times New Roman" w:cs="Times New Roman" w:eastAsia="Times New Roman" w:hAnsi="Times New Roman"/>
                <w:sz w:val="13"/>
                <w:szCs w:val="13"/>
                <w:color w:val="auto"/>
              </w:rPr>
              <w:t>STIBOR + 6.50%</w:t>
            </w:r>
          </w:p>
        </w:tc>
        <w:tc>
          <w:tcPr>
            <w:tcW w:w="1500" w:type="dxa"/>
            <w:vAlign w:val="bottom"/>
            <w:shd w:val="clear" w:color="auto" w:fill="CFF0FC"/>
          </w:tcPr>
          <w:p>
            <w:pPr>
              <w:jc w:val="right"/>
              <w:ind w:right="117"/>
              <w:spacing w:after="0" w:line="117" w:lineRule="exact"/>
              <w:rPr>
                <w:sz w:val="20"/>
                <w:szCs w:val="20"/>
                <w:color w:val="auto"/>
              </w:rPr>
            </w:pPr>
            <w:r>
              <w:rPr>
                <w:rFonts w:ascii="Times New Roman" w:cs="Times New Roman" w:eastAsia="Times New Roman" w:hAnsi="Times New Roman"/>
                <w:sz w:val="13"/>
                <w:szCs w:val="13"/>
                <w:color w:val="auto"/>
              </w:rPr>
              <w:t>8.58% (incl. 3.50% PIK)</w:t>
            </w:r>
          </w:p>
        </w:tc>
        <w:tc>
          <w:tcPr>
            <w:tcW w:w="58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89,207</w:t>
            </w:r>
          </w:p>
        </w:tc>
        <w:tc>
          <w:tcPr>
            <w:tcW w:w="94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86,966</w:t>
            </w:r>
          </w:p>
        </w:tc>
        <w:tc>
          <w:tcPr>
            <w:tcW w:w="1140" w:type="dxa"/>
            <w:vAlign w:val="bottom"/>
            <w:gridSpan w:val="3"/>
            <w:shd w:val="clear" w:color="auto" w:fill="CFF0FC"/>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1.7%</w:t>
            </w:r>
          </w:p>
        </w:tc>
      </w:tr>
      <w:tr>
        <w:trPr>
          <w:trHeight w:val="135"/>
        </w:trPr>
        <w:tc>
          <w:tcPr>
            <w:tcW w:w="2400" w:type="dxa"/>
            <w:vAlign w:val="bottom"/>
            <w:shd w:val="clear" w:color="auto" w:fill="CFF0FC"/>
          </w:tcPr>
          <w:p>
            <w:pPr>
              <w:spacing w:after="0"/>
              <w:rPr>
                <w:sz w:val="11"/>
                <w:szCs w:val="11"/>
                <w:color w:val="auto"/>
              </w:rPr>
            </w:pPr>
          </w:p>
        </w:tc>
        <w:tc>
          <w:tcPr>
            <w:tcW w:w="27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15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(SEK</w:t>
            </w:r>
          </w:p>
        </w:tc>
        <w:tc>
          <w:tcPr>
            <w:tcW w:w="1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53"/>
        </w:trPr>
        <w:tc>
          <w:tcPr>
            <w:tcW w:w="2400" w:type="dxa"/>
            <w:vAlign w:val="bottom"/>
            <w:shd w:val="clear" w:color="auto" w:fill="CFF0FC"/>
          </w:tcPr>
          <w:p>
            <w:pPr>
              <w:spacing w:after="0"/>
              <w:rPr>
                <w:sz w:val="13"/>
                <w:szCs w:val="13"/>
                <w:color w:val="auto"/>
              </w:rPr>
            </w:pPr>
          </w:p>
        </w:tc>
        <w:tc>
          <w:tcPr>
            <w:tcW w:w="27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5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867,800)</w:t>
            </w: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17"/>
        </w:trPr>
        <w:tc>
          <w:tcPr>
            <w:tcW w:w="2400" w:type="dxa"/>
            <w:vAlign w:val="bottom"/>
          </w:tcPr>
          <w:p>
            <w:pPr>
              <w:spacing w:after="0"/>
              <w:rPr>
                <w:sz w:val="10"/>
                <w:szCs w:val="10"/>
                <w:color w:val="auto"/>
              </w:rPr>
            </w:pPr>
          </w:p>
        </w:tc>
        <w:tc>
          <w:tcPr>
            <w:tcW w:w="2780" w:type="dxa"/>
            <w:vAlign w:val="bottom"/>
          </w:tcPr>
          <w:p>
            <w:pPr>
              <w:ind w:left="40"/>
              <w:spacing w:after="0" w:line="117" w:lineRule="exact"/>
              <w:rPr>
                <w:sz w:val="20"/>
                <w:szCs w:val="20"/>
                <w:color w:val="auto"/>
              </w:rPr>
            </w:pPr>
            <w:r>
              <w:rPr>
                <w:rFonts w:ascii="Times New Roman" w:cs="Times New Roman" w:eastAsia="Times New Roman" w:hAnsi="Times New Roman"/>
                <w:sz w:val="13"/>
                <w:szCs w:val="13"/>
                <w:color w:val="auto"/>
              </w:rPr>
              <w:t>First-lien loan (EUR 2,641 par, due 2/2031)</w:t>
            </w:r>
          </w:p>
        </w:tc>
        <w:tc>
          <w:tcPr>
            <w:tcW w:w="76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2/20/2024</w:t>
            </w:r>
          </w:p>
        </w:tc>
        <w:tc>
          <w:tcPr>
            <w:tcW w:w="1140" w:type="dxa"/>
            <w:vAlign w:val="bottom"/>
          </w:tcPr>
          <w:p>
            <w:pPr>
              <w:jc w:val="right"/>
              <w:ind w:right="117"/>
              <w:spacing w:after="0" w:line="117" w:lineRule="exact"/>
              <w:rPr>
                <w:sz w:val="20"/>
                <w:szCs w:val="20"/>
                <w:color w:val="auto"/>
              </w:rPr>
            </w:pPr>
            <w:r>
              <w:rPr>
                <w:rFonts w:ascii="Times New Roman" w:cs="Times New Roman" w:eastAsia="Times New Roman" w:hAnsi="Times New Roman"/>
                <w:sz w:val="13"/>
                <w:szCs w:val="13"/>
                <w:color w:val="auto"/>
              </w:rPr>
              <w:t>E + 6.50%</w:t>
            </w:r>
          </w:p>
        </w:tc>
        <w:tc>
          <w:tcPr>
            <w:tcW w:w="1500" w:type="dxa"/>
            <w:vAlign w:val="bottom"/>
          </w:tcPr>
          <w:p>
            <w:pPr>
              <w:jc w:val="right"/>
              <w:ind w:right="117"/>
              <w:spacing w:after="0" w:line="117" w:lineRule="exact"/>
              <w:rPr>
                <w:sz w:val="20"/>
                <w:szCs w:val="20"/>
                <w:color w:val="auto"/>
              </w:rPr>
            </w:pPr>
            <w:r>
              <w:rPr>
                <w:rFonts w:ascii="Times New Roman" w:cs="Times New Roman" w:eastAsia="Times New Roman" w:hAnsi="Times New Roman"/>
                <w:sz w:val="13"/>
                <w:szCs w:val="13"/>
                <w:color w:val="auto"/>
              </w:rPr>
              <w:t>9.09% (incl. 3.50% PIK)</w:t>
            </w: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2,843</w:t>
            </w:r>
          </w:p>
        </w:tc>
        <w:tc>
          <w:tcPr>
            <w:tcW w:w="9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3,000</w:t>
            </w:r>
          </w:p>
        </w:tc>
        <w:tc>
          <w:tcPr>
            <w:tcW w:w="114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0.1%</w:t>
            </w:r>
          </w:p>
        </w:tc>
      </w:tr>
      <w:tr>
        <w:trPr>
          <w:trHeight w:val="153"/>
        </w:trPr>
        <w:tc>
          <w:tcPr>
            <w:tcW w:w="240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(EUR 2,641)</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35"/>
        </w:trPr>
        <w:tc>
          <w:tcPr>
            <w:tcW w:w="24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 xml:space="preserve">Kaseware Intermediate Holding Company </w:t>
            </w:r>
            <w:r>
              <w:rPr>
                <w:rFonts w:ascii="Times New Roman" w:cs="Times New Roman" w:eastAsia="Times New Roman" w:hAnsi="Times New Roman"/>
                <w:sz w:val="15"/>
                <w:szCs w:val="15"/>
                <w:color w:val="auto"/>
                <w:vertAlign w:val="superscript"/>
              </w:rPr>
              <w:t>(3)(5)</w:t>
            </w:r>
          </w:p>
        </w:tc>
        <w:tc>
          <w:tcPr>
            <w:tcW w:w="278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First-lien loan ($32,941 par, due 10/2031)</w:t>
            </w: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10/20/2025</w:t>
            </w:r>
          </w:p>
        </w:tc>
        <w:tc>
          <w:tcPr>
            <w:tcW w:w="1140" w:type="dxa"/>
            <w:vAlign w:val="bottom"/>
            <w:shd w:val="clear" w:color="auto" w:fill="CFF0FC"/>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SOFR + 5.50%</w:t>
            </w:r>
          </w:p>
        </w:tc>
        <w:tc>
          <w:tcPr>
            <w:tcW w:w="15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9.25%</w:t>
            </w: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32,386</w:t>
            </w:r>
          </w:p>
        </w:tc>
        <w:tc>
          <w:tcPr>
            <w:tcW w:w="94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32,282</w:t>
            </w:r>
          </w:p>
        </w:tc>
        <w:tc>
          <w:tcPr>
            <w:tcW w:w="1140" w:type="dxa"/>
            <w:vAlign w:val="bottom"/>
            <w:gridSpan w:val="3"/>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0.6%</w:t>
            </w:r>
          </w:p>
        </w:tc>
      </w:tr>
      <w:tr>
        <w:trPr>
          <w:trHeight w:val="135"/>
        </w:trPr>
        <w:tc>
          <w:tcPr>
            <w:tcW w:w="2400" w:type="dxa"/>
            <w:vAlign w:val="bottom"/>
          </w:tcPr>
          <w:p>
            <w:pPr>
              <w:spacing w:after="0"/>
              <w:rPr>
                <w:sz w:val="11"/>
                <w:szCs w:val="11"/>
                <w:color w:val="auto"/>
              </w:rPr>
            </w:pPr>
          </w:p>
        </w:tc>
        <w:tc>
          <w:tcPr>
            <w:tcW w:w="278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First-lien revolving loan ($618 par, due 10/2031)</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10/20/2025</w:t>
            </w:r>
          </w:p>
        </w:tc>
        <w:tc>
          <w:tcPr>
            <w:tcW w:w="1140" w:type="dxa"/>
            <w:vAlign w:val="bottom"/>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SOFR + 5.50%</w:t>
            </w:r>
          </w:p>
        </w:tc>
        <w:tc>
          <w:tcPr>
            <w:tcW w:w="1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9.26%</w:t>
            </w: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583</w:t>
            </w:r>
          </w:p>
        </w:tc>
        <w:tc>
          <w:tcPr>
            <w:tcW w:w="9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576</w:t>
            </w:r>
          </w:p>
        </w:tc>
        <w:tc>
          <w:tcPr>
            <w:tcW w:w="1140" w:type="dxa"/>
            <w:vAlign w:val="bottom"/>
            <w:gridSpan w:val="3"/>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0.0%</w:t>
            </w:r>
          </w:p>
        </w:tc>
      </w:tr>
      <w:tr>
        <w:trPr>
          <w:trHeight w:val="135"/>
        </w:trPr>
        <w:tc>
          <w:tcPr>
            <w:tcW w:w="24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 xml:space="preserve">Kryptona BidCo US, LLC </w:t>
            </w:r>
            <w:r>
              <w:rPr>
                <w:rFonts w:ascii="Times New Roman" w:cs="Times New Roman" w:eastAsia="Times New Roman" w:hAnsi="Times New Roman"/>
                <w:sz w:val="15"/>
                <w:szCs w:val="15"/>
                <w:color w:val="auto"/>
                <w:vertAlign w:val="superscript"/>
              </w:rPr>
              <w:t>(3)</w:t>
            </w:r>
          </w:p>
        </w:tc>
        <w:tc>
          <w:tcPr>
            <w:tcW w:w="278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First-lien loan ($224,306 par, due 12/2031)</w:t>
            </w: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12/18/2024</w:t>
            </w:r>
          </w:p>
        </w:tc>
        <w:tc>
          <w:tcPr>
            <w:tcW w:w="1140" w:type="dxa"/>
            <w:vAlign w:val="bottom"/>
            <w:shd w:val="clear" w:color="auto" w:fill="CFF0FC"/>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SOFR + 5.75%</w:t>
            </w:r>
          </w:p>
        </w:tc>
        <w:tc>
          <w:tcPr>
            <w:tcW w:w="1500" w:type="dxa"/>
            <w:vAlign w:val="bottom"/>
            <w:shd w:val="clear" w:color="auto" w:fill="CFF0FC"/>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9.73% (incl. 3.13% PIK)</w:t>
            </w: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221,274</w:t>
            </w:r>
          </w:p>
        </w:tc>
        <w:tc>
          <w:tcPr>
            <w:tcW w:w="94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223,099</w:t>
            </w:r>
          </w:p>
        </w:tc>
        <w:tc>
          <w:tcPr>
            <w:tcW w:w="1140" w:type="dxa"/>
            <w:vAlign w:val="bottom"/>
            <w:gridSpan w:val="3"/>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4.4%</w:t>
            </w:r>
          </w:p>
        </w:tc>
      </w:tr>
      <w:tr>
        <w:trPr>
          <w:trHeight w:val="117"/>
        </w:trPr>
        <w:tc>
          <w:tcPr>
            <w:tcW w:w="2400" w:type="dxa"/>
            <w:vAlign w:val="bottom"/>
          </w:tcPr>
          <w:p>
            <w:pPr>
              <w:spacing w:after="0"/>
              <w:rPr>
                <w:sz w:val="10"/>
                <w:szCs w:val="10"/>
                <w:color w:val="auto"/>
              </w:rPr>
            </w:pPr>
          </w:p>
        </w:tc>
        <w:tc>
          <w:tcPr>
            <w:tcW w:w="2780" w:type="dxa"/>
            <w:vAlign w:val="bottom"/>
          </w:tcPr>
          <w:p>
            <w:pPr>
              <w:ind w:left="40"/>
              <w:spacing w:after="0" w:line="117" w:lineRule="exact"/>
              <w:rPr>
                <w:sz w:val="20"/>
                <w:szCs w:val="20"/>
                <w:color w:val="auto"/>
              </w:rPr>
            </w:pPr>
            <w:r>
              <w:rPr>
                <w:rFonts w:ascii="Times New Roman" w:cs="Times New Roman" w:eastAsia="Times New Roman" w:hAnsi="Times New Roman"/>
                <w:sz w:val="13"/>
                <w:szCs w:val="13"/>
                <w:color w:val="auto"/>
              </w:rPr>
              <w:t>First-lien loan (EUR 50,281 par, due 12/2031)</w:t>
            </w:r>
          </w:p>
        </w:tc>
        <w:tc>
          <w:tcPr>
            <w:tcW w:w="76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12/18/2024</w:t>
            </w:r>
          </w:p>
        </w:tc>
        <w:tc>
          <w:tcPr>
            <w:tcW w:w="1140" w:type="dxa"/>
            <w:vAlign w:val="bottom"/>
          </w:tcPr>
          <w:p>
            <w:pPr>
              <w:jc w:val="right"/>
              <w:ind w:right="117"/>
              <w:spacing w:after="0" w:line="117" w:lineRule="exact"/>
              <w:rPr>
                <w:sz w:val="20"/>
                <w:szCs w:val="20"/>
                <w:color w:val="auto"/>
              </w:rPr>
            </w:pPr>
            <w:r>
              <w:rPr>
                <w:rFonts w:ascii="Times New Roman" w:cs="Times New Roman" w:eastAsia="Times New Roman" w:hAnsi="Times New Roman"/>
                <w:sz w:val="13"/>
                <w:szCs w:val="13"/>
                <w:color w:val="auto"/>
              </w:rPr>
              <w:t>E + 5.75%</w:t>
            </w:r>
          </w:p>
        </w:tc>
        <w:tc>
          <w:tcPr>
            <w:tcW w:w="1500" w:type="dxa"/>
            <w:vAlign w:val="bottom"/>
          </w:tcPr>
          <w:p>
            <w:pPr>
              <w:jc w:val="right"/>
              <w:ind w:right="117"/>
              <w:spacing w:after="0" w:line="117" w:lineRule="exact"/>
              <w:rPr>
                <w:sz w:val="20"/>
                <w:szCs w:val="20"/>
                <w:color w:val="auto"/>
              </w:rPr>
            </w:pPr>
            <w:r>
              <w:rPr>
                <w:rFonts w:ascii="Times New Roman" w:cs="Times New Roman" w:eastAsia="Times New Roman" w:hAnsi="Times New Roman"/>
                <w:sz w:val="13"/>
                <w:szCs w:val="13"/>
                <w:color w:val="auto"/>
              </w:rPr>
              <w:t>8.72% (incl. 3.13% PIK)</w:t>
            </w: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54,047</w:t>
            </w:r>
          </w:p>
        </w:tc>
        <w:tc>
          <w:tcPr>
            <w:tcW w:w="9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56,823</w:t>
            </w:r>
          </w:p>
        </w:tc>
        <w:tc>
          <w:tcPr>
            <w:tcW w:w="114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1.1%</w:t>
            </w:r>
          </w:p>
        </w:tc>
      </w:tr>
      <w:tr>
        <w:trPr>
          <w:trHeight w:val="153"/>
        </w:trPr>
        <w:tc>
          <w:tcPr>
            <w:tcW w:w="240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(EUR 50,026)</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35"/>
        </w:trPr>
        <w:tc>
          <w:tcPr>
            <w:tcW w:w="24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 xml:space="preserve">RainFocus, LLC </w:t>
            </w:r>
            <w:r>
              <w:rPr>
                <w:rFonts w:ascii="Times New Roman" w:cs="Times New Roman" w:eastAsia="Times New Roman" w:hAnsi="Times New Roman"/>
                <w:sz w:val="15"/>
                <w:szCs w:val="15"/>
                <w:color w:val="auto"/>
                <w:vertAlign w:val="superscript"/>
              </w:rPr>
              <w:t>(3)(5)</w:t>
            </w:r>
          </w:p>
        </w:tc>
        <w:tc>
          <w:tcPr>
            <w:tcW w:w="278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First-lien loan ($11,280 par, due 4/2031)</w:t>
            </w: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4/25/2025</w:t>
            </w:r>
          </w:p>
        </w:tc>
        <w:tc>
          <w:tcPr>
            <w:tcW w:w="1140" w:type="dxa"/>
            <w:vAlign w:val="bottom"/>
            <w:shd w:val="clear" w:color="auto" w:fill="CFF0FC"/>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SOFR + 5.88%</w:t>
            </w:r>
          </w:p>
        </w:tc>
        <w:tc>
          <w:tcPr>
            <w:tcW w:w="15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10.12%</w:t>
            </w: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11,225</w:t>
            </w:r>
          </w:p>
        </w:tc>
        <w:tc>
          <w:tcPr>
            <w:tcW w:w="94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11,280</w:t>
            </w:r>
          </w:p>
        </w:tc>
        <w:tc>
          <w:tcPr>
            <w:tcW w:w="1140" w:type="dxa"/>
            <w:vAlign w:val="bottom"/>
            <w:gridSpan w:val="3"/>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0.2%</w:t>
            </w:r>
          </w:p>
        </w:tc>
      </w:tr>
      <w:tr>
        <w:trPr>
          <w:trHeight w:val="135"/>
        </w:trPr>
        <w:tc>
          <w:tcPr>
            <w:tcW w:w="240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 xml:space="preserve">SMA Technologies Holdings, LLC </w:t>
            </w:r>
            <w:r>
              <w:rPr>
                <w:rFonts w:ascii="Times New Roman" w:cs="Times New Roman" w:eastAsia="Times New Roman" w:hAnsi="Times New Roman"/>
                <w:sz w:val="15"/>
                <w:szCs w:val="15"/>
                <w:color w:val="auto"/>
                <w:vertAlign w:val="superscript"/>
              </w:rPr>
              <w:t>(3)(5)</w:t>
            </w:r>
          </w:p>
        </w:tc>
        <w:tc>
          <w:tcPr>
            <w:tcW w:w="278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First-lien loan ($31,762 par, due 10/2028)</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10/31/2022</w:t>
            </w:r>
          </w:p>
        </w:tc>
        <w:tc>
          <w:tcPr>
            <w:tcW w:w="1140" w:type="dxa"/>
            <w:vAlign w:val="bottom"/>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SOFR +5.50%</w:t>
            </w:r>
          </w:p>
        </w:tc>
        <w:tc>
          <w:tcPr>
            <w:tcW w:w="1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9.26%</w:t>
            </w: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31,389</w:t>
            </w:r>
          </w:p>
        </w:tc>
        <w:tc>
          <w:tcPr>
            <w:tcW w:w="1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31,762</w:t>
            </w:r>
          </w:p>
        </w:tc>
        <w:tc>
          <w:tcPr>
            <w:tcW w:w="160" w:type="dxa"/>
            <w:vAlign w:val="bottom"/>
          </w:tcPr>
          <w:p>
            <w:pPr>
              <w:spacing w:after="0"/>
              <w:rPr>
                <w:sz w:val="11"/>
                <w:szCs w:val="11"/>
                <w:color w:val="auto"/>
              </w:rPr>
            </w:pPr>
          </w:p>
        </w:tc>
        <w:tc>
          <w:tcPr>
            <w:tcW w:w="98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0.6%</w:t>
            </w:r>
          </w:p>
        </w:tc>
      </w:tr>
      <w:tr>
        <w:trPr>
          <w:trHeight w:val="20"/>
        </w:trPr>
        <w:tc>
          <w:tcPr>
            <w:tcW w:w="24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8"/>
        </w:trPr>
        <w:tc>
          <w:tcPr>
            <w:tcW w:w="2400" w:type="dxa"/>
            <w:vAlign w:val="bottom"/>
            <w:shd w:val="clear" w:color="auto" w:fill="CFF0FC"/>
          </w:tcPr>
          <w:p>
            <w:pPr>
              <w:spacing w:after="0"/>
              <w:rPr>
                <w:sz w:val="11"/>
                <w:szCs w:val="11"/>
                <w:color w:val="auto"/>
              </w:rPr>
            </w:pPr>
          </w:p>
        </w:tc>
        <w:tc>
          <w:tcPr>
            <w:tcW w:w="27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15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779,568</w:t>
            </w:r>
          </w:p>
        </w:tc>
        <w:tc>
          <w:tcPr>
            <w:tcW w:w="16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782,677</w:t>
            </w:r>
          </w:p>
        </w:tc>
        <w:tc>
          <w:tcPr>
            <w:tcW w:w="160" w:type="dxa"/>
            <w:vAlign w:val="bottom"/>
            <w:shd w:val="clear" w:color="auto" w:fill="CFF0FC"/>
          </w:tcPr>
          <w:p>
            <w:pPr>
              <w:spacing w:after="0"/>
              <w:rPr>
                <w:sz w:val="11"/>
                <w:szCs w:val="11"/>
                <w:color w:val="auto"/>
              </w:rPr>
            </w:pPr>
          </w:p>
        </w:tc>
        <w:tc>
          <w:tcPr>
            <w:tcW w:w="98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15.3%</w:t>
            </w:r>
          </w:p>
        </w:tc>
      </w:tr>
      <w:tr>
        <w:trPr>
          <w:trHeight w:val="128"/>
        </w:trPr>
        <w:tc>
          <w:tcPr>
            <w:tcW w:w="240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Manufacturing</w:t>
            </w:r>
          </w:p>
        </w:tc>
        <w:tc>
          <w:tcPr>
            <w:tcW w:w="2780" w:type="dxa"/>
            <w:vAlign w:val="bottom"/>
            <w:tcBorders>
              <w:top w:val="single" w:sz="8" w:color="CFF0FC"/>
            </w:tcBorders>
          </w:tcPr>
          <w:p>
            <w:pPr>
              <w:spacing w:after="0"/>
              <w:rPr>
                <w:sz w:val="11"/>
                <w:szCs w:val="11"/>
                <w:color w:val="auto"/>
              </w:rPr>
            </w:pPr>
          </w:p>
        </w:tc>
        <w:tc>
          <w:tcPr>
            <w:tcW w:w="760" w:type="dxa"/>
            <w:vAlign w:val="bottom"/>
            <w:tcBorders>
              <w:top w:val="single" w:sz="8" w:color="CFF0FC"/>
            </w:tcBorders>
          </w:tcPr>
          <w:p>
            <w:pPr>
              <w:spacing w:after="0"/>
              <w:rPr>
                <w:sz w:val="11"/>
                <w:szCs w:val="11"/>
                <w:color w:val="auto"/>
              </w:rPr>
            </w:pPr>
          </w:p>
        </w:tc>
        <w:tc>
          <w:tcPr>
            <w:tcW w:w="1140" w:type="dxa"/>
            <w:vAlign w:val="bottom"/>
            <w:tcBorders>
              <w:top w:val="single" w:sz="8" w:color="CFF0FC"/>
            </w:tcBorders>
          </w:tcPr>
          <w:p>
            <w:pPr>
              <w:spacing w:after="0"/>
              <w:rPr>
                <w:sz w:val="11"/>
                <w:szCs w:val="11"/>
                <w:color w:val="auto"/>
              </w:rPr>
            </w:pPr>
          </w:p>
        </w:tc>
        <w:tc>
          <w:tcPr>
            <w:tcW w:w="1500" w:type="dxa"/>
            <w:vAlign w:val="bottom"/>
            <w:tcBorders>
              <w:top w:val="single" w:sz="8" w:color="CFF0FC"/>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60" w:type="dxa"/>
            <w:vAlign w:val="bottom"/>
            <w:tcBorders>
              <w:top w:val="single" w:sz="8" w:color="CFF0FC"/>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60" w:type="dxa"/>
            <w:vAlign w:val="bottom"/>
            <w:tcBorders>
              <w:top w:val="single" w:sz="8" w:color="CFF0FC"/>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r>
      <w:tr>
        <w:trPr>
          <w:trHeight w:val="135"/>
        </w:trPr>
        <w:tc>
          <w:tcPr>
            <w:tcW w:w="24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 xml:space="preserve">ASP Unifrax Holdings, Inc. </w:t>
            </w:r>
            <w:r>
              <w:rPr>
                <w:rFonts w:ascii="Times New Roman" w:cs="Times New Roman" w:eastAsia="Times New Roman" w:hAnsi="Times New Roman"/>
                <w:sz w:val="15"/>
                <w:szCs w:val="15"/>
                <w:color w:val="auto"/>
                <w:vertAlign w:val="superscript"/>
              </w:rPr>
              <w:t>(12)</w:t>
            </w:r>
          </w:p>
        </w:tc>
        <w:tc>
          <w:tcPr>
            <w:tcW w:w="278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2"/>
                <w:szCs w:val="12"/>
                <w:color w:val="auto"/>
              </w:rPr>
              <w:t xml:space="preserve">First-lien loan ($3,117 par, due 9/2029) </w:t>
            </w:r>
            <w:r>
              <w:rPr>
                <w:rFonts w:ascii="Times New Roman" w:cs="Times New Roman" w:eastAsia="Times New Roman" w:hAnsi="Times New Roman"/>
                <w:sz w:val="15"/>
                <w:szCs w:val="15"/>
                <w:color w:val="auto"/>
                <w:vertAlign w:val="superscript"/>
              </w:rPr>
              <w:t>(3)(11)</w:t>
            </w: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9/30/2024</w:t>
            </w:r>
          </w:p>
        </w:tc>
        <w:tc>
          <w:tcPr>
            <w:tcW w:w="1140" w:type="dxa"/>
            <w:vAlign w:val="bottom"/>
            <w:shd w:val="clear" w:color="auto" w:fill="CFF0FC"/>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SOFR + 9.00%</w:t>
            </w:r>
          </w:p>
        </w:tc>
        <w:tc>
          <w:tcPr>
            <w:tcW w:w="15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12.90%</w:t>
            </w: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3,038</w:t>
            </w:r>
          </w:p>
        </w:tc>
        <w:tc>
          <w:tcPr>
            <w:tcW w:w="94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1,262</w:t>
            </w:r>
          </w:p>
        </w:tc>
        <w:tc>
          <w:tcPr>
            <w:tcW w:w="1140" w:type="dxa"/>
            <w:vAlign w:val="bottom"/>
            <w:gridSpan w:val="3"/>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0.0%</w:t>
            </w:r>
          </w:p>
        </w:tc>
      </w:tr>
      <w:tr>
        <w:trPr>
          <w:trHeight w:val="135"/>
        </w:trPr>
        <w:tc>
          <w:tcPr>
            <w:tcW w:w="2400" w:type="dxa"/>
            <w:vAlign w:val="bottom"/>
          </w:tcPr>
          <w:p>
            <w:pPr>
              <w:spacing w:after="0"/>
              <w:rPr>
                <w:sz w:val="11"/>
                <w:szCs w:val="11"/>
                <w:color w:val="auto"/>
              </w:rPr>
            </w:pPr>
          </w:p>
        </w:tc>
        <w:tc>
          <w:tcPr>
            <w:tcW w:w="2780" w:type="dxa"/>
            <w:vAlign w:val="bottom"/>
          </w:tcPr>
          <w:p>
            <w:pPr>
              <w:ind w:left="40"/>
              <w:spacing w:after="0" w:line="135" w:lineRule="exact"/>
              <w:rPr>
                <w:sz w:val="20"/>
                <w:szCs w:val="20"/>
                <w:color w:val="auto"/>
              </w:rPr>
            </w:pPr>
            <w:r>
              <w:rPr>
                <w:rFonts w:ascii="Times New Roman" w:cs="Times New Roman" w:eastAsia="Times New Roman" w:hAnsi="Times New Roman"/>
                <w:sz w:val="12"/>
                <w:szCs w:val="12"/>
                <w:color w:val="auto"/>
              </w:rPr>
              <w:t xml:space="preserve">Second-lien note ($2,031 par, due 9/2029) </w:t>
            </w:r>
            <w:r>
              <w:rPr>
                <w:rFonts w:ascii="Times New Roman" w:cs="Times New Roman" w:eastAsia="Times New Roman" w:hAnsi="Times New Roman"/>
                <w:sz w:val="15"/>
                <w:szCs w:val="15"/>
                <w:color w:val="auto"/>
                <w:vertAlign w:val="superscript"/>
              </w:rPr>
              <w:t>(11)</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8/31/2023</w:t>
            </w:r>
          </w:p>
        </w:tc>
        <w:tc>
          <w:tcPr>
            <w:tcW w:w="11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7.10%</w:t>
            </w:r>
          </w:p>
        </w:tc>
        <w:tc>
          <w:tcPr>
            <w:tcW w:w="1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7.10%</w:t>
            </w: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1,529</w:t>
            </w:r>
          </w:p>
        </w:tc>
        <w:tc>
          <w:tcPr>
            <w:tcW w:w="9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5</w:t>
            </w:r>
          </w:p>
        </w:tc>
        <w:tc>
          <w:tcPr>
            <w:tcW w:w="1140" w:type="dxa"/>
            <w:vAlign w:val="bottom"/>
            <w:gridSpan w:val="3"/>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0.0%</w:t>
            </w:r>
          </w:p>
        </w:tc>
      </w:tr>
      <w:tr>
        <w:trPr>
          <w:trHeight w:val="108"/>
        </w:trPr>
        <w:tc>
          <w:tcPr>
            <w:tcW w:w="2400" w:type="dxa"/>
            <w:vAlign w:val="bottom"/>
            <w:shd w:val="clear" w:color="auto" w:fill="CFF0FC"/>
          </w:tcPr>
          <w:p>
            <w:pPr>
              <w:spacing w:after="0"/>
              <w:rPr>
                <w:sz w:val="9"/>
                <w:szCs w:val="9"/>
                <w:color w:val="auto"/>
              </w:rPr>
            </w:pPr>
          </w:p>
        </w:tc>
        <w:tc>
          <w:tcPr>
            <w:tcW w:w="2780" w:type="dxa"/>
            <w:vAlign w:val="bottom"/>
            <w:shd w:val="clear" w:color="auto" w:fill="CFF0FC"/>
          </w:tcPr>
          <w:p>
            <w:pPr>
              <w:ind w:left="40"/>
              <w:spacing w:after="0" w:line="108" w:lineRule="exact"/>
              <w:rPr>
                <w:sz w:val="20"/>
                <w:szCs w:val="20"/>
                <w:color w:val="auto"/>
              </w:rPr>
            </w:pPr>
            <w:r>
              <w:rPr>
                <w:rFonts w:ascii="Times New Roman" w:cs="Times New Roman" w:eastAsia="Times New Roman" w:hAnsi="Times New Roman"/>
                <w:sz w:val="12"/>
                <w:szCs w:val="12"/>
                <w:color w:val="auto"/>
              </w:rPr>
              <w:t>Super-Priority DIP term loan ($560 par, due</w:t>
            </w:r>
          </w:p>
        </w:tc>
        <w:tc>
          <w:tcPr>
            <w:tcW w:w="76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color w:val="auto"/>
              </w:rPr>
              <w:t>7/30/2026</w:t>
            </w:r>
          </w:p>
        </w:tc>
        <w:tc>
          <w:tcPr>
            <w:tcW w:w="1140" w:type="dxa"/>
            <w:vAlign w:val="bottom"/>
            <w:shd w:val="clear" w:color="auto" w:fill="CFF0FC"/>
          </w:tcPr>
          <w:p>
            <w:pPr>
              <w:jc w:val="right"/>
              <w:ind w:right="117"/>
              <w:spacing w:after="0" w:line="108" w:lineRule="exact"/>
              <w:rPr>
                <w:sz w:val="20"/>
                <w:szCs w:val="20"/>
                <w:color w:val="auto"/>
              </w:rPr>
            </w:pPr>
            <w:r>
              <w:rPr>
                <w:rFonts w:ascii="Times New Roman" w:cs="Times New Roman" w:eastAsia="Times New Roman" w:hAnsi="Times New Roman"/>
                <w:sz w:val="12"/>
                <w:szCs w:val="12"/>
                <w:color w:val="auto"/>
              </w:rPr>
              <w:t>SOFR + 8.38%</w:t>
            </w:r>
          </w:p>
        </w:tc>
        <w:tc>
          <w:tcPr>
            <w:tcW w:w="1500" w:type="dxa"/>
            <w:vAlign w:val="bottom"/>
            <w:shd w:val="clear" w:color="auto" w:fill="CFF0FC"/>
          </w:tcPr>
          <w:p>
            <w:pPr>
              <w:jc w:val="right"/>
              <w:ind w:right="157"/>
              <w:spacing w:after="0" w:line="108" w:lineRule="exact"/>
              <w:rPr>
                <w:sz w:val="20"/>
                <w:szCs w:val="20"/>
                <w:color w:val="auto"/>
              </w:rPr>
            </w:pPr>
            <w:r>
              <w:rPr>
                <w:rFonts w:ascii="Times New Roman" w:cs="Times New Roman" w:eastAsia="Times New Roman" w:hAnsi="Times New Roman"/>
                <w:sz w:val="12"/>
                <w:szCs w:val="12"/>
                <w:color w:val="auto"/>
              </w:rPr>
              <w:t>12.20% (incl. 6.10%</w:t>
            </w:r>
          </w:p>
        </w:tc>
        <w:tc>
          <w:tcPr>
            <w:tcW w:w="58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color w:val="auto"/>
              </w:rPr>
              <w:t>553</w:t>
            </w:r>
          </w:p>
        </w:tc>
        <w:tc>
          <w:tcPr>
            <w:tcW w:w="940" w:type="dxa"/>
            <w:vAlign w:val="bottom"/>
            <w:gridSpan w:val="2"/>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color w:val="auto"/>
              </w:rPr>
              <w:t>559</w:t>
            </w:r>
          </w:p>
        </w:tc>
        <w:tc>
          <w:tcPr>
            <w:tcW w:w="1140" w:type="dxa"/>
            <w:vAlign w:val="bottom"/>
            <w:gridSpan w:val="3"/>
            <w:shd w:val="clear" w:color="auto" w:fill="CFF0FC"/>
          </w:tcPr>
          <w:p>
            <w:pPr>
              <w:jc w:val="right"/>
              <w:ind w:right="20"/>
              <w:spacing w:after="0" w:line="108" w:lineRule="exact"/>
              <w:rPr>
                <w:sz w:val="20"/>
                <w:szCs w:val="20"/>
                <w:color w:val="auto"/>
              </w:rPr>
            </w:pPr>
            <w:r>
              <w:rPr>
                <w:rFonts w:ascii="Times New Roman" w:cs="Times New Roman" w:eastAsia="Times New Roman" w:hAnsi="Times New Roman"/>
                <w:sz w:val="12"/>
                <w:szCs w:val="12"/>
                <w:color w:val="auto"/>
              </w:rPr>
              <w:t>0.0%</w:t>
            </w:r>
          </w:p>
        </w:tc>
      </w:tr>
      <w:tr>
        <w:trPr>
          <w:trHeight w:val="162"/>
        </w:trPr>
        <w:tc>
          <w:tcPr>
            <w:tcW w:w="2400" w:type="dxa"/>
            <w:vAlign w:val="bottom"/>
            <w:shd w:val="clear" w:color="auto" w:fill="CFF0FC"/>
          </w:tcPr>
          <w:p>
            <w:pPr>
              <w:spacing w:after="0"/>
              <w:rPr>
                <w:sz w:val="14"/>
                <w:szCs w:val="14"/>
                <w:color w:val="auto"/>
              </w:rPr>
            </w:pPr>
          </w:p>
        </w:tc>
        <w:tc>
          <w:tcPr>
            <w:tcW w:w="2780" w:type="dxa"/>
            <w:vAlign w:val="bottom"/>
            <w:shd w:val="clear" w:color="auto" w:fill="CFF0FC"/>
          </w:tcPr>
          <w:p>
            <w:pPr>
              <w:ind w:left="40"/>
              <w:spacing w:after="0" w:line="162" w:lineRule="exact"/>
              <w:rPr>
                <w:sz w:val="20"/>
                <w:szCs w:val="20"/>
                <w:color w:val="auto"/>
              </w:rPr>
            </w:pPr>
            <w:r>
              <w:rPr>
                <w:rFonts w:ascii="Times New Roman" w:cs="Times New Roman" w:eastAsia="Times New Roman" w:hAnsi="Times New Roman"/>
                <w:sz w:val="13"/>
                <w:szCs w:val="13"/>
                <w:color w:val="auto"/>
              </w:rPr>
              <w:t xml:space="preserve">11/2026) </w:t>
            </w:r>
            <w:r>
              <w:rPr>
                <w:rFonts w:ascii="Times New Roman" w:cs="Times New Roman" w:eastAsia="Times New Roman" w:hAnsi="Times New Roman"/>
                <w:sz w:val="16"/>
                <w:szCs w:val="16"/>
                <w:color w:val="auto"/>
                <w:vertAlign w:val="superscript"/>
              </w:rPr>
              <w:t>(3)</w:t>
            </w:r>
          </w:p>
        </w:tc>
        <w:tc>
          <w:tcPr>
            <w:tcW w:w="76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500" w:type="dxa"/>
            <w:vAlign w:val="bottom"/>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PIK)</w:t>
            </w:r>
          </w:p>
        </w:tc>
        <w:tc>
          <w:tcPr>
            <w:tcW w:w="5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17"/>
        </w:trPr>
        <w:tc>
          <w:tcPr>
            <w:tcW w:w="2400" w:type="dxa"/>
            <w:vAlign w:val="bottom"/>
          </w:tcPr>
          <w:p>
            <w:pPr>
              <w:spacing w:after="0"/>
              <w:rPr>
                <w:sz w:val="10"/>
                <w:szCs w:val="10"/>
                <w:color w:val="auto"/>
              </w:rPr>
            </w:pPr>
          </w:p>
        </w:tc>
        <w:tc>
          <w:tcPr>
            <w:tcW w:w="2780" w:type="dxa"/>
            <w:vAlign w:val="bottom"/>
          </w:tcPr>
          <w:p>
            <w:pPr>
              <w:ind w:left="40"/>
              <w:spacing w:after="0" w:line="117" w:lineRule="exact"/>
              <w:rPr>
                <w:sz w:val="20"/>
                <w:szCs w:val="20"/>
                <w:color w:val="auto"/>
              </w:rPr>
            </w:pPr>
            <w:r>
              <w:rPr>
                <w:rFonts w:ascii="Times New Roman" w:cs="Times New Roman" w:eastAsia="Times New Roman" w:hAnsi="Times New Roman"/>
                <w:sz w:val="10"/>
                <w:szCs w:val="10"/>
                <w:color w:val="auto"/>
              </w:rPr>
              <w:t xml:space="preserve">Roll Up DIP term loan ($559 par, due 11/2026) </w:t>
            </w:r>
            <w:r>
              <w:rPr>
                <w:rFonts w:ascii="Times New Roman" w:cs="Times New Roman" w:eastAsia="Times New Roman" w:hAnsi="Times New Roman"/>
                <w:sz w:val="13"/>
                <w:szCs w:val="13"/>
                <w:color w:val="auto"/>
                <w:vertAlign w:val="superscript"/>
              </w:rPr>
              <w:t>(3)</w:t>
            </w:r>
          </w:p>
        </w:tc>
        <w:tc>
          <w:tcPr>
            <w:tcW w:w="76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8/5/2026</w:t>
            </w:r>
          </w:p>
        </w:tc>
        <w:tc>
          <w:tcPr>
            <w:tcW w:w="1140" w:type="dxa"/>
            <w:vAlign w:val="bottom"/>
          </w:tcPr>
          <w:p>
            <w:pPr>
              <w:jc w:val="right"/>
              <w:ind w:right="117"/>
              <w:spacing w:after="0" w:line="117" w:lineRule="exact"/>
              <w:rPr>
                <w:sz w:val="20"/>
                <w:szCs w:val="20"/>
                <w:color w:val="auto"/>
              </w:rPr>
            </w:pPr>
            <w:r>
              <w:rPr>
                <w:rFonts w:ascii="Times New Roman" w:cs="Times New Roman" w:eastAsia="Times New Roman" w:hAnsi="Times New Roman"/>
                <w:sz w:val="13"/>
                <w:szCs w:val="13"/>
                <w:color w:val="auto"/>
              </w:rPr>
              <w:t>SOFR + 8.38%</w:t>
            </w:r>
          </w:p>
        </w:tc>
        <w:tc>
          <w:tcPr>
            <w:tcW w:w="1500" w:type="dxa"/>
            <w:vAlign w:val="bottom"/>
          </w:tcPr>
          <w:p>
            <w:pPr>
              <w:jc w:val="right"/>
              <w:ind w:right="157"/>
              <w:spacing w:after="0" w:line="117" w:lineRule="exact"/>
              <w:rPr>
                <w:sz w:val="20"/>
                <w:szCs w:val="20"/>
                <w:color w:val="auto"/>
              </w:rPr>
            </w:pPr>
            <w:r>
              <w:rPr>
                <w:rFonts w:ascii="Times New Roman" w:cs="Times New Roman" w:eastAsia="Times New Roman" w:hAnsi="Times New Roman"/>
                <w:sz w:val="13"/>
                <w:szCs w:val="13"/>
                <w:color w:val="auto"/>
              </w:rPr>
              <w:t>12.15% (incl. 6.07%</w:t>
            </w: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553</w:t>
            </w:r>
          </w:p>
        </w:tc>
        <w:tc>
          <w:tcPr>
            <w:tcW w:w="9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559</w:t>
            </w:r>
          </w:p>
        </w:tc>
        <w:tc>
          <w:tcPr>
            <w:tcW w:w="114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0.0%</w:t>
            </w:r>
          </w:p>
        </w:tc>
      </w:tr>
      <w:tr>
        <w:trPr>
          <w:trHeight w:val="153"/>
        </w:trPr>
        <w:tc>
          <w:tcPr>
            <w:tcW w:w="240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50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PIK)</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17"/>
        </w:trPr>
        <w:tc>
          <w:tcPr>
            <w:tcW w:w="240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0"/>
                <w:szCs w:val="10"/>
                <w:color w:val="auto"/>
              </w:rPr>
              <w:t xml:space="preserve">Varinem German BidCo GmbH </w:t>
            </w:r>
            <w:r>
              <w:rPr>
                <w:rFonts w:ascii="Times New Roman" w:cs="Times New Roman" w:eastAsia="Times New Roman" w:hAnsi="Times New Roman"/>
                <w:sz w:val="13"/>
                <w:szCs w:val="13"/>
                <w:color w:val="auto"/>
                <w:vertAlign w:val="superscript"/>
              </w:rPr>
              <w:t>(3)(4)</w:t>
            </w:r>
          </w:p>
        </w:tc>
        <w:tc>
          <w:tcPr>
            <w:tcW w:w="2780" w:type="dxa"/>
            <w:vAlign w:val="bottom"/>
            <w:shd w:val="clear" w:color="auto" w:fill="CFF0FC"/>
          </w:tcPr>
          <w:p>
            <w:pPr>
              <w:ind w:left="40"/>
              <w:spacing w:after="0" w:line="117" w:lineRule="exact"/>
              <w:rPr>
                <w:sz w:val="20"/>
                <w:szCs w:val="20"/>
                <w:color w:val="auto"/>
              </w:rPr>
            </w:pPr>
            <w:r>
              <w:rPr>
                <w:rFonts w:ascii="Times New Roman" w:cs="Times New Roman" w:eastAsia="Times New Roman" w:hAnsi="Times New Roman"/>
                <w:sz w:val="13"/>
                <w:szCs w:val="13"/>
                <w:color w:val="auto"/>
              </w:rPr>
              <w:t>First-lien loan (EUR 12,696 par, due 7/2031)</w:t>
            </w:r>
          </w:p>
        </w:tc>
        <w:tc>
          <w:tcPr>
            <w:tcW w:w="76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7/11/2024</w:t>
            </w:r>
          </w:p>
        </w:tc>
        <w:tc>
          <w:tcPr>
            <w:tcW w:w="1140" w:type="dxa"/>
            <w:vAlign w:val="bottom"/>
            <w:shd w:val="clear" w:color="auto" w:fill="CFF0FC"/>
          </w:tcPr>
          <w:p>
            <w:pPr>
              <w:jc w:val="right"/>
              <w:ind w:right="117"/>
              <w:spacing w:after="0" w:line="117" w:lineRule="exact"/>
              <w:rPr>
                <w:sz w:val="20"/>
                <w:szCs w:val="20"/>
                <w:color w:val="auto"/>
              </w:rPr>
            </w:pPr>
            <w:r>
              <w:rPr>
                <w:rFonts w:ascii="Times New Roman" w:cs="Times New Roman" w:eastAsia="Times New Roman" w:hAnsi="Times New Roman"/>
                <w:sz w:val="13"/>
                <w:szCs w:val="13"/>
                <w:color w:val="auto"/>
              </w:rPr>
              <w:t>E + 5.50%</w:t>
            </w:r>
          </w:p>
        </w:tc>
        <w:tc>
          <w:tcPr>
            <w:tcW w:w="150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8.13%</w:t>
            </w:r>
          </w:p>
        </w:tc>
        <w:tc>
          <w:tcPr>
            <w:tcW w:w="58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13,713</w:t>
            </w:r>
          </w:p>
        </w:tc>
        <w:tc>
          <w:tcPr>
            <w:tcW w:w="94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14,529</w:t>
            </w:r>
          </w:p>
        </w:tc>
        <w:tc>
          <w:tcPr>
            <w:tcW w:w="1140" w:type="dxa"/>
            <w:vAlign w:val="bottom"/>
            <w:gridSpan w:val="3"/>
            <w:shd w:val="clear" w:color="auto" w:fill="CFF0FC"/>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0.3%</w:t>
            </w:r>
          </w:p>
        </w:tc>
      </w:tr>
      <w:tr>
        <w:trPr>
          <w:trHeight w:val="153"/>
        </w:trPr>
        <w:tc>
          <w:tcPr>
            <w:tcW w:w="2400" w:type="dxa"/>
            <w:vAlign w:val="bottom"/>
            <w:shd w:val="clear" w:color="auto" w:fill="CFF0FC"/>
          </w:tcPr>
          <w:p>
            <w:pPr>
              <w:spacing w:after="0"/>
              <w:rPr>
                <w:sz w:val="13"/>
                <w:szCs w:val="13"/>
                <w:color w:val="auto"/>
              </w:rPr>
            </w:pPr>
          </w:p>
        </w:tc>
        <w:tc>
          <w:tcPr>
            <w:tcW w:w="27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5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(EUR 12,791)</w:t>
            </w: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17"/>
        </w:trPr>
        <w:tc>
          <w:tcPr>
            <w:tcW w:w="2400" w:type="dxa"/>
            <w:vAlign w:val="bottom"/>
          </w:tcPr>
          <w:p>
            <w:pPr>
              <w:spacing w:after="0"/>
              <w:rPr>
                <w:sz w:val="10"/>
                <w:szCs w:val="10"/>
                <w:color w:val="auto"/>
              </w:rPr>
            </w:pPr>
          </w:p>
        </w:tc>
        <w:tc>
          <w:tcPr>
            <w:tcW w:w="2780" w:type="dxa"/>
            <w:vAlign w:val="bottom"/>
          </w:tcPr>
          <w:p>
            <w:pPr>
              <w:ind w:left="40"/>
              <w:spacing w:after="0" w:line="117" w:lineRule="exact"/>
              <w:rPr>
                <w:sz w:val="20"/>
                <w:szCs w:val="20"/>
                <w:color w:val="auto"/>
              </w:rPr>
            </w:pPr>
            <w:r>
              <w:rPr>
                <w:rFonts w:ascii="Times New Roman" w:cs="Times New Roman" w:eastAsia="Times New Roman" w:hAnsi="Times New Roman"/>
                <w:sz w:val="13"/>
                <w:szCs w:val="13"/>
                <w:color w:val="auto"/>
              </w:rPr>
              <w:t>First-lien loan (EUR 5,216 par, due 7/2031)</w:t>
            </w:r>
          </w:p>
        </w:tc>
        <w:tc>
          <w:tcPr>
            <w:tcW w:w="76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7/11/2024</w:t>
            </w:r>
          </w:p>
        </w:tc>
        <w:tc>
          <w:tcPr>
            <w:tcW w:w="1140" w:type="dxa"/>
            <w:vAlign w:val="bottom"/>
          </w:tcPr>
          <w:p>
            <w:pPr>
              <w:jc w:val="right"/>
              <w:ind w:right="117"/>
              <w:spacing w:after="0" w:line="117" w:lineRule="exact"/>
              <w:rPr>
                <w:sz w:val="20"/>
                <w:szCs w:val="20"/>
                <w:color w:val="auto"/>
              </w:rPr>
            </w:pPr>
            <w:r>
              <w:rPr>
                <w:rFonts w:ascii="Times New Roman" w:cs="Times New Roman" w:eastAsia="Times New Roman" w:hAnsi="Times New Roman"/>
                <w:sz w:val="13"/>
                <w:szCs w:val="13"/>
                <w:color w:val="auto"/>
              </w:rPr>
              <w:t>E + 4.75%</w:t>
            </w:r>
          </w:p>
        </w:tc>
        <w:tc>
          <w:tcPr>
            <w:tcW w:w="150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7.38%</w:t>
            </w: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5,653</w:t>
            </w:r>
          </w:p>
        </w:tc>
        <w:tc>
          <w:tcPr>
            <w:tcW w:w="9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5,876</w:t>
            </w:r>
          </w:p>
        </w:tc>
        <w:tc>
          <w:tcPr>
            <w:tcW w:w="114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0.1%</w:t>
            </w:r>
          </w:p>
        </w:tc>
      </w:tr>
      <w:tr>
        <w:trPr>
          <w:trHeight w:val="153"/>
        </w:trPr>
        <w:tc>
          <w:tcPr>
            <w:tcW w:w="240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(EUR 5,173)</w:t>
            </w:r>
          </w:p>
        </w:tc>
        <w:tc>
          <w:tcPr>
            <w:tcW w:w="16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29"/>
        </w:trPr>
        <w:tc>
          <w:tcPr>
            <w:tcW w:w="2400" w:type="dxa"/>
            <w:vAlign w:val="bottom"/>
            <w:shd w:val="clear" w:color="auto" w:fill="CFF0FC"/>
          </w:tcPr>
          <w:p>
            <w:pPr>
              <w:spacing w:after="0"/>
              <w:rPr>
                <w:sz w:val="11"/>
                <w:szCs w:val="11"/>
                <w:color w:val="auto"/>
              </w:rPr>
            </w:pPr>
          </w:p>
        </w:tc>
        <w:tc>
          <w:tcPr>
            <w:tcW w:w="27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15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25,039</w:t>
            </w:r>
          </w:p>
        </w:tc>
        <w:tc>
          <w:tcPr>
            <w:tcW w:w="94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22,790</w:t>
            </w:r>
          </w:p>
        </w:tc>
        <w:tc>
          <w:tcPr>
            <w:tcW w:w="1140" w:type="dxa"/>
            <w:vAlign w:val="bottom"/>
            <w:gridSpan w:val="3"/>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0.4%</w:t>
            </w:r>
          </w:p>
        </w:tc>
      </w:tr>
      <w:tr>
        <w:trPr>
          <w:trHeight w:val="128"/>
        </w:trPr>
        <w:tc>
          <w:tcPr>
            <w:tcW w:w="240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Oil, Gas and Consumable Fuels</w:t>
            </w:r>
          </w:p>
        </w:tc>
        <w:tc>
          <w:tcPr>
            <w:tcW w:w="2780" w:type="dxa"/>
            <w:vAlign w:val="bottom"/>
            <w:tcBorders>
              <w:top w:val="single" w:sz="8" w:color="CFF0FC"/>
            </w:tcBorders>
          </w:tcPr>
          <w:p>
            <w:pPr>
              <w:spacing w:after="0"/>
              <w:rPr>
                <w:sz w:val="11"/>
                <w:szCs w:val="11"/>
                <w:color w:val="auto"/>
              </w:rPr>
            </w:pPr>
          </w:p>
        </w:tc>
        <w:tc>
          <w:tcPr>
            <w:tcW w:w="760" w:type="dxa"/>
            <w:vAlign w:val="bottom"/>
            <w:tcBorders>
              <w:top w:val="single" w:sz="8" w:color="CFF0FC"/>
            </w:tcBorders>
          </w:tcPr>
          <w:p>
            <w:pPr>
              <w:spacing w:after="0"/>
              <w:rPr>
                <w:sz w:val="11"/>
                <w:szCs w:val="11"/>
                <w:color w:val="auto"/>
              </w:rPr>
            </w:pPr>
          </w:p>
        </w:tc>
        <w:tc>
          <w:tcPr>
            <w:tcW w:w="1140" w:type="dxa"/>
            <w:vAlign w:val="bottom"/>
            <w:tcBorders>
              <w:top w:val="single" w:sz="8" w:color="CFF0FC"/>
            </w:tcBorders>
          </w:tcPr>
          <w:p>
            <w:pPr>
              <w:spacing w:after="0"/>
              <w:rPr>
                <w:sz w:val="11"/>
                <w:szCs w:val="11"/>
                <w:color w:val="auto"/>
              </w:rPr>
            </w:pPr>
          </w:p>
        </w:tc>
        <w:tc>
          <w:tcPr>
            <w:tcW w:w="1500" w:type="dxa"/>
            <w:vAlign w:val="bottom"/>
            <w:tcBorders>
              <w:top w:val="single" w:sz="8" w:color="CFF0FC"/>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60" w:type="dxa"/>
            <w:vAlign w:val="bottom"/>
            <w:tcBorders>
              <w:top w:val="single" w:sz="8" w:color="CFF0FC"/>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60" w:type="dxa"/>
            <w:vAlign w:val="bottom"/>
            <w:tcBorders>
              <w:top w:val="single" w:sz="8" w:color="CFF0FC"/>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r>
      <w:tr>
        <w:trPr>
          <w:trHeight w:val="135"/>
        </w:trPr>
        <w:tc>
          <w:tcPr>
            <w:tcW w:w="24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 xml:space="preserve">Laramie Energy, LLC </w:t>
            </w:r>
            <w:r>
              <w:rPr>
                <w:rFonts w:ascii="Times New Roman" w:cs="Times New Roman" w:eastAsia="Times New Roman" w:hAnsi="Times New Roman"/>
                <w:sz w:val="15"/>
                <w:szCs w:val="15"/>
                <w:color w:val="auto"/>
                <w:vertAlign w:val="superscript"/>
              </w:rPr>
              <w:t>(3)</w:t>
            </w:r>
          </w:p>
        </w:tc>
        <w:tc>
          <w:tcPr>
            <w:tcW w:w="278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First-lien loan ($97,561 par, due 2/2027)</w:t>
            </w: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2/21/2023</w:t>
            </w:r>
          </w:p>
        </w:tc>
        <w:tc>
          <w:tcPr>
            <w:tcW w:w="1140" w:type="dxa"/>
            <w:vAlign w:val="bottom"/>
            <w:shd w:val="clear" w:color="auto" w:fill="CFF0FC"/>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SOFR + 7.10%</w:t>
            </w:r>
          </w:p>
        </w:tc>
        <w:tc>
          <w:tcPr>
            <w:tcW w:w="15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11.00%</w:t>
            </w: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97,372</w:t>
            </w:r>
          </w:p>
        </w:tc>
        <w:tc>
          <w:tcPr>
            <w:tcW w:w="94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98,049</w:t>
            </w:r>
          </w:p>
        </w:tc>
        <w:tc>
          <w:tcPr>
            <w:tcW w:w="1140" w:type="dxa"/>
            <w:vAlign w:val="bottom"/>
            <w:gridSpan w:val="3"/>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1.9%</w:t>
            </w:r>
          </w:p>
        </w:tc>
      </w:tr>
      <w:tr>
        <w:trPr>
          <w:trHeight w:val="135"/>
        </w:trPr>
        <w:tc>
          <w:tcPr>
            <w:tcW w:w="240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 xml:space="preserve">Otodata Holdings, Inc. </w:t>
            </w:r>
            <w:r>
              <w:rPr>
                <w:rFonts w:ascii="Times New Roman" w:cs="Times New Roman" w:eastAsia="Times New Roman" w:hAnsi="Times New Roman"/>
                <w:sz w:val="15"/>
                <w:szCs w:val="15"/>
                <w:color w:val="auto"/>
                <w:vertAlign w:val="superscript"/>
              </w:rPr>
              <w:t>(3)(4)</w:t>
            </w:r>
          </w:p>
        </w:tc>
        <w:tc>
          <w:tcPr>
            <w:tcW w:w="278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First-lien loan ($56,980 par, due 8/2033)</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8/31/2026</w:t>
            </w:r>
          </w:p>
        </w:tc>
        <w:tc>
          <w:tcPr>
            <w:tcW w:w="1140" w:type="dxa"/>
            <w:vAlign w:val="bottom"/>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SOFR + 4.75%</w:t>
            </w:r>
          </w:p>
        </w:tc>
        <w:tc>
          <w:tcPr>
            <w:tcW w:w="1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8.65%</w:t>
            </w: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56,236</w:t>
            </w:r>
          </w:p>
        </w:tc>
        <w:tc>
          <w:tcPr>
            <w:tcW w:w="9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55,930</w:t>
            </w:r>
          </w:p>
        </w:tc>
        <w:tc>
          <w:tcPr>
            <w:tcW w:w="1140" w:type="dxa"/>
            <w:vAlign w:val="bottom"/>
            <w:gridSpan w:val="3"/>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1.1%</w:t>
            </w:r>
          </w:p>
        </w:tc>
      </w:tr>
      <w:tr>
        <w:trPr>
          <w:trHeight w:val="117"/>
        </w:trPr>
        <w:tc>
          <w:tcPr>
            <w:tcW w:w="2400" w:type="dxa"/>
            <w:vAlign w:val="bottom"/>
            <w:shd w:val="clear" w:color="auto" w:fill="CFF0FC"/>
          </w:tcPr>
          <w:p>
            <w:pPr>
              <w:spacing w:after="0"/>
              <w:rPr>
                <w:sz w:val="10"/>
                <w:szCs w:val="10"/>
                <w:color w:val="auto"/>
              </w:rPr>
            </w:pPr>
          </w:p>
        </w:tc>
        <w:tc>
          <w:tcPr>
            <w:tcW w:w="2780" w:type="dxa"/>
            <w:vAlign w:val="bottom"/>
            <w:shd w:val="clear" w:color="auto" w:fill="CFF0FC"/>
          </w:tcPr>
          <w:p>
            <w:pPr>
              <w:ind w:left="40"/>
              <w:spacing w:after="0" w:line="117" w:lineRule="exact"/>
              <w:rPr>
                <w:sz w:val="20"/>
                <w:szCs w:val="20"/>
                <w:color w:val="auto"/>
              </w:rPr>
            </w:pPr>
            <w:r>
              <w:rPr>
                <w:rFonts w:ascii="Times New Roman" w:cs="Times New Roman" w:eastAsia="Times New Roman" w:hAnsi="Times New Roman"/>
                <w:sz w:val="13"/>
                <w:szCs w:val="13"/>
                <w:color w:val="auto"/>
              </w:rPr>
              <w:t>First-lien loan (CAD 3,214 par, due 8/2033)</w:t>
            </w:r>
          </w:p>
        </w:tc>
        <w:tc>
          <w:tcPr>
            <w:tcW w:w="76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8/31/2026</w:t>
            </w:r>
          </w:p>
        </w:tc>
        <w:tc>
          <w:tcPr>
            <w:tcW w:w="1140" w:type="dxa"/>
            <w:vAlign w:val="bottom"/>
            <w:shd w:val="clear" w:color="auto" w:fill="CFF0FC"/>
          </w:tcPr>
          <w:p>
            <w:pPr>
              <w:jc w:val="right"/>
              <w:ind w:right="117"/>
              <w:spacing w:after="0" w:line="117" w:lineRule="exact"/>
              <w:rPr>
                <w:sz w:val="20"/>
                <w:szCs w:val="20"/>
                <w:color w:val="auto"/>
              </w:rPr>
            </w:pPr>
            <w:r>
              <w:rPr>
                <w:rFonts w:ascii="Times New Roman" w:cs="Times New Roman" w:eastAsia="Times New Roman" w:hAnsi="Times New Roman"/>
                <w:sz w:val="13"/>
                <w:szCs w:val="13"/>
                <w:color w:val="auto"/>
              </w:rPr>
              <w:t>C + 4.75%</w:t>
            </w:r>
          </w:p>
        </w:tc>
        <w:tc>
          <w:tcPr>
            <w:tcW w:w="150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7.04%</w:t>
            </w:r>
          </w:p>
        </w:tc>
        <w:tc>
          <w:tcPr>
            <w:tcW w:w="58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2,277</w:t>
            </w:r>
          </w:p>
        </w:tc>
        <w:tc>
          <w:tcPr>
            <w:tcW w:w="94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2,190</w:t>
            </w:r>
          </w:p>
        </w:tc>
        <w:tc>
          <w:tcPr>
            <w:tcW w:w="1140" w:type="dxa"/>
            <w:vAlign w:val="bottom"/>
            <w:gridSpan w:val="3"/>
            <w:shd w:val="clear" w:color="auto" w:fill="CFF0FC"/>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0.0%</w:t>
            </w:r>
          </w:p>
        </w:tc>
      </w:tr>
      <w:tr>
        <w:trPr>
          <w:trHeight w:val="153"/>
        </w:trPr>
        <w:tc>
          <w:tcPr>
            <w:tcW w:w="2400" w:type="dxa"/>
            <w:vAlign w:val="bottom"/>
            <w:tcBorders>
              <w:bottom w:val="single" w:sz="8" w:color="CFF0FC"/>
            </w:tcBorders>
            <w:shd w:val="clear" w:color="auto" w:fill="CFF0FC"/>
          </w:tcPr>
          <w:p>
            <w:pPr>
              <w:spacing w:after="0"/>
              <w:rPr>
                <w:sz w:val="13"/>
                <w:szCs w:val="13"/>
                <w:color w:val="auto"/>
              </w:rPr>
            </w:pPr>
          </w:p>
        </w:tc>
        <w:tc>
          <w:tcPr>
            <w:tcW w:w="2780" w:type="dxa"/>
            <w:vAlign w:val="bottom"/>
            <w:tcBorders>
              <w:bottom w:val="single" w:sz="8" w:color="CFF0FC"/>
            </w:tcBorders>
            <w:shd w:val="clear" w:color="auto" w:fill="CFF0FC"/>
          </w:tcPr>
          <w:p>
            <w:pPr>
              <w:spacing w:after="0"/>
              <w:rPr>
                <w:sz w:val="13"/>
                <w:szCs w:val="13"/>
                <w:color w:val="auto"/>
              </w:rPr>
            </w:pPr>
          </w:p>
        </w:tc>
        <w:tc>
          <w:tcPr>
            <w:tcW w:w="760" w:type="dxa"/>
            <w:vAlign w:val="bottom"/>
            <w:tcBorders>
              <w:bottom w:val="single" w:sz="8" w:color="CFF0FC"/>
            </w:tcBorders>
            <w:shd w:val="clear" w:color="auto" w:fill="CFF0FC"/>
          </w:tcPr>
          <w:p>
            <w:pPr>
              <w:spacing w:after="0"/>
              <w:rPr>
                <w:sz w:val="13"/>
                <w:szCs w:val="13"/>
                <w:color w:val="auto"/>
              </w:rPr>
            </w:pPr>
          </w:p>
        </w:tc>
        <w:tc>
          <w:tcPr>
            <w:tcW w:w="1140" w:type="dxa"/>
            <w:vAlign w:val="bottom"/>
            <w:tcBorders>
              <w:bottom w:val="single" w:sz="8" w:color="CFF0FC"/>
            </w:tcBorders>
            <w:shd w:val="clear" w:color="auto" w:fill="CFF0FC"/>
          </w:tcPr>
          <w:p>
            <w:pPr>
              <w:spacing w:after="0"/>
              <w:rPr>
                <w:sz w:val="13"/>
                <w:szCs w:val="13"/>
                <w:color w:val="auto"/>
              </w:rPr>
            </w:pPr>
          </w:p>
        </w:tc>
        <w:tc>
          <w:tcPr>
            <w:tcW w:w="1500" w:type="dxa"/>
            <w:vAlign w:val="bottom"/>
            <w:tcBorders>
              <w:bottom w:val="single" w:sz="8" w:color="CFF0FC"/>
            </w:tcBorders>
            <w:shd w:val="clear" w:color="auto" w:fill="CFF0FC"/>
          </w:tcPr>
          <w:p>
            <w:pPr>
              <w:spacing w:after="0"/>
              <w:rPr>
                <w:sz w:val="13"/>
                <w:szCs w:val="13"/>
                <w:color w:val="auto"/>
              </w:rPr>
            </w:pPr>
          </w:p>
        </w:tc>
        <w:tc>
          <w:tcPr>
            <w:tcW w:w="580" w:type="dxa"/>
            <w:vAlign w:val="bottom"/>
            <w:tcBorders>
              <w:bottom w:val="single" w:sz="8" w:color="auto"/>
            </w:tcBorders>
            <w:shd w:val="clear" w:color="auto" w:fill="CFF0FC"/>
          </w:tcPr>
          <w:p>
            <w:pPr>
              <w:spacing w:after="0"/>
              <w:rPr>
                <w:sz w:val="13"/>
                <w:szCs w:val="13"/>
                <w:color w:val="auto"/>
              </w:rPr>
            </w:pPr>
          </w:p>
        </w:tc>
        <w:tc>
          <w:tcPr>
            <w:tcW w:w="16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(CAD 3,109)</w:t>
            </w:r>
          </w:p>
        </w:tc>
        <w:tc>
          <w:tcPr>
            <w:tcW w:w="16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auto"/>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r>
      <w:tr>
        <w:trPr>
          <w:trHeight w:val="128"/>
        </w:trPr>
        <w:tc>
          <w:tcPr>
            <w:tcW w:w="240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155,885</w:t>
            </w:r>
          </w:p>
        </w:tc>
        <w:tc>
          <w:tcPr>
            <w:tcW w:w="94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156,169</w:t>
            </w:r>
          </w:p>
        </w:tc>
        <w:tc>
          <w:tcPr>
            <w:tcW w:w="1140" w:type="dxa"/>
            <w:vAlign w:val="bottom"/>
            <w:gridSpan w:val="3"/>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3.0%</w:t>
            </w:r>
          </w:p>
        </w:tc>
      </w:tr>
      <w:tr>
        <w:trPr>
          <w:trHeight w:val="129"/>
        </w:trPr>
        <w:tc>
          <w:tcPr>
            <w:tcW w:w="240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Other</w:t>
            </w:r>
          </w:p>
        </w:tc>
        <w:tc>
          <w:tcPr>
            <w:tcW w:w="27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1500" w:type="dxa"/>
            <w:vAlign w:val="bottom"/>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80" w:type="dxa"/>
            <w:vAlign w:val="bottom"/>
            <w:tcBorders>
              <w:top w:val="single" w:sz="8" w:color="auto"/>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6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-5160010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-5160010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-5160010</wp:posOffset>
            </wp:positionV>
            <wp:extent cx="7747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-3942715</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-3942715</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-3942715</wp:posOffset>
            </wp:positionV>
            <wp:extent cx="7747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-3411220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-3411220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-3411220</wp:posOffset>
            </wp:positionV>
            <wp:extent cx="774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-1671320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-1671320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-1671320</wp:posOffset>
            </wp:positionV>
            <wp:extent cx="774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-624840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-624840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-624840</wp:posOffset>
            </wp:positionV>
            <wp:extent cx="774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-187960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-187960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-187960</wp:posOffset>
            </wp:positionV>
            <wp:extent cx="774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9"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84"/>
        </w:trPr>
        <w:tc>
          <w:tcPr>
            <w:tcW w:w="236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Boréal Bidco </w:t>
            </w:r>
            <w:r>
              <w:rPr>
                <w:rFonts w:ascii="Times New Roman" w:cs="Times New Roman" w:eastAsia="Times New Roman" w:hAnsi="Times New Roman"/>
                <w:sz w:val="16"/>
                <w:szCs w:val="16"/>
                <w:color w:val="auto"/>
                <w:vertAlign w:val="superscript"/>
              </w:rPr>
              <w:t>(3)(4)</w:t>
            </w:r>
          </w:p>
        </w:tc>
        <w:tc>
          <w:tcPr>
            <w:tcW w:w="28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First-lien note (EUR 134,822 par, due 3/2032)</w:t>
            </w:r>
          </w:p>
        </w:tc>
        <w:tc>
          <w:tcPr>
            <w:tcW w:w="8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3/24/2025</w:t>
            </w:r>
          </w:p>
        </w:tc>
        <w:tc>
          <w:tcPr>
            <w:tcW w:w="108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E + 7.00%</w:t>
            </w:r>
          </w:p>
        </w:tc>
        <w:tc>
          <w:tcPr>
            <w:tcW w:w="150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9.59% (incl. 4.00% PIK)</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143,920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152,754</w:t>
            </w: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3.0%</w:t>
            </w:r>
          </w:p>
        </w:tc>
      </w:tr>
      <w:tr>
        <w:trPr>
          <w:trHeight w:val="135"/>
        </w:trPr>
        <w:tc>
          <w:tcPr>
            <w:tcW w:w="236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(EUR</w:t>
            </w: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3"/>
        </w:trPr>
        <w:tc>
          <w:tcPr>
            <w:tcW w:w="236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134,485)</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17"/>
        </w:trPr>
        <w:tc>
          <w:tcPr>
            <w:tcW w:w="236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0"/>
                <w:szCs w:val="10"/>
                <w:color w:val="auto"/>
              </w:rPr>
              <w:t xml:space="preserve">Cast &amp; Crew, LLC </w:t>
            </w:r>
            <w:r>
              <w:rPr>
                <w:rFonts w:ascii="Times New Roman" w:cs="Times New Roman" w:eastAsia="Times New Roman" w:hAnsi="Times New Roman"/>
                <w:sz w:val="13"/>
                <w:szCs w:val="13"/>
                <w:color w:val="auto"/>
                <w:vertAlign w:val="superscript"/>
              </w:rPr>
              <w:t>(3)(12)</w:t>
            </w:r>
          </w:p>
        </w:tc>
        <w:tc>
          <w:tcPr>
            <w:tcW w:w="2820" w:type="dxa"/>
            <w:vAlign w:val="bottom"/>
            <w:shd w:val="clear" w:color="auto" w:fill="CFF0FC"/>
          </w:tcPr>
          <w:p>
            <w:pPr>
              <w:ind w:left="80"/>
              <w:spacing w:after="0" w:line="117" w:lineRule="exact"/>
              <w:rPr>
                <w:sz w:val="20"/>
                <w:szCs w:val="20"/>
                <w:color w:val="auto"/>
              </w:rPr>
            </w:pPr>
            <w:r>
              <w:rPr>
                <w:rFonts w:ascii="Times New Roman" w:cs="Times New Roman" w:eastAsia="Times New Roman" w:hAnsi="Times New Roman"/>
                <w:sz w:val="10"/>
                <w:szCs w:val="10"/>
                <w:color w:val="auto"/>
              </w:rPr>
              <w:t xml:space="preserve">First-lien loan (CAD 141,298 par, due 1/2029) </w:t>
            </w:r>
            <w:r>
              <w:rPr>
                <w:rFonts w:ascii="Times New Roman" w:cs="Times New Roman" w:eastAsia="Times New Roman" w:hAnsi="Times New Roman"/>
                <w:sz w:val="13"/>
                <w:szCs w:val="13"/>
                <w:color w:val="auto"/>
                <w:vertAlign w:val="superscript"/>
              </w:rPr>
              <w:t>(11)</w:t>
            </w:r>
          </w:p>
        </w:tc>
        <w:tc>
          <w:tcPr>
            <w:tcW w:w="820" w:type="dxa"/>
            <w:vAlign w:val="bottom"/>
            <w:shd w:val="clear" w:color="auto" w:fill="CFF0FC"/>
          </w:tcPr>
          <w:p>
            <w:pPr>
              <w:jc w:val="right"/>
              <w:ind w:right="57"/>
              <w:spacing w:after="0" w:line="117" w:lineRule="exact"/>
              <w:rPr>
                <w:sz w:val="20"/>
                <w:szCs w:val="20"/>
                <w:color w:val="auto"/>
              </w:rPr>
            </w:pPr>
            <w:r>
              <w:rPr>
                <w:rFonts w:ascii="Times New Roman" w:cs="Times New Roman" w:eastAsia="Times New Roman" w:hAnsi="Times New Roman"/>
                <w:sz w:val="13"/>
                <w:szCs w:val="13"/>
                <w:color w:val="auto"/>
              </w:rPr>
              <w:t>2/27/2025</w:t>
            </w:r>
          </w:p>
        </w:tc>
        <w:tc>
          <w:tcPr>
            <w:tcW w:w="1080" w:type="dxa"/>
            <w:vAlign w:val="bottom"/>
            <w:shd w:val="clear" w:color="auto" w:fill="CFF0FC"/>
          </w:tcPr>
          <w:p>
            <w:pPr>
              <w:jc w:val="right"/>
              <w:ind w:right="117"/>
              <w:spacing w:after="0" w:line="117" w:lineRule="exact"/>
              <w:rPr>
                <w:sz w:val="20"/>
                <w:szCs w:val="20"/>
                <w:color w:val="auto"/>
              </w:rPr>
            </w:pPr>
            <w:r>
              <w:rPr>
                <w:rFonts w:ascii="Times New Roman" w:cs="Times New Roman" w:eastAsia="Times New Roman" w:hAnsi="Times New Roman"/>
                <w:sz w:val="13"/>
                <w:szCs w:val="13"/>
                <w:color w:val="auto"/>
              </w:rPr>
              <w:t>C + 5.50%</w:t>
            </w:r>
          </w:p>
        </w:tc>
        <w:tc>
          <w:tcPr>
            <w:tcW w:w="150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7.80%</w:t>
            </w:r>
          </w:p>
        </w:tc>
        <w:tc>
          <w:tcPr>
            <w:tcW w:w="58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95,305</w:t>
            </w:r>
          </w:p>
        </w:tc>
        <w:tc>
          <w:tcPr>
            <w:tcW w:w="94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30,852</w:t>
            </w:r>
          </w:p>
        </w:tc>
        <w:tc>
          <w:tcPr>
            <w:tcW w:w="1140" w:type="dxa"/>
            <w:vAlign w:val="bottom"/>
            <w:gridSpan w:val="3"/>
            <w:shd w:val="clear" w:color="auto" w:fill="CFF0FC"/>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0.6%</w:t>
            </w:r>
          </w:p>
        </w:tc>
      </w:tr>
      <w:tr>
        <w:trPr>
          <w:trHeight w:val="153"/>
        </w:trPr>
        <w:tc>
          <w:tcPr>
            <w:tcW w:w="2360" w:type="dxa"/>
            <w:vAlign w:val="bottom"/>
            <w:shd w:val="clear" w:color="auto" w:fill="CFF0FC"/>
          </w:tcPr>
          <w:p>
            <w:pPr>
              <w:spacing w:after="0"/>
              <w:rPr>
                <w:sz w:val="13"/>
                <w:szCs w:val="13"/>
                <w:color w:val="auto"/>
              </w:rPr>
            </w:pPr>
          </w:p>
        </w:tc>
        <w:tc>
          <w:tcPr>
            <w:tcW w:w="28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5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(CAD 43,802)</w:t>
            </w: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35"/>
        </w:trPr>
        <w:tc>
          <w:tcPr>
            <w:tcW w:w="2360" w:type="dxa"/>
            <w:vAlign w:val="bottom"/>
          </w:tcPr>
          <w:p>
            <w:pPr>
              <w:spacing w:after="0"/>
              <w:rPr>
                <w:sz w:val="11"/>
                <w:szCs w:val="11"/>
                <w:color w:val="auto"/>
              </w:rPr>
            </w:pPr>
          </w:p>
        </w:tc>
        <w:tc>
          <w:tcPr>
            <w:tcW w:w="2820" w:type="dxa"/>
            <w:vAlign w:val="bottom"/>
          </w:tcPr>
          <w:p>
            <w:pPr>
              <w:ind w:left="80"/>
              <w:spacing w:after="0" w:line="135" w:lineRule="exact"/>
              <w:rPr>
                <w:sz w:val="20"/>
                <w:szCs w:val="20"/>
                <w:color w:val="auto"/>
              </w:rPr>
            </w:pPr>
            <w:r>
              <w:rPr>
                <w:rFonts w:ascii="Times New Roman" w:cs="Times New Roman" w:eastAsia="Times New Roman" w:hAnsi="Times New Roman"/>
                <w:sz w:val="12"/>
                <w:szCs w:val="12"/>
                <w:color w:val="auto"/>
              </w:rPr>
              <w:t xml:space="preserve">First-lien loan ($13,457 par, due 12/2028) </w:t>
            </w:r>
            <w:r>
              <w:rPr>
                <w:rFonts w:ascii="Times New Roman" w:cs="Times New Roman" w:eastAsia="Times New Roman" w:hAnsi="Times New Roman"/>
                <w:sz w:val="15"/>
                <w:szCs w:val="15"/>
                <w:color w:val="auto"/>
                <w:vertAlign w:val="superscript"/>
              </w:rPr>
              <w:t>(11)</w:t>
            </w:r>
          </w:p>
        </w:tc>
        <w:tc>
          <w:tcPr>
            <w:tcW w:w="8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1/9/2026</w:t>
            </w:r>
          </w:p>
        </w:tc>
        <w:tc>
          <w:tcPr>
            <w:tcW w:w="1080" w:type="dxa"/>
            <w:vAlign w:val="bottom"/>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SOFR + 3.75%</w:t>
            </w:r>
          </w:p>
        </w:tc>
        <w:tc>
          <w:tcPr>
            <w:tcW w:w="1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7.57%</w:t>
            </w: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8,833</w:t>
            </w:r>
          </w:p>
        </w:tc>
        <w:tc>
          <w:tcPr>
            <w:tcW w:w="9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4,172</w:t>
            </w:r>
          </w:p>
        </w:tc>
        <w:tc>
          <w:tcPr>
            <w:tcW w:w="1140" w:type="dxa"/>
            <w:vAlign w:val="bottom"/>
            <w:gridSpan w:val="3"/>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0.1%</w:t>
            </w:r>
          </w:p>
        </w:tc>
      </w:tr>
      <w:tr>
        <w:trPr>
          <w:trHeight w:val="117"/>
        </w:trPr>
        <w:tc>
          <w:tcPr>
            <w:tcW w:w="2360" w:type="dxa"/>
            <w:vAlign w:val="bottom"/>
            <w:shd w:val="clear" w:color="auto" w:fill="CFF0FC"/>
          </w:tcPr>
          <w:p>
            <w:pPr>
              <w:spacing w:after="0"/>
              <w:rPr>
                <w:sz w:val="10"/>
                <w:szCs w:val="10"/>
                <w:color w:val="auto"/>
              </w:rPr>
            </w:pPr>
          </w:p>
        </w:tc>
        <w:tc>
          <w:tcPr>
            <w:tcW w:w="2820" w:type="dxa"/>
            <w:vAlign w:val="bottom"/>
            <w:shd w:val="clear" w:color="auto" w:fill="CFF0FC"/>
          </w:tcPr>
          <w:p>
            <w:pPr>
              <w:ind w:left="80"/>
              <w:spacing w:after="0" w:line="117" w:lineRule="exact"/>
              <w:rPr>
                <w:sz w:val="20"/>
                <w:szCs w:val="20"/>
                <w:color w:val="auto"/>
              </w:rPr>
            </w:pPr>
            <w:r>
              <w:rPr>
                <w:rFonts w:ascii="Times New Roman" w:cs="Times New Roman" w:eastAsia="Times New Roman" w:hAnsi="Times New Roman"/>
                <w:sz w:val="13"/>
                <w:szCs w:val="13"/>
                <w:color w:val="auto"/>
              </w:rPr>
              <w:t>Super-Priority PIK term loan ($4,541 par, due</w:t>
            </w:r>
          </w:p>
        </w:tc>
        <w:tc>
          <w:tcPr>
            <w:tcW w:w="820" w:type="dxa"/>
            <w:vAlign w:val="bottom"/>
            <w:shd w:val="clear" w:color="auto" w:fill="CFF0FC"/>
          </w:tcPr>
          <w:p>
            <w:pPr>
              <w:jc w:val="right"/>
              <w:ind w:right="57"/>
              <w:spacing w:after="0" w:line="117" w:lineRule="exact"/>
              <w:rPr>
                <w:sz w:val="20"/>
                <w:szCs w:val="20"/>
                <w:color w:val="auto"/>
              </w:rPr>
            </w:pPr>
            <w:r>
              <w:rPr>
                <w:rFonts w:ascii="Times New Roman" w:cs="Times New Roman" w:eastAsia="Times New Roman" w:hAnsi="Times New Roman"/>
                <w:sz w:val="13"/>
                <w:szCs w:val="13"/>
                <w:color w:val="auto"/>
              </w:rPr>
              <w:t>9/2/2026</w:t>
            </w:r>
          </w:p>
        </w:tc>
        <w:tc>
          <w:tcPr>
            <w:tcW w:w="1080" w:type="dxa"/>
            <w:vAlign w:val="bottom"/>
            <w:shd w:val="clear" w:color="auto" w:fill="CFF0FC"/>
          </w:tcPr>
          <w:p>
            <w:pPr>
              <w:jc w:val="right"/>
              <w:ind w:right="117"/>
              <w:spacing w:after="0" w:line="117" w:lineRule="exact"/>
              <w:rPr>
                <w:sz w:val="20"/>
                <w:szCs w:val="20"/>
                <w:color w:val="auto"/>
              </w:rPr>
            </w:pPr>
            <w:r>
              <w:rPr>
                <w:rFonts w:ascii="Times New Roman" w:cs="Times New Roman" w:eastAsia="Times New Roman" w:hAnsi="Times New Roman"/>
                <w:sz w:val="13"/>
                <w:szCs w:val="13"/>
                <w:color w:val="auto"/>
              </w:rPr>
              <w:t>SOFR + 7.00%</w:t>
            </w:r>
          </w:p>
        </w:tc>
        <w:tc>
          <w:tcPr>
            <w:tcW w:w="1500" w:type="dxa"/>
            <w:vAlign w:val="bottom"/>
            <w:shd w:val="clear" w:color="auto" w:fill="CFF0FC"/>
          </w:tcPr>
          <w:p>
            <w:pPr>
              <w:jc w:val="right"/>
              <w:ind w:right="157"/>
              <w:spacing w:after="0" w:line="117" w:lineRule="exact"/>
              <w:rPr>
                <w:sz w:val="20"/>
                <w:szCs w:val="20"/>
                <w:color w:val="auto"/>
              </w:rPr>
            </w:pPr>
            <w:r>
              <w:rPr>
                <w:rFonts w:ascii="Times New Roman" w:cs="Times New Roman" w:eastAsia="Times New Roman" w:hAnsi="Times New Roman"/>
                <w:sz w:val="13"/>
                <w:szCs w:val="13"/>
                <w:color w:val="auto"/>
              </w:rPr>
              <w:t>10.87% (incl. 5.00%</w:t>
            </w:r>
          </w:p>
        </w:tc>
        <w:tc>
          <w:tcPr>
            <w:tcW w:w="58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4,164</w:t>
            </w:r>
          </w:p>
        </w:tc>
        <w:tc>
          <w:tcPr>
            <w:tcW w:w="94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4,337</w:t>
            </w:r>
          </w:p>
        </w:tc>
        <w:tc>
          <w:tcPr>
            <w:tcW w:w="1140" w:type="dxa"/>
            <w:vAlign w:val="bottom"/>
            <w:gridSpan w:val="3"/>
            <w:shd w:val="clear" w:color="auto" w:fill="CFF0FC"/>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0.1%</w:t>
            </w:r>
          </w:p>
        </w:tc>
      </w:tr>
      <w:tr>
        <w:trPr>
          <w:trHeight w:val="153"/>
        </w:trPr>
        <w:tc>
          <w:tcPr>
            <w:tcW w:w="2360" w:type="dxa"/>
            <w:vAlign w:val="bottom"/>
            <w:shd w:val="clear" w:color="auto" w:fill="CFF0FC"/>
          </w:tcPr>
          <w:p>
            <w:pPr>
              <w:spacing w:after="0"/>
              <w:rPr>
                <w:sz w:val="13"/>
                <w:szCs w:val="13"/>
                <w:color w:val="auto"/>
              </w:rPr>
            </w:pPr>
          </w:p>
        </w:tc>
        <w:tc>
          <w:tcPr>
            <w:tcW w:w="28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9/2027)</w:t>
            </w:r>
          </w:p>
        </w:tc>
        <w:tc>
          <w:tcPr>
            <w:tcW w:w="82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500" w:type="dxa"/>
            <w:vAlign w:val="bottom"/>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PIK)</w:t>
            </w:r>
          </w:p>
        </w:tc>
        <w:tc>
          <w:tcPr>
            <w:tcW w:w="5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35"/>
        </w:trPr>
        <w:tc>
          <w:tcPr>
            <w:tcW w:w="23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 xml:space="preserve">Omnigo Software, LLC </w:t>
            </w:r>
            <w:r>
              <w:rPr>
                <w:rFonts w:ascii="Times New Roman" w:cs="Times New Roman" w:eastAsia="Times New Roman" w:hAnsi="Times New Roman"/>
                <w:sz w:val="15"/>
                <w:szCs w:val="15"/>
                <w:color w:val="auto"/>
                <w:vertAlign w:val="superscript"/>
              </w:rPr>
              <w:t>(3)</w:t>
            </w:r>
          </w:p>
        </w:tc>
        <w:tc>
          <w:tcPr>
            <w:tcW w:w="282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First-lien loan ($70,343 par, due 12/2030)</w:t>
            </w:r>
          </w:p>
        </w:tc>
        <w:tc>
          <w:tcPr>
            <w:tcW w:w="8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12/19/2025</w:t>
            </w:r>
          </w:p>
        </w:tc>
        <w:tc>
          <w:tcPr>
            <w:tcW w:w="1080" w:type="dxa"/>
            <w:vAlign w:val="bottom"/>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SOFR + 5.00%</w:t>
            </w:r>
          </w:p>
        </w:tc>
        <w:tc>
          <w:tcPr>
            <w:tcW w:w="1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8.90%</w:t>
            </w: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69,989</w:t>
            </w:r>
          </w:p>
        </w:tc>
        <w:tc>
          <w:tcPr>
            <w:tcW w:w="9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68,935</w:t>
            </w:r>
          </w:p>
        </w:tc>
        <w:tc>
          <w:tcPr>
            <w:tcW w:w="1140" w:type="dxa"/>
            <w:vAlign w:val="bottom"/>
            <w:gridSpan w:val="3"/>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1.4%</w:t>
            </w:r>
          </w:p>
        </w:tc>
      </w:tr>
      <w:tr>
        <w:trPr>
          <w:trHeight w:val="117"/>
        </w:trPr>
        <w:tc>
          <w:tcPr>
            <w:tcW w:w="236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0"/>
                <w:szCs w:val="10"/>
                <w:color w:val="auto"/>
              </w:rPr>
              <w:t xml:space="preserve">Scorpio Bidco </w:t>
            </w:r>
            <w:r>
              <w:rPr>
                <w:rFonts w:ascii="Times New Roman" w:cs="Times New Roman" w:eastAsia="Times New Roman" w:hAnsi="Times New Roman"/>
                <w:sz w:val="13"/>
                <w:szCs w:val="13"/>
                <w:color w:val="auto"/>
                <w:vertAlign w:val="superscript"/>
              </w:rPr>
              <w:t>(3)(4)</w:t>
            </w:r>
          </w:p>
        </w:tc>
        <w:tc>
          <w:tcPr>
            <w:tcW w:w="2820" w:type="dxa"/>
            <w:vAlign w:val="bottom"/>
            <w:shd w:val="clear" w:color="auto" w:fill="CFF0FC"/>
          </w:tcPr>
          <w:p>
            <w:pPr>
              <w:ind w:left="80"/>
              <w:spacing w:after="0" w:line="117" w:lineRule="exact"/>
              <w:rPr>
                <w:sz w:val="20"/>
                <w:szCs w:val="20"/>
                <w:color w:val="auto"/>
              </w:rPr>
            </w:pPr>
            <w:r>
              <w:rPr>
                <w:rFonts w:ascii="Times New Roman" w:cs="Times New Roman" w:eastAsia="Times New Roman" w:hAnsi="Times New Roman"/>
                <w:sz w:val="13"/>
                <w:szCs w:val="13"/>
                <w:color w:val="auto"/>
              </w:rPr>
              <w:t>First-lien loan (EUR 75,326 par, due 4/2031)</w:t>
            </w:r>
          </w:p>
        </w:tc>
        <w:tc>
          <w:tcPr>
            <w:tcW w:w="820" w:type="dxa"/>
            <w:vAlign w:val="bottom"/>
            <w:shd w:val="clear" w:color="auto" w:fill="CFF0FC"/>
          </w:tcPr>
          <w:p>
            <w:pPr>
              <w:jc w:val="right"/>
              <w:ind w:right="57"/>
              <w:spacing w:after="0" w:line="117" w:lineRule="exact"/>
              <w:rPr>
                <w:sz w:val="20"/>
                <w:szCs w:val="20"/>
                <w:color w:val="auto"/>
              </w:rPr>
            </w:pPr>
            <w:r>
              <w:rPr>
                <w:rFonts w:ascii="Times New Roman" w:cs="Times New Roman" w:eastAsia="Times New Roman" w:hAnsi="Times New Roman"/>
                <w:sz w:val="13"/>
                <w:szCs w:val="13"/>
                <w:color w:val="auto"/>
              </w:rPr>
              <w:t>4/4/2024</w:t>
            </w:r>
          </w:p>
        </w:tc>
        <w:tc>
          <w:tcPr>
            <w:tcW w:w="1080" w:type="dxa"/>
            <w:vAlign w:val="bottom"/>
            <w:shd w:val="clear" w:color="auto" w:fill="CFF0FC"/>
          </w:tcPr>
          <w:p>
            <w:pPr>
              <w:jc w:val="right"/>
              <w:ind w:right="117"/>
              <w:spacing w:after="0" w:line="117" w:lineRule="exact"/>
              <w:rPr>
                <w:sz w:val="20"/>
                <w:szCs w:val="20"/>
                <w:color w:val="auto"/>
              </w:rPr>
            </w:pPr>
            <w:r>
              <w:rPr>
                <w:rFonts w:ascii="Times New Roman" w:cs="Times New Roman" w:eastAsia="Times New Roman" w:hAnsi="Times New Roman"/>
                <w:sz w:val="13"/>
                <w:szCs w:val="13"/>
                <w:color w:val="auto"/>
              </w:rPr>
              <w:t>E + 5.75%</w:t>
            </w:r>
          </w:p>
        </w:tc>
        <w:tc>
          <w:tcPr>
            <w:tcW w:w="150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8.34%</w:t>
            </w:r>
          </w:p>
        </w:tc>
        <w:tc>
          <w:tcPr>
            <w:tcW w:w="58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80,736</w:t>
            </w:r>
          </w:p>
        </w:tc>
        <w:tc>
          <w:tcPr>
            <w:tcW w:w="94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84,792</w:t>
            </w:r>
          </w:p>
        </w:tc>
        <w:tc>
          <w:tcPr>
            <w:tcW w:w="1140" w:type="dxa"/>
            <w:vAlign w:val="bottom"/>
            <w:gridSpan w:val="3"/>
            <w:shd w:val="clear" w:color="auto" w:fill="CFF0FC"/>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1.7%</w:t>
            </w:r>
          </w:p>
        </w:tc>
      </w:tr>
      <w:tr>
        <w:trPr>
          <w:trHeight w:val="153"/>
        </w:trPr>
        <w:tc>
          <w:tcPr>
            <w:tcW w:w="2360" w:type="dxa"/>
            <w:vAlign w:val="bottom"/>
            <w:shd w:val="clear" w:color="auto" w:fill="CFF0FC"/>
          </w:tcPr>
          <w:p>
            <w:pPr>
              <w:spacing w:after="0"/>
              <w:rPr>
                <w:sz w:val="13"/>
                <w:szCs w:val="13"/>
                <w:color w:val="auto"/>
              </w:rPr>
            </w:pPr>
          </w:p>
        </w:tc>
        <w:tc>
          <w:tcPr>
            <w:tcW w:w="28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5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(EUR 74,651)</w:t>
            </w: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17"/>
        </w:trPr>
        <w:tc>
          <w:tcPr>
            <w:tcW w:w="2360" w:type="dxa"/>
            <w:vAlign w:val="bottom"/>
          </w:tcPr>
          <w:p>
            <w:pPr>
              <w:spacing w:after="0" w:line="117" w:lineRule="exact"/>
              <w:rPr>
                <w:sz w:val="20"/>
                <w:szCs w:val="20"/>
                <w:color w:val="auto"/>
              </w:rPr>
            </w:pPr>
            <w:r>
              <w:rPr>
                <w:rFonts w:ascii="Times New Roman" w:cs="Times New Roman" w:eastAsia="Times New Roman" w:hAnsi="Times New Roman"/>
                <w:sz w:val="10"/>
                <w:szCs w:val="10"/>
                <w:color w:val="auto"/>
              </w:rPr>
              <w:t xml:space="preserve">Sediver S.p.A. </w:t>
            </w:r>
            <w:r>
              <w:rPr>
                <w:rFonts w:ascii="Times New Roman" w:cs="Times New Roman" w:eastAsia="Times New Roman" w:hAnsi="Times New Roman"/>
                <w:sz w:val="13"/>
                <w:szCs w:val="13"/>
                <w:color w:val="auto"/>
                <w:vertAlign w:val="superscript"/>
              </w:rPr>
              <w:t>(3)(4)</w:t>
            </w:r>
          </w:p>
        </w:tc>
        <w:tc>
          <w:tcPr>
            <w:tcW w:w="2820" w:type="dxa"/>
            <w:vAlign w:val="bottom"/>
          </w:tcPr>
          <w:p>
            <w:pPr>
              <w:ind w:left="80"/>
              <w:spacing w:after="0" w:line="117" w:lineRule="exact"/>
              <w:rPr>
                <w:sz w:val="20"/>
                <w:szCs w:val="20"/>
                <w:color w:val="auto"/>
              </w:rPr>
            </w:pPr>
            <w:r>
              <w:rPr>
                <w:rFonts w:ascii="Times New Roman" w:cs="Times New Roman" w:eastAsia="Times New Roman" w:hAnsi="Times New Roman"/>
                <w:sz w:val="13"/>
                <w:szCs w:val="13"/>
                <w:color w:val="auto"/>
              </w:rPr>
              <w:t>First-lien note (EUR 57,989 par, due 10/2031)</w:t>
            </w:r>
          </w:p>
        </w:tc>
        <w:tc>
          <w:tcPr>
            <w:tcW w:w="820" w:type="dxa"/>
            <w:vAlign w:val="bottom"/>
          </w:tcPr>
          <w:p>
            <w:pPr>
              <w:jc w:val="right"/>
              <w:ind w:right="57"/>
              <w:spacing w:after="0" w:line="117" w:lineRule="exact"/>
              <w:rPr>
                <w:sz w:val="20"/>
                <w:szCs w:val="20"/>
                <w:color w:val="auto"/>
              </w:rPr>
            </w:pPr>
            <w:r>
              <w:rPr>
                <w:rFonts w:ascii="Times New Roman" w:cs="Times New Roman" w:eastAsia="Times New Roman" w:hAnsi="Times New Roman"/>
                <w:sz w:val="13"/>
                <w:szCs w:val="13"/>
                <w:color w:val="auto"/>
              </w:rPr>
              <w:t>10/29/2024</w:t>
            </w:r>
          </w:p>
        </w:tc>
        <w:tc>
          <w:tcPr>
            <w:tcW w:w="1080" w:type="dxa"/>
            <w:vAlign w:val="bottom"/>
          </w:tcPr>
          <w:p>
            <w:pPr>
              <w:jc w:val="right"/>
              <w:ind w:right="117"/>
              <w:spacing w:after="0" w:line="117" w:lineRule="exact"/>
              <w:rPr>
                <w:sz w:val="20"/>
                <w:szCs w:val="20"/>
                <w:color w:val="auto"/>
              </w:rPr>
            </w:pPr>
            <w:r>
              <w:rPr>
                <w:rFonts w:ascii="Times New Roman" w:cs="Times New Roman" w:eastAsia="Times New Roman" w:hAnsi="Times New Roman"/>
                <w:sz w:val="13"/>
                <w:szCs w:val="13"/>
                <w:color w:val="auto"/>
              </w:rPr>
              <w:t>E + 5.00%</w:t>
            </w:r>
          </w:p>
        </w:tc>
        <w:tc>
          <w:tcPr>
            <w:tcW w:w="150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7.59%</w:t>
            </w: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62,079</w:t>
            </w:r>
          </w:p>
        </w:tc>
        <w:tc>
          <w:tcPr>
            <w:tcW w:w="9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65,554</w:t>
            </w:r>
          </w:p>
        </w:tc>
        <w:tc>
          <w:tcPr>
            <w:tcW w:w="114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1.3%</w:t>
            </w:r>
          </w:p>
        </w:tc>
      </w:tr>
      <w:tr>
        <w:trPr>
          <w:trHeight w:val="153"/>
        </w:trPr>
        <w:tc>
          <w:tcPr>
            <w:tcW w:w="236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(EUR 57,713)</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35"/>
        </w:trPr>
        <w:tc>
          <w:tcPr>
            <w:tcW w:w="2360" w:type="dxa"/>
            <w:vAlign w:val="bottom"/>
            <w:shd w:val="clear" w:color="auto" w:fill="CFF0FC"/>
          </w:tcPr>
          <w:p>
            <w:pPr>
              <w:spacing w:after="0"/>
              <w:rPr>
                <w:sz w:val="11"/>
                <w:szCs w:val="11"/>
                <w:color w:val="auto"/>
              </w:rPr>
            </w:pPr>
          </w:p>
        </w:tc>
        <w:tc>
          <w:tcPr>
            <w:tcW w:w="2820" w:type="dxa"/>
            <w:vAlign w:val="bottom"/>
            <w:shd w:val="clear" w:color="auto" w:fill="CFF0FC"/>
          </w:tcPr>
          <w:p>
            <w:pPr>
              <w:ind w:left="80"/>
              <w:spacing w:after="0" w:line="135" w:lineRule="exact"/>
              <w:rPr>
                <w:sz w:val="20"/>
                <w:szCs w:val="20"/>
                <w:color w:val="auto"/>
              </w:rPr>
            </w:pPr>
            <w:r>
              <w:rPr>
                <w:rFonts w:ascii="Times New Roman" w:cs="Times New Roman" w:eastAsia="Times New Roman" w:hAnsi="Times New Roman"/>
                <w:sz w:val="13"/>
                <w:szCs w:val="13"/>
                <w:color w:val="auto"/>
              </w:rPr>
              <w:t>First-lien note ($160,437 par, due 10/2031)</w:t>
            </w:r>
          </w:p>
        </w:tc>
        <w:tc>
          <w:tcPr>
            <w:tcW w:w="8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10/29/2024</w:t>
            </w:r>
          </w:p>
        </w:tc>
        <w:tc>
          <w:tcPr>
            <w:tcW w:w="1080" w:type="dxa"/>
            <w:vAlign w:val="bottom"/>
            <w:shd w:val="clear" w:color="auto" w:fill="CFF0FC"/>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SOFR + 5.00%</w:t>
            </w:r>
          </w:p>
        </w:tc>
        <w:tc>
          <w:tcPr>
            <w:tcW w:w="15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9.08%</w:t>
            </w: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157,990</w:t>
            </w:r>
          </w:p>
        </w:tc>
        <w:tc>
          <w:tcPr>
            <w:tcW w:w="16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159,583</w:t>
            </w:r>
          </w:p>
        </w:tc>
        <w:tc>
          <w:tcPr>
            <w:tcW w:w="160" w:type="dxa"/>
            <w:vAlign w:val="bottom"/>
            <w:shd w:val="clear" w:color="auto" w:fill="CFF0FC"/>
          </w:tcPr>
          <w:p>
            <w:pPr>
              <w:spacing w:after="0"/>
              <w:rPr>
                <w:sz w:val="11"/>
                <w:szCs w:val="11"/>
                <w:color w:val="auto"/>
              </w:rPr>
            </w:pPr>
          </w:p>
        </w:tc>
        <w:tc>
          <w:tcPr>
            <w:tcW w:w="980" w:type="dxa"/>
            <w:vAlign w:val="bottom"/>
            <w:gridSpan w:val="2"/>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3.1%</w:t>
            </w:r>
          </w:p>
        </w:tc>
      </w:tr>
      <w:tr>
        <w:trPr>
          <w:trHeight w:val="20"/>
        </w:trPr>
        <w:tc>
          <w:tcPr>
            <w:tcW w:w="2360" w:type="dxa"/>
            <w:vAlign w:val="bottom"/>
            <w:shd w:val="clear" w:color="auto" w:fill="CFF0FC"/>
          </w:tcPr>
          <w:p>
            <w:pPr>
              <w:spacing w:after="0" w:line="20" w:lineRule="exact"/>
              <w:rPr>
                <w:sz w:val="1"/>
                <w:szCs w:val="1"/>
                <w:color w:val="auto"/>
              </w:rPr>
            </w:pPr>
          </w:p>
        </w:tc>
        <w:tc>
          <w:tcPr>
            <w:tcW w:w="282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150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28"/>
        </w:trPr>
        <w:tc>
          <w:tcPr>
            <w:tcW w:w="236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623,016</w:t>
            </w:r>
          </w:p>
        </w:tc>
        <w:tc>
          <w:tcPr>
            <w:tcW w:w="160" w:type="dxa"/>
            <w:vAlign w:val="bottom"/>
          </w:tcPr>
          <w:p>
            <w:pPr>
              <w:spacing w:after="0"/>
              <w:rPr>
                <w:sz w:val="11"/>
                <w:szCs w:val="11"/>
                <w:color w:val="auto"/>
              </w:rPr>
            </w:pPr>
          </w:p>
        </w:tc>
        <w:tc>
          <w:tcPr>
            <w:tcW w:w="7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570,979</w:t>
            </w:r>
          </w:p>
        </w:tc>
        <w:tc>
          <w:tcPr>
            <w:tcW w:w="160" w:type="dxa"/>
            <w:vAlign w:val="bottom"/>
          </w:tcPr>
          <w:p>
            <w:pPr>
              <w:spacing w:after="0"/>
              <w:rPr>
                <w:sz w:val="11"/>
                <w:szCs w:val="11"/>
                <w:color w:val="auto"/>
              </w:rPr>
            </w:pPr>
          </w:p>
        </w:tc>
        <w:tc>
          <w:tcPr>
            <w:tcW w:w="98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11.3%</w:t>
            </w:r>
          </w:p>
        </w:tc>
      </w:tr>
      <w:tr>
        <w:trPr>
          <w:trHeight w:val="128"/>
        </w:trPr>
        <w:tc>
          <w:tcPr>
            <w:tcW w:w="236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Pharmaceuticals</w:t>
            </w:r>
          </w:p>
        </w:tc>
        <w:tc>
          <w:tcPr>
            <w:tcW w:w="28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500" w:type="dxa"/>
            <w:vAlign w:val="bottom"/>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80" w:type="dxa"/>
            <w:vAlign w:val="bottom"/>
            <w:tcBorders>
              <w:top w:val="single" w:sz="8" w:color="auto"/>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6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3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 xml:space="preserve">Arrowhead Pharmaceuticals, Inc. </w:t>
            </w:r>
            <w:r>
              <w:rPr>
                <w:rFonts w:ascii="Times New Roman" w:cs="Times New Roman" w:eastAsia="Times New Roman" w:hAnsi="Times New Roman"/>
                <w:sz w:val="15"/>
                <w:szCs w:val="15"/>
                <w:color w:val="auto"/>
                <w:vertAlign w:val="superscript"/>
              </w:rPr>
              <w:t>(4)</w:t>
            </w:r>
          </w:p>
        </w:tc>
        <w:tc>
          <w:tcPr>
            <w:tcW w:w="282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First-lien loan ($118,175 par, due 8/2031)</w:t>
            </w:r>
          </w:p>
        </w:tc>
        <w:tc>
          <w:tcPr>
            <w:tcW w:w="8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8/7/2024</w:t>
            </w:r>
          </w:p>
        </w:tc>
        <w:tc>
          <w:tcPr>
            <w:tcW w:w="10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15.00%</w:t>
            </w:r>
          </w:p>
        </w:tc>
        <w:tc>
          <w:tcPr>
            <w:tcW w:w="1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15.00%</w:t>
            </w: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117,507</w:t>
            </w:r>
          </w:p>
        </w:tc>
        <w:tc>
          <w:tcPr>
            <w:tcW w:w="9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131,765</w:t>
            </w:r>
          </w:p>
        </w:tc>
        <w:tc>
          <w:tcPr>
            <w:tcW w:w="1140" w:type="dxa"/>
            <w:vAlign w:val="bottom"/>
            <w:gridSpan w:val="3"/>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2.6%</w:t>
            </w:r>
          </w:p>
        </w:tc>
      </w:tr>
      <w:tr>
        <w:trPr>
          <w:trHeight w:val="135"/>
        </w:trPr>
        <w:tc>
          <w:tcPr>
            <w:tcW w:w="23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 xml:space="preserve">Beam Therapeutics, Inc. </w:t>
            </w:r>
            <w:r>
              <w:rPr>
                <w:rFonts w:ascii="Times New Roman" w:cs="Times New Roman" w:eastAsia="Times New Roman" w:hAnsi="Times New Roman"/>
                <w:sz w:val="15"/>
                <w:szCs w:val="15"/>
                <w:color w:val="auto"/>
                <w:vertAlign w:val="superscript"/>
              </w:rPr>
              <w:t>(3)(4)</w:t>
            </w:r>
          </w:p>
        </w:tc>
        <w:tc>
          <w:tcPr>
            <w:tcW w:w="2820" w:type="dxa"/>
            <w:vAlign w:val="bottom"/>
            <w:shd w:val="clear" w:color="auto" w:fill="CFF0FC"/>
          </w:tcPr>
          <w:p>
            <w:pPr>
              <w:ind w:left="80"/>
              <w:spacing w:after="0" w:line="135" w:lineRule="exact"/>
              <w:rPr>
                <w:sz w:val="20"/>
                <w:szCs w:val="20"/>
                <w:color w:val="auto"/>
              </w:rPr>
            </w:pPr>
            <w:r>
              <w:rPr>
                <w:rFonts w:ascii="Times New Roman" w:cs="Times New Roman" w:eastAsia="Times New Roman" w:hAnsi="Times New Roman"/>
                <w:sz w:val="13"/>
                <w:szCs w:val="13"/>
                <w:color w:val="auto"/>
              </w:rPr>
              <w:t>First-lien loan ($50,000 par, due 2/2033)</w:t>
            </w:r>
          </w:p>
        </w:tc>
        <w:tc>
          <w:tcPr>
            <w:tcW w:w="8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2/24/2026</w:t>
            </w:r>
          </w:p>
        </w:tc>
        <w:tc>
          <w:tcPr>
            <w:tcW w:w="1080" w:type="dxa"/>
            <w:vAlign w:val="bottom"/>
            <w:shd w:val="clear" w:color="auto" w:fill="CFF0FC"/>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SOFR + 6.50%</w:t>
            </w:r>
          </w:p>
        </w:tc>
        <w:tc>
          <w:tcPr>
            <w:tcW w:w="15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10.26%</w:t>
            </w: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49,838</w:t>
            </w:r>
          </w:p>
        </w:tc>
        <w:tc>
          <w:tcPr>
            <w:tcW w:w="94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51,125</w:t>
            </w:r>
          </w:p>
        </w:tc>
        <w:tc>
          <w:tcPr>
            <w:tcW w:w="1140" w:type="dxa"/>
            <w:vAlign w:val="bottom"/>
            <w:gridSpan w:val="3"/>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1.0%</w:t>
            </w:r>
          </w:p>
        </w:tc>
      </w:tr>
      <w:tr>
        <w:trPr>
          <w:trHeight w:val="117"/>
        </w:trPr>
        <w:tc>
          <w:tcPr>
            <w:tcW w:w="2360" w:type="dxa"/>
            <w:vAlign w:val="bottom"/>
          </w:tcPr>
          <w:p>
            <w:pPr>
              <w:spacing w:after="0" w:line="117" w:lineRule="exact"/>
              <w:rPr>
                <w:sz w:val="20"/>
                <w:szCs w:val="20"/>
                <w:color w:val="auto"/>
              </w:rPr>
            </w:pPr>
            <w:r>
              <w:rPr>
                <w:rFonts w:ascii="Times New Roman" w:cs="Times New Roman" w:eastAsia="Times New Roman" w:hAnsi="Times New Roman"/>
                <w:sz w:val="10"/>
                <w:szCs w:val="10"/>
                <w:color w:val="auto"/>
              </w:rPr>
              <w:t xml:space="preserve">Elysium BidCo Limited </w:t>
            </w:r>
            <w:r>
              <w:rPr>
                <w:rFonts w:ascii="Times New Roman" w:cs="Times New Roman" w:eastAsia="Times New Roman" w:hAnsi="Times New Roman"/>
                <w:sz w:val="13"/>
                <w:szCs w:val="13"/>
                <w:color w:val="auto"/>
                <w:vertAlign w:val="superscript"/>
              </w:rPr>
              <w:t>(3)(4)</w:t>
            </w:r>
          </w:p>
        </w:tc>
        <w:tc>
          <w:tcPr>
            <w:tcW w:w="2820" w:type="dxa"/>
            <w:vAlign w:val="bottom"/>
          </w:tcPr>
          <w:p>
            <w:pPr>
              <w:ind w:left="80"/>
              <w:spacing w:after="0" w:line="117" w:lineRule="exact"/>
              <w:rPr>
                <w:sz w:val="20"/>
                <w:szCs w:val="20"/>
                <w:color w:val="auto"/>
              </w:rPr>
            </w:pPr>
            <w:r>
              <w:rPr>
                <w:rFonts w:ascii="Times New Roman" w:cs="Times New Roman" w:eastAsia="Times New Roman" w:hAnsi="Times New Roman"/>
                <w:sz w:val="13"/>
                <w:szCs w:val="13"/>
                <w:color w:val="auto"/>
              </w:rPr>
              <w:t>First-lien loan (EUR 139,148 par, due 12/2030)</w:t>
            </w:r>
          </w:p>
        </w:tc>
        <w:tc>
          <w:tcPr>
            <w:tcW w:w="820" w:type="dxa"/>
            <w:vAlign w:val="bottom"/>
          </w:tcPr>
          <w:p>
            <w:pPr>
              <w:jc w:val="right"/>
              <w:ind w:right="57"/>
              <w:spacing w:after="0" w:line="117" w:lineRule="exact"/>
              <w:rPr>
                <w:sz w:val="20"/>
                <w:szCs w:val="20"/>
                <w:color w:val="auto"/>
              </w:rPr>
            </w:pPr>
            <w:r>
              <w:rPr>
                <w:rFonts w:ascii="Times New Roman" w:cs="Times New Roman" w:eastAsia="Times New Roman" w:hAnsi="Times New Roman"/>
                <w:sz w:val="13"/>
                <w:szCs w:val="13"/>
                <w:color w:val="auto"/>
              </w:rPr>
              <w:t>12/11/2024</w:t>
            </w:r>
          </w:p>
        </w:tc>
        <w:tc>
          <w:tcPr>
            <w:tcW w:w="1080" w:type="dxa"/>
            <w:vAlign w:val="bottom"/>
          </w:tcPr>
          <w:p>
            <w:pPr>
              <w:jc w:val="right"/>
              <w:ind w:right="117"/>
              <w:spacing w:after="0" w:line="117" w:lineRule="exact"/>
              <w:rPr>
                <w:sz w:val="20"/>
                <w:szCs w:val="20"/>
                <w:color w:val="auto"/>
              </w:rPr>
            </w:pPr>
            <w:r>
              <w:rPr>
                <w:rFonts w:ascii="Times New Roman" w:cs="Times New Roman" w:eastAsia="Times New Roman" w:hAnsi="Times New Roman"/>
                <w:sz w:val="13"/>
                <w:szCs w:val="13"/>
                <w:color w:val="auto"/>
              </w:rPr>
              <w:t>E + 7.25%</w:t>
            </w:r>
          </w:p>
        </w:tc>
        <w:tc>
          <w:tcPr>
            <w:tcW w:w="150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9.84%</w:t>
            </w: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143,180</w:t>
            </w:r>
          </w:p>
        </w:tc>
        <w:tc>
          <w:tcPr>
            <w:tcW w:w="9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153,705</w:t>
            </w:r>
          </w:p>
        </w:tc>
        <w:tc>
          <w:tcPr>
            <w:tcW w:w="114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3.0%</w:t>
            </w:r>
          </w:p>
        </w:tc>
      </w:tr>
      <w:tr>
        <w:trPr>
          <w:trHeight w:val="135"/>
        </w:trPr>
        <w:tc>
          <w:tcPr>
            <w:tcW w:w="236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(EUR</w:t>
            </w: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3"/>
        </w:trPr>
        <w:tc>
          <w:tcPr>
            <w:tcW w:w="236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135,321)</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17"/>
        </w:trPr>
        <w:tc>
          <w:tcPr>
            <w:tcW w:w="2360" w:type="dxa"/>
            <w:vAlign w:val="bottom"/>
            <w:shd w:val="clear" w:color="auto" w:fill="CFF0FC"/>
          </w:tcPr>
          <w:p>
            <w:pPr>
              <w:spacing w:after="0"/>
              <w:rPr>
                <w:sz w:val="10"/>
                <w:szCs w:val="10"/>
                <w:color w:val="auto"/>
              </w:rPr>
            </w:pPr>
          </w:p>
        </w:tc>
        <w:tc>
          <w:tcPr>
            <w:tcW w:w="2820" w:type="dxa"/>
            <w:vAlign w:val="bottom"/>
            <w:shd w:val="clear" w:color="auto" w:fill="CFF0FC"/>
          </w:tcPr>
          <w:p>
            <w:pPr>
              <w:ind w:left="80"/>
              <w:spacing w:after="0" w:line="117" w:lineRule="exact"/>
              <w:rPr>
                <w:sz w:val="20"/>
                <w:szCs w:val="20"/>
                <w:color w:val="auto"/>
              </w:rPr>
            </w:pPr>
            <w:r>
              <w:rPr>
                <w:rFonts w:ascii="Times New Roman" w:cs="Times New Roman" w:eastAsia="Times New Roman" w:hAnsi="Times New Roman"/>
                <w:sz w:val="13"/>
                <w:szCs w:val="13"/>
                <w:color w:val="auto"/>
              </w:rPr>
              <w:t>First-lien loan (GBP 77,006 par, due 12/2030)</w:t>
            </w:r>
          </w:p>
        </w:tc>
        <w:tc>
          <w:tcPr>
            <w:tcW w:w="820" w:type="dxa"/>
            <w:vAlign w:val="bottom"/>
            <w:shd w:val="clear" w:color="auto" w:fill="CFF0FC"/>
          </w:tcPr>
          <w:p>
            <w:pPr>
              <w:jc w:val="right"/>
              <w:ind w:right="57"/>
              <w:spacing w:after="0" w:line="117" w:lineRule="exact"/>
              <w:rPr>
                <w:sz w:val="20"/>
                <w:szCs w:val="20"/>
                <w:color w:val="auto"/>
              </w:rPr>
            </w:pPr>
            <w:r>
              <w:rPr>
                <w:rFonts w:ascii="Times New Roman" w:cs="Times New Roman" w:eastAsia="Times New Roman" w:hAnsi="Times New Roman"/>
                <w:sz w:val="13"/>
                <w:szCs w:val="13"/>
                <w:color w:val="auto"/>
              </w:rPr>
              <w:t>12/11/2024</w:t>
            </w:r>
          </w:p>
        </w:tc>
        <w:tc>
          <w:tcPr>
            <w:tcW w:w="1080" w:type="dxa"/>
            <w:vAlign w:val="bottom"/>
            <w:shd w:val="clear" w:color="auto" w:fill="CFF0FC"/>
          </w:tcPr>
          <w:p>
            <w:pPr>
              <w:jc w:val="right"/>
              <w:ind w:right="117"/>
              <w:spacing w:after="0" w:line="117" w:lineRule="exact"/>
              <w:rPr>
                <w:sz w:val="20"/>
                <w:szCs w:val="20"/>
                <w:color w:val="auto"/>
              </w:rPr>
            </w:pPr>
            <w:r>
              <w:rPr>
                <w:rFonts w:ascii="Times New Roman" w:cs="Times New Roman" w:eastAsia="Times New Roman" w:hAnsi="Times New Roman"/>
                <w:sz w:val="13"/>
                <w:szCs w:val="13"/>
                <w:color w:val="auto"/>
              </w:rPr>
              <w:t>S + 7.25%</w:t>
            </w:r>
          </w:p>
        </w:tc>
        <w:tc>
          <w:tcPr>
            <w:tcW w:w="150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10.98%</w:t>
            </w:r>
          </w:p>
        </w:tc>
        <w:tc>
          <w:tcPr>
            <w:tcW w:w="58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96,201</w:t>
            </w:r>
          </w:p>
        </w:tc>
        <w:tc>
          <w:tcPr>
            <w:tcW w:w="94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99,741</w:t>
            </w:r>
          </w:p>
        </w:tc>
        <w:tc>
          <w:tcPr>
            <w:tcW w:w="1140" w:type="dxa"/>
            <w:vAlign w:val="bottom"/>
            <w:gridSpan w:val="3"/>
            <w:shd w:val="clear" w:color="auto" w:fill="CFF0FC"/>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2.0%</w:t>
            </w:r>
          </w:p>
        </w:tc>
      </w:tr>
      <w:tr>
        <w:trPr>
          <w:trHeight w:val="153"/>
        </w:trPr>
        <w:tc>
          <w:tcPr>
            <w:tcW w:w="2360" w:type="dxa"/>
            <w:vAlign w:val="bottom"/>
            <w:tcBorders>
              <w:bottom w:val="single" w:sz="8" w:color="CFF0FC"/>
            </w:tcBorders>
            <w:shd w:val="clear" w:color="auto" w:fill="CFF0FC"/>
          </w:tcPr>
          <w:p>
            <w:pPr>
              <w:spacing w:after="0"/>
              <w:rPr>
                <w:sz w:val="13"/>
                <w:szCs w:val="13"/>
                <w:color w:val="auto"/>
              </w:rPr>
            </w:pPr>
          </w:p>
        </w:tc>
        <w:tc>
          <w:tcPr>
            <w:tcW w:w="2820" w:type="dxa"/>
            <w:vAlign w:val="bottom"/>
            <w:tcBorders>
              <w:bottom w:val="single" w:sz="8" w:color="CFF0FC"/>
            </w:tcBorders>
            <w:shd w:val="clear" w:color="auto" w:fill="CFF0FC"/>
          </w:tcPr>
          <w:p>
            <w:pPr>
              <w:spacing w:after="0"/>
              <w:rPr>
                <w:sz w:val="13"/>
                <w:szCs w:val="13"/>
                <w:color w:val="auto"/>
              </w:rPr>
            </w:pPr>
          </w:p>
        </w:tc>
        <w:tc>
          <w:tcPr>
            <w:tcW w:w="820" w:type="dxa"/>
            <w:vAlign w:val="bottom"/>
            <w:tcBorders>
              <w:bottom w:val="single" w:sz="8" w:color="CFF0FC"/>
            </w:tcBorders>
            <w:shd w:val="clear" w:color="auto" w:fill="CFF0FC"/>
          </w:tcPr>
          <w:p>
            <w:pPr>
              <w:spacing w:after="0"/>
              <w:rPr>
                <w:sz w:val="13"/>
                <w:szCs w:val="13"/>
                <w:color w:val="auto"/>
              </w:rPr>
            </w:pPr>
          </w:p>
        </w:tc>
        <w:tc>
          <w:tcPr>
            <w:tcW w:w="1080" w:type="dxa"/>
            <w:vAlign w:val="bottom"/>
            <w:tcBorders>
              <w:bottom w:val="single" w:sz="8" w:color="CFF0FC"/>
            </w:tcBorders>
            <w:shd w:val="clear" w:color="auto" w:fill="CFF0FC"/>
          </w:tcPr>
          <w:p>
            <w:pPr>
              <w:spacing w:after="0"/>
              <w:rPr>
                <w:sz w:val="13"/>
                <w:szCs w:val="13"/>
                <w:color w:val="auto"/>
              </w:rPr>
            </w:pPr>
          </w:p>
        </w:tc>
        <w:tc>
          <w:tcPr>
            <w:tcW w:w="1500" w:type="dxa"/>
            <w:vAlign w:val="bottom"/>
            <w:tcBorders>
              <w:bottom w:val="single" w:sz="8" w:color="CFF0FC"/>
            </w:tcBorders>
            <w:shd w:val="clear" w:color="auto" w:fill="CFF0FC"/>
          </w:tcPr>
          <w:p>
            <w:pPr>
              <w:spacing w:after="0"/>
              <w:rPr>
                <w:sz w:val="13"/>
                <w:szCs w:val="13"/>
                <w:color w:val="auto"/>
              </w:rPr>
            </w:pPr>
          </w:p>
        </w:tc>
        <w:tc>
          <w:tcPr>
            <w:tcW w:w="580" w:type="dxa"/>
            <w:vAlign w:val="bottom"/>
            <w:tcBorders>
              <w:bottom w:val="single" w:sz="8" w:color="auto"/>
            </w:tcBorders>
            <w:shd w:val="clear" w:color="auto" w:fill="CFF0FC"/>
          </w:tcPr>
          <w:p>
            <w:pPr>
              <w:spacing w:after="0"/>
              <w:rPr>
                <w:sz w:val="13"/>
                <w:szCs w:val="13"/>
                <w:color w:val="auto"/>
              </w:rPr>
            </w:pPr>
          </w:p>
        </w:tc>
        <w:tc>
          <w:tcPr>
            <w:tcW w:w="16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(GBP 75,081)</w:t>
            </w:r>
          </w:p>
        </w:tc>
        <w:tc>
          <w:tcPr>
            <w:tcW w:w="16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auto"/>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r>
      <w:tr>
        <w:trPr>
          <w:trHeight w:val="128"/>
        </w:trPr>
        <w:tc>
          <w:tcPr>
            <w:tcW w:w="236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406,726</w:t>
            </w:r>
          </w:p>
        </w:tc>
        <w:tc>
          <w:tcPr>
            <w:tcW w:w="94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436,336</w:t>
            </w:r>
          </w:p>
        </w:tc>
        <w:tc>
          <w:tcPr>
            <w:tcW w:w="1140" w:type="dxa"/>
            <w:vAlign w:val="bottom"/>
            <w:gridSpan w:val="3"/>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8.6%</w:t>
            </w:r>
          </w:p>
        </w:tc>
      </w:tr>
      <w:tr>
        <w:trPr>
          <w:trHeight w:val="128"/>
        </w:trPr>
        <w:tc>
          <w:tcPr>
            <w:tcW w:w="236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Real Estate</w:t>
            </w:r>
          </w:p>
        </w:tc>
        <w:tc>
          <w:tcPr>
            <w:tcW w:w="28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500" w:type="dxa"/>
            <w:vAlign w:val="bottom"/>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80" w:type="dxa"/>
            <w:vAlign w:val="bottom"/>
            <w:tcBorders>
              <w:top w:val="single" w:sz="8" w:color="auto"/>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6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17"/>
        </w:trPr>
        <w:tc>
          <w:tcPr>
            <w:tcW w:w="2360" w:type="dxa"/>
            <w:vAlign w:val="bottom"/>
          </w:tcPr>
          <w:p>
            <w:pPr>
              <w:spacing w:after="0" w:line="117" w:lineRule="exact"/>
              <w:rPr>
                <w:sz w:val="20"/>
                <w:szCs w:val="20"/>
                <w:color w:val="auto"/>
              </w:rPr>
            </w:pPr>
            <w:r>
              <w:rPr>
                <w:rFonts w:ascii="Times New Roman" w:cs="Times New Roman" w:eastAsia="Times New Roman" w:hAnsi="Times New Roman"/>
                <w:sz w:val="10"/>
                <w:szCs w:val="10"/>
                <w:color w:val="auto"/>
              </w:rPr>
              <w:t xml:space="preserve">Cirrus (BidCo) Limited </w:t>
            </w:r>
            <w:r>
              <w:rPr>
                <w:rFonts w:ascii="Times New Roman" w:cs="Times New Roman" w:eastAsia="Times New Roman" w:hAnsi="Times New Roman"/>
                <w:sz w:val="13"/>
                <w:szCs w:val="13"/>
                <w:color w:val="auto"/>
                <w:vertAlign w:val="superscript"/>
              </w:rPr>
              <w:t>(3)(4)(5)</w:t>
            </w:r>
          </w:p>
        </w:tc>
        <w:tc>
          <w:tcPr>
            <w:tcW w:w="2820" w:type="dxa"/>
            <w:vAlign w:val="bottom"/>
          </w:tcPr>
          <w:p>
            <w:pPr>
              <w:ind w:left="80"/>
              <w:spacing w:after="0" w:line="117" w:lineRule="exact"/>
              <w:rPr>
                <w:sz w:val="20"/>
                <w:szCs w:val="20"/>
                <w:color w:val="auto"/>
              </w:rPr>
            </w:pPr>
            <w:r>
              <w:rPr>
                <w:rFonts w:ascii="Times New Roman" w:cs="Times New Roman" w:eastAsia="Times New Roman" w:hAnsi="Times New Roman"/>
                <w:sz w:val="13"/>
                <w:szCs w:val="13"/>
                <w:color w:val="auto"/>
              </w:rPr>
              <w:t>First-lien loan (GBP 770 par, due 8/2030)</w:t>
            </w:r>
          </w:p>
        </w:tc>
        <w:tc>
          <w:tcPr>
            <w:tcW w:w="820" w:type="dxa"/>
            <w:vAlign w:val="bottom"/>
          </w:tcPr>
          <w:p>
            <w:pPr>
              <w:jc w:val="right"/>
              <w:ind w:right="57"/>
              <w:spacing w:after="0" w:line="117" w:lineRule="exact"/>
              <w:rPr>
                <w:sz w:val="20"/>
                <w:szCs w:val="20"/>
                <w:color w:val="auto"/>
              </w:rPr>
            </w:pPr>
            <w:r>
              <w:rPr>
                <w:rFonts w:ascii="Times New Roman" w:cs="Times New Roman" w:eastAsia="Times New Roman" w:hAnsi="Times New Roman"/>
                <w:sz w:val="13"/>
                <w:szCs w:val="13"/>
                <w:color w:val="auto"/>
              </w:rPr>
              <w:t>8/9/2024</w:t>
            </w:r>
          </w:p>
        </w:tc>
        <w:tc>
          <w:tcPr>
            <w:tcW w:w="1080" w:type="dxa"/>
            <w:vAlign w:val="bottom"/>
          </w:tcPr>
          <w:p>
            <w:pPr>
              <w:jc w:val="right"/>
              <w:ind w:right="117"/>
              <w:spacing w:after="0" w:line="117" w:lineRule="exact"/>
              <w:rPr>
                <w:sz w:val="20"/>
                <w:szCs w:val="20"/>
                <w:color w:val="auto"/>
              </w:rPr>
            </w:pPr>
            <w:r>
              <w:rPr>
                <w:rFonts w:ascii="Times New Roman" w:cs="Times New Roman" w:eastAsia="Times New Roman" w:hAnsi="Times New Roman"/>
                <w:sz w:val="13"/>
                <w:szCs w:val="13"/>
                <w:color w:val="auto"/>
              </w:rPr>
              <w:t>S + 5.25%</w:t>
            </w:r>
          </w:p>
        </w:tc>
        <w:tc>
          <w:tcPr>
            <w:tcW w:w="150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8.98%</w:t>
            </w: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969</w:t>
            </w:r>
          </w:p>
        </w:tc>
        <w:tc>
          <w:tcPr>
            <w:tcW w:w="9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1,023</w:t>
            </w:r>
          </w:p>
        </w:tc>
        <w:tc>
          <w:tcPr>
            <w:tcW w:w="114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0.0%</w:t>
            </w:r>
          </w:p>
        </w:tc>
      </w:tr>
      <w:tr>
        <w:trPr>
          <w:trHeight w:val="153"/>
        </w:trPr>
        <w:tc>
          <w:tcPr>
            <w:tcW w:w="236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(GBP 770)</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35"/>
        </w:trPr>
        <w:tc>
          <w:tcPr>
            <w:tcW w:w="23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Retail and Consumer Products</w:t>
            </w:r>
          </w:p>
        </w:tc>
        <w:tc>
          <w:tcPr>
            <w:tcW w:w="28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5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3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 xml:space="preserve">Acosta Inc. </w:t>
            </w:r>
            <w:r>
              <w:rPr>
                <w:rFonts w:ascii="Times New Roman" w:cs="Times New Roman" w:eastAsia="Times New Roman" w:hAnsi="Times New Roman"/>
                <w:sz w:val="15"/>
                <w:szCs w:val="15"/>
                <w:color w:val="auto"/>
                <w:vertAlign w:val="superscript"/>
              </w:rPr>
              <w:t>(3)(12)</w:t>
            </w:r>
          </w:p>
        </w:tc>
        <w:tc>
          <w:tcPr>
            <w:tcW w:w="282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First-lien loan ($192,990 par, due 8/2031)</w:t>
            </w:r>
          </w:p>
        </w:tc>
        <w:tc>
          <w:tcPr>
            <w:tcW w:w="8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8/20/2024</w:t>
            </w:r>
          </w:p>
        </w:tc>
        <w:tc>
          <w:tcPr>
            <w:tcW w:w="1080" w:type="dxa"/>
            <w:vAlign w:val="bottom"/>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SOFR + 5.60%</w:t>
            </w:r>
          </w:p>
        </w:tc>
        <w:tc>
          <w:tcPr>
            <w:tcW w:w="1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9.62%</w:t>
            </w: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189,935</w:t>
            </w:r>
          </w:p>
        </w:tc>
        <w:tc>
          <w:tcPr>
            <w:tcW w:w="9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191,060</w:t>
            </w:r>
          </w:p>
        </w:tc>
        <w:tc>
          <w:tcPr>
            <w:tcW w:w="1140" w:type="dxa"/>
            <w:vAlign w:val="bottom"/>
            <w:gridSpan w:val="3"/>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3.8%</w:t>
            </w:r>
          </w:p>
        </w:tc>
      </w:tr>
      <w:tr>
        <w:trPr>
          <w:trHeight w:val="135"/>
        </w:trPr>
        <w:tc>
          <w:tcPr>
            <w:tcW w:w="23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 xml:space="preserve">Bed Bath and Beyond Inc. </w:t>
            </w:r>
            <w:r>
              <w:rPr>
                <w:rFonts w:ascii="Times New Roman" w:cs="Times New Roman" w:eastAsia="Times New Roman" w:hAnsi="Times New Roman"/>
                <w:sz w:val="15"/>
                <w:szCs w:val="15"/>
                <w:color w:val="auto"/>
                <w:vertAlign w:val="superscript"/>
              </w:rPr>
              <w:t>(3)(11)(13)</w:t>
            </w:r>
          </w:p>
        </w:tc>
        <w:tc>
          <w:tcPr>
            <w:tcW w:w="2820" w:type="dxa"/>
            <w:vAlign w:val="bottom"/>
            <w:shd w:val="clear" w:color="auto" w:fill="CFF0FC"/>
          </w:tcPr>
          <w:p>
            <w:pPr>
              <w:ind w:left="80"/>
              <w:spacing w:after="0" w:line="135" w:lineRule="exact"/>
              <w:rPr>
                <w:sz w:val="20"/>
                <w:szCs w:val="20"/>
                <w:color w:val="auto"/>
              </w:rPr>
            </w:pPr>
            <w:r>
              <w:rPr>
                <w:rFonts w:ascii="Times New Roman" w:cs="Times New Roman" w:eastAsia="Times New Roman" w:hAnsi="Times New Roman"/>
                <w:sz w:val="13"/>
                <w:szCs w:val="13"/>
                <w:color w:val="auto"/>
              </w:rPr>
              <w:t>ABL FILO term loan ($6,507 par, due 8/2027)</w:t>
            </w:r>
          </w:p>
        </w:tc>
        <w:tc>
          <w:tcPr>
            <w:tcW w:w="8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9/2/2022</w:t>
            </w:r>
          </w:p>
        </w:tc>
        <w:tc>
          <w:tcPr>
            <w:tcW w:w="1080" w:type="dxa"/>
            <w:vAlign w:val="bottom"/>
            <w:shd w:val="clear" w:color="auto" w:fill="CFF0FC"/>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SOFR + 9.90%</w:t>
            </w:r>
          </w:p>
        </w:tc>
        <w:tc>
          <w:tcPr>
            <w:tcW w:w="15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13.80%</w:t>
            </w: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6,445</w:t>
            </w:r>
          </w:p>
        </w:tc>
        <w:tc>
          <w:tcPr>
            <w:tcW w:w="94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4,490</w:t>
            </w:r>
          </w:p>
        </w:tc>
        <w:tc>
          <w:tcPr>
            <w:tcW w:w="1140" w:type="dxa"/>
            <w:vAlign w:val="bottom"/>
            <w:gridSpan w:val="3"/>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0.1%</w:t>
            </w:r>
          </w:p>
        </w:tc>
      </w:tr>
      <w:tr>
        <w:trPr>
          <w:trHeight w:val="135"/>
        </w:trPr>
        <w:tc>
          <w:tcPr>
            <w:tcW w:w="2360" w:type="dxa"/>
            <w:vAlign w:val="bottom"/>
          </w:tcPr>
          <w:p>
            <w:pPr>
              <w:spacing w:after="0"/>
              <w:rPr>
                <w:sz w:val="11"/>
                <w:szCs w:val="11"/>
                <w:color w:val="auto"/>
              </w:rPr>
            </w:pPr>
          </w:p>
        </w:tc>
        <w:tc>
          <w:tcPr>
            <w:tcW w:w="282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Roll Up DIP term loan ($42,946 par)</w:t>
            </w:r>
          </w:p>
        </w:tc>
        <w:tc>
          <w:tcPr>
            <w:tcW w:w="8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4/24/2023</w:t>
            </w:r>
          </w:p>
        </w:tc>
        <w:tc>
          <w:tcPr>
            <w:tcW w:w="1080" w:type="dxa"/>
            <w:vAlign w:val="bottom"/>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SOFR + 7.90%</w:t>
            </w:r>
          </w:p>
        </w:tc>
        <w:tc>
          <w:tcPr>
            <w:tcW w:w="1500" w:type="dxa"/>
            <w:vAlign w:val="bottom"/>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11.80% PIK</w:t>
            </w: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42,946</w:t>
            </w:r>
          </w:p>
        </w:tc>
        <w:tc>
          <w:tcPr>
            <w:tcW w:w="9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29,633</w:t>
            </w:r>
          </w:p>
        </w:tc>
        <w:tc>
          <w:tcPr>
            <w:tcW w:w="1140" w:type="dxa"/>
            <w:vAlign w:val="bottom"/>
            <w:gridSpan w:val="3"/>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0.6%</w:t>
            </w:r>
          </w:p>
        </w:tc>
      </w:tr>
      <w:tr>
        <w:trPr>
          <w:trHeight w:val="135"/>
        </w:trPr>
        <w:tc>
          <w:tcPr>
            <w:tcW w:w="2360" w:type="dxa"/>
            <w:vAlign w:val="bottom"/>
            <w:shd w:val="clear" w:color="auto" w:fill="CFF0FC"/>
          </w:tcPr>
          <w:p>
            <w:pPr>
              <w:spacing w:after="0"/>
              <w:rPr>
                <w:sz w:val="11"/>
                <w:szCs w:val="11"/>
                <w:color w:val="auto"/>
              </w:rPr>
            </w:pPr>
          </w:p>
        </w:tc>
        <w:tc>
          <w:tcPr>
            <w:tcW w:w="2820" w:type="dxa"/>
            <w:vAlign w:val="bottom"/>
            <w:shd w:val="clear" w:color="auto" w:fill="CFF0FC"/>
          </w:tcPr>
          <w:p>
            <w:pPr>
              <w:ind w:left="80"/>
              <w:spacing w:after="0" w:line="135" w:lineRule="exact"/>
              <w:rPr>
                <w:sz w:val="20"/>
                <w:szCs w:val="20"/>
                <w:color w:val="auto"/>
              </w:rPr>
            </w:pPr>
            <w:r>
              <w:rPr>
                <w:rFonts w:ascii="Times New Roman" w:cs="Times New Roman" w:eastAsia="Times New Roman" w:hAnsi="Times New Roman"/>
                <w:sz w:val="13"/>
                <w:szCs w:val="13"/>
                <w:color w:val="auto"/>
              </w:rPr>
              <w:t>Super-Priority DIP term loan ($5,605 par)</w:t>
            </w:r>
          </w:p>
        </w:tc>
        <w:tc>
          <w:tcPr>
            <w:tcW w:w="8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4/24/2023</w:t>
            </w:r>
          </w:p>
        </w:tc>
        <w:tc>
          <w:tcPr>
            <w:tcW w:w="1080" w:type="dxa"/>
            <w:vAlign w:val="bottom"/>
            <w:shd w:val="clear" w:color="auto" w:fill="CFF0FC"/>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SOFR + 7.90%</w:t>
            </w:r>
          </w:p>
        </w:tc>
        <w:tc>
          <w:tcPr>
            <w:tcW w:w="15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11.80%</w:t>
            </w: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5,605</w:t>
            </w:r>
          </w:p>
        </w:tc>
        <w:tc>
          <w:tcPr>
            <w:tcW w:w="94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3,868</w:t>
            </w:r>
          </w:p>
        </w:tc>
        <w:tc>
          <w:tcPr>
            <w:tcW w:w="1140" w:type="dxa"/>
            <w:vAlign w:val="bottom"/>
            <w:gridSpan w:val="3"/>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0.1%</w:t>
            </w:r>
          </w:p>
        </w:tc>
      </w:tr>
      <w:tr>
        <w:trPr>
          <w:trHeight w:val="135"/>
        </w:trPr>
        <w:tc>
          <w:tcPr>
            <w:tcW w:w="23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 xml:space="preserve">Blazing Star Parent, LLC </w:t>
            </w:r>
            <w:r>
              <w:rPr>
                <w:rFonts w:ascii="Times New Roman" w:cs="Times New Roman" w:eastAsia="Times New Roman" w:hAnsi="Times New Roman"/>
                <w:sz w:val="15"/>
                <w:szCs w:val="15"/>
                <w:color w:val="auto"/>
                <w:vertAlign w:val="superscript"/>
              </w:rPr>
              <w:t>(3)</w:t>
            </w:r>
          </w:p>
        </w:tc>
        <w:tc>
          <w:tcPr>
            <w:tcW w:w="282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First-lien loan ($195,000 par, due 8/2030)</w:t>
            </w:r>
          </w:p>
        </w:tc>
        <w:tc>
          <w:tcPr>
            <w:tcW w:w="8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8/28/2025</w:t>
            </w:r>
          </w:p>
        </w:tc>
        <w:tc>
          <w:tcPr>
            <w:tcW w:w="1080" w:type="dxa"/>
            <w:vAlign w:val="bottom"/>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SOFR + 7.00%</w:t>
            </w:r>
          </w:p>
        </w:tc>
        <w:tc>
          <w:tcPr>
            <w:tcW w:w="1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10.76%</w:t>
            </w: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192,635</w:t>
            </w:r>
          </w:p>
        </w:tc>
        <w:tc>
          <w:tcPr>
            <w:tcW w:w="9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195,000</w:t>
            </w:r>
          </w:p>
        </w:tc>
        <w:tc>
          <w:tcPr>
            <w:tcW w:w="1140" w:type="dxa"/>
            <w:vAlign w:val="bottom"/>
            <w:gridSpan w:val="3"/>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3.8%</w:t>
            </w:r>
          </w:p>
        </w:tc>
      </w:tr>
      <w:tr>
        <w:trPr>
          <w:trHeight w:val="135"/>
        </w:trPr>
        <w:tc>
          <w:tcPr>
            <w:tcW w:w="23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 xml:space="preserve">Cordance Operations, LLC </w:t>
            </w:r>
            <w:r>
              <w:rPr>
                <w:rFonts w:ascii="Times New Roman" w:cs="Times New Roman" w:eastAsia="Times New Roman" w:hAnsi="Times New Roman"/>
                <w:sz w:val="15"/>
                <w:szCs w:val="15"/>
                <w:color w:val="auto"/>
                <w:vertAlign w:val="superscript"/>
              </w:rPr>
              <w:t>(3)</w:t>
            </w:r>
          </w:p>
        </w:tc>
        <w:tc>
          <w:tcPr>
            <w:tcW w:w="2820" w:type="dxa"/>
            <w:vAlign w:val="bottom"/>
            <w:shd w:val="clear" w:color="auto" w:fill="CFF0FC"/>
          </w:tcPr>
          <w:p>
            <w:pPr>
              <w:ind w:left="80"/>
              <w:spacing w:after="0" w:line="135" w:lineRule="exact"/>
              <w:rPr>
                <w:sz w:val="20"/>
                <w:szCs w:val="20"/>
                <w:color w:val="auto"/>
              </w:rPr>
            </w:pPr>
            <w:r>
              <w:rPr>
                <w:rFonts w:ascii="Times New Roman" w:cs="Times New Roman" w:eastAsia="Times New Roman" w:hAnsi="Times New Roman"/>
                <w:sz w:val="13"/>
                <w:szCs w:val="13"/>
                <w:color w:val="auto"/>
              </w:rPr>
              <w:t>First-lien loan ($35,134 par, due 7/2028)</w:t>
            </w:r>
          </w:p>
        </w:tc>
        <w:tc>
          <w:tcPr>
            <w:tcW w:w="8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6/12/2025</w:t>
            </w:r>
          </w:p>
        </w:tc>
        <w:tc>
          <w:tcPr>
            <w:tcW w:w="1080" w:type="dxa"/>
            <w:vAlign w:val="bottom"/>
            <w:shd w:val="clear" w:color="auto" w:fill="CFF0FC"/>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SOFR + 7.90%</w:t>
            </w:r>
          </w:p>
        </w:tc>
        <w:tc>
          <w:tcPr>
            <w:tcW w:w="15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11.66%</w:t>
            </w: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34,648</w:t>
            </w:r>
          </w:p>
        </w:tc>
        <w:tc>
          <w:tcPr>
            <w:tcW w:w="94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34,786</w:t>
            </w:r>
          </w:p>
        </w:tc>
        <w:tc>
          <w:tcPr>
            <w:tcW w:w="1140" w:type="dxa"/>
            <w:vAlign w:val="bottom"/>
            <w:gridSpan w:val="3"/>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0.7%</w:t>
            </w:r>
          </w:p>
        </w:tc>
      </w:tr>
      <w:tr>
        <w:trPr>
          <w:trHeight w:val="135"/>
        </w:trPr>
        <w:tc>
          <w:tcPr>
            <w:tcW w:w="23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 xml:space="preserve">PDI TA Holdings, Inc. </w:t>
            </w:r>
            <w:r>
              <w:rPr>
                <w:rFonts w:ascii="Times New Roman" w:cs="Times New Roman" w:eastAsia="Times New Roman" w:hAnsi="Times New Roman"/>
                <w:sz w:val="15"/>
                <w:szCs w:val="15"/>
                <w:color w:val="auto"/>
                <w:vertAlign w:val="superscript"/>
              </w:rPr>
              <w:t>(3)</w:t>
            </w:r>
          </w:p>
        </w:tc>
        <w:tc>
          <w:tcPr>
            <w:tcW w:w="282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First-lien loan ($164,510 par, due 2/2031)</w:t>
            </w:r>
          </w:p>
        </w:tc>
        <w:tc>
          <w:tcPr>
            <w:tcW w:w="8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2/1/2024</w:t>
            </w:r>
          </w:p>
        </w:tc>
        <w:tc>
          <w:tcPr>
            <w:tcW w:w="1080" w:type="dxa"/>
            <w:vAlign w:val="bottom"/>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SOFR + 6.00%</w:t>
            </w:r>
          </w:p>
        </w:tc>
        <w:tc>
          <w:tcPr>
            <w:tcW w:w="1500" w:type="dxa"/>
            <w:vAlign w:val="bottom"/>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9.82% (incl. 2.50% PIK)</w:t>
            </w: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162,910</w:t>
            </w:r>
          </w:p>
        </w:tc>
        <w:tc>
          <w:tcPr>
            <w:tcW w:w="9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155,051</w:t>
            </w:r>
          </w:p>
        </w:tc>
        <w:tc>
          <w:tcPr>
            <w:tcW w:w="1140" w:type="dxa"/>
            <w:vAlign w:val="bottom"/>
            <w:gridSpan w:val="3"/>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3.1%</w:t>
            </w:r>
          </w:p>
        </w:tc>
      </w:tr>
      <w:tr>
        <w:trPr>
          <w:trHeight w:val="135"/>
        </w:trPr>
        <w:tc>
          <w:tcPr>
            <w:tcW w:w="2360" w:type="dxa"/>
            <w:vAlign w:val="bottom"/>
            <w:shd w:val="clear" w:color="auto" w:fill="CFF0FC"/>
          </w:tcPr>
          <w:p>
            <w:pPr>
              <w:spacing w:after="0"/>
              <w:rPr>
                <w:sz w:val="11"/>
                <w:szCs w:val="11"/>
                <w:color w:val="auto"/>
              </w:rPr>
            </w:pPr>
          </w:p>
        </w:tc>
        <w:tc>
          <w:tcPr>
            <w:tcW w:w="2820" w:type="dxa"/>
            <w:vAlign w:val="bottom"/>
            <w:shd w:val="clear" w:color="auto" w:fill="CFF0FC"/>
          </w:tcPr>
          <w:p>
            <w:pPr>
              <w:ind w:left="80"/>
              <w:spacing w:after="0" w:line="135" w:lineRule="exact"/>
              <w:rPr>
                <w:sz w:val="20"/>
                <w:szCs w:val="20"/>
                <w:color w:val="auto"/>
              </w:rPr>
            </w:pPr>
            <w:r>
              <w:rPr>
                <w:rFonts w:ascii="Times New Roman" w:cs="Times New Roman" w:eastAsia="Times New Roman" w:hAnsi="Times New Roman"/>
                <w:sz w:val="13"/>
                <w:szCs w:val="13"/>
                <w:color w:val="auto"/>
              </w:rPr>
              <w:t>First-lien revolving loan ($13,234 par, due 2/2031)</w:t>
            </w:r>
          </w:p>
        </w:tc>
        <w:tc>
          <w:tcPr>
            <w:tcW w:w="8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2/1/2024</w:t>
            </w:r>
          </w:p>
        </w:tc>
        <w:tc>
          <w:tcPr>
            <w:tcW w:w="1080" w:type="dxa"/>
            <w:vAlign w:val="bottom"/>
            <w:shd w:val="clear" w:color="auto" w:fill="CFF0FC"/>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SOFR + 5.50%</w:t>
            </w:r>
          </w:p>
        </w:tc>
        <w:tc>
          <w:tcPr>
            <w:tcW w:w="15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9.33%</w:t>
            </w: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13,112</w:t>
            </w:r>
          </w:p>
        </w:tc>
        <w:tc>
          <w:tcPr>
            <w:tcW w:w="94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12,473</w:t>
            </w:r>
          </w:p>
        </w:tc>
        <w:tc>
          <w:tcPr>
            <w:tcW w:w="1140" w:type="dxa"/>
            <w:vAlign w:val="bottom"/>
            <w:gridSpan w:val="3"/>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0.3%</w:t>
            </w:r>
          </w:p>
        </w:tc>
      </w:tr>
      <w:tr>
        <w:trPr>
          <w:trHeight w:val="135"/>
        </w:trPr>
        <w:tc>
          <w:tcPr>
            <w:tcW w:w="23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 xml:space="preserve">Photo Holdings, LLC </w:t>
            </w:r>
            <w:r>
              <w:rPr>
                <w:rFonts w:ascii="Times New Roman" w:cs="Times New Roman" w:eastAsia="Times New Roman" w:hAnsi="Times New Roman"/>
                <w:sz w:val="15"/>
                <w:szCs w:val="15"/>
                <w:color w:val="auto"/>
                <w:vertAlign w:val="superscript"/>
              </w:rPr>
              <w:t>(3)</w:t>
            </w:r>
          </w:p>
        </w:tc>
        <w:tc>
          <w:tcPr>
            <w:tcW w:w="282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First-lien loan ($250,000 par, due 6/2031)</w:t>
            </w:r>
          </w:p>
        </w:tc>
        <w:tc>
          <w:tcPr>
            <w:tcW w:w="8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6/22/2026</w:t>
            </w:r>
          </w:p>
        </w:tc>
        <w:tc>
          <w:tcPr>
            <w:tcW w:w="1080" w:type="dxa"/>
            <w:vAlign w:val="bottom"/>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SOFR + 7.00%</w:t>
            </w:r>
          </w:p>
        </w:tc>
        <w:tc>
          <w:tcPr>
            <w:tcW w:w="1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11.07%</w:t>
            </w: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238,391</w:t>
            </w:r>
          </w:p>
        </w:tc>
        <w:tc>
          <w:tcPr>
            <w:tcW w:w="9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243,750</w:t>
            </w:r>
          </w:p>
        </w:tc>
        <w:tc>
          <w:tcPr>
            <w:tcW w:w="1140" w:type="dxa"/>
            <w:vAlign w:val="bottom"/>
            <w:gridSpan w:val="3"/>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4.8%</w:t>
            </w:r>
          </w:p>
        </w:tc>
      </w:tr>
      <w:tr>
        <w:trPr>
          <w:trHeight w:val="108"/>
        </w:trPr>
        <w:tc>
          <w:tcPr>
            <w:tcW w:w="236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0"/>
                <w:szCs w:val="10"/>
                <w:color w:val="auto"/>
              </w:rPr>
              <w:t xml:space="preserve">Rapid Data GmbH Unternehmensberatung </w:t>
            </w:r>
            <w:r>
              <w:rPr>
                <w:rFonts w:ascii="Times New Roman" w:cs="Times New Roman" w:eastAsia="Times New Roman" w:hAnsi="Times New Roman"/>
                <w:sz w:val="12"/>
                <w:szCs w:val="12"/>
                <w:color w:val="auto"/>
                <w:vertAlign w:val="superscript"/>
              </w:rPr>
              <w:t>(3)</w:t>
            </w:r>
          </w:p>
        </w:tc>
        <w:tc>
          <w:tcPr>
            <w:tcW w:w="2820" w:type="dxa"/>
            <w:vAlign w:val="bottom"/>
            <w:shd w:val="clear" w:color="auto" w:fill="CFF0FC"/>
          </w:tcPr>
          <w:p>
            <w:pPr>
              <w:ind w:left="80"/>
              <w:spacing w:after="0" w:line="108" w:lineRule="exact"/>
              <w:rPr>
                <w:sz w:val="20"/>
                <w:szCs w:val="20"/>
                <w:color w:val="auto"/>
              </w:rPr>
            </w:pPr>
            <w:r>
              <w:rPr>
                <w:rFonts w:ascii="Times New Roman" w:cs="Times New Roman" w:eastAsia="Times New Roman" w:hAnsi="Times New Roman"/>
                <w:sz w:val="12"/>
                <w:szCs w:val="12"/>
                <w:color w:val="auto"/>
              </w:rPr>
              <w:t>First-lien loan (EUR 7,546 par, due 7/2029)</w:t>
            </w:r>
          </w:p>
        </w:tc>
        <w:tc>
          <w:tcPr>
            <w:tcW w:w="820" w:type="dxa"/>
            <w:vAlign w:val="bottom"/>
            <w:shd w:val="clear" w:color="auto" w:fill="CFF0FC"/>
          </w:tcPr>
          <w:p>
            <w:pPr>
              <w:jc w:val="right"/>
              <w:ind w:right="57"/>
              <w:spacing w:after="0" w:line="108" w:lineRule="exact"/>
              <w:rPr>
                <w:sz w:val="20"/>
                <w:szCs w:val="20"/>
                <w:color w:val="auto"/>
              </w:rPr>
            </w:pPr>
            <w:r>
              <w:rPr>
                <w:rFonts w:ascii="Times New Roman" w:cs="Times New Roman" w:eastAsia="Times New Roman" w:hAnsi="Times New Roman"/>
                <w:sz w:val="12"/>
                <w:szCs w:val="12"/>
                <w:color w:val="auto"/>
              </w:rPr>
              <w:t>7/11/2023</w:t>
            </w:r>
          </w:p>
        </w:tc>
        <w:tc>
          <w:tcPr>
            <w:tcW w:w="1080" w:type="dxa"/>
            <w:vAlign w:val="bottom"/>
            <w:shd w:val="clear" w:color="auto" w:fill="CFF0FC"/>
          </w:tcPr>
          <w:p>
            <w:pPr>
              <w:jc w:val="right"/>
              <w:ind w:right="117"/>
              <w:spacing w:after="0" w:line="108" w:lineRule="exact"/>
              <w:rPr>
                <w:sz w:val="20"/>
                <w:szCs w:val="20"/>
                <w:color w:val="auto"/>
              </w:rPr>
            </w:pPr>
            <w:r>
              <w:rPr>
                <w:rFonts w:ascii="Times New Roman" w:cs="Times New Roman" w:eastAsia="Times New Roman" w:hAnsi="Times New Roman"/>
                <w:sz w:val="12"/>
                <w:szCs w:val="12"/>
                <w:color w:val="auto"/>
              </w:rPr>
              <w:t>E + 6.50%</w:t>
            </w:r>
          </w:p>
        </w:tc>
        <w:tc>
          <w:tcPr>
            <w:tcW w:w="150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color w:val="auto"/>
              </w:rPr>
              <w:t>8.91%</w:t>
            </w:r>
          </w:p>
        </w:tc>
        <w:tc>
          <w:tcPr>
            <w:tcW w:w="58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color w:val="auto"/>
              </w:rPr>
              <w:t>8,168</w:t>
            </w:r>
          </w:p>
        </w:tc>
        <w:tc>
          <w:tcPr>
            <w:tcW w:w="940" w:type="dxa"/>
            <w:vAlign w:val="bottom"/>
            <w:gridSpan w:val="2"/>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color w:val="auto"/>
              </w:rPr>
              <w:t>8,443</w:t>
            </w:r>
          </w:p>
        </w:tc>
        <w:tc>
          <w:tcPr>
            <w:tcW w:w="1140" w:type="dxa"/>
            <w:vAlign w:val="bottom"/>
            <w:gridSpan w:val="3"/>
            <w:shd w:val="clear" w:color="auto" w:fill="CFF0FC"/>
          </w:tcPr>
          <w:p>
            <w:pPr>
              <w:jc w:val="right"/>
              <w:ind w:right="20"/>
              <w:spacing w:after="0" w:line="108" w:lineRule="exact"/>
              <w:rPr>
                <w:sz w:val="20"/>
                <w:szCs w:val="20"/>
                <w:color w:val="auto"/>
              </w:rPr>
            </w:pPr>
            <w:r>
              <w:rPr>
                <w:rFonts w:ascii="Times New Roman" w:cs="Times New Roman" w:eastAsia="Times New Roman" w:hAnsi="Times New Roman"/>
                <w:sz w:val="12"/>
                <w:szCs w:val="12"/>
                <w:color w:val="auto"/>
              </w:rPr>
              <w:t>0.2%</w:t>
            </w:r>
          </w:p>
        </w:tc>
      </w:tr>
      <w:tr>
        <w:trPr>
          <w:trHeight w:val="142"/>
        </w:trPr>
        <w:tc>
          <w:tcPr>
            <w:tcW w:w="2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8"/>
                <w:szCs w:val="8"/>
                <w:color w:val="auto"/>
              </w:rPr>
              <w:t>(4)</w:t>
            </w:r>
          </w:p>
        </w:tc>
        <w:tc>
          <w:tcPr>
            <w:tcW w:w="282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CFF0FC"/>
            </w:tcBorders>
            <w:shd w:val="clear" w:color="auto" w:fill="CFF0FC"/>
          </w:tcPr>
          <w:p>
            <w:pPr>
              <w:spacing w:after="0"/>
              <w:rPr>
                <w:sz w:val="12"/>
                <w:szCs w:val="12"/>
                <w:color w:val="auto"/>
              </w:rPr>
            </w:pPr>
          </w:p>
        </w:tc>
        <w:tc>
          <w:tcPr>
            <w:tcW w:w="1080" w:type="dxa"/>
            <w:vAlign w:val="bottom"/>
            <w:tcBorders>
              <w:bottom w:val="single" w:sz="8" w:color="CFF0FC"/>
            </w:tcBorders>
            <w:shd w:val="clear" w:color="auto" w:fill="CFF0FC"/>
          </w:tcPr>
          <w:p>
            <w:pPr>
              <w:spacing w:after="0"/>
              <w:rPr>
                <w:sz w:val="12"/>
                <w:szCs w:val="12"/>
                <w:color w:val="auto"/>
              </w:rPr>
            </w:pPr>
          </w:p>
        </w:tc>
        <w:tc>
          <w:tcPr>
            <w:tcW w:w="150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780" w:type="dxa"/>
            <w:vAlign w:val="bottom"/>
            <w:tcBorders>
              <w:bottom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(EUR 7,433)</w:t>
            </w:r>
          </w:p>
        </w:tc>
        <w:tc>
          <w:tcPr>
            <w:tcW w:w="160" w:type="dxa"/>
            <w:vAlign w:val="bottom"/>
            <w:tcBorders>
              <w:bottom w:val="single" w:sz="8" w:color="CFF0FC"/>
            </w:tcBorders>
            <w:shd w:val="clear" w:color="auto" w:fill="CFF0FC"/>
          </w:tcPr>
          <w:p>
            <w:pPr>
              <w:spacing w:after="0"/>
              <w:rPr>
                <w:sz w:val="12"/>
                <w:szCs w:val="12"/>
                <w:color w:val="auto"/>
              </w:rPr>
            </w:pPr>
          </w:p>
        </w:tc>
        <w:tc>
          <w:tcPr>
            <w:tcW w:w="8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r>
      <w:tr>
        <w:trPr>
          <w:trHeight w:val="117"/>
        </w:trPr>
        <w:tc>
          <w:tcPr>
            <w:tcW w:w="2360" w:type="dxa"/>
            <w:vAlign w:val="bottom"/>
          </w:tcPr>
          <w:p>
            <w:pPr>
              <w:spacing w:after="0"/>
              <w:rPr>
                <w:sz w:val="10"/>
                <w:szCs w:val="10"/>
                <w:color w:val="auto"/>
              </w:rPr>
            </w:pPr>
          </w:p>
        </w:tc>
        <w:tc>
          <w:tcPr>
            <w:tcW w:w="2820" w:type="dxa"/>
            <w:vAlign w:val="bottom"/>
          </w:tcPr>
          <w:p>
            <w:pPr>
              <w:ind w:left="80"/>
              <w:spacing w:after="0" w:line="117" w:lineRule="exact"/>
              <w:rPr>
                <w:sz w:val="20"/>
                <w:szCs w:val="20"/>
                <w:color w:val="auto"/>
              </w:rPr>
            </w:pPr>
            <w:r>
              <w:rPr>
                <w:rFonts w:ascii="Times New Roman" w:cs="Times New Roman" w:eastAsia="Times New Roman" w:hAnsi="Times New Roman"/>
                <w:sz w:val="13"/>
                <w:szCs w:val="13"/>
                <w:color w:val="auto"/>
              </w:rPr>
              <w:t>First-lien revolving loan (EUR 328 par, due 6/2029)</w:t>
            </w:r>
          </w:p>
        </w:tc>
        <w:tc>
          <w:tcPr>
            <w:tcW w:w="820" w:type="dxa"/>
            <w:vAlign w:val="bottom"/>
          </w:tcPr>
          <w:p>
            <w:pPr>
              <w:jc w:val="right"/>
              <w:ind w:right="57"/>
              <w:spacing w:after="0" w:line="117" w:lineRule="exact"/>
              <w:rPr>
                <w:sz w:val="20"/>
                <w:szCs w:val="20"/>
                <w:color w:val="auto"/>
              </w:rPr>
            </w:pPr>
            <w:r>
              <w:rPr>
                <w:rFonts w:ascii="Times New Roman" w:cs="Times New Roman" w:eastAsia="Times New Roman" w:hAnsi="Times New Roman"/>
                <w:sz w:val="13"/>
                <w:szCs w:val="13"/>
                <w:color w:val="auto"/>
              </w:rPr>
              <w:t>7/11/2023</w:t>
            </w:r>
          </w:p>
        </w:tc>
        <w:tc>
          <w:tcPr>
            <w:tcW w:w="1080" w:type="dxa"/>
            <w:vAlign w:val="bottom"/>
          </w:tcPr>
          <w:p>
            <w:pPr>
              <w:jc w:val="right"/>
              <w:ind w:right="117"/>
              <w:spacing w:after="0" w:line="117" w:lineRule="exact"/>
              <w:rPr>
                <w:sz w:val="20"/>
                <w:szCs w:val="20"/>
                <w:color w:val="auto"/>
              </w:rPr>
            </w:pPr>
            <w:r>
              <w:rPr>
                <w:rFonts w:ascii="Times New Roman" w:cs="Times New Roman" w:eastAsia="Times New Roman" w:hAnsi="Times New Roman"/>
                <w:sz w:val="13"/>
                <w:szCs w:val="13"/>
                <w:color w:val="auto"/>
              </w:rPr>
              <w:t>E + 6.50%</w:t>
            </w:r>
          </w:p>
        </w:tc>
        <w:tc>
          <w:tcPr>
            <w:tcW w:w="150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8.91%</w:t>
            </w: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376</w:t>
            </w:r>
          </w:p>
        </w:tc>
        <w:tc>
          <w:tcPr>
            <w:tcW w:w="9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361</w:t>
            </w:r>
          </w:p>
        </w:tc>
        <w:tc>
          <w:tcPr>
            <w:tcW w:w="114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0.0%</w:t>
            </w:r>
          </w:p>
        </w:tc>
      </w:tr>
      <w:tr>
        <w:trPr>
          <w:trHeight w:val="153"/>
        </w:trPr>
        <w:tc>
          <w:tcPr>
            <w:tcW w:w="236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(EUR 318)</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35"/>
        </w:trPr>
        <w:tc>
          <w:tcPr>
            <w:tcW w:w="23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 xml:space="preserve">Tango Management Consulting, LLC </w:t>
            </w:r>
            <w:r>
              <w:rPr>
                <w:rFonts w:ascii="Times New Roman" w:cs="Times New Roman" w:eastAsia="Times New Roman" w:hAnsi="Times New Roman"/>
                <w:sz w:val="15"/>
                <w:szCs w:val="15"/>
                <w:color w:val="auto"/>
                <w:vertAlign w:val="superscript"/>
              </w:rPr>
              <w:t>(3)(5)</w:t>
            </w:r>
          </w:p>
        </w:tc>
        <w:tc>
          <w:tcPr>
            <w:tcW w:w="2820" w:type="dxa"/>
            <w:vAlign w:val="bottom"/>
            <w:shd w:val="clear" w:color="auto" w:fill="CFF0FC"/>
          </w:tcPr>
          <w:p>
            <w:pPr>
              <w:ind w:left="80"/>
              <w:spacing w:after="0" w:line="135" w:lineRule="exact"/>
              <w:rPr>
                <w:sz w:val="20"/>
                <w:szCs w:val="20"/>
                <w:color w:val="auto"/>
              </w:rPr>
            </w:pPr>
            <w:r>
              <w:rPr>
                <w:rFonts w:ascii="Times New Roman" w:cs="Times New Roman" w:eastAsia="Times New Roman" w:hAnsi="Times New Roman"/>
                <w:sz w:val="13"/>
                <w:szCs w:val="13"/>
                <w:color w:val="auto"/>
              </w:rPr>
              <w:t>First-lien loan ($14,122 par, due 6/2031)</w:t>
            </w:r>
          </w:p>
        </w:tc>
        <w:tc>
          <w:tcPr>
            <w:tcW w:w="8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6/25/2025</w:t>
            </w:r>
          </w:p>
        </w:tc>
        <w:tc>
          <w:tcPr>
            <w:tcW w:w="1080" w:type="dxa"/>
            <w:vAlign w:val="bottom"/>
            <w:shd w:val="clear" w:color="auto" w:fill="CFF0FC"/>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SOFR + 6.50%</w:t>
            </w:r>
          </w:p>
        </w:tc>
        <w:tc>
          <w:tcPr>
            <w:tcW w:w="15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10.23%</w:t>
            </w: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13,874</w:t>
            </w:r>
          </w:p>
        </w:tc>
        <w:tc>
          <w:tcPr>
            <w:tcW w:w="16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13,636</w:t>
            </w:r>
          </w:p>
        </w:tc>
        <w:tc>
          <w:tcPr>
            <w:tcW w:w="160" w:type="dxa"/>
            <w:vAlign w:val="bottom"/>
            <w:shd w:val="clear" w:color="auto" w:fill="CFF0FC"/>
          </w:tcPr>
          <w:p>
            <w:pPr>
              <w:spacing w:after="0"/>
              <w:rPr>
                <w:sz w:val="11"/>
                <w:szCs w:val="11"/>
                <w:color w:val="auto"/>
              </w:rPr>
            </w:pPr>
          </w:p>
        </w:tc>
        <w:tc>
          <w:tcPr>
            <w:tcW w:w="980" w:type="dxa"/>
            <w:vAlign w:val="bottom"/>
            <w:gridSpan w:val="2"/>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0.3%</w:t>
            </w:r>
          </w:p>
        </w:tc>
      </w:tr>
      <w:tr>
        <w:trPr>
          <w:trHeight w:val="20"/>
        </w:trPr>
        <w:tc>
          <w:tcPr>
            <w:tcW w:w="2360" w:type="dxa"/>
            <w:vAlign w:val="bottom"/>
            <w:shd w:val="clear" w:color="auto" w:fill="CFF0FC"/>
          </w:tcPr>
          <w:p>
            <w:pPr>
              <w:spacing w:after="0" w:line="20" w:lineRule="exact"/>
              <w:rPr>
                <w:sz w:val="1"/>
                <w:szCs w:val="1"/>
                <w:color w:val="auto"/>
              </w:rPr>
            </w:pPr>
          </w:p>
        </w:tc>
        <w:tc>
          <w:tcPr>
            <w:tcW w:w="282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150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28"/>
        </w:trPr>
        <w:tc>
          <w:tcPr>
            <w:tcW w:w="236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909,045</w:t>
            </w:r>
          </w:p>
        </w:tc>
        <w:tc>
          <w:tcPr>
            <w:tcW w:w="160" w:type="dxa"/>
            <w:vAlign w:val="bottom"/>
          </w:tcPr>
          <w:p>
            <w:pPr>
              <w:spacing w:after="0"/>
              <w:rPr>
                <w:sz w:val="11"/>
                <w:szCs w:val="11"/>
                <w:color w:val="auto"/>
              </w:rPr>
            </w:pPr>
          </w:p>
        </w:tc>
        <w:tc>
          <w:tcPr>
            <w:tcW w:w="7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892,551</w:t>
            </w:r>
          </w:p>
        </w:tc>
        <w:tc>
          <w:tcPr>
            <w:tcW w:w="160" w:type="dxa"/>
            <w:vAlign w:val="bottom"/>
          </w:tcPr>
          <w:p>
            <w:pPr>
              <w:spacing w:after="0"/>
              <w:rPr>
                <w:sz w:val="11"/>
                <w:szCs w:val="11"/>
                <w:color w:val="auto"/>
              </w:rPr>
            </w:pPr>
          </w:p>
        </w:tc>
        <w:tc>
          <w:tcPr>
            <w:tcW w:w="98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17.8%</w:t>
            </w:r>
          </w:p>
        </w:tc>
      </w:tr>
      <w:tr>
        <w:trPr>
          <w:trHeight w:val="129"/>
        </w:trPr>
        <w:tc>
          <w:tcPr>
            <w:tcW w:w="236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Transportation</w:t>
            </w:r>
          </w:p>
        </w:tc>
        <w:tc>
          <w:tcPr>
            <w:tcW w:w="28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500" w:type="dxa"/>
            <w:vAlign w:val="bottom"/>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80" w:type="dxa"/>
            <w:vAlign w:val="bottom"/>
            <w:tcBorders>
              <w:top w:val="single" w:sz="8" w:color="auto"/>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6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3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 xml:space="preserve">Ben Nevis Midco Limited </w:t>
            </w:r>
            <w:r>
              <w:rPr>
                <w:rFonts w:ascii="Times New Roman" w:cs="Times New Roman" w:eastAsia="Times New Roman" w:hAnsi="Times New Roman"/>
                <w:sz w:val="15"/>
                <w:szCs w:val="15"/>
                <w:color w:val="auto"/>
                <w:vertAlign w:val="superscript"/>
              </w:rPr>
              <w:t>(3)(4)</w:t>
            </w:r>
          </w:p>
        </w:tc>
        <w:tc>
          <w:tcPr>
            <w:tcW w:w="282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First-lien loan ($100,000 par, due 3/2031)</w:t>
            </w:r>
          </w:p>
        </w:tc>
        <w:tc>
          <w:tcPr>
            <w:tcW w:w="8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3/26/2024</w:t>
            </w:r>
          </w:p>
        </w:tc>
        <w:tc>
          <w:tcPr>
            <w:tcW w:w="1080" w:type="dxa"/>
            <w:vAlign w:val="bottom"/>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SOFR + 5.50%</w:t>
            </w:r>
          </w:p>
        </w:tc>
        <w:tc>
          <w:tcPr>
            <w:tcW w:w="1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9.27%</w:t>
            </w: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98,960</w:t>
            </w:r>
          </w:p>
        </w:tc>
        <w:tc>
          <w:tcPr>
            <w:tcW w:w="9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99,500</w:t>
            </w:r>
          </w:p>
        </w:tc>
        <w:tc>
          <w:tcPr>
            <w:tcW w:w="1140" w:type="dxa"/>
            <w:vAlign w:val="bottom"/>
            <w:gridSpan w:val="3"/>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2.0%</w:t>
            </w:r>
          </w:p>
        </w:tc>
      </w:tr>
      <w:tr>
        <w:trPr>
          <w:trHeight w:val="135"/>
        </w:trPr>
        <w:tc>
          <w:tcPr>
            <w:tcW w:w="23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 xml:space="preserve">Frontline Road Safety Operations, LLC </w:t>
            </w:r>
            <w:r>
              <w:rPr>
                <w:rFonts w:ascii="Times New Roman" w:cs="Times New Roman" w:eastAsia="Times New Roman" w:hAnsi="Times New Roman"/>
                <w:sz w:val="15"/>
                <w:szCs w:val="15"/>
                <w:color w:val="auto"/>
                <w:vertAlign w:val="superscript"/>
              </w:rPr>
              <w:t>(3)</w:t>
            </w:r>
          </w:p>
        </w:tc>
        <w:tc>
          <w:tcPr>
            <w:tcW w:w="2820" w:type="dxa"/>
            <w:vAlign w:val="bottom"/>
            <w:shd w:val="clear" w:color="auto" w:fill="CFF0FC"/>
          </w:tcPr>
          <w:p>
            <w:pPr>
              <w:ind w:left="80"/>
              <w:spacing w:after="0" w:line="135" w:lineRule="exact"/>
              <w:rPr>
                <w:sz w:val="20"/>
                <w:szCs w:val="20"/>
                <w:color w:val="auto"/>
              </w:rPr>
            </w:pPr>
            <w:r>
              <w:rPr>
                <w:rFonts w:ascii="Times New Roman" w:cs="Times New Roman" w:eastAsia="Times New Roman" w:hAnsi="Times New Roman"/>
                <w:sz w:val="13"/>
                <w:szCs w:val="13"/>
                <w:color w:val="auto"/>
              </w:rPr>
              <w:t>First-lien loan ($52,907 par, due 3/2032)</w:t>
            </w:r>
          </w:p>
        </w:tc>
        <w:tc>
          <w:tcPr>
            <w:tcW w:w="8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6/2/2026</w:t>
            </w:r>
          </w:p>
        </w:tc>
        <w:tc>
          <w:tcPr>
            <w:tcW w:w="1080" w:type="dxa"/>
            <w:vAlign w:val="bottom"/>
            <w:shd w:val="clear" w:color="auto" w:fill="CFF0FC"/>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SOFR + 5.00%</w:t>
            </w:r>
          </w:p>
        </w:tc>
        <w:tc>
          <w:tcPr>
            <w:tcW w:w="15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8.90%</w:t>
            </w: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50,867</w:t>
            </w:r>
          </w:p>
        </w:tc>
        <w:tc>
          <w:tcPr>
            <w:tcW w:w="94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50,876</w:t>
            </w:r>
          </w:p>
        </w:tc>
        <w:tc>
          <w:tcPr>
            <w:tcW w:w="1140" w:type="dxa"/>
            <w:vAlign w:val="bottom"/>
            <w:gridSpan w:val="3"/>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1.0%</w:t>
            </w:r>
          </w:p>
        </w:tc>
      </w:tr>
      <w:tr>
        <w:trPr>
          <w:trHeight w:val="135"/>
        </w:trPr>
        <w:tc>
          <w:tcPr>
            <w:tcW w:w="2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Rail Acquisitions LLC</w:t>
            </w:r>
          </w:p>
        </w:tc>
        <w:tc>
          <w:tcPr>
            <w:tcW w:w="2820" w:type="dxa"/>
            <w:vAlign w:val="bottom"/>
          </w:tcPr>
          <w:p>
            <w:pPr>
              <w:ind w:left="80"/>
              <w:spacing w:after="0" w:line="135" w:lineRule="exact"/>
              <w:rPr>
                <w:sz w:val="20"/>
                <w:szCs w:val="20"/>
                <w:color w:val="auto"/>
              </w:rPr>
            </w:pPr>
            <w:r>
              <w:rPr>
                <w:rFonts w:ascii="Times New Roman" w:cs="Times New Roman" w:eastAsia="Times New Roman" w:hAnsi="Times New Roman"/>
                <w:sz w:val="12"/>
                <w:szCs w:val="12"/>
                <w:color w:val="auto"/>
              </w:rPr>
              <w:t xml:space="preserve">First-lien loan ($27,764 par, due 1/2030) </w:t>
            </w:r>
            <w:r>
              <w:rPr>
                <w:rFonts w:ascii="Times New Roman" w:cs="Times New Roman" w:eastAsia="Times New Roman" w:hAnsi="Times New Roman"/>
                <w:sz w:val="15"/>
                <w:szCs w:val="15"/>
                <w:color w:val="auto"/>
                <w:vertAlign w:val="superscript"/>
              </w:rPr>
              <w:t>(3)</w:t>
            </w:r>
          </w:p>
        </w:tc>
        <w:tc>
          <w:tcPr>
            <w:tcW w:w="8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1/27/2025</w:t>
            </w:r>
          </w:p>
        </w:tc>
        <w:tc>
          <w:tcPr>
            <w:tcW w:w="1080" w:type="dxa"/>
            <w:vAlign w:val="bottom"/>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SOFR + 6.00%</w:t>
            </w:r>
          </w:p>
        </w:tc>
        <w:tc>
          <w:tcPr>
            <w:tcW w:w="1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9.84%</w:t>
            </w: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27,302</w:t>
            </w:r>
          </w:p>
        </w:tc>
        <w:tc>
          <w:tcPr>
            <w:tcW w:w="9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27,538</w:t>
            </w:r>
          </w:p>
        </w:tc>
        <w:tc>
          <w:tcPr>
            <w:tcW w:w="1140" w:type="dxa"/>
            <w:vAlign w:val="bottom"/>
            <w:gridSpan w:val="3"/>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0.5%</w:t>
            </w:r>
          </w:p>
        </w:tc>
      </w:tr>
      <w:tr>
        <w:trPr>
          <w:trHeight w:val="135"/>
        </w:trPr>
        <w:tc>
          <w:tcPr>
            <w:tcW w:w="2360" w:type="dxa"/>
            <w:vAlign w:val="bottom"/>
            <w:shd w:val="clear" w:color="auto" w:fill="CFF0FC"/>
          </w:tcPr>
          <w:p>
            <w:pPr>
              <w:spacing w:after="0"/>
              <w:rPr>
                <w:sz w:val="11"/>
                <w:szCs w:val="11"/>
                <w:color w:val="auto"/>
              </w:rPr>
            </w:pPr>
          </w:p>
        </w:tc>
        <w:tc>
          <w:tcPr>
            <w:tcW w:w="2820" w:type="dxa"/>
            <w:vAlign w:val="bottom"/>
            <w:shd w:val="clear" w:color="auto" w:fill="CFF0FC"/>
          </w:tcPr>
          <w:p>
            <w:pPr>
              <w:ind w:left="80"/>
              <w:spacing w:after="0" w:line="135" w:lineRule="exact"/>
              <w:rPr>
                <w:sz w:val="20"/>
                <w:szCs w:val="20"/>
                <w:color w:val="auto"/>
              </w:rPr>
            </w:pPr>
            <w:r>
              <w:rPr>
                <w:rFonts w:ascii="Times New Roman" w:cs="Times New Roman" w:eastAsia="Times New Roman" w:hAnsi="Times New Roman"/>
                <w:sz w:val="13"/>
                <w:szCs w:val="13"/>
                <w:color w:val="auto"/>
              </w:rPr>
              <w:t>Second-lien note ($29,670 par, due 1/2031)</w:t>
            </w:r>
          </w:p>
        </w:tc>
        <w:tc>
          <w:tcPr>
            <w:tcW w:w="8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1/27/2025</w:t>
            </w:r>
          </w:p>
        </w:tc>
        <w:tc>
          <w:tcPr>
            <w:tcW w:w="10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13.75%</w:t>
            </w:r>
          </w:p>
        </w:tc>
        <w:tc>
          <w:tcPr>
            <w:tcW w:w="1500" w:type="dxa"/>
            <w:vAlign w:val="bottom"/>
            <w:shd w:val="clear" w:color="auto" w:fill="CFF0FC"/>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13.75% PIK</w:t>
            </w: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26,189</w:t>
            </w:r>
          </w:p>
        </w:tc>
        <w:tc>
          <w:tcPr>
            <w:tcW w:w="94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26,861</w:t>
            </w:r>
          </w:p>
        </w:tc>
        <w:tc>
          <w:tcPr>
            <w:tcW w:w="1140" w:type="dxa"/>
            <w:vAlign w:val="bottom"/>
            <w:gridSpan w:val="3"/>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0.5%</w:t>
            </w:r>
          </w:p>
        </w:tc>
      </w:tr>
      <w:tr>
        <w:trPr>
          <w:trHeight w:val="135"/>
        </w:trPr>
        <w:tc>
          <w:tcPr>
            <w:tcW w:w="23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 xml:space="preserve">Ranger Intermediate II, LLC </w:t>
            </w:r>
            <w:r>
              <w:rPr>
                <w:rFonts w:ascii="Times New Roman" w:cs="Times New Roman" w:eastAsia="Times New Roman" w:hAnsi="Times New Roman"/>
                <w:sz w:val="15"/>
                <w:szCs w:val="15"/>
                <w:color w:val="auto"/>
                <w:vertAlign w:val="superscript"/>
              </w:rPr>
              <w:t>(3)</w:t>
            </w:r>
          </w:p>
        </w:tc>
        <w:tc>
          <w:tcPr>
            <w:tcW w:w="282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First-lien loan ($299,061 par, due 10/2031)</w:t>
            </w:r>
          </w:p>
        </w:tc>
        <w:tc>
          <w:tcPr>
            <w:tcW w:w="8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10/28/2025</w:t>
            </w:r>
          </w:p>
        </w:tc>
        <w:tc>
          <w:tcPr>
            <w:tcW w:w="1080" w:type="dxa"/>
            <w:vAlign w:val="bottom"/>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SOFR + 5.75%</w:t>
            </w:r>
          </w:p>
        </w:tc>
        <w:tc>
          <w:tcPr>
            <w:tcW w:w="1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9.57%</w:t>
            </w: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295,150</w:t>
            </w:r>
          </w:p>
        </w:tc>
        <w:tc>
          <w:tcPr>
            <w:tcW w:w="9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293,828</w:t>
            </w:r>
          </w:p>
        </w:tc>
        <w:tc>
          <w:tcPr>
            <w:tcW w:w="1140" w:type="dxa"/>
            <w:vAlign w:val="bottom"/>
            <w:gridSpan w:val="3"/>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5.8%</w:t>
            </w:r>
          </w:p>
        </w:tc>
      </w:tr>
      <w:tr>
        <w:trPr>
          <w:trHeight w:val="117"/>
        </w:trPr>
        <w:tc>
          <w:tcPr>
            <w:tcW w:w="236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0"/>
                <w:szCs w:val="10"/>
                <w:color w:val="auto"/>
              </w:rPr>
              <w:t xml:space="preserve">Shiftmove GmbH </w:t>
            </w:r>
            <w:r>
              <w:rPr>
                <w:rFonts w:ascii="Times New Roman" w:cs="Times New Roman" w:eastAsia="Times New Roman" w:hAnsi="Times New Roman"/>
                <w:sz w:val="13"/>
                <w:szCs w:val="13"/>
                <w:color w:val="auto"/>
                <w:vertAlign w:val="superscript"/>
              </w:rPr>
              <w:t>(3)(4)(5)</w:t>
            </w:r>
          </w:p>
        </w:tc>
        <w:tc>
          <w:tcPr>
            <w:tcW w:w="2820" w:type="dxa"/>
            <w:vAlign w:val="bottom"/>
            <w:shd w:val="clear" w:color="auto" w:fill="CFF0FC"/>
          </w:tcPr>
          <w:p>
            <w:pPr>
              <w:ind w:left="80"/>
              <w:spacing w:after="0" w:line="117" w:lineRule="exact"/>
              <w:rPr>
                <w:sz w:val="20"/>
                <w:szCs w:val="20"/>
                <w:color w:val="auto"/>
              </w:rPr>
            </w:pPr>
            <w:r>
              <w:rPr>
                <w:rFonts w:ascii="Times New Roman" w:cs="Times New Roman" w:eastAsia="Times New Roman" w:hAnsi="Times New Roman"/>
                <w:sz w:val="13"/>
                <w:szCs w:val="13"/>
                <w:color w:val="auto"/>
              </w:rPr>
              <w:t>First-lien loan (EUR 16,150 par, due 9/2030)</w:t>
            </w:r>
          </w:p>
        </w:tc>
        <w:tc>
          <w:tcPr>
            <w:tcW w:w="820" w:type="dxa"/>
            <w:vAlign w:val="bottom"/>
            <w:shd w:val="clear" w:color="auto" w:fill="CFF0FC"/>
          </w:tcPr>
          <w:p>
            <w:pPr>
              <w:jc w:val="right"/>
              <w:ind w:right="57"/>
              <w:spacing w:after="0" w:line="117" w:lineRule="exact"/>
              <w:rPr>
                <w:sz w:val="20"/>
                <w:szCs w:val="20"/>
                <w:color w:val="auto"/>
              </w:rPr>
            </w:pPr>
            <w:r>
              <w:rPr>
                <w:rFonts w:ascii="Times New Roman" w:cs="Times New Roman" w:eastAsia="Times New Roman" w:hAnsi="Times New Roman"/>
                <w:sz w:val="13"/>
                <w:szCs w:val="13"/>
                <w:color w:val="auto"/>
              </w:rPr>
              <w:t>9/30/2024</w:t>
            </w:r>
          </w:p>
        </w:tc>
        <w:tc>
          <w:tcPr>
            <w:tcW w:w="1080" w:type="dxa"/>
            <w:vAlign w:val="bottom"/>
            <w:shd w:val="clear" w:color="auto" w:fill="CFF0FC"/>
          </w:tcPr>
          <w:p>
            <w:pPr>
              <w:jc w:val="right"/>
              <w:ind w:right="117"/>
              <w:spacing w:after="0" w:line="117" w:lineRule="exact"/>
              <w:rPr>
                <w:sz w:val="20"/>
                <w:szCs w:val="20"/>
                <w:color w:val="auto"/>
              </w:rPr>
            </w:pPr>
            <w:r>
              <w:rPr>
                <w:rFonts w:ascii="Times New Roman" w:cs="Times New Roman" w:eastAsia="Times New Roman" w:hAnsi="Times New Roman"/>
                <w:sz w:val="13"/>
                <w:szCs w:val="13"/>
                <w:color w:val="auto"/>
              </w:rPr>
              <w:t>E + 6.00%</w:t>
            </w:r>
          </w:p>
        </w:tc>
        <w:tc>
          <w:tcPr>
            <w:tcW w:w="150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8.59%</w:t>
            </w:r>
          </w:p>
        </w:tc>
        <w:tc>
          <w:tcPr>
            <w:tcW w:w="58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17,844</w:t>
            </w:r>
          </w:p>
        </w:tc>
        <w:tc>
          <w:tcPr>
            <w:tcW w:w="94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18,117</w:t>
            </w:r>
          </w:p>
        </w:tc>
        <w:tc>
          <w:tcPr>
            <w:tcW w:w="1140" w:type="dxa"/>
            <w:vAlign w:val="bottom"/>
            <w:gridSpan w:val="3"/>
            <w:shd w:val="clear" w:color="auto" w:fill="CFF0FC"/>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0.4%</w:t>
            </w:r>
          </w:p>
        </w:tc>
      </w:tr>
      <w:tr>
        <w:trPr>
          <w:trHeight w:val="153"/>
        </w:trPr>
        <w:tc>
          <w:tcPr>
            <w:tcW w:w="2360" w:type="dxa"/>
            <w:vAlign w:val="bottom"/>
            <w:tcBorders>
              <w:bottom w:val="single" w:sz="8" w:color="CFF0FC"/>
            </w:tcBorders>
            <w:shd w:val="clear" w:color="auto" w:fill="CFF0FC"/>
          </w:tcPr>
          <w:p>
            <w:pPr>
              <w:spacing w:after="0"/>
              <w:rPr>
                <w:sz w:val="13"/>
                <w:szCs w:val="13"/>
                <w:color w:val="auto"/>
              </w:rPr>
            </w:pPr>
          </w:p>
        </w:tc>
        <w:tc>
          <w:tcPr>
            <w:tcW w:w="2820" w:type="dxa"/>
            <w:vAlign w:val="bottom"/>
            <w:tcBorders>
              <w:bottom w:val="single" w:sz="8" w:color="CFF0FC"/>
            </w:tcBorders>
            <w:shd w:val="clear" w:color="auto" w:fill="CFF0FC"/>
          </w:tcPr>
          <w:p>
            <w:pPr>
              <w:spacing w:after="0"/>
              <w:rPr>
                <w:sz w:val="13"/>
                <w:szCs w:val="13"/>
                <w:color w:val="auto"/>
              </w:rPr>
            </w:pPr>
          </w:p>
        </w:tc>
        <w:tc>
          <w:tcPr>
            <w:tcW w:w="820" w:type="dxa"/>
            <w:vAlign w:val="bottom"/>
            <w:tcBorders>
              <w:bottom w:val="single" w:sz="8" w:color="CFF0FC"/>
            </w:tcBorders>
            <w:shd w:val="clear" w:color="auto" w:fill="CFF0FC"/>
          </w:tcPr>
          <w:p>
            <w:pPr>
              <w:spacing w:after="0"/>
              <w:rPr>
                <w:sz w:val="13"/>
                <w:szCs w:val="13"/>
                <w:color w:val="auto"/>
              </w:rPr>
            </w:pPr>
          </w:p>
        </w:tc>
        <w:tc>
          <w:tcPr>
            <w:tcW w:w="1080" w:type="dxa"/>
            <w:vAlign w:val="bottom"/>
            <w:tcBorders>
              <w:bottom w:val="single" w:sz="8" w:color="CFF0FC"/>
            </w:tcBorders>
            <w:shd w:val="clear" w:color="auto" w:fill="CFF0FC"/>
          </w:tcPr>
          <w:p>
            <w:pPr>
              <w:spacing w:after="0"/>
              <w:rPr>
                <w:sz w:val="13"/>
                <w:szCs w:val="13"/>
                <w:color w:val="auto"/>
              </w:rPr>
            </w:pPr>
          </w:p>
        </w:tc>
        <w:tc>
          <w:tcPr>
            <w:tcW w:w="1500" w:type="dxa"/>
            <w:vAlign w:val="bottom"/>
            <w:tcBorders>
              <w:bottom w:val="single" w:sz="8" w:color="CFF0FC"/>
            </w:tcBorders>
            <w:shd w:val="clear" w:color="auto" w:fill="CFF0FC"/>
          </w:tcPr>
          <w:p>
            <w:pPr>
              <w:spacing w:after="0"/>
              <w:rPr>
                <w:sz w:val="13"/>
                <w:szCs w:val="13"/>
                <w:color w:val="auto"/>
              </w:rPr>
            </w:pPr>
          </w:p>
        </w:tc>
        <w:tc>
          <w:tcPr>
            <w:tcW w:w="580" w:type="dxa"/>
            <w:vAlign w:val="bottom"/>
            <w:tcBorders>
              <w:bottom w:val="single" w:sz="8" w:color="auto"/>
            </w:tcBorders>
            <w:shd w:val="clear" w:color="auto" w:fill="CFF0FC"/>
          </w:tcPr>
          <w:p>
            <w:pPr>
              <w:spacing w:after="0"/>
              <w:rPr>
                <w:sz w:val="13"/>
                <w:szCs w:val="13"/>
                <w:color w:val="auto"/>
              </w:rPr>
            </w:pPr>
          </w:p>
        </w:tc>
        <w:tc>
          <w:tcPr>
            <w:tcW w:w="16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(EUR 15,950)</w:t>
            </w:r>
          </w:p>
        </w:tc>
        <w:tc>
          <w:tcPr>
            <w:tcW w:w="16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auto"/>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r>
      <w:tr>
        <w:trPr>
          <w:trHeight w:val="129"/>
        </w:trPr>
        <w:tc>
          <w:tcPr>
            <w:tcW w:w="236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516,312</w:t>
            </w:r>
          </w:p>
        </w:tc>
        <w:tc>
          <w:tcPr>
            <w:tcW w:w="160" w:type="dxa"/>
            <w:vAlign w:val="bottom"/>
          </w:tcPr>
          <w:p>
            <w:pPr>
              <w:spacing w:after="0"/>
              <w:rPr>
                <w:sz w:val="11"/>
                <w:szCs w:val="11"/>
                <w:color w:val="auto"/>
              </w:rPr>
            </w:pPr>
          </w:p>
        </w:tc>
        <w:tc>
          <w:tcPr>
            <w:tcW w:w="7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516,720</w:t>
            </w:r>
          </w:p>
        </w:tc>
        <w:tc>
          <w:tcPr>
            <w:tcW w:w="160" w:type="dxa"/>
            <w:vAlign w:val="bottom"/>
          </w:tcPr>
          <w:p>
            <w:pPr>
              <w:spacing w:after="0"/>
              <w:rPr>
                <w:sz w:val="11"/>
                <w:szCs w:val="11"/>
                <w:color w:val="auto"/>
              </w:rPr>
            </w:pPr>
          </w:p>
        </w:tc>
        <w:tc>
          <w:tcPr>
            <w:tcW w:w="98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10.2%</w:t>
            </w:r>
          </w:p>
        </w:tc>
      </w:tr>
      <w:tr>
        <w:trPr>
          <w:trHeight w:val="20"/>
        </w:trPr>
        <w:tc>
          <w:tcPr>
            <w:tcW w:w="23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10"/>
        </w:trPr>
        <w:tc>
          <w:tcPr>
            <w:tcW w:w="2360" w:type="dxa"/>
            <w:vAlign w:val="bottom"/>
            <w:shd w:val="clear" w:color="auto" w:fill="CFF0FC"/>
          </w:tcPr>
          <w:p>
            <w:pPr>
              <w:spacing w:after="0" w:line="110" w:lineRule="exact"/>
              <w:rPr>
                <w:sz w:val="20"/>
                <w:szCs w:val="20"/>
                <w:color w:val="auto"/>
              </w:rPr>
            </w:pPr>
            <w:r>
              <w:rPr>
                <w:rFonts w:ascii="Times New Roman" w:cs="Times New Roman" w:eastAsia="Times New Roman" w:hAnsi="Times New Roman"/>
                <w:sz w:val="12"/>
                <w:szCs w:val="12"/>
                <w:b w:val="1"/>
                <w:bCs w:val="1"/>
                <w:color w:val="auto"/>
              </w:rPr>
              <w:t>Total Debt Investments</w:t>
            </w:r>
          </w:p>
        </w:tc>
        <w:tc>
          <w:tcPr>
            <w:tcW w:w="282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150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line="110" w:lineRule="exact"/>
              <w:rPr>
                <w:sz w:val="20"/>
                <w:szCs w:val="20"/>
                <w:color w:val="auto"/>
              </w:rPr>
            </w:pPr>
            <w:r>
              <w:rPr>
                <w:rFonts w:ascii="Times New Roman" w:cs="Times New Roman" w:eastAsia="Times New Roman" w:hAnsi="Times New Roman"/>
                <w:sz w:val="12"/>
                <w:szCs w:val="12"/>
                <w:color w:val="auto"/>
              </w:rPr>
              <w:t>8,962,60</w:t>
            </w:r>
          </w:p>
        </w:tc>
        <w:tc>
          <w:tcPr>
            <w:tcW w:w="160" w:type="dxa"/>
            <w:vAlign w:val="bottom"/>
            <w:shd w:val="clear" w:color="auto" w:fill="CFF0FC"/>
          </w:tcPr>
          <w:p>
            <w:pPr>
              <w:spacing w:after="0"/>
              <w:rPr>
                <w:sz w:val="9"/>
                <w:szCs w:val="9"/>
                <w:color w:val="auto"/>
              </w:rPr>
            </w:pPr>
          </w:p>
        </w:tc>
        <w:tc>
          <w:tcPr>
            <w:tcW w:w="780" w:type="dxa"/>
            <w:vAlign w:val="bottom"/>
            <w:shd w:val="clear" w:color="auto" w:fill="CFF0FC"/>
          </w:tcPr>
          <w:p>
            <w:pPr>
              <w:jc w:val="right"/>
              <w:spacing w:after="0" w:line="110" w:lineRule="exact"/>
              <w:rPr>
                <w:sz w:val="20"/>
                <w:szCs w:val="20"/>
                <w:color w:val="auto"/>
              </w:rPr>
            </w:pPr>
            <w:r>
              <w:rPr>
                <w:rFonts w:ascii="Times New Roman" w:cs="Times New Roman" w:eastAsia="Times New Roman" w:hAnsi="Times New Roman"/>
                <w:sz w:val="12"/>
                <w:szCs w:val="12"/>
                <w:color w:val="auto"/>
              </w:rPr>
              <w:t>8,939,125</w:t>
            </w:r>
          </w:p>
        </w:tc>
        <w:tc>
          <w:tcPr>
            <w:tcW w:w="160" w:type="dxa"/>
            <w:vAlign w:val="bottom"/>
            <w:shd w:val="clear" w:color="auto" w:fill="CFF0FC"/>
          </w:tcPr>
          <w:p>
            <w:pPr>
              <w:spacing w:after="0"/>
              <w:rPr>
                <w:sz w:val="9"/>
                <w:szCs w:val="9"/>
                <w:color w:val="auto"/>
              </w:rPr>
            </w:pPr>
          </w:p>
        </w:tc>
        <w:tc>
          <w:tcPr>
            <w:tcW w:w="980" w:type="dxa"/>
            <w:vAlign w:val="bottom"/>
            <w:gridSpan w:val="2"/>
            <w:shd w:val="clear" w:color="auto" w:fill="CFF0FC"/>
          </w:tcPr>
          <w:p>
            <w:pPr>
              <w:jc w:val="right"/>
              <w:ind w:right="20"/>
              <w:spacing w:after="0" w:line="110" w:lineRule="exact"/>
              <w:rPr>
                <w:sz w:val="20"/>
                <w:szCs w:val="20"/>
                <w:color w:val="auto"/>
              </w:rPr>
            </w:pPr>
            <w:r>
              <w:rPr>
                <w:rFonts w:ascii="Times New Roman" w:cs="Times New Roman" w:eastAsia="Times New Roman" w:hAnsi="Times New Roman"/>
                <w:sz w:val="12"/>
                <w:szCs w:val="12"/>
                <w:color w:val="auto"/>
              </w:rPr>
              <w:t>176.2%</w:t>
            </w:r>
          </w:p>
        </w:tc>
      </w:tr>
      <w:tr>
        <w:trPr>
          <w:trHeight w:val="153"/>
        </w:trPr>
        <w:tc>
          <w:tcPr>
            <w:tcW w:w="2360" w:type="dxa"/>
            <w:vAlign w:val="bottom"/>
            <w:tcBorders>
              <w:bottom w:val="single" w:sz="8" w:color="CFF0FC"/>
            </w:tcBorders>
            <w:shd w:val="clear" w:color="auto" w:fill="CFF0FC"/>
          </w:tcPr>
          <w:p>
            <w:pPr>
              <w:spacing w:after="0"/>
              <w:rPr>
                <w:sz w:val="13"/>
                <w:szCs w:val="13"/>
                <w:color w:val="auto"/>
              </w:rPr>
            </w:pPr>
          </w:p>
        </w:tc>
        <w:tc>
          <w:tcPr>
            <w:tcW w:w="2820" w:type="dxa"/>
            <w:vAlign w:val="bottom"/>
            <w:tcBorders>
              <w:bottom w:val="single" w:sz="8" w:color="CFF0FC"/>
            </w:tcBorders>
            <w:shd w:val="clear" w:color="auto" w:fill="CFF0FC"/>
          </w:tcPr>
          <w:p>
            <w:pPr>
              <w:spacing w:after="0"/>
              <w:rPr>
                <w:sz w:val="13"/>
                <w:szCs w:val="13"/>
                <w:color w:val="auto"/>
              </w:rPr>
            </w:pPr>
          </w:p>
        </w:tc>
        <w:tc>
          <w:tcPr>
            <w:tcW w:w="820" w:type="dxa"/>
            <w:vAlign w:val="bottom"/>
            <w:tcBorders>
              <w:bottom w:val="single" w:sz="8" w:color="CFF0FC"/>
            </w:tcBorders>
            <w:shd w:val="clear" w:color="auto" w:fill="CFF0FC"/>
          </w:tcPr>
          <w:p>
            <w:pPr>
              <w:spacing w:after="0"/>
              <w:rPr>
                <w:sz w:val="13"/>
                <w:szCs w:val="13"/>
                <w:color w:val="auto"/>
              </w:rPr>
            </w:pPr>
          </w:p>
        </w:tc>
        <w:tc>
          <w:tcPr>
            <w:tcW w:w="1080" w:type="dxa"/>
            <w:vAlign w:val="bottom"/>
            <w:tcBorders>
              <w:bottom w:val="single" w:sz="8" w:color="CFF0FC"/>
            </w:tcBorders>
            <w:shd w:val="clear" w:color="auto" w:fill="CFF0FC"/>
          </w:tcPr>
          <w:p>
            <w:pPr>
              <w:spacing w:after="0"/>
              <w:rPr>
                <w:sz w:val="13"/>
                <w:szCs w:val="13"/>
                <w:color w:val="auto"/>
              </w:rPr>
            </w:pPr>
          </w:p>
        </w:tc>
        <w:tc>
          <w:tcPr>
            <w:tcW w:w="1500" w:type="dxa"/>
            <w:vAlign w:val="bottom"/>
            <w:tcBorders>
              <w:bottom w:val="single" w:sz="8" w:color="CFF0FC"/>
            </w:tcBorders>
            <w:shd w:val="clear" w:color="auto" w:fill="CFF0FC"/>
          </w:tcPr>
          <w:p>
            <w:pPr>
              <w:spacing w:after="0"/>
              <w:rPr>
                <w:sz w:val="13"/>
                <w:szCs w:val="13"/>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6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spacing w:after="0"/>
              <w:rPr>
                <w:sz w:val="13"/>
                <w:szCs w:val="13"/>
                <w:color w:val="auto"/>
              </w:rPr>
            </w:pPr>
          </w:p>
        </w:tc>
        <w:tc>
          <w:tcPr>
            <w:tcW w:w="16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auto"/>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r>
      <w:tr>
        <w:trPr>
          <w:trHeight w:val="129"/>
        </w:trPr>
        <w:tc>
          <w:tcPr>
            <w:tcW w:w="236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23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Equity Investments</w:t>
            </w:r>
          </w:p>
        </w:tc>
        <w:tc>
          <w:tcPr>
            <w:tcW w:w="28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5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36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Business Services</w:t>
            </w:r>
          </w:p>
        </w:tc>
        <w:tc>
          <w:tcPr>
            <w:tcW w:w="2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23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 xml:space="preserve">Artisan Topco LP </w:t>
            </w:r>
            <w:r>
              <w:rPr>
                <w:rFonts w:ascii="Times New Roman" w:cs="Times New Roman" w:eastAsia="Times New Roman" w:hAnsi="Times New Roman"/>
                <w:sz w:val="15"/>
                <w:szCs w:val="15"/>
                <w:color w:val="auto"/>
                <w:vertAlign w:val="superscript"/>
              </w:rPr>
              <w:t>(9)</w:t>
            </w:r>
          </w:p>
        </w:tc>
        <w:tc>
          <w:tcPr>
            <w:tcW w:w="2820" w:type="dxa"/>
            <w:vAlign w:val="bottom"/>
            <w:shd w:val="clear" w:color="auto" w:fill="CFF0FC"/>
          </w:tcPr>
          <w:p>
            <w:pPr>
              <w:ind w:left="80"/>
              <w:spacing w:after="0" w:line="135" w:lineRule="exact"/>
              <w:rPr>
                <w:sz w:val="20"/>
                <w:szCs w:val="20"/>
                <w:color w:val="auto"/>
              </w:rPr>
            </w:pPr>
            <w:r>
              <w:rPr>
                <w:rFonts w:ascii="Times New Roman" w:cs="Times New Roman" w:eastAsia="Times New Roman" w:hAnsi="Times New Roman"/>
                <w:sz w:val="13"/>
                <w:szCs w:val="13"/>
                <w:color w:val="auto"/>
              </w:rPr>
              <w:t>Class A Preferred Units (7,882,736 units)</w:t>
            </w:r>
          </w:p>
        </w:tc>
        <w:tc>
          <w:tcPr>
            <w:tcW w:w="8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11/7/2023</w:t>
            </w:r>
          </w:p>
        </w:tc>
        <w:tc>
          <w:tcPr>
            <w:tcW w:w="1080" w:type="dxa"/>
            <w:vAlign w:val="bottom"/>
            <w:shd w:val="clear" w:color="auto" w:fill="CFF0FC"/>
          </w:tcPr>
          <w:p>
            <w:pPr>
              <w:spacing w:after="0"/>
              <w:rPr>
                <w:sz w:val="11"/>
                <w:szCs w:val="11"/>
                <w:color w:val="auto"/>
              </w:rPr>
            </w:pPr>
          </w:p>
        </w:tc>
        <w:tc>
          <w:tcPr>
            <w:tcW w:w="15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7,883</w:t>
            </w:r>
          </w:p>
        </w:tc>
        <w:tc>
          <w:tcPr>
            <w:tcW w:w="94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6,228</w:t>
            </w:r>
          </w:p>
        </w:tc>
        <w:tc>
          <w:tcPr>
            <w:tcW w:w="1140" w:type="dxa"/>
            <w:vAlign w:val="bottom"/>
            <w:gridSpan w:val="3"/>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0.1%</w:t>
            </w:r>
          </w:p>
        </w:tc>
      </w:tr>
      <w:tr>
        <w:trPr>
          <w:trHeight w:val="135"/>
        </w:trPr>
        <w:tc>
          <w:tcPr>
            <w:tcW w:w="23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 xml:space="preserve">Insight Hideaway Aggregator, L.P. </w:t>
            </w:r>
            <w:r>
              <w:rPr>
                <w:rFonts w:ascii="Times New Roman" w:cs="Times New Roman" w:eastAsia="Times New Roman" w:hAnsi="Times New Roman"/>
                <w:sz w:val="15"/>
                <w:szCs w:val="15"/>
                <w:color w:val="auto"/>
                <w:vertAlign w:val="superscript"/>
              </w:rPr>
              <w:t>(9)</w:t>
            </w:r>
          </w:p>
        </w:tc>
        <w:tc>
          <w:tcPr>
            <w:tcW w:w="282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Partnership Interest (2,170,139 units)</w:t>
            </w:r>
          </w:p>
        </w:tc>
        <w:tc>
          <w:tcPr>
            <w:tcW w:w="8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3/19/2024</w:t>
            </w: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21,701</w:t>
            </w:r>
          </w:p>
        </w:tc>
        <w:tc>
          <w:tcPr>
            <w:tcW w:w="9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27,886</w:t>
            </w:r>
          </w:p>
        </w:tc>
        <w:tc>
          <w:tcPr>
            <w:tcW w:w="1140" w:type="dxa"/>
            <w:vAlign w:val="bottom"/>
            <w:gridSpan w:val="3"/>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0.6%</w:t>
            </w:r>
          </w:p>
        </w:tc>
      </w:tr>
      <w:tr>
        <w:trPr>
          <w:trHeight w:val="135"/>
        </w:trPr>
        <w:tc>
          <w:tcPr>
            <w:tcW w:w="23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 xml:space="preserve">Newark FP Co-Invest, L.P. </w:t>
            </w:r>
            <w:r>
              <w:rPr>
                <w:rFonts w:ascii="Times New Roman" w:cs="Times New Roman" w:eastAsia="Times New Roman" w:hAnsi="Times New Roman"/>
                <w:sz w:val="15"/>
                <w:szCs w:val="15"/>
                <w:color w:val="auto"/>
                <w:vertAlign w:val="superscript"/>
              </w:rPr>
              <w:t>(9)</w:t>
            </w:r>
          </w:p>
        </w:tc>
        <w:tc>
          <w:tcPr>
            <w:tcW w:w="2820" w:type="dxa"/>
            <w:vAlign w:val="bottom"/>
            <w:shd w:val="clear" w:color="auto" w:fill="CFF0FC"/>
          </w:tcPr>
          <w:p>
            <w:pPr>
              <w:ind w:left="80"/>
              <w:spacing w:after="0" w:line="135" w:lineRule="exact"/>
              <w:rPr>
                <w:sz w:val="20"/>
                <w:szCs w:val="20"/>
                <w:color w:val="auto"/>
              </w:rPr>
            </w:pPr>
            <w:r>
              <w:rPr>
                <w:rFonts w:ascii="Times New Roman" w:cs="Times New Roman" w:eastAsia="Times New Roman" w:hAnsi="Times New Roman"/>
                <w:sz w:val="13"/>
                <w:szCs w:val="13"/>
                <w:color w:val="auto"/>
              </w:rPr>
              <w:t>Partnership (8,555,356 units)</w:t>
            </w:r>
          </w:p>
        </w:tc>
        <w:tc>
          <w:tcPr>
            <w:tcW w:w="8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11/8/2023</w:t>
            </w:r>
          </w:p>
        </w:tc>
        <w:tc>
          <w:tcPr>
            <w:tcW w:w="1080" w:type="dxa"/>
            <w:vAlign w:val="bottom"/>
            <w:shd w:val="clear" w:color="auto" w:fill="CFF0FC"/>
          </w:tcPr>
          <w:p>
            <w:pPr>
              <w:spacing w:after="0"/>
              <w:rPr>
                <w:sz w:val="11"/>
                <w:szCs w:val="11"/>
                <w:color w:val="auto"/>
              </w:rPr>
            </w:pPr>
          </w:p>
        </w:tc>
        <w:tc>
          <w:tcPr>
            <w:tcW w:w="15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8,572</w:t>
            </w:r>
          </w:p>
        </w:tc>
        <w:tc>
          <w:tcPr>
            <w:tcW w:w="94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4,307</w:t>
            </w:r>
          </w:p>
        </w:tc>
        <w:tc>
          <w:tcPr>
            <w:tcW w:w="1140" w:type="dxa"/>
            <w:vAlign w:val="bottom"/>
            <w:gridSpan w:val="3"/>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0.1%</w:t>
            </w:r>
          </w:p>
        </w:tc>
      </w:tr>
      <w:tr>
        <w:trPr>
          <w:trHeight w:val="135"/>
        </w:trPr>
        <w:tc>
          <w:tcPr>
            <w:tcW w:w="23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 xml:space="preserve">Warrior TopCo LP </w:t>
            </w:r>
            <w:r>
              <w:rPr>
                <w:rFonts w:ascii="Times New Roman" w:cs="Times New Roman" w:eastAsia="Times New Roman" w:hAnsi="Times New Roman"/>
                <w:sz w:val="15"/>
                <w:szCs w:val="15"/>
                <w:color w:val="auto"/>
                <w:vertAlign w:val="superscript"/>
              </w:rPr>
              <w:t>(9)</w:t>
            </w:r>
          </w:p>
        </w:tc>
        <w:tc>
          <w:tcPr>
            <w:tcW w:w="282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Class A Units (9,576,271 units)</w:t>
            </w:r>
          </w:p>
        </w:tc>
        <w:tc>
          <w:tcPr>
            <w:tcW w:w="8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7/7/2023</w:t>
            </w: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9,576</w:t>
            </w:r>
          </w:p>
        </w:tc>
        <w:tc>
          <w:tcPr>
            <w:tcW w:w="1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16,926</w:t>
            </w:r>
          </w:p>
        </w:tc>
        <w:tc>
          <w:tcPr>
            <w:tcW w:w="160" w:type="dxa"/>
            <w:vAlign w:val="bottom"/>
          </w:tcPr>
          <w:p>
            <w:pPr>
              <w:spacing w:after="0"/>
              <w:rPr>
                <w:sz w:val="11"/>
                <w:szCs w:val="11"/>
                <w:color w:val="auto"/>
              </w:rPr>
            </w:pPr>
          </w:p>
        </w:tc>
        <w:tc>
          <w:tcPr>
            <w:tcW w:w="98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0.3%</w:t>
            </w:r>
          </w:p>
        </w:tc>
      </w:tr>
      <w:tr>
        <w:trPr>
          <w:trHeight w:val="20"/>
        </w:trPr>
        <w:tc>
          <w:tcPr>
            <w:tcW w:w="23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2360" w:type="dxa"/>
            <w:vAlign w:val="bottom"/>
            <w:shd w:val="clear" w:color="auto" w:fill="CFF0FC"/>
          </w:tcPr>
          <w:p>
            <w:pPr>
              <w:spacing w:after="0"/>
              <w:rPr>
                <w:sz w:val="11"/>
                <w:szCs w:val="11"/>
                <w:color w:val="auto"/>
              </w:rPr>
            </w:pPr>
          </w:p>
        </w:tc>
        <w:tc>
          <w:tcPr>
            <w:tcW w:w="28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5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47,732</w:t>
            </w:r>
          </w:p>
        </w:tc>
        <w:tc>
          <w:tcPr>
            <w:tcW w:w="16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55,347</w:t>
            </w:r>
          </w:p>
        </w:tc>
        <w:tc>
          <w:tcPr>
            <w:tcW w:w="160" w:type="dxa"/>
            <w:vAlign w:val="bottom"/>
            <w:shd w:val="clear" w:color="auto" w:fill="CFF0FC"/>
          </w:tcPr>
          <w:p>
            <w:pPr>
              <w:spacing w:after="0"/>
              <w:rPr>
                <w:sz w:val="11"/>
                <w:szCs w:val="11"/>
                <w:color w:val="auto"/>
              </w:rPr>
            </w:pPr>
          </w:p>
        </w:tc>
        <w:tc>
          <w:tcPr>
            <w:tcW w:w="98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1.1%</w:t>
            </w:r>
          </w:p>
        </w:tc>
      </w:tr>
      <w:tr>
        <w:trPr>
          <w:trHeight w:val="128"/>
        </w:trPr>
        <w:tc>
          <w:tcPr>
            <w:tcW w:w="236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Financial Services</w:t>
            </w:r>
          </w:p>
        </w:tc>
        <w:tc>
          <w:tcPr>
            <w:tcW w:w="2820" w:type="dxa"/>
            <w:vAlign w:val="bottom"/>
            <w:tcBorders>
              <w:top w:val="single" w:sz="8" w:color="CFF0FC"/>
            </w:tcBorders>
          </w:tcPr>
          <w:p>
            <w:pPr>
              <w:spacing w:after="0"/>
              <w:rPr>
                <w:sz w:val="11"/>
                <w:szCs w:val="11"/>
                <w:color w:val="auto"/>
              </w:rPr>
            </w:pPr>
          </w:p>
        </w:tc>
        <w:tc>
          <w:tcPr>
            <w:tcW w:w="820" w:type="dxa"/>
            <w:vAlign w:val="bottom"/>
            <w:tcBorders>
              <w:top w:val="single" w:sz="8" w:color="CFF0FC"/>
            </w:tcBorders>
          </w:tcPr>
          <w:p>
            <w:pPr>
              <w:spacing w:after="0"/>
              <w:rPr>
                <w:sz w:val="11"/>
                <w:szCs w:val="11"/>
                <w:color w:val="auto"/>
              </w:rPr>
            </w:pPr>
          </w:p>
        </w:tc>
        <w:tc>
          <w:tcPr>
            <w:tcW w:w="1080" w:type="dxa"/>
            <w:vAlign w:val="bottom"/>
            <w:tcBorders>
              <w:top w:val="single" w:sz="8" w:color="CFF0FC"/>
            </w:tcBorders>
          </w:tcPr>
          <w:p>
            <w:pPr>
              <w:spacing w:after="0"/>
              <w:rPr>
                <w:sz w:val="11"/>
                <w:szCs w:val="11"/>
                <w:color w:val="auto"/>
              </w:rPr>
            </w:pPr>
          </w:p>
        </w:tc>
        <w:tc>
          <w:tcPr>
            <w:tcW w:w="1500" w:type="dxa"/>
            <w:vAlign w:val="bottom"/>
            <w:tcBorders>
              <w:top w:val="single" w:sz="8" w:color="CFF0FC"/>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60" w:type="dxa"/>
            <w:vAlign w:val="bottom"/>
            <w:tcBorders>
              <w:top w:val="single" w:sz="8" w:color="CFF0FC"/>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60" w:type="dxa"/>
            <w:vAlign w:val="bottom"/>
            <w:tcBorders>
              <w:top w:val="single" w:sz="8" w:color="CFF0FC"/>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r>
      <w:tr>
        <w:trPr>
          <w:trHeight w:val="135"/>
        </w:trPr>
        <w:tc>
          <w:tcPr>
            <w:tcW w:w="23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 xml:space="preserve">AF Eagle Parent, L.P. </w:t>
            </w:r>
            <w:r>
              <w:rPr>
                <w:rFonts w:ascii="Times New Roman" w:cs="Times New Roman" w:eastAsia="Times New Roman" w:hAnsi="Times New Roman"/>
                <w:sz w:val="15"/>
                <w:szCs w:val="15"/>
                <w:color w:val="auto"/>
                <w:vertAlign w:val="superscript"/>
              </w:rPr>
              <w:t>(9)</w:t>
            </w:r>
          </w:p>
        </w:tc>
        <w:tc>
          <w:tcPr>
            <w:tcW w:w="2820" w:type="dxa"/>
            <w:vAlign w:val="bottom"/>
            <w:shd w:val="clear" w:color="auto" w:fill="CFF0FC"/>
          </w:tcPr>
          <w:p>
            <w:pPr>
              <w:ind w:left="80"/>
              <w:spacing w:after="0" w:line="135" w:lineRule="exact"/>
              <w:rPr>
                <w:sz w:val="20"/>
                <w:szCs w:val="20"/>
                <w:color w:val="auto"/>
              </w:rPr>
            </w:pPr>
            <w:r>
              <w:rPr>
                <w:rFonts w:ascii="Times New Roman" w:cs="Times New Roman" w:eastAsia="Times New Roman" w:hAnsi="Times New Roman"/>
                <w:sz w:val="13"/>
                <w:szCs w:val="13"/>
                <w:color w:val="auto"/>
              </w:rPr>
              <w:t>Partnership Units (337,024 units)</w:t>
            </w:r>
          </w:p>
        </w:tc>
        <w:tc>
          <w:tcPr>
            <w:tcW w:w="8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11/27/2023</w:t>
            </w:r>
          </w:p>
        </w:tc>
        <w:tc>
          <w:tcPr>
            <w:tcW w:w="1080" w:type="dxa"/>
            <w:vAlign w:val="bottom"/>
            <w:shd w:val="clear" w:color="auto" w:fill="CFF0FC"/>
          </w:tcPr>
          <w:p>
            <w:pPr>
              <w:spacing w:after="0"/>
              <w:rPr>
                <w:sz w:val="11"/>
                <w:szCs w:val="11"/>
                <w:color w:val="auto"/>
              </w:rPr>
            </w:pPr>
          </w:p>
        </w:tc>
        <w:tc>
          <w:tcPr>
            <w:tcW w:w="15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11,364</w:t>
            </w:r>
          </w:p>
        </w:tc>
        <w:tc>
          <w:tcPr>
            <w:tcW w:w="94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18,352</w:t>
            </w:r>
          </w:p>
        </w:tc>
        <w:tc>
          <w:tcPr>
            <w:tcW w:w="1140" w:type="dxa"/>
            <w:vAlign w:val="bottom"/>
            <w:gridSpan w:val="3"/>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0.4%</w:t>
            </w:r>
          </w:p>
        </w:tc>
      </w:tr>
      <w:tr>
        <w:trPr>
          <w:trHeight w:val="135"/>
        </w:trPr>
        <w:tc>
          <w:tcPr>
            <w:tcW w:w="236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Healthcare</w:t>
            </w:r>
          </w:p>
        </w:tc>
        <w:tc>
          <w:tcPr>
            <w:tcW w:w="2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23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 xml:space="preserve">EC Homecare Holdings L.P. </w:t>
            </w:r>
            <w:r>
              <w:rPr>
                <w:rFonts w:ascii="Times New Roman" w:cs="Times New Roman" w:eastAsia="Times New Roman" w:hAnsi="Times New Roman"/>
                <w:sz w:val="15"/>
                <w:szCs w:val="15"/>
                <w:color w:val="auto"/>
                <w:vertAlign w:val="superscript"/>
              </w:rPr>
              <w:t>(9)(10)</w:t>
            </w:r>
          </w:p>
        </w:tc>
        <w:tc>
          <w:tcPr>
            <w:tcW w:w="2820" w:type="dxa"/>
            <w:vAlign w:val="bottom"/>
            <w:shd w:val="clear" w:color="auto" w:fill="CFF0FC"/>
          </w:tcPr>
          <w:p>
            <w:pPr>
              <w:ind w:left="80"/>
              <w:spacing w:after="0" w:line="135" w:lineRule="exact"/>
              <w:rPr>
                <w:sz w:val="20"/>
                <w:szCs w:val="20"/>
                <w:color w:val="auto"/>
              </w:rPr>
            </w:pPr>
            <w:r>
              <w:rPr>
                <w:rFonts w:ascii="Times New Roman" w:cs="Times New Roman" w:eastAsia="Times New Roman" w:hAnsi="Times New Roman"/>
                <w:sz w:val="13"/>
                <w:szCs w:val="13"/>
                <w:color w:val="auto"/>
              </w:rPr>
              <w:t>Class A Units (11,710 units)</w:t>
            </w:r>
          </w:p>
        </w:tc>
        <w:tc>
          <w:tcPr>
            <w:tcW w:w="8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7/20/2026</w:t>
            </w:r>
          </w:p>
        </w:tc>
        <w:tc>
          <w:tcPr>
            <w:tcW w:w="1080" w:type="dxa"/>
            <w:vAlign w:val="bottom"/>
            <w:shd w:val="clear" w:color="auto" w:fill="CFF0FC"/>
          </w:tcPr>
          <w:p>
            <w:pPr>
              <w:spacing w:after="0"/>
              <w:rPr>
                <w:sz w:val="11"/>
                <w:szCs w:val="11"/>
                <w:color w:val="auto"/>
              </w:rPr>
            </w:pPr>
          </w:p>
        </w:tc>
        <w:tc>
          <w:tcPr>
            <w:tcW w:w="15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11,711</w:t>
            </w:r>
          </w:p>
        </w:tc>
        <w:tc>
          <w:tcPr>
            <w:tcW w:w="94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11,711</w:t>
            </w:r>
          </w:p>
        </w:tc>
        <w:tc>
          <w:tcPr>
            <w:tcW w:w="1140" w:type="dxa"/>
            <w:vAlign w:val="bottom"/>
            <w:gridSpan w:val="3"/>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0.2%</w:t>
            </w:r>
          </w:p>
        </w:tc>
      </w:tr>
      <w:tr>
        <w:trPr>
          <w:trHeight w:val="135"/>
        </w:trPr>
        <w:tc>
          <w:tcPr>
            <w:tcW w:w="23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 xml:space="preserve">Hera Topco, Inc. </w:t>
            </w:r>
            <w:r>
              <w:rPr>
                <w:rFonts w:ascii="Times New Roman" w:cs="Times New Roman" w:eastAsia="Times New Roman" w:hAnsi="Times New Roman"/>
                <w:sz w:val="15"/>
                <w:szCs w:val="15"/>
                <w:color w:val="auto"/>
                <w:vertAlign w:val="superscript"/>
              </w:rPr>
              <w:t>(10)</w:t>
            </w:r>
          </w:p>
        </w:tc>
        <w:tc>
          <w:tcPr>
            <w:tcW w:w="282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Series A Preferred Shares (44,305 shares)</w:t>
            </w:r>
          </w:p>
        </w:tc>
        <w:tc>
          <w:tcPr>
            <w:tcW w:w="8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8/25/2026</w:t>
            </w:r>
          </w:p>
        </w:tc>
        <w:tc>
          <w:tcPr>
            <w:tcW w:w="10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13.75%</w:t>
            </w:r>
          </w:p>
        </w:tc>
        <w:tc>
          <w:tcPr>
            <w:tcW w:w="1500" w:type="dxa"/>
            <w:vAlign w:val="bottom"/>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13.75% PIK</w:t>
            </w: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43,594</w:t>
            </w:r>
          </w:p>
        </w:tc>
        <w:tc>
          <w:tcPr>
            <w:tcW w:w="9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43,014</w:t>
            </w:r>
          </w:p>
        </w:tc>
        <w:tc>
          <w:tcPr>
            <w:tcW w:w="1140" w:type="dxa"/>
            <w:vAlign w:val="bottom"/>
            <w:gridSpan w:val="3"/>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0.9%</w:t>
            </w:r>
          </w:p>
        </w:tc>
      </w:tr>
      <w:tr>
        <w:trPr>
          <w:trHeight w:val="135"/>
        </w:trPr>
        <w:tc>
          <w:tcPr>
            <w:tcW w:w="23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 xml:space="preserve">Raptor US Buyer II Corp. </w:t>
            </w:r>
            <w:r>
              <w:rPr>
                <w:rFonts w:ascii="Times New Roman" w:cs="Times New Roman" w:eastAsia="Times New Roman" w:hAnsi="Times New Roman"/>
                <w:sz w:val="15"/>
                <w:szCs w:val="15"/>
                <w:color w:val="auto"/>
                <w:vertAlign w:val="superscript"/>
              </w:rPr>
              <w:t>(9)</w:t>
            </w:r>
          </w:p>
        </w:tc>
        <w:tc>
          <w:tcPr>
            <w:tcW w:w="2820" w:type="dxa"/>
            <w:vAlign w:val="bottom"/>
            <w:shd w:val="clear" w:color="auto" w:fill="CFF0FC"/>
          </w:tcPr>
          <w:p>
            <w:pPr>
              <w:ind w:left="80"/>
              <w:spacing w:after="0" w:line="135" w:lineRule="exact"/>
              <w:rPr>
                <w:sz w:val="20"/>
                <w:szCs w:val="20"/>
                <w:color w:val="auto"/>
              </w:rPr>
            </w:pPr>
            <w:r>
              <w:rPr>
                <w:rFonts w:ascii="Times New Roman" w:cs="Times New Roman" w:eastAsia="Times New Roman" w:hAnsi="Times New Roman"/>
                <w:sz w:val="13"/>
                <w:szCs w:val="13"/>
                <w:color w:val="auto"/>
              </w:rPr>
              <w:t>Ordinary Shares (83,408 shares)</w:t>
            </w:r>
          </w:p>
        </w:tc>
        <w:tc>
          <w:tcPr>
            <w:tcW w:w="8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3/24/2023</w:t>
            </w:r>
          </w:p>
        </w:tc>
        <w:tc>
          <w:tcPr>
            <w:tcW w:w="1080" w:type="dxa"/>
            <w:vAlign w:val="bottom"/>
            <w:shd w:val="clear" w:color="auto" w:fill="CFF0FC"/>
          </w:tcPr>
          <w:p>
            <w:pPr>
              <w:spacing w:after="0"/>
              <w:rPr>
                <w:sz w:val="11"/>
                <w:szCs w:val="11"/>
                <w:color w:val="auto"/>
              </w:rPr>
            </w:pPr>
          </w:p>
        </w:tc>
        <w:tc>
          <w:tcPr>
            <w:tcW w:w="15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12,876</w:t>
            </w:r>
          </w:p>
        </w:tc>
        <w:tc>
          <w:tcPr>
            <w:tcW w:w="16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14,002</w:t>
            </w:r>
          </w:p>
        </w:tc>
        <w:tc>
          <w:tcPr>
            <w:tcW w:w="160" w:type="dxa"/>
            <w:vAlign w:val="bottom"/>
            <w:shd w:val="clear" w:color="auto" w:fill="CFF0FC"/>
          </w:tcPr>
          <w:p>
            <w:pPr>
              <w:spacing w:after="0"/>
              <w:rPr>
                <w:sz w:val="11"/>
                <w:szCs w:val="11"/>
                <w:color w:val="auto"/>
              </w:rPr>
            </w:pPr>
          </w:p>
        </w:tc>
        <w:tc>
          <w:tcPr>
            <w:tcW w:w="980" w:type="dxa"/>
            <w:vAlign w:val="bottom"/>
            <w:gridSpan w:val="2"/>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0.3%</w:t>
            </w:r>
          </w:p>
        </w:tc>
      </w:tr>
      <w:tr>
        <w:trPr>
          <w:trHeight w:val="20"/>
        </w:trPr>
        <w:tc>
          <w:tcPr>
            <w:tcW w:w="2360" w:type="dxa"/>
            <w:vAlign w:val="bottom"/>
            <w:shd w:val="clear" w:color="auto" w:fill="CFF0FC"/>
          </w:tcPr>
          <w:p>
            <w:pPr>
              <w:spacing w:after="0" w:line="20" w:lineRule="exact"/>
              <w:rPr>
                <w:sz w:val="1"/>
                <w:szCs w:val="1"/>
                <w:color w:val="auto"/>
              </w:rPr>
            </w:pPr>
          </w:p>
        </w:tc>
        <w:tc>
          <w:tcPr>
            <w:tcW w:w="282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150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28"/>
        </w:trPr>
        <w:tc>
          <w:tcPr>
            <w:tcW w:w="236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68,181</w:t>
            </w:r>
          </w:p>
        </w:tc>
        <w:tc>
          <w:tcPr>
            <w:tcW w:w="160" w:type="dxa"/>
            <w:vAlign w:val="bottom"/>
          </w:tcPr>
          <w:p>
            <w:pPr>
              <w:spacing w:after="0"/>
              <w:rPr>
                <w:sz w:val="11"/>
                <w:szCs w:val="11"/>
                <w:color w:val="auto"/>
              </w:rPr>
            </w:pPr>
          </w:p>
        </w:tc>
        <w:tc>
          <w:tcPr>
            <w:tcW w:w="7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68,727</w:t>
            </w:r>
          </w:p>
        </w:tc>
        <w:tc>
          <w:tcPr>
            <w:tcW w:w="160" w:type="dxa"/>
            <w:vAlign w:val="bottom"/>
          </w:tcPr>
          <w:p>
            <w:pPr>
              <w:spacing w:after="0"/>
              <w:rPr>
                <w:sz w:val="11"/>
                <w:szCs w:val="11"/>
                <w:color w:val="auto"/>
              </w:rPr>
            </w:pPr>
          </w:p>
        </w:tc>
        <w:tc>
          <w:tcPr>
            <w:tcW w:w="98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1.4%</w:t>
            </w:r>
          </w:p>
        </w:tc>
      </w:tr>
      <w:tr>
        <w:trPr>
          <w:trHeight w:val="129"/>
        </w:trPr>
        <w:tc>
          <w:tcPr>
            <w:tcW w:w="236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Human Resource Support Services</w:t>
            </w:r>
          </w:p>
        </w:tc>
        <w:tc>
          <w:tcPr>
            <w:tcW w:w="28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500" w:type="dxa"/>
            <w:vAlign w:val="bottom"/>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80" w:type="dxa"/>
            <w:vAlign w:val="bottom"/>
            <w:tcBorders>
              <w:top w:val="single" w:sz="8" w:color="auto"/>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6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3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 xml:space="preserve">bswift, LLC </w:t>
            </w:r>
            <w:r>
              <w:rPr>
                <w:rFonts w:ascii="Times New Roman" w:cs="Times New Roman" w:eastAsia="Times New Roman" w:hAnsi="Times New Roman"/>
                <w:sz w:val="15"/>
                <w:szCs w:val="15"/>
                <w:color w:val="auto"/>
                <w:vertAlign w:val="superscript"/>
              </w:rPr>
              <w:t>(9)</w:t>
            </w:r>
          </w:p>
        </w:tc>
        <w:tc>
          <w:tcPr>
            <w:tcW w:w="282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Class A-1 Units (7,606,491 units)</w:t>
            </w:r>
          </w:p>
        </w:tc>
        <w:tc>
          <w:tcPr>
            <w:tcW w:w="8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11/7/2022</w:t>
            </w: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7,606</w:t>
            </w:r>
          </w:p>
        </w:tc>
        <w:tc>
          <w:tcPr>
            <w:tcW w:w="9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10,307</w:t>
            </w:r>
          </w:p>
        </w:tc>
        <w:tc>
          <w:tcPr>
            <w:tcW w:w="1140" w:type="dxa"/>
            <w:vAlign w:val="bottom"/>
            <w:gridSpan w:val="3"/>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0.2%</w:t>
            </w:r>
          </w:p>
        </w:tc>
      </w:tr>
      <w:tr>
        <w:trPr>
          <w:trHeight w:val="135"/>
        </w:trPr>
        <w:tc>
          <w:tcPr>
            <w:tcW w:w="23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Internet Services</w:t>
            </w:r>
          </w:p>
        </w:tc>
        <w:tc>
          <w:tcPr>
            <w:tcW w:w="28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5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3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 xml:space="preserve">Bigtincan Holdings L.P. </w:t>
            </w:r>
            <w:r>
              <w:rPr>
                <w:rFonts w:ascii="Times New Roman" w:cs="Times New Roman" w:eastAsia="Times New Roman" w:hAnsi="Times New Roman"/>
                <w:sz w:val="15"/>
                <w:szCs w:val="15"/>
                <w:color w:val="auto"/>
                <w:vertAlign w:val="superscript"/>
              </w:rPr>
              <w:t>(9)(10)</w:t>
            </w:r>
          </w:p>
        </w:tc>
        <w:tc>
          <w:tcPr>
            <w:tcW w:w="282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Class A Units (1,597,110 units)</w:t>
            </w:r>
          </w:p>
        </w:tc>
        <w:tc>
          <w:tcPr>
            <w:tcW w:w="8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4/16/2025</w:t>
            </w: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1,630</w:t>
            </w:r>
          </w:p>
        </w:tc>
        <w:tc>
          <w:tcPr>
            <w:tcW w:w="9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1,765</w:t>
            </w:r>
          </w:p>
        </w:tc>
        <w:tc>
          <w:tcPr>
            <w:tcW w:w="1140" w:type="dxa"/>
            <w:vAlign w:val="bottom"/>
            <w:gridSpan w:val="3"/>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0.0%</w:t>
            </w:r>
          </w:p>
        </w:tc>
      </w:tr>
      <w:tr>
        <w:trPr>
          <w:trHeight w:val="135"/>
        </w:trPr>
        <w:tc>
          <w:tcPr>
            <w:tcW w:w="23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 xml:space="preserve">SMA Technologies Holdings, LLC </w:t>
            </w:r>
            <w:r>
              <w:rPr>
                <w:rFonts w:ascii="Times New Roman" w:cs="Times New Roman" w:eastAsia="Times New Roman" w:hAnsi="Times New Roman"/>
                <w:sz w:val="15"/>
                <w:szCs w:val="15"/>
                <w:color w:val="auto"/>
                <w:vertAlign w:val="superscript"/>
              </w:rPr>
              <w:t>(9)</w:t>
            </w:r>
          </w:p>
        </w:tc>
        <w:tc>
          <w:tcPr>
            <w:tcW w:w="2820" w:type="dxa"/>
            <w:vAlign w:val="bottom"/>
            <w:shd w:val="clear" w:color="auto" w:fill="CFF0FC"/>
          </w:tcPr>
          <w:p>
            <w:pPr>
              <w:ind w:left="80"/>
              <w:spacing w:after="0" w:line="135" w:lineRule="exact"/>
              <w:rPr>
                <w:sz w:val="20"/>
                <w:szCs w:val="20"/>
                <w:color w:val="auto"/>
              </w:rPr>
            </w:pPr>
            <w:r>
              <w:rPr>
                <w:rFonts w:ascii="Times New Roman" w:cs="Times New Roman" w:eastAsia="Times New Roman" w:hAnsi="Times New Roman"/>
                <w:sz w:val="13"/>
                <w:szCs w:val="13"/>
                <w:color w:val="auto"/>
              </w:rPr>
              <w:t>Class A Units (244 units)</w:t>
            </w:r>
          </w:p>
        </w:tc>
        <w:tc>
          <w:tcPr>
            <w:tcW w:w="8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11/21/2022</w:t>
            </w:r>
          </w:p>
        </w:tc>
        <w:tc>
          <w:tcPr>
            <w:tcW w:w="1080" w:type="dxa"/>
            <w:vAlign w:val="bottom"/>
            <w:shd w:val="clear" w:color="auto" w:fill="CFF0FC"/>
          </w:tcPr>
          <w:p>
            <w:pPr>
              <w:spacing w:after="0"/>
              <w:rPr>
                <w:sz w:val="11"/>
                <w:szCs w:val="11"/>
                <w:color w:val="auto"/>
              </w:rPr>
            </w:pPr>
          </w:p>
        </w:tc>
        <w:tc>
          <w:tcPr>
            <w:tcW w:w="15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244</w:t>
            </w:r>
          </w:p>
        </w:tc>
        <w:tc>
          <w:tcPr>
            <w:tcW w:w="94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469</w:t>
            </w:r>
          </w:p>
        </w:tc>
        <w:tc>
          <w:tcPr>
            <w:tcW w:w="1140" w:type="dxa"/>
            <w:vAlign w:val="bottom"/>
            <w:gridSpan w:val="3"/>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-5253990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-5253990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-5253990</wp:posOffset>
            </wp:positionV>
            <wp:extent cx="774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-4465320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-4465320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-4465320</wp:posOffset>
            </wp:positionV>
            <wp:extent cx="774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-2819400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-2819400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-2819400</wp:posOffset>
            </wp:positionV>
            <wp:extent cx="7747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-2031365</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-2031365</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-2031365</wp:posOffset>
            </wp:positionV>
            <wp:extent cx="7747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-1757045</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-1757045</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-1757045</wp:posOffset>
            </wp:positionV>
            <wp:extent cx="7747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-1053465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-1053465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-1053465</wp:posOffset>
            </wp:positionV>
            <wp:extent cx="7747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-530860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-530860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-530860</wp:posOffset>
            </wp:positionV>
            <wp:extent cx="7747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53"/>
        </w:trPr>
        <w:tc>
          <w:tcPr>
            <w:tcW w:w="2300" w:type="dxa"/>
            <w:vAlign w:val="bottom"/>
          </w:tcPr>
          <w:p>
            <w:pPr>
              <w:spacing w:after="0"/>
              <w:rPr>
                <w:sz w:val="13"/>
                <w:szCs w:val="13"/>
                <w:color w:val="auto"/>
              </w:rPr>
            </w:pPr>
          </w:p>
        </w:tc>
        <w:tc>
          <w:tcPr>
            <w:tcW w:w="28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Class B Units (173,048 units)</w:t>
            </w:r>
          </w:p>
        </w:tc>
        <w:tc>
          <w:tcPr>
            <w:tcW w:w="110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11/21/2022</w:t>
            </w:r>
          </w:p>
        </w:tc>
        <w:tc>
          <w:tcPr>
            <w:tcW w:w="1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60" w:type="dxa"/>
            <w:vAlign w:val="bottom"/>
          </w:tcPr>
          <w:p>
            <w:pPr>
              <w:spacing w:after="0"/>
              <w:rPr>
                <w:sz w:val="13"/>
                <w:szCs w:val="13"/>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0.0%</w:t>
            </w:r>
          </w:p>
        </w:tc>
      </w:tr>
      <w:tr>
        <w:trPr>
          <w:trHeight w:val="20"/>
        </w:trPr>
        <w:tc>
          <w:tcPr>
            <w:tcW w:w="23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28"/>
        </w:trPr>
        <w:tc>
          <w:tcPr>
            <w:tcW w:w="2300" w:type="dxa"/>
            <w:vAlign w:val="bottom"/>
            <w:shd w:val="clear" w:color="auto" w:fill="CFF0FC"/>
          </w:tcPr>
          <w:p>
            <w:pPr>
              <w:spacing w:after="0"/>
              <w:rPr>
                <w:sz w:val="11"/>
                <w:szCs w:val="11"/>
                <w:color w:val="auto"/>
              </w:rPr>
            </w:pPr>
          </w:p>
        </w:tc>
        <w:tc>
          <w:tcPr>
            <w:tcW w:w="28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1,884</w:t>
            </w:r>
          </w:p>
        </w:tc>
        <w:tc>
          <w:tcPr>
            <w:tcW w:w="220" w:type="dxa"/>
            <w:vAlign w:val="bottom"/>
            <w:tcBorders>
              <w:right w:val="single" w:sz="8" w:color="CFF0FC"/>
            </w:tcBorders>
            <w:shd w:val="clear" w:color="auto" w:fill="CFF0FC"/>
          </w:tcPr>
          <w:p>
            <w:pPr>
              <w:spacing w:after="0"/>
              <w:rPr>
                <w:sz w:val="11"/>
                <w:szCs w:val="11"/>
                <w:color w:val="auto"/>
              </w:rPr>
            </w:pPr>
          </w:p>
        </w:tc>
        <w:tc>
          <w:tcPr>
            <w:tcW w:w="7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2,254</w:t>
            </w:r>
          </w:p>
        </w:tc>
        <w:tc>
          <w:tcPr>
            <w:tcW w:w="16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0.0%</w:t>
            </w:r>
          </w:p>
        </w:tc>
      </w:tr>
      <w:tr>
        <w:trPr>
          <w:trHeight w:val="128"/>
        </w:trPr>
        <w:tc>
          <w:tcPr>
            <w:tcW w:w="230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Pharmaceuticals</w:t>
            </w:r>
          </w:p>
        </w:tc>
        <w:tc>
          <w:tcPr>
            <w:tcW w:w="2840" w:type="dxa"/>
            <w:vAlign w:val="bottom"/>
            <w:tcBorders>
              <w:top w:val="single" w:sz="8" w:color="CFF0FC"/>
            </w:tcBorders>
          </w:tcPr>
          <w:p>
            <w:pPr>
              <w:spacing w:after="0"/>
              <w:rPr>
                <w:sz w:val="11"/>
                <w:szCs w:val="11"/>
                <w:color w:val="auto"/>
              </w:rPr>
            </w:pPr>
          </w:p>
        </w:tc>
        <w:tc>
          <w:tcPr>
            <w:tcW w:w="1100" w:type="dxa"/>
            <w:vAlign w:val="bottom"/>
            <w:tcBorders>
              <w:top w:val="single" w:sz="8" w:color="CFF0FC"/>
            </w:tcBorders>
          </w:tcPr>
          <w:p>
            <w:pPr>
              <w:spacing w:after="0"/>
              <w:rPr>
                <w:sz w:val="11"/>
                <w:szCs w:val="11"/>
                <w:color w:val="auto"/>
              </w:rPr>
            </w:pPr>
          </w:p>
        </w:tc>
        <w:tc>
          <w:tcPr>
            <w:tcW w:w="1140" w:type="dxa"/>
            <w:vAlign w:val="bottom"/>
            <w:tcBorders>
              <w:top w:val="single" w:sz="8" w:color="CFF0FC"/>
            </w:tcBorders>
          </w:tcPr>
          <w:p>
            <w:pPr>
              <w:spacing w:after="0"/>
              <w:rPr>
                <w:sz w:val="11"/>
                <w:szCs w:val="11"/>
                <w:color w:val="auto"/>
              </w:rPr>
            </w:pPr>
          </w:p>
        </w:tc>
        <w:tc>
          <w:tcPr>
            <w:tcW w:w="108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60" w:type="dxa"/>
            <w:vAlign w:val="bottom"/>
            <w:tcBorders>
              <w:top w:val="single" w:sz="8" w:color="CFF0FC"/>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r>
      <w:tr>
        <w:trPr>
          <w:trHeight w:val="117"/>
        </w:trPr>
        <w:tc>
          <w:tcPr>
            <w:tcW w:w="230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0"/>
                <w:szCs w:val="10"/>
                <w:color w:val="auto"/>
              </w:rPr>
              <w:t xml:space="preserve">Elysium BidCo Limited </w:t>
            </w:r>
            <w:r>
              <w:rPr>
                <w:rFonts w:ascii="Times New Roman" w:cs="Times New Roman" w:eastAsia="Times New Roman" w:hAnsi="Times New Roman"/>
                <w:sz w:val="13"/>
                <w:szCs w:val="13"/>
                <w:color w:val="auto"/>
                <w:vertAlign w:val="superscript"/>
              </w:rPr>
              <w:t>(4)(9)</w:t>
            </w:r>
          </w:p>
        </w:tc>
        <w:tc>
          <w:tcPr>
            <w:tcW w:w="2840" w:type="dxa"/>
            <w:vAlign w:val="bottom"/>
            <w:shd w:val="clear" w:color="auto" w:fill="CFF0FC"/>
          </w:tcPr>
          <w:p>
            <w:pPr>
              <w:ind w:left="140"/>
              <w:spacing w:after="0" w:line="117" w:lineRule="exact"/>
              <w:rPr>
                <w:sz w:val="20"/>
                <w:szCs w:val="20"/>
                <w:color w:val="auto"/>
              </w:rPr>
            </w:pPr>
            <w:r>
              <w:rPr>
                <w:rFonts w:ascii="Times New Roman" w:cs="Times New Roman" w:eastAsia="Times New Roman" w:hAnsi="Times New Roman"/>
                <w:sz w:val="13"/>
                <w:szCs w:val="13"/>
                <w:color w:val="auto"/>
              </w:rPr>
              <w:t>Convertible Preference Shares (38,503,125 shares)</w:t>
            </w:r>
          </w:p>
        </w:tc>
        <w:tc>
          <w:tcPr>
            <w:tcW w:w="1100" w:type="dxa"/>
            <w:vAlign w:val="bottom"/>
            <w:shd w:val="clear" w:color="auto" w:fill="CFF0FC"/>
          </w:tcPr>
          <w:p>
            <w:pPr>
              <w:jc w:val="right"/>
              <w:ind w:right="317"/>
              <w:spacing w:after="0" w:line="117" w:lineRule="exact"/>
              <w:rPr>
                <w:sz w:val="20"/>
                <w:szCs w:val="20"/>
                <w:color w:val="auto"/>
              </w:rPr>
            </w:pPr>
            <w:r>
              <w:rPr>
                <w:rFonts w:ascii="Times New Roman" w:cs="Times New Roman" w:eastAsia="Times New Roman" w:hAnsi="Times New Roman"/>
                <w:sz w:val="13"/>
                <w:szCs w:val="13"/>
                <w:color w:val="auto"/>
              </w:rPr>
              <w:t>12/11/2024</w:t>
            </w:r>
          </w:p>
        </w:tc>
        <w:tc>
          <w:tcPr>
            <w:tcW w:w="114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68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49,063</w:t>
            </w:r>
          </w:p>
        </w:tc>
        <w:tc>
          <w:tcPr>
            <w:tcW w:w="220" w:type="dxa"/>
            <w:vAlign w:val="bottom"/>
            <w:tcBorders>
              <w:right w:val="single" w:sz="8" w:color="CFF0FC"/>
            </w:tcBorders>
            <w:shd w:val="clear" w:color="auto" w:fill="CFF0FC"/>
          </w:tcPr>
          <w:p>
            <w:pPr>
              <w:spacing w:after="0"/>
              <w:rPr>
                <w:sz w:val="10"/>
                <w:szCs w:val="10"/>
                <w:color w:val="auto"/>
              </w:rPr>
            </w:pPr>
          </w:p>
        </w:tc>
        <w:tc>
          <w:tcPr>
            <w:tcW w:w="72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52,428</w:t>
            </w:r>
          </w:p>
        </w:tc>
        <w:tc>
          <w:tcPr>
            <w:tcW w:w="1160" w:type="dxa"/>
            <w:vAlign w:val="bottom"/>
            <w:gridSpan w:val="3"/>
            <w:shd w:val="clear" w:color="auto" w:fill="CFF0FC"/>
          </w:tcPr>
          <w:p>
            <w:pPr>
              <w:jc w:val="right"/>
              <w:ind w:right="40"/>
              <w:spacing w:after="0" w:line="117" w:lineRule="exact"/>
              <w:rPr>
                <w:sz w:val="20"/>
                <w:szCs w:val="20"/>
                <w:color w:val="auto"/>
              </w:rPr>
            </w:pPr>
            <w:r>
              <w:rPr>
                <w:rFonts w:ascii="Times New Roman" w:cs="Times New Roman" w:eastAsia="Times New Roman" w:hAnsi="Times New Roman"/>
                <w:sz w:val="13"/>
                <w:szCs w:val="13"/>
                <w:color w:val="auto"/>
              </w:rPr>
              <w:t>1.0%</w:t>
            </w:r>
          </w:p>
        </w:tc>
      </w:tr>
      <w:tr>
        <w:trPr>
          <w:trHeight w:val="153"/>
        </w:trPr>
        <w:tc>
          <w:tcPr>
            <w:tcW w:w="2300" w:type="dxa"/>
            <w:vAlign w:val="bottom"/>
            <w:shd w:val="clear" w:color="auto" w:fill="CFF0FC"/>
          </w:tcPr>
          <w:p>
            <w:pPr>
              <w:spacing w:after="0"/>
              <w:rPr>
                <w:sz w:val="13"/>
                <w:szCs w:val="13"/>
                <w:color w:val="auto"/>
              </w:rPr>
            </w:pPr>
          </w:p>
        </w:tc>
        <w:tc>
          <w:tcPr>
            <w:tcW w:w="284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20" w:type="dxa"/>
            <w:vAlign w:val="bottom"/>
            <w:tcBorders>
              <w:right w:val="single" w:sz="8" w:color="CFF0FC"/>
            </w:tcBorders>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3"/>
              </w:rPr>
              <w:t>(GBP 39,466)</w:t>
            </w: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r>
      <w:tr>
        <w:trPr>
          <w:trHeight w:val="135"/>
        </w:trPr>
        <w:tc>
          <w:tcPr>
            <w:tcW w:w="230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Transportation</w:t>
            </w:r>
          </w:p>
        </w:tc>
        <w:tc>
          <w:tcPr>
            <w:tcW w:w="28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23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 xml:space="preserve">RAILTRAC Holdings Inc. </w:t>
            </w:r>
            <w:r>
              <w:rPr>
                <w:rFonts w:ascii="Times New Roman" w:cs="Times New Roman" w:eastAsia="Times New Roman" w:hAnsi="Times New Roman"/>
                <w:sz w:val="15"/>
                <w:szCs w:val="15"/>
                <w:color w:val="auto"/>
                <w:vertAlign w:val="superscript"/>
              </w:rPr>
              <w:t>(9)</w:t>
            </w:r>
          </w:p>
        </w:tc>
        <w:tc>
          <w:tcPr>
            <w:tcW w:w="2840" w:type="dxa"/>
            <w:vAlign w:val="bottom"/>
            <w:shd w:val="clear" w:color="auto" w:fill="CFF0FC"/>
          </w:tcPr>
          <w:p>
            <w:pPr>
              <w:ind w:left="140"/>
              <w:spacing w:after="0" w:line="135" w:lineRule="exact"/>
              <w:rPr>
                <w:sz w:val="20"/>
                <w:szCs w:val="20"/>
                <w:color w:val="auto"/>
              </w:rPr>
            </w:pPr>
            <w:r>
              <w:rPr>
                <w:rFonts w:ascii="Times New Roman" w:cs="Times New Roman" w:eastAsia="Times New Roman" w:hAnsi="Times New Roman"/>
                <w:sz w:val="13"/>
                <w:szCs w:val="13"/>
                <w:color w:val="auto"/>
              </w:rPr>
              <w:t>Warrants (3,824 warrants)</w:t>
            </w:r>
          </w:p>
        </w:tc>
        <w:tc>
          <w:tcPr>
            <w:tcW w:w="1100" w:type="dxa"/>
            <w:vAlign w:val="bottom"/>
            <w:shd w:val="clear" w:color="auto" w:fill="CFF0FC"/>
          </w:tcPr>
          <w:p>
            <w:pPr>
              <w:jc w:val="right"/>
              <w:ind w:right="317"/>
              <w:spacing w:after="0" w:line="135" w:lineRule="exact"/>
              <w:rPr>
                <w:sz w:val="20"/>
                <w:szCs w:val="20"/>
                <w:color w:val="auto"/>
              </w:rPr>
            </w:pPr>
            <w:r>
              <w:rPr>
                <w:rFonts w:ascii="Times New Roman" w:cs="Times New Roman" w:eastAsia="Times New Roman" w:hAnsi="Times New Roman"/>
                <w:sz w:val="13"/>
                <w:szCs w:val="13"/>
                <w:color w:val="auto"/>
              </w:rPr>
              <w:t>1/27/2025</w:t>
            </w:r>
          </w:p>
        </w:tc>
        <w:tc>
          <w:tcPr>
            <w:tcW w:w="114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3,396</w:t>
            </w:r>
          </w:p>
        </w:tc>
        <w:tc>
          <w:tcPr>
            <w:tcW w:w="220" w:type="dxa"/>
            <w:vAlign w:val="bottom"/>
            <w:tcBorders>
              <w:right w:val="single" w:sz="8" w:color="CFF0FC"/>
            </w:tcBorders>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3,464</w:t>
            </w:r>
          </w:p>
        </w:tc>
        <w:tc>
          <w:tcPr>
            <w:tcW w:w="1160" w:type="dxa"/>
            <w:vAlign w:val="bottom"/>
            <w:gridSpan w:val="3"/>
            <w:shd w:val="clear" w:color="auto" w:fill="CFF0FC"/>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0.1%</w:t>
            </w:r>
          </w:p>
        </w:tc>
      </w:tr>
      <w:tr>
        <w:trPr>
          <w:trHeight w:val="135"/>
        </w:trPr>
        <w:tc>
          <w:tcPr>
            <w:tcW w:w="230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 xml:space="preserve">Ranger Parent I, Inc. </w:t>
            </w:r>
            <w:r>
              <w:rPr>
                <w:rFonts w:ascii="Times New Roman" w:cs="Times New Roman" w:eastAsia="Times New Roman" w:hAnsi="Times New Roman"/>
                <w:sz w:val="15"/>
                <w:szCs w:val="15"/>
                <w:color w:val="auto"/>
                <w:vertAlign w:val="superscript"/>
              </w:rPr>
              <w:t>(10)</w:t>
            </w:r>
          </w:p>
        </w:tc>
        <w:tc>
          <w:tcPr>
            <w:tcW w:w="284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Series A-1 Preferred Shares (24,436 shares)</w:t>
            </w:r>
          </w:p>
        </w:tc>
        <w:tc>
          <w:tcPr>
            <w:tcW w:w="1100" w:type="dxa"/>
            <w:vAlign w:val="bottom"/>
          </w:tcPr>
          <w:p>
            <w:pPr>
              <w:jc w:val="right"/>
              <w:ind w:right="317"/>
              <w:spacing w:after="0" w:line="135" w:lineRule="exact"/>
              <w:rPr>
                <w:sz w:val="20"/>
                <w:szCs w:val="20"/>
                <w:color w:val="auto"/>
              </w:rPr>
            </w:pPr>
            <w:r>
              <w:rPr>
                <w:rFonts w:ascii="Times New Roman" w:cs="Times New Roman" w:eastAsia="Times New Roman" w:hAnsi="Times New Roman"/>
                <w:sz w:val="13"/>
                <w:szCs w:val="13"/>
                <w:color w:val="auto"/>
              </w:rPr>
              <w:t>10/28/2025</w:t>
            </w:r>
          </w:p>
        </w:tc>
        <w:tc>
          <w:tcPr>
            <w:tcW w:w="1140" w:type="dxa"/>
            <w:vAlign w:val="bottom"/>
          </w:tcPr>
          <w:p>
            <w:pPr>
              <w:jc w:val="right"/>
              <w:ind w:right="297"/>
              <w:spacing w:after="0" w:line="135" w:lineRule="exact"/>
              <w:rPr>
                <w:sz w:val="20"/>
                <w:szCs w:val="20"/>
                <w:color w:val="auto"/>
              </w:rPr>
            </w:pPr>
            <w:r>
              <w:rPr>
                <w:rFonts w:ascii="Times New Roman" w:cs="Times New Roman" w:eastAsia="Times New Roman" w:hAnsi="Times New Roman"/>
                <w:sz w:val="13"/>
                <w:szCs w:val="13"/>
                <w:color w:val="auto"/>
              </w:rPr>
              <w:t>14.50%</w:t>
            </w:r>
          </w:p>
        </w:tc>
        <w:tc>
          <w:tcPr>
            <w:tcW w:w="1080" w:type="dxa"/>
            <w:vAlign w:val="bottom"/>
          </w:tcPr>
          <w:p>
            <w:pPr>
              <w:ind w:left="340"/>
              <w:spacing w:after="0" w:line="135" w:lineRule="exact"/>
              <w:rPr>
                <w:sz w:val="20"/>
                <w:szCs w:val="20"/>
                <w:color w:val="auto"/>
              </w:rPr>
            </w:pPr>
            <w:r>
              <w:rPr>
                <w:rFonts w:ascii="Times New Roman" w:cs="Times New Roman" w:eastAsia="Times New Roman" w:hAnsi="Times New Roman"/>
                <w:sz w:val="13"/>
                <w:szCs w:val="13"/>
                <w:color w:val="auto"/>
              </w:rPr>
              <w:t>14.50% PIK</w:t>
            </w:r>
          </w:p>
        </w:tc>
        <w:tc>
          <w:tcPr>
            <w:tcW w:w="6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23,235</w:t>
            </w:r>
          </w:p>
        </w:tc>
        <w:tc>
          <w:tcPr>
            <w:tcW w:w="22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21,816</w:t>
            </w:r>
          </w:p>
        </w:tc>
        <w:tc>
          <w:tcPr>
            <w:tcW w:w="1160" w:type="dxa"/>
            <w:vAlign w:val="bottom"/>
            <w:gridSpan w:val="3"/>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0.4%</w:t>
            </w:r>
          </w:p>
        </w:tc>
      </w:tr>
      <w:tr>
        <w:trPr>
          <w:trHeight w:val="135"/>
        </w:trPr>
        <w:tc>
          <w:tcPr>
            <w:tcW w:w="2300" w:type="dxa"/>
            <w:vAlign w:val="bottom"/>
            <w:shd w:val="clear" w:color="auto" w:fill="CFF0FC"/>
          </w:tcPr>
          <w:p>
            <w:pPr>
              <w:spacing w:after="0"/>
              <w:rPr>
                <w:sz w:val="11"/>
                <w:szCs w:val="11"/>
                <w:color w:val="auto"/>
              </w:rPr>
            </w:pPr>
          </w:p>
        </w:tc>
        <w:tc>
          <w:tcPr>
            <w:tcW w:w="2840" w:type="dxa"/>
            <w:vAlign w:val="bottom"/>
            <w:shd w:val="clear" w:color="auto" w:fill="CFF0FC"/>
          </w:tcPr>
          <w:p>
            <w:pPr>
              <w:ind w:left="140"/>
              <w:spacing w:after="0" w:line="135" w:lineRule="exact"/>
              <w:rPr>
                <w:sz w:val="20"/>
                <w:szCs w:val="20"/>
                <w:color w:val="auto"/>
              </w:rPr>
            </w:pPr>
            <w:r>
              <w:rPr>
                <w:rFonts w:ascii="Times New Roman" w:cs="Times New Roman" w:eastAsia="Times New Roman" w:hAnsi="Times New Roman"/>
                <w:sz w:val="12"/>
                <w:szCs w:val="12"/>
                <w:color w:val="auto"/>
              </w:rPr>
              <w:t xml:space="preserve">Warrants (16,643 warrants) </w:t>
            </w:r>
            <w:r>
              <w:rPr>
                <w:rFonts w:ascii="Times New Roman" w:cs="Times New Roman" w:eastAsia="Times New Roman" w:hAnsi="Times New Roman"/>
                <w:sz w:val="15"/>
                <w:szCs w:val="15"/>
                <w:color w:val="auto"/>
                <w:vertAlign w:val="superscript"/>
              </w:rPr>
              <w:t>(9)</w:t>
            </w:r>
          </w:p>
        </w:tc>
        <w:tc>
          <w:tcPr>
            <w:tcW w:w="1100" w:type="dxa"/>
            <w:vAlign w:val="bottom"/>
            <w:shd w:val="clear" w:color="auto" w:fill="CFF0FC"/>
          </w:tcPr>
          <w:p>
            <w:pPr>
              <w:jc w:val="right"/>
              <w:ind w:right="317"/>
              <w:spacing w:after="0" w:line="135" w:lineRule="exact"/>
              <w:rPr>
                <w:sz w:val="20"/>
                <w:szCs w:val="20"/>
                <w:color w:val="auto"/>
              </w:rPr>
            </w:pPr>
            <w:r>
              <w:rPr>
                <w:rFonts w:ascii="Times New Roman" w:cs="Times New Roman" w:eastAsia="Times New Roman" w:hAnsi="Times New Roman"/>
                <w:sz w:val="13"/>
                <w:szCs w:val="13"/>
                <w:color w:val="auto"/>
              </w:rPr>
              <w:t>10/28/2025</w:t>
            </w:r>
          </w:p>
        </w:tc>
        <w:tc>
          <w:tcPr>
            <w:tcW w:w="114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1,353</w:t>
            </w:r>
          </w:p>
        </w:tc>
        <w:tc>
          <w:tcPr>
            <w:tcW w:w="220" w:type="dxa"/>
            <w:vAlign w:val="bottom"/>
            <w:tcBorders>
              <w:right w:val="single" w:sz="8" w:color="CFF0FC"/>
            </w:tcBorders>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1,353</w:t>
            </w:r>
          </w:p>
        </w:tc>
        <w:tc>
          <w:tcPr>
            <w:tcW w:w="16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0.0%</w:t>
            </w:r>
          </w:p>
        </w:tc>
      </w:tr>
      <w:tr>
        <w:trPr>
          <w:trHeight w:val="20"/>
        </w:trPr>
        <w:tc>
          <w:tcPr>
            <w:tcW w:w="2300" w:type="dxa"/>
            <w:vAlign w:val="bottom"/>
            <w:shd w:val="clear" w:color="auto" w:fill="CFF0FC"/>
          </w:tcPr>
          <w:p>
            <w:pPr>
              <w:spacing w:after="0" w:line="20" w:lineRule="exact"/>
              <w:rPr>
                <w:sz w:val="1"/>
                <w:szCs w:val="1"/>
                <w:color w:val="auto"/>
              </w:rPr>
            </w:pPr>
          </w:p>
        </w:tc>
        <w:tc>
          <w:tcPr>
            <w:tcW w:w="2840" w:type="dxa"/>
            <w:vAlign w:val="bottom"/>
            <w:shd w:val="clear" w:color="auto" w:fill="CFF0FC"/>
          </w:tcPr>
          <w:p>
            <w:pPr>
              <w:spacing w:after="0" w:line="20" w:lineRule="exact"/>
              <w:rPr>
                <w:sz w:val="1"/>
                <w:szCs w:val="1"/>
                <w:color w:val="auto"/>
              </w:rPr>
            </w:pPr>
          </w:p>
        </w:tc>
        <w:tc>
          <w:tcPr>
            <w:tcW w:w="1100" w:type="dxa"/>
            <w:vAlign w:val="bottom"/>
            <w:shd w:val="clear" w:color="auto" w:fill="CFF0FC"/>
          </w:tcPr>
          <w:p>
            <w:pPr>
              <w:spacing w:after="0" w:line="20" w:lineRule="exact"/>
              <w:rPr>
                <w:sz w:val="1"/>
                <w:szCs w:val="1"/>
                <w:color w:val="auto"/>
              </w:rPr>
            </w:pPr>
          </w:p>
        </w:tc>
        <w:tc>
          <w:tcPr>
            <w:tcW w:w="114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128"/>
        </w:trPr>
        <w:tc>
          <w:tcPr>
            <w:tcW w:w="230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27,984</w:t>
            </w:r>
          </w:p>
        </w:tc>
        <w:tc>
          <w:tcPr>
            <w:tcW w:w="22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26,633</w:t>
            </w:r>
          </w:p>
        </w:tc>
        <w:tc>
          <w:tcPr>
            <w:tcW w:w="160" w:type="dxa"/>
            <w:vAlign w:val="bottom"/>
          </w:tcPr>
          <w:p>
            <w:pPr>
              <w:spacing w:after="0"/>
              <w:rPr>
                <w:sz w:val="11"/>
                <w:szCs w:val="11"/>
                <w:color w:val="auto"/>
              </w:rPr>
            </w:pPr>
          </w:p>
        </w:tc>
        <w:tc>
          <w:tcPr>
            <w:tcW w:w="1000" w:type="dxa"/>
            <w:vAlign w:val="bottom"/>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0.5%</w:t>
            </w:r>
          </w:p>
        </w:tc>
      </w:tr>
      <w:tr>
        <w:trPr>
          <w:trHeight w:val="20"/>
        </w:trPr>
        <w:tc>
          <w:tcPr>
            <w:tcW w:w="23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28"/>
        </w:trPr>
        <w:tc>
          <w:tcPr>
            <w:tcW w:w="230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Equity Investments</w:t>
            </w:r>
          </w:p>
        </w:tc>
        <w:tc>
          <w:tcPr>
            <w:tcW w:w="28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213,814</w:t>
            </w:r>
          </w:p>
        </w:tc>
        <w:tc>
          <w:tcPr>
            <w:tcW w:w="220" w:type="dxa"/>
            <w:vAlign w:val="bottom"/>
            <w:tcBorders>
              <w:right w:val="single" w:sz="8" w:color="CFF0FC"/>
            </w:tcBorders>
            <w:shd w:val="clear" w:color="auto" w:fill="CFF0FC"/>
          </w:tcPr>
          <w:p>
            <w:pPr>
              <w:spacing w:after="0"/>
              <w:rPr>
                <w:sz w:val="11"/>
                <w:szCs w:val="11"/>
                <w:color w:val="auto"/>
              </w:rPr>
            </w:pPr>
          </w:p>
        </w:tc>
        <w:tc>
          <w:tcPr>
            <w:tcW w:w="7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234,048</w:t>
            </w:r>
          </w:p>
        </w:tc>
        <w:tc>
          <w:tcPr>
            <w:tcW w:w="16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4.6%</w:t>
            </w:r>
          </w:p>
        </w:tc>
      </w:tr>
      <w:tr>
        <w:trPr>
          <w:trHeight w:val="129"/>
        </w:trPr>
        <w:tc>
          <w:tcPr>
            <w:tcW w:w="2300" w:type="dxa"/>
            <w:vAlign w:val="bottom"/>
            <w:tcBorders>
              <w:top w:val="single" w:sz="8" w:color="CFF0FC"/>
            </w:tcBorders>
          </w:tcPr>
          <w:p>
            <w:pPr>
              <w:spacing w:after="0"/>
              <w:rPr>
                <w:sz w:val="11"/>
                <w:szCs w:val="11"/>
                <w:color w:val="auto"/>
              </w:rPr>
            </w:pPr>
          </w:p>
        </w:tc>
        <w:tc>
          <w:tcPr>
            <w:tcW w:w="2840" w:type="dxa"/>
            <w:vAlign w:val="bottom"/>
            <w:tcBorders>
              <w:top w:val="single" w:sz="8" w:color="CFF0FC"/>
            </w:tcBorders>
          </w:tcPr>
          <w:p>
            <w:pPr>
              <w:spacing w:after="0"/>
              <w:rPr>
                <w:sz w:val="11"/>
                <w:szCs w:val="11"/>
                <w:color w:val="auto"/>
              </w:rPr>
            </w:pPr>
          </w:p>
        </w:tc>
        <w:tc>
          <w:tcPr>
            <w:tcW w:w="1100" w:type="dxa"/>
            <w:vAlign w:val="bottom"/>
            <w:tcBorders>
              <w:top w:val="single" w:sz="8" w:color="CFF0FC"/>
            </w:tcBorders>
          </w:tcPr>
          <w:p>
            <w:pPr>
              <w:spacing w:after="0"/>
              <w:rPr>
                <w:sz w:val="11"/>
                <w:szCs w:val="11"/>
                <w:color w:val="auto"/>
              </w:rPr>
            </w:pPr>
          </w:p>
        </w:tc>
        <w:tc>
          <w:tcPr>
            <w:tcW w:w="1140" w:type="dxa"/>
            <w:vAlign w:val="bottom"/>
            <w:tcBorders>
              <w:top w:val="single" w:sz="8" w:color="CFF0FC"/>
            </w:tcBorders>
          </w:tcPr>
          <w:p>
            <w:pPr>
              <w:spacing w:after="0"/>
              <w:rPr>
                <w:sz w:val="11"/>
                <w:szCs w:val="11"/>
                <w:color w:val="auto"/>
              </w:rPr>
            </w:pPr>
          </w:p>
        </w:tc>
        <w:tc>
          <w:tcPr>
            <w:tcW w:w="108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60" w:type="dxa"/>
            <w:vAlign w:val="bottom"/>
            <w:tcBorders>
              <w:top w:val="single" w:sz="8" w:color="CFF0FC"/>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r>
      <w:tr>
        <w:trPr>
          <w:trHeight w:val="135"/>
        </w:trPr>
        <w:tc>
          <w:tcPr>
            <w:tcW w:w="2300" w:type="dxa"/>
            <w:vAlign w:val="bottom"/>
            <w:tcBorders>
              <w:bottom w:val="single" w:sz="8" w:color="CFF0FC"/>
            </w:tcBorders>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Joint Venture Investments</w:t>
            </w:r>
          </w:p>
        </w:tc>
        <w:tc>
          <w:tcPr>
            <w:tcW w:w="2840" w:type="dxa"/>
            <w:vAlign w:val="bottom"/>
            <w:tcBorders>
              <w:bottom w:val="single" w:sz="8" w:color="CFF0FC"/>
            </w:tcBorders>
            <w:shd w:val="clear" w:color="auto" w:fill="CFF0FC"/>
          </w:tcPr>
          <w:p>
            <w:pPr>
              <w:spacing w:after="0"/>
              <w:rPr>
                <w:sz w:val="11"/>
                <w:szCs w:val="11"/>
                <w:color w:val="auto"/>
              </w:rPr>
            </w:pPr>
          </w:p>
        </w:tc>
        <w:tc>
          <w:tcPr>
            <w:tcW w:w="1100" w:type="dxa"/>
            <w:vAlign w:val="bottom"/>
            <w:tcBorders>
              <w:bottom w:val="single" w:sz="8" w:color="CFF0FC"/>
            </w:tcBorders>
            <w:shd w:val="clear" w:color="auto" w:fill="CFF0FC"/>
          </w:tcPr>
          <w:p>
            <w:pPr>
              <w:spacing w:after="0"/>
              <w:rPr>
                <w:sz w:val="11"/>
                <w:szCs w:val="11"/>
                <w:color w:val="auto"/>
              </w:rPr>
            </w:pPr>
          </w:p>
        </w:tc>
        <w:tc>
          <w:tcPr>
            <w:tcW w:w="1140" w:type="dxa"/>
            <w:vAlign w:val="bottom"/>
            <w:tcBorders>
              <w:bottom w:val="single" w:sz="8" w:color="CFF0FC"/>
            </w:tcBorders>
            <w:shd w:val="clear" w:color="auto" w:fill="CFF0FC"/>
          </w:tcPr>
          <w:p>
            <w:pPr>
              <w:spacing w:after="0"/>
              <w:rPr>
                <w:sz w:val="11"/>
                <w:szCs w:val="11"/>
                <w:color w:val="auto"/>
              </w:rPr>
            </w:pPr>
          </w:p>
        </w:tc>
        <w:tc>
          <w:tcPr>
            <w:tcW w:w="108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580" w:type="dxa"/>
            <w:vAlign w:val="bottom"/>
            <w:tcBorders>
              <w:bottom w:val="single" w:sz="8" w:color="auto"/>
            </w:tcBorders>
            <w:shd w:val="clear" w:color="auto" w:fill="CFF0FC"/>
          </w:tcPr>
          <w:p>
            <w:pPr>
              <w:spacing w:after="0"/>
              <w:rPr>
                <w:sz w:val="11"/>
                <w:szCs w:val="11"/>
                <w:color w:val="auto"/>
              </w:rPr>
            </w:pPr>
          </w:p>
        </w:tc>
        <w:tc>
          <w:tcPr>
            <w:tcW w:w="220" w:type="dxa"/>
            <w:vAlign w:val="bottom"/>
            <w:tcBorders>
              <w:bottom w:val="single" w:sz="8" w:color="CFF0FC"/>
              <w:right w:val="single" w:sz="8" w:color="CFF0FC"/>
            </w:tcBorders>
            <w:shd w:val="clear" w:color="auto" w:fill="CFF0FC"/>
          </w:tcPr>
          <w:p>
            <w:pPr>
              <w:spacing w:after="0"/>
              <w:rPr>
                <w:sz w:val="11"/>
                <w:szCs w:val="11"/>
                <w:color w:val="auto"/>
              </w:rPr>
            </w:pPr>
          </w:p>
        </w:tc>
        <w:tc>
          <w:tcPr>
            <w:tcW w:w="720" w:type="dxa"/>
            <w:vAlign w:val="bottom"/>
            <w:tcBorders>
              <w:bottom w:val="single" w:sz="8" w:color="auto"/>
            </w:tcBorders>
            <w:shd w:val="clear" w:color="auto" w:fill="CFF0FC"/>
          </w:tcPr>
          <w:p>
            <w:pPr>
              <w:spacing w:after="0"/>
              <w:rPr>
                <w:sz w:val="11"/>
                <w:szCs w:val="11"/>
                <w:color w:val="auto"/>
              </w:rPr>
            </w:pPr>
          </w:p>
        </w:tc>
        <w:tc>
          <w:tcPr>
            <w:tcW w:w="160" w:type="dxa"/>
            <w:vAlign w:val="bottom"/>
            <w:tcBorders>
              <w:bottom w:val="single" w:sz="8" w:color="CFF0FC"/>
            </w:tcBorders>
            <w:shd w:val="clear" w:color="auto" w:fill="CFF0FC"/>
          </w:tcPr>
          <w:p>
            <w:pPr>
              <w:spacing w:after="0"/>
              <w:rPr>
                <w:sz w:val="11"/>
                <w:szCs w:val="11"/>
                <w:color w:val="auto"/>
              </w:rPr>
            </w:pPr>
          </w:p>
        </w:tc>
        <w:tc>
          <w:tcPr>
            <w:tcW w:w="860" w:type="dxa"/>
            <w:vAlign w:val="bottom"/>
            <w:tcBorders>
              <w:bottom w:val="single" w:sz="8" w:color="auto"/>
            </w:tcBorders>
            <w:shd w:val="clear" w:color="auto" w:fill="CFF0FC"/>
          </w:tcPr>
          <w:p>
            <w:pPr>
              <w:spacing w:after="0"/>
              <w:rPr>
                <w:sz w:val="11"/>
                <w:szCs w:val="11"/>
                <w:color w:val="auto"/>
              </w:rPr>
            </w:pPr>
          </w:p>
        </w:tc>
        <w:tc>
          <w:tcPr>
            <w:tcW w:w="140" w:type="dxa"/>
            <w:vAlign w:val="bottom"/>
            <w:tcBorders>
              <w:bottom w:val="single" w:sz="8" w:color="CFF0FC"/>
            </w:tcBorders>
            <w:shd w:val="clear" w:color="auto" w:fill="CFF0FC"/>
          </w:tcPr>
          <w:p>
            <w:pPr>
              <w:spacing w:after="0"/>
              <w:rPr>
                <w:sz w:val="11"/>
                <w:szCs w:val="11"/>
                <w:color w:val="auto"/>
              </w:rPr>
            </w:pPr>
          </w:p>
        </w:tc>
      </w:tr>
      <w:tr>
        <w:trPr>
          <w:trHeight w:val="128"/>
        </w:trPr>
        <w:tc>
          <w:tcPr>
            <w:tcW w:w="2300" w:type="dxa"/>
            <w:vAlign w:val="bottom"/>
          </w:tcPr>
          <w:p>
            <w:pPr>
              <w:spacing w:after="0" w:line="129" w:lineRule="exact"/>
              <w:rPr>
                <w:sz w:val="20"/>
                <w:szCs w:val="20"/>
                <w:color w:val="auto"/>
              </w:rPr>
            </w:pPr>
            <w:r>
              <w:rPr>
                <w:rFonts w:ascii="Times New Roman" w:cs="Times New Roman" w:eastAsia="Times New Roman" w:hAnsi="Times New Roman"/>
                <w:sz w:val="11"/>
                <w:szCs w:val="11"/>
                <w:color w:val="auto"/>
              </w:rPr>
              <w:t xml:space="preserve">Structured Credit Partners JV, LLC </w:t>
            </w:r>
            <w:r>
              <w:rPr>
                <w:rFonts w:ascii="Times New Roman" w:cs="Times New Roman" w:eastAsia="Times New Roman" w:hAnsi="Times New Roman"/>
                <w:sz w:val="14"/>
                <w:szCs w:val="14"/>
                <w:color w:val="auto"/>
                <w:vertAlign w:val="superscript"/>
              </w:rPr>
              <w:t>(4)(6)(10)</w:t>
            </w:r>
          </w:p>
        </w:tc>
        <w:tc>
          <w:tcPr>
            <w:tcW w:w="2840" w:type="dxa"/>
            <w:vAlign w:val="bottom"/>
          </w:tcPr>
          <w:p>
            <w:pPr>
              <w:ind w:left="140"/>
              <w:spacing w:after="0" w:line="129" w:lineRule="exact"/>
              <w:rPr>
                <w:sz w:val="20"/>
                <w:szCs w:val="20"/>
                <w:color w:val="auto"/>
              </w:rPr>
            </w:pPr>
            <w:r>
              <w:rPr>
                <w:rFonts w:ascii="Times New Roman" w:cs="Times New Roman" w:eastAsia="Times New Roman" w:hAnsi="Times New Roman"/>
                <w:sz w:val="13"/>
                <w:szCs w:val="13"/>
                <w:color w:val="auto"/>
              </w:rPr>
              <w:t>Partnership Interest (25.00% ownership)</w:t>
            </w:r>
          </w:p>
        </w:tc>
        <w:tc>
          <w:tcPr>
            <w:tcW w:w="1100" w:type="dxa"/>
            <w:vAlign w:val="bottom"/>
          </w:tcPr>
          <w:p>
            <w:pPr>
              <w:jc w:val="right"/>
              <w:ind w:right="317"/>
              <w:spacing w:after="0" w:line="129" w:lineRule="exact"/>
              <w:rPr>
                <w:sz w:val="20"/>
                <w:szCs w:val="20"/>
                <w:color w:val="auto"/>
              </w:rPr>
            </w:pPr>
            <w:r>
              <w:rPr>
                <w:rFonts w:ascii="Times New Roman" w:cs="Times New Roman" w:eastAsia="Times New Roman" w:hAnsi="Times New Roman"/>
                <w:sz w:val="13"/>
                <w:szCs w:val="13"/>
                <w:color w:val="auto"/>
              </w:rPr>
              <w:t>12/23/2025</w:t>
            </w:r>
          </w:p>
        </w:tc>
        <w:tc>
          <w:tcPr>
            <w:tcW w:w="1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37,832</w:t>
            </w:r>
          </w:p>
        </w:tc>
        <w:tc>
          <w:tcPr>
            <w:tcW w:w="22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40,007</w:t>
            </w:r>
          </w:p>
        </w:tc>
        <w:tc>
          <w:tcPr>
            <w:tcW w:w="160" w:type="dxa"/>
            <w:vAlign w:val="bottom"/>
          </w:tcPr>
          <w:p>
            <w:pPr>
              <w:spacing w:after="0"/>
              <w:rPr>
                <w:sz w:val="11"/>
                <w:szCs w:val="11"/>
                <w:color w:val="auto"/>
              </w:rPr>
            </w:pPr>
          </w:p>
        </w:tc>
        <w:tc>
          <w:tcPr>
            <w:tcW w:w="1000" w:type="dxa"/>
            <w:vAlign w:val="bottom"/>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0.8%</w:t>
            </w:r>
          </w:p>
        </w:tc>
      </w:tr>
      <w:tr>
        <w:trPr>
          <w:trHeight w:val="20"/>
        </w:trPr>
        <w:tc>
          <w:tcPr>
            <w:tcW w:w="23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08"/>
        </w:trPr>
        <w:tc>
          <w:tcPr>
            <w:tcW w:w="2300" w:type="dxa"/>
            <w:vAlign w:val="bottom"/>
            <w:shd w:val="clear" w:color="auto" w:fill="CFF0FC"/>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Total Equity and Joint Venture</w:t>
            </w:r>
          </w:p>
        </w:tc>
        <w:tc>
          <w:tcPr>
            <w:tcW w:w="284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114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color w:val="auto"/>
              </w:rPr>
              <w:t>251,646</w:t>
            </w:r>
          </w:p>
        </w:tc>
        <w:tc>
          <w:tcPr>
            <w:tcW w:w="220" w:type="dxa"/>
            <w:vAlign w:val="bottom"/>
            <w:tcBorders>
              <w:right w:val="single" w:sz="8" w:color="CFF0FC"/>
            </w:tcBorders>
            <w:shd w:val="clear" w:color="auto" w:fill="CFF0FC"/>
          </w:tcPr>
          <w:p>
            <w:pPr>
              <w:spacing w:after="0"/>
              <w:rPr>
                <w:sz w:val="9"/>
                <w:szCs w:val="9"/>
                <w:color w:val="auto"/>
              </w:rPr>
            </w:pPr>
          </w:p>
        </w:tc>
        <w:tc>
          <w:tcPr>
            <w:tcW w:w="72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color w:val="auto"/>
              </w:rPr>
              <w:t>274,055</w:t>
            </w:r>
          </w:p>
        </w:tc>
        <w:tc>
          <w:tcPr>
            <w:tcW w:w="160" w:type="dxa"/>
            <w:vAlign w:val="bottom"/>
            <w:shd w:val="clear" w:color="auto" w:fill="CFF0FC"/>
          </w:tcPr>
          <w:p>
            <w:pPr>
              <w:spacing w:after="0"/>
              <w:rPr>
                <w:sz w:val="9"/>
                <w:szCs w:val="9"/>
                <w:color w:val="auto"/>
              </w:rPr>
            </w:pPr>
          </w:p>
        </w:tc>
        <w:tc>
          <w:tcPr>
            <w:tcW w:w="1000" w:type="dxa"/>
            <w:vAlign w:val="bottom"/>
            <w:gridSpan w:val="2"/>
            <w:shd w:val="clear" w:color="auto" w:fill="CFF0FC"/>
          </w:tcPr>
          <w:p>
            <w:pPr>
              <w:jc w:val="right"/>
              <w:ind w:right="40"/>
              <w:spacing w:after="0" w:line="109" w:lineRule="exact"/>
              <w:rPr>
                <w:sz w:val="20"/>
                <w:szCs w:val="20"/>
                <w:color w:val="auto"/>
              </w:rPr>
            </w:pPr>
            <w:r>
              <w:rPr>
                <w:rFonts w:ascii="Times New Roman" w:cs="Times New Roman" w:eastAsia="Times New Roman" w:hAnsi="Times New Roman"/>
                <w:sz w:val="12"/>
                <w:szCs w:val="12"/>
                <w:color w:val="auto"/>
              </w:rPr>
              <w:t>5.4%</w:t>
            </w:r>
          </w:p>
        </w:tc>
      </w:tr>
      <w:tr>
        <w:trPr>
          <w:trHeight w:val="142"/>
        </w:trPr>
        <w:tc>
          <w:tcPr>
            <w:tcW w:w="230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Investments</w:t>
            </w:r>
          </w:p>
        </w:tc>
        <w:tc>
          <w:tcPr>
            <w:tcW w:w="2840" w:type="dxa"/>
            <w:vAlign w:val="bottom"/>
            <w:tcBorders>
              <w:bottom w:val="single" w:sz="8" w:color="CFF0FC"/>
            </w:tcBorders>
            <w:shd w:val="clear" w:color="auto" w:fill="CFF0FC"/>
          </w:tcPr>
          <w:p>
            <w:pPr>
              <w:spacing w:after="0"/>
              <w:rPr>
                <w:sz w:val="12"/>
                <w:szCs w:val="12"/>
                <w:color w:val="auto"/>
              </w:rPr>
            </w:pPr>
          </w:p>
        </w:tc>
        <w:tc>
          <w:tcPr>
            <w:tcW w:w="1100" w:type="dxa"/>
            <w:vAlign w:val="bottom"/>
            <w:tcBorders>
              <w:bottom w:val="single" w:sz="8" w:color="CFF0FC"/>
            </w:tcBorders>
            <w:shd w:val="clear" w:color="auto" w:fill="CFF0FC"/>
          </w:tcPr>
          <w:p>
            <w:pPr>
              <w:spacing w:after="0"/>
              <w:rPr>
                <w:sz w:val="12"/>
                <w:szCs w:val="12"/>
                <w:color w:val="auto"/>
              </w:rPr>
            </w:pPr>
          </w:p>
        </w:tc>
        <w:tc>
          <w:tcPr>
            <w:tcW w:w="1140" w:type="dxa"/>
            <w:vAlign w:val="bottom"/>
            <w:tcBorders>
              <w:bottom w:val="single" w:sz="8" w:color="CFF0FC"/>
            </w:tcBorders>
            <w:shd w:val="clear" w:color="auto" w:fill="CFF0FC"/>
          </w:tcPr>
          <w:p>
            <w:pPr>
              <w:spacing w:after="0"/>
              <w:rPr>
                <w:sz w:val="12"/>
                <w:szCs w:val="12"/>
                <w:color w:val="auto"/>
              </w:rPr>
            </w:pPr>
          </w:p>
        </w:tc>
        <w:tc>
          <w:tcPr>
            <w:tcW w:w="108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spacing w:after="0"/>
              <w:rPr>
                <w:sz w:val="12"/>
                <w:szCs w:val="12"/>
                <w:color w:val="auto"/>
              </w:rPr>
            </w:pPr>
          </w:p>
        </w:tc>
        <w:tc>
          <w:tcPr>
            <w:tcW w:w="220" w:type="dxa"/>
            <w:vAlign w:val="bottom"/>
            <w:tcBorders>
              <w:bottom w:val="single" w:sz="8" w:color="CFF0FC"/>
              <w:right w:val="single" w:sz="8" w:color="CFF0FC"/>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r>
      <w:tr>
        <w:trPr>
          <w:trHeight w:val="108"/>
        </w:trPr>
        <w:tc>
          <w:tcPr>
            <w:tcW w:w="2300" w:type="dxa"/>
            <w:vAlign w:val="bottom"/>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Total Investments</w:t>
            </w:r>
          </w:p>
        </w:tc>
        <w:tc>
          <w:tcPr>
            <w:tcW w:w="28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80" w:type="dxa"/>
            <w:vAlign w:val="bottom"/>
            <w:gridSpan w:val="2"/>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$ 9,214,25</w:t>
            </w:r>
          </w:p>
        </w:tc>
        <w:tc>
          <w:tcPr>
            <w:tcW w:w="220" w:type="dxa"/>
            <w:vAlign w:val="bottom"/>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w:t>
            </w:r>
          </w:p>
        </w:tc>
        <w:tc>
          <w:tcPr>
            <w:tcW w:w="720" w:type="dxa"/>
            <w:vAlign w:val="bottom"/>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9,213,180</w:t>
            </w:r>
          </w:p>
        </w:tc>
        <w:tc>
          <w:tcPr>
            <w:tcW w:w="1160" w:type="dxa"/>
            <w:vAlign w:val="bottom"/>
            <w:gridSpan w:val="3"/>
          </w:tcPr>
          <w:p>
            <w:pPr>
              <w:jc w:val="right"/>
              <w:ind w:right="20"/>
              <w:spacing w:after="0" w:line="109" w:lineRule="exact"/>
              <w:rPr>
                <w:sz w:val="20"/>
                <w:szCs w:val="20"/>
                <w:color w:val="auto"/>
              </w:rPr>
            </w:pPr>
            <w:r>
              <w:rPr>
                <w:rFonts w:ascii="Times New Roman" w:cs="Times New Roman" w:eastAsia="Times New Roman" w:hAnsi="Times New Roman"/>
                <w:sz w:val="12"/>
                <w:szCs w:val="12"/>
                <w:b w:val="1"/>
                <w:bCs w:val="1"/>
                <w:color w:val="auto"/>
              </w:rPr>
              <w:t>181.6%</w:t>
            </w:r>
          </w:p>
        </w:tc>
      </w:tr>
      <w:tr>
        <w:trPr>
          <w:trHeight w:val="155"/>
        </w:trPr>
        <w:tc>
          <w:tcPr>
            <w:tcW w:w="230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3</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20"/>
        </w:trPr>
        <w:tc>
          <w:tcPr>
            <w:tcW w:w="23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-1447800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-1447800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-1447800</wp:posOffset>
            </wp:positionV>
            <wp:extent cx="939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-839470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-839470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-839470</wp:posOffset>
            </wp:positionV>
            <wp:extent cx="939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-650875</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-650875</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-650875</wp:posOffset>
            </wp:positionV>
            <wp:extent cx="939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-470535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-470535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-470535</wp:posOffset>
            </wp:positionV>
            <wp:extent cx="939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-205105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-205105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-205105</wp:posOffset>
            </wp:positionV>
            <wp:extent cx="939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Instruments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swaps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720" w:type="dxa"/>
            <w:vAlign w:val="bottom"/>
            <w:tcBorders>
              <w:bottom w:val="single" w:sz="8" w:color="auto"/>
            </w:tcBorders>
            <w:gridSpan w:val="8"/>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Interest Rate Swaps as of September 30, 2026</w:t>
            </w: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280" w:type="dxa"/>
            <w:vAlign w:val="bottom"/>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40" w:type="dxa"/>
            <w:vAlign w:val="bottom"/>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gridSpan w:val="2"/>
          </w:tcPr>
          <w:p>
            <w:pPr>
              <w:jc w:val="center"/>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jc w:val="center"/>
              <w:ind w:right="29"/>
              <w:spacing w:after="0" w:line="118" w:lineRule="exact"/>
              <w:rPr>
                <w:sz w:val="20"/>
                <w:szCs w:val="20"/>
                <w:color w:val="auto"/>
              </w:rPr>
            </w:pPr>
            <w:r>
              <w:rPr>
                <w:rFonts w:ascii="Times New Roman" w:cs="Times New Roman" w:eastAsia="Times New Roman" w:hAnsi="Times New Roman"/>
                <w:sz w:val="13"/>
                <w:szCs w:val="13"/>
                <w:b w:val="1"/>
                <w:bCs w:val="1"/>
                <w:color w:val="auto"/>
              </w:rPr>
              <w:t>Upfront</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tcPr>
          <w:p>
            <w:pPr>
              <w:jc w:val="center"/>
              <w:ind w:right="89"/>
              <w:spacing w:after="0" w:line="118" w:lineRule="exact"/>
              <w:rPr>
                <w:sz w:val="20"/>
                <w:szCs w:val="20"/>
                <w:color w:val="auto"/>
              </w:rPr>
            </w:pPr>
            <w:r>
              <w:rPr>
                <w:rFonts w:ascii="Times New Roman" w:cs="Times New Roman" w:eastAsia="Times New Roman" w:hAnsi="Times New Roman"/>
                <w:sz w:val="13"/>
                <w:szCs w:val="13"/>
                <w:b w:val="1"/>
                <w:bCs w:val="1"/>
                <w:color w:val="auto"/>
              </w:rPr>
              <w:t>Change in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120" w:type="dxa"/>
            <w:vAlign w:val="bottom"/>
            <w:vMerge w:val="restart"/>
          </w:tcPr>
          <w:p>
            <w:pPr>
              <w:spacing w:after="0"/>
              <w:rPr>
                <w:sz w:val="12"/>
                <w:szCs w:val="12"/>
                <w:color w:val="auto"/>
              </w:rPr>
            </w:pPr>
          </w:p>
        </w:tc>
        <w:tc>
          <w:tcPr>
            <w:tcW w:w="160" w:type="dxa"/>
            <w:vAlign w:val="bottom"/>
            <w:vMerge w:val="restart"/>
          </w:tcPr>
          <w:p>
            <w:pPr>
              <w:spacing w:after="0"/>
              <w:rPr>
                <w:sz w:val="12"/>
                <w:szCs w:val="12"/>
                <w:color w:val="auto"/>
              </w:rPr>
            </w:pPr>
          </w:p>
        </w:tc>
        <w:tc>
          <w:tcPr>
            <w:tcW w:w="8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Market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29"/>
              <w:spacing w:after="0" w:line="149" w:lineRule="exact"/>
              <w:rPr>
                <w:sz w:val="20"/>
                <w:szCs w:val="20"/>
                <w:color w:val="auto"/>
              </w:rPr>
            </w:pPr>
            <w:r>
              <w:rPr>
                <w:rFonts w:ascii="Times New Roman" w:cs="Times New Roman" w:eastAsia="Times New Roman" w:hAnsi="Times New Roman"/>
                <w:sz w:val="14"/>
                <w:szCs w:val="14"/>
                <w:b w:val="1"/>
                <w:bCs w:val="1"/>
                <w:color w:val="auto"/>
              </w:rPr>
              <w:t>(Payments) /</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73"/>
        </w:trPr>
        <w:tc>
          <w:tcPr>
            <w:tcW w:w="22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xml:space="preserve">Interest rate swap </w:t>
            </w:r>
            <w:r>
              <w:rPr>
                <w:rFonts w:ascii="Times New Roman" w:cs="Times New Roman" w:eastAsia="Times New Roman" w:hAnsi="Times New Roman"/>
                <w:sz w:val="19"/>
                <w:szCs w:val="19"/>
                <w:color w:val="auto"/>
                <w:vertAlign w:val="superscript"/>
              </w:rPr>
              <w:t>(a)(b)</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Receives</w:t>
            </w:r>
          </w:p>
        </w:tc>
        <w:tc>
          <w:tcPr>
            <w:tcW w:w="14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Pays</w:t>
            </w:r>
          </w:p>
        </w:tc>
        <w:tc>
          <w:tcPr>
            <w:tcW w:w="120" w:type="dxa"/>
            <w:vAlign w:val="bottom"/>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60" w:type="dxa"/>
            <w:vAlign w:val="bottom"/>
            <w:tcBorders>
              <w:bottom w:val="single" w:sz="8" w:color="auto"/>
            </w:tcBorders>
            <w:vMerge w:val="continue"/>
          </w:tcPr>
          <w:p>
            <w:pPr>
              <w:spacing w:after="0"/>
              <w:rPr>
                <w:sz w:val="15"/>
                <w:szCs w:val="15"/>
                <w:color w:val="auto"/>
              </w:rPr>
            </w:pPr>
          </w:p>
        </w:tc>
        <w:tc>
          <w:tcPr>
            <w:tcW w:w="8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Receipts</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Gains / (Losses)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280" w:type="dxa"/>
            <w:vAlign w:val="bottom"/>
            <w:vMerge w:val="continue"/>
          </w:tcPr>
          <w:p>
            <w:pPr>
              <w:spacing w:after="0"/>
              <w:rPr>
                <w:sz w:val="12"/>
                <w:szCs w:val="12"/>
                <w:color w:val="auto"/>
              </w:rPr>
            </w:pPr>
          </w:p>
        </w:tc>
        <w:tc>
          <w:tcPr>
            <w:tcW w:w="10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w w:val="99"/>
              </w:rPr>
              <w:t>6.50%</w:t>
            </w:r>
          </w:p>
        </w:tc>
        <w:tc>
          <w:tcPr>
            <w:tcW w:w="140" w:type="dxa"/>
            <w:vAlign w:val="bottom"/>
          </w:tcPr>
          <w:p>
            <w:pPr>
              <w:spacing w:after="0"/>
              <w:rPr>
                <w:sz w:val="12"/>
                <w:szCs w:val="12"/>
                <w:color w:val="auto"/>
              </w:rPr>
            </w:pPr>
          </w:p>
        </w:tc>
        <w:tc>
          <w:tcPr>
            <w:tcW w:w="10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SOFR + 2.51%</w:t>
            </w:r>
          </w:p>
        </w:tc>
        <w:tc>
          <w:tcPr>
            <w:tcW w:w="1360" w:type="dxa"/>
            <w:vAlign w:val="bottom"/>
            <w:gridSpan w:val="4"/>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3/11/2029  $</w:t>
            </w:r>
          </w:p>
        </w:tc>
        <w:tc>
          <w:tcPr>
            <w:tcW w:w="8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600,000</w:t>
            </w:r>
          </w:p>
        </w:tc>
        <w:tc>
          <w:tcPr>
            <w:tcW w:w="44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(11,088)</w:t>
            </w:r>
          </w:p>
        </w:tc>
        <w:tc>
          <w:tcPr>
            <w:tcW w:w="18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ind w:left="800"/>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36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(22,142)</w:t>
            </w:r>
          </w:p>
        </w:tc>
        <w:tc>
          <w:tcPr>
            <w:tcW w:w="0" w:type="dxa"/>
            <w:vAlign w:val="bottom"/>
          </w:tcPr>
          <w:p>
            <w:pPr>
              <w:spacing w:after="0"/>
              <w:rPr>
                <w:sz w:val="1"/>
                <w:szCs w:val="1"/>
                <w:color w:val="auto"/>
              </w:rPr>
            </w:pPr>
          </w:p>
        </w:tc>
      </w:tr>
      <w:tr>
        <w:trPr>
          <w:trHeight w:val="176"/>
        </w:trPr>
        <w:tc>
          <w:tcPr>
            <w:tcW w:w="2280" w:type="dxa"/>
            <w:vAlign w:val="bottom"/>
          </w:tcPr>
          <w:p>
            <w:pPr>
              <w:spacing w:after="0" w:line="175" w:lineRule="exact"/>
              <w:rPr>
                <w:sz w:val="20"/>
                <w:szCs w:val="20"/>
                <w:color w:val="auto"/>
              </w:rPr>
            </w:pPr>
            <w:r>
              <w:rPr>
                <w:rFonts w:ascii="Times New Roman" w:cs="Times New Roman" w:eastAsia="Times New Roman" w:hAnsi="Times New Roman"/>
                <w:sz w:val="14"/>
                <w:szCs w:val="14"/>
                <w:color w:val="auto"/>
              </w:rPr>
              <w:t xml:space="preserve">Interest rate swap </w:t>
            </w:r>
            <w:r>
              <w:rPr>
                <w:rFonts w:ascii="Times New Roman" w:cs="Times New Roman" w:eastAsia="Times New Roman" w:hAnsi="Times New Roman"/>
                <w:sz w:val="19"/>
                <w:szCs w:val="19"/>
                <w:color w:val="auto"/>
                <w:vertAlign w:val="superscript"/>
              </w:rPr>
              <w:t>(a)(b)</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6.50%</w:t>
            </w:r>
          </w:p>
        </w:tc>
        <w:tc>
          <w:tcPr>
            <w:tcW w:w="14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SOFR + 2.22%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3/11/2029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150,000</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(1,761)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ind w:left="800"/>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(5,848)</w:t>
            </w:r>
          </w:p>
        </w:tc>
        <w:tc>
          <w:tcPr>
            <w:tcW w:w="0" w:type="dxa"/>
            <w:vAlign w:val="bottom"/>
          </w:tcPr>
          <w:p>
            <w:pPr>
              <w:spacing w:after="0"/>
              <w:rPr>
                <w:sz w:val="1"/>
                <w:szCs w:val="1"/>
                <w:color w:val="auto"/>
              </w:rPr>
            </w:pPr>
          </w:p>
        </w:tc>
      </w:tr>
      <w:tr>
        <w:trPr>
          <w:trHeight w:val="175"/>
        </w:trPr>
        <w:tc>
          <w:tcPr>
            <w:tcW w:w="2280" w:type="dxa"/>
            <w:vAlign w:val="bottom"/>
          </w:tcPr>
          <w:p>
            <w:pPr>
              <w:spacing w:after="0" w:line="175" w:lineRule="exact"/>
              <w:rPr>
                <w:sz w:val="20"/>
                <w:szCs w:val="20"/>
                <w:color w:val="auto"/>
              </w:rPr>
            </w:pPr>
            <w:r>
              <w:rPr>
                <w:rFonts w:ascii="Times New Roman" w:cs="Times New Roman" w:eastAsia="Times New Roman" w:hAnsi="Times New Roman"/>
                <w:sz w:val="14"/>
                <w:szCs w:val="14"/>
                <w:color w:val="auto"/>
              </w:rPr>
              <w:t xml:space="preserve">Interest rate swap </w:t>
            </w:r>
            <w:r>
              <w:rPr>
                <w:rFonts w:ascii="Times New Roman" w:cs="Times New Roman" w:eastAsia="Times New Roman" w:hAnsi="Times New Roman"/>
                <w:sz w:val="19"/>
                <w:szCs w:val="19"/>
                <w:color w:val="auto"/>
                <w:vertAlign w:val="superscript"/>
              </w:rPr>
              <w:t>(a)(b)</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5.75%</w:t>
            </w:r>
          </w:p>
        </w:tc>
        <w:tc>
          <w:tcPr>
            <w:tcW w:w="14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SOFR + 2.55%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1/15/2030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600,000</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(29,457)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ind w:left="800"/>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(24,296)</w:t>
            </w:r>
          </w:p>
        </w:tc>
        <w:tc>
          <w:tcPr>
            <w:tcW w:w="0" w:type="dxa"/>
            <w:vAlign w:val="bottom"/>
          </w:tcPr>
          <w:p>
            <w:pPr>
              <w:spacing w:after="0"/>
              <w:rPr>
                <w:sz w:val="1"/>
                <w:szCs w:val="1"/>
                <w:color w:val="auto"/>
              </w:rPr>
            </w:pPr>
          </w:p>
        </w:tc>
      </w:tr>
      <w:tr>
        <w:trPr>
          <w:trHeight w:val="176"/>
        </w:trPr>
        <w:tc>
          <w:tcPr>
            <w:tcW w:w="2280" w:type="dxa"/>
            <w:vAlign w:val="bottom"/>
          </w:tcPr>
          <w:p>
            <w:pPr>
              <w:spacing w:after="0" w:line="175" w:lineRule="exact"/>
              <w:rPr>
                <w:sz w:val="20"/>
                <w:szCs w:val="20"/>
                <w:color w:val="auto"/>
              </w:rPr>
            </w:pPr>
            <w:r>
              <w:rPr>
                <w:rFonts w:ascii="Times New Roman" w:cs="Times New Roman" w:eastAsia="Times New Roman" w:hAnsi="Times New Roman"/>
                <w:sz w:val="14"/>
                <w:szCs w:val="14"/>
                <w:color w:val="auto"/>
              </w:rPr>
              <w:t xml:space="preserve">Interest rate swap </w:t>
            </w:r>
            <w:r>
              <w:rPr>
                <w:rFonts w:ascii="Times New Roman" w:cs="Times New Roman" w:eastAsia="Times New Roman" w:hAnsi="Times New Roman"/>
                <w:sz w:val="19"/>
                <w:szCs w:val="19"/>
                <w:color w:val="auto"/>
                <w:vertAlign w:val="superscript"/>
              </w:rPr>
              <w:t>(a)(b)</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6.13%</w:t>
            </w:r>
          </w:p>
        </w:tc>
        <w:tc>
          <w:tcPr>
            <w:tcW w:w="14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SOFR + 2.01%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7/15/2030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750,000</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(17,871)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ind w:left="800"/>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(38,823)</w:t>
            </w:r>
          </w:p>
        </w:tc>
        <w:tc>
          <w:tcPr>
            <w:tcW w:w="0" w:type="dxa"/>
            <w:vAlign w:val="bottom"/>
          </w:tcPr>
          <w:p>
            <w:pPr>
              <w:spacing w:after="0"/>
              <w:rPr>
                <w:sz w:val="1"/>
                <w:szCs w:val="1"/>
                <w:color w:val="auto"/>
              </w:rPr>
            </w:pPr>
          </w:p>
        </w:tc>
      </w:tr>
      <w:tr>
        <w:trPr>
          <w:trHeight w:val="189"/>
        </w:trPr>
        <w:tc>
          <w:tcPr>
            <w:tcW w:w="2280" w:type="dxa"/>
            <w:vAlign w:val="bottom"/>
          </w:tcPr>
          <w:p>
            <w:pPr>
              <w:spacing w:after="0" w:line="189" w:lineRule="exact"/>
              <w:rPr>
                <w:sz w:val="20"/>
                <w:szCs w:val="20"/>
                <w:color w:val="auto"/>
              </w:rPr>
            </w:pPr>
            <w:r>
              <w:rPr>
                <w:rFonts w:ascii="Times New Roman" w:cs="Times New Roman" w:eastAsia="Times New Roman" w:hAnsi="Times New Roman"/>
                <w:sz w:val="14"/>
                <w:szCs w:val="14"/>
                <w:color w:val="auto"/>
              </w:rPr>
              <w:t xml:space="preserve">Interest rate swap </w:t>
            </w:r>
            <w:r>
              <w:rPr>
                <w:rFonts w:ascii="Times New Roman" w:cs="Times New Roman" w:eastAsia="Times New Roman" w:hAnsi="Times New Roman"/>
                <w:sz w:val="19"/>
                <w:szCs w:val="19"/>
                <w:color w:val="auto"/>
                <w:vertAlign w:val="superscript"/>
              </w:rPr>
              <w:t>(a)(b)</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6.50%</w:t>
            </w:r>
          </w:p>
        </w:tc>
        <w:tc>
          <w:tcPr>
            <w:tcW w:w="14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SOFR + 1.96%</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12/15/2031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750,000</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(10,118)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ind w:left="800"/>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(10,118)</w:t>
            </w:r>
          </w:p>
        </w:tc>
        <w:tc>
          <w:tcPr>
            <w:tcW w:w="0" w:type="dxa"/>
            <w:vAlign w:val="bottom"/>
          </w:tcPr>
          <w:p>
            <w:pPr>
              <w:spacing w:after="0"/>
              <w:rPr>
                <w:sz w:val="1"/>
                <w:szCs w:val="1"/>
                <w:color w:val="auto"/>
              </w:rPr>
            </w:pPr>
          </w:p>
        </w:tc>
      </w:tr>
      <w:tr>
        <w:trPr>
          <w:trHeight w:val="20"/>
        </w:trPr>
        <w:tc>
          <w:tcPr>
            <w:tcW w:w="22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Total Hedge Accounting Swaps</w:t>
            </w: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2,850,000</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(70,295)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ind w:left="800"/>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(101,227)</w:t>
            </w:r>
          </w:p>
        </w:tc>
        <w:tc>
          <w:tcPr>
            <w:tcW w:w="0" w:type="dxa"/>
            <w:vAlign w:val="bottom"/>
          </w:tcPr>
          <w:p>
            <w:pPr>
              <w:spacing w:after="0"/>
              <w:rPr>
                <w:sz w:val="1"/>
                <w:szCs w:val="1"/>
                <w:color w:val="auto"/>
              </w:rPr>
            </w:pPr>
          </w:p>
        </w:tc>
      </w:tr>
      <w:tr>
        <w:trPr>
          <w:trHeight w:val="148"/>
        </w:trPr>
        <w:tc>
          <w:tcPr>
            <w:tcW w:w="228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Cash collateral</w:t>
            </w:r>
          </w:p>
        </w:tc>
        <w:tc>
          <w:tcPr>
            <w:tcW w:w="108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10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9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8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10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147,506</w:t>
            </w:r>
          </w:p>
        </w:tc>
        <w:tc>
          <w:tcPr>
            <w:tcW w:w="1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ind w:left="80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2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8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Total derivatives</w:t>
            </w: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360" w:type="dxa"/>
            <w:vAlign w:val="bottom"/>
            <w:gridSpan w:val="4"/>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2,850,000</w:t>
            </w:r>
          </w:p>
        </w:tc>
        <w:tc>
          <w:tcPr>
            <w:tcW w:w="44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77,211</w:t>
            </w:r>
          </w:p>
        </w:tc>
        <w:tc>
          <w:tcPr>
            <w:tcW w:w="140" w:type="dxa"/>
            <w:vAlign w:val="bottom"/>
          </w:tcPr>
          <w:p>
            <w:pPr>
              <w:spacing w:after="0"/>
              <w:rPr>
                <w:sz w:val="12"/>
                <w:szCs w:val="12"/>
                <w:color w:val="auto"/>
              </w:rPr>
            </w:pPr>
          </w:p>
        </w:tc>
        <w:tc>
          <w:tcPr>
            <w:tcW w:w="18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ind w:left="800"/>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36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(101,227)</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-873760</wp:posOffset>
            </wp:positionV>
            <wp:extent cx="7132320" cy="1117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-650875</wp:posOffset>
            </wp:positionV>
            <wp:extent cx="7132320" cy="1117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-427990</wp:posOffset>
            </wp:positionV>
            <wp:extent cx="7132320" cy="1117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-128270</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-128270</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-128270</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1020" w:hanging="503"/>
        <w:spacing w:after="0"/>
        <w:tabs>
          <w:tab w:leader="none" w:pos="10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Contains a variable rate structure. Bears interest at a rate determined by SOFR.</w:t>
      </w:r>
    </w:p>
    <w:p>
      <w:pPr>
        <w:spacing w:after="0" w:line="27" w:lineRule="exact"/>
        <w:rPr>
          <w:rFonts w:ascii="Times New Roman" w:cs="Times New Roman" w:eastAsia="Times New Roman" w:hAnsi="Times New Roman"/>
          <w:sz w:val="18"/>
          <w:szCs w:val="18"/>
          <w:color w:val="auto"/>
        </w:rPr>
      </w:pPr>
    </w:p>
    <w:p>
      <w:pPr>
        <w:ind w:left="1020" w:right="180" w:hanging="503"/>
        <w:spacing w:after="0" w:line="260" w:lineRule="auto"/>
        <w:tabs>
          <w:tab w:leader="none" w:pos="10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Instrument is used in a hedge accounting relationship. The associated change in fair value is recorded along with the change in fair value of the hedged item within interest expense.</w:t>
      </w:r>
    </w:p>
    <w:p>
      <w:pPr>
        <w:spacing w:after="0" w:line="181" w:lineRule="exact"/>
        <w:rPr>
          <w:rFonts w:ascii="Times New Roman" w:cs="Times New Roman" w:eastAsia="Times New Roman" w:hAnsi="Times New Roman"/>
          <w:sz w:val="18"/>
          <w:szCs w:val="18"/>
          <w:color w:val="auto"/>
        </w:rPr>
      </w:pPr>
    </w:p>
    <w:p>
      <w:pPr>
        <w:ind w:left="520" w:right="460" w:hanging="512"/>
        <w:spacing w:after="0" w:line="261"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the Company’s portfolio companies are domiciled in the United States. Certain portfolio company investments are subject to contractual restrictions on sales.</w:t>
      </w:r>
    </w:p>
    <w:p>
      <w:pPr>
        <w:ind w:left="520" w:hanging="512"/>
        <w:spacing w:after="0" w:line="250"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amortized cost represents the original cost adjusted for the amortization of discounts and premiums, as applicable, on debt investments using the effective interest method.</w:t>
      </w:r>
    </w:p>
    <w:p>
      <w:pPr>
        <w:ind w:left="520" w:hanging="512"/>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contains a variable rate structure, subject to an interest rate floor. Variable rate investments bear interest at a rate that</w:t>
      </w:r>
    </w:p>
    <w:p>
      <w:pPr>
        <w:spacing w:after="0" w:line="9" w:lineRule="exact"/>
        <w:rPr>
          <w:rFonts w:ascii="Times New Roman" w:cs="Times New Roman" w:eastAsia="Times New Roman" w:hAnsi="Times New Roman"/>
          <w:sz w:val="18"/>
          <w:szCs w:val="18"/>
          <w:color w:val="auto"/>
        </w:rPr>
      </w:pPr>
    </w:p>
    <w:p>
      <w:pPr>
        <w:ind w:left="520" w:right="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be determined by reference to either Canadian Overnight Repo Rate Average (“CORRA” or "C"), Euro Interbank Offer Rate (“EURIBOR” or “E”), Term Secured Overnight Financing Rate (“SOFR”), which may also contain a credit spread adjustment depending on the tenor election, Sterling Overnight Index Average Rate (“SONIA” or “S”), Stockholm Interbank Offered Rate ("STIBOR"), Norwegian Interbank Offered Rate ("NIBOR" or "N") or an alternate base rate (which can include the Federal Funds Effective Rate or the Prime Rate or “P”), all of which include an available tenor, selected at the borrower’s option, which reset periodically based on the terms of the credit agreement. For investments with multiple interest rate contracts, the interest rate shown is the weighted average interest rate in effect at September 30, 2026.</w:t>
      </w:r>
    </w:p>
    <w:p>
      <w:pPr>
        <w:spacing w:after="0" w:line="2" w:lineRule="exact"/>
        <w:rPr>
          <w:rFonts w:ascii="Times New Roman" w:cs="Times New Roman" w:eastAsia="Times New Roman" w:hAnsi="Times New Roman"/>
          <w:sz w:val="18"/>
          <w:szCs w:val="18"/>
          <w:color w:val="auto"/>
        </w:rPr>
      </w:pPr>
    </w:p>
    <w:p>
      <w:pPr>
        <w:ind w:left="520" w:right="200" w:hanging="512"/>
        <w:spacing w:after="0" w:line="250"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portfolio company is not a qualifying asset under Section 55(a) of the 1940 Act. Under the 1940 Act, the Company may not acquire any non-qualifying asset unless, at the time such acquisition is made, qualifying assets represent at least 70% of total assets. Non-qualifying assets represented 25.0% of total assets as of September 30, 2026.</w:t>
      </w:r>
    </w:p>
    <w:p>
      <w:pPr>
        <w:spacing w:after="0" w:line="1" w:lineRule="exact"/>
        <w:rPr>
          <w:rFonts w:ascii="Times New Roman" w:cs="Times New Roman" w:eastAsia="Times New Roman" w:hAnsi="Times New Roman"/>
          <w:sz w:val="18"/>
          <w:szCs w:val="18"/>
          <w:color w:val="auto"/>
        </w:rPr>
      </w:pPr>
    </w:p>
    <w:p>
      <w:pPr>
        <w:ind w:left="520" w:right="40" w:hanging="512"/>
        <w:spacing w:after="0" w:line="250"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holds the “last out” tranche.</w:t>
      </w:r>
    </w:p>
    <w:p>
      <w:pPr>
        <w:spacing w:after="0" w:line="1" w:lineRule="exact"/>
        <w:rPr>
          <w:rFonts w:ascii="Times New Roman" w:cs="Times New Roman" w:eastAsia="Times New Roman" w:hAnsi="Times New Roman"/>
          <w:sz w:val="18"/>
          <w:szCs w:val="18"/>
          <w:color w:val="auto"/>
        </w:rPr>
      </w:pPr>
    </w:p>
    <w:p>
      <w:pPr>
        <w:jc w:val="both"/>
        <w:ind w:left="520" w:right="340" w:hanging="512"/>
        <w:spacing w:after="0" w:line="255"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1940 Act, the Company is deemed to be an "Affiliated Person" (as defined in the 1940 Act) of the portfolio company as the Company owns more than 5% of the portfolio company's outstanding voting securities. Transactions during the nine months ended September 30, 2026 in which the Company was an Affiliated Person of the portfolio company are as follows: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Non-controlled, Affiliated Investments during the nine months ended September 30, 2026</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49"/>
        </w:trPr>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7"/>
              </w:rPr>
              <w:t>Net Change</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7"/>
              </w:rPr>
              <w:t>Fair Value at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center"/>
              <w:ind w:right="117"/>
              <w:spacing w:after="0" w:line="135" w:lineRule="exact"/>
              <w:rPr>
                <w:sz w:val="20"/>
                <w:szCs w:val="20"/>
                <w:color w:val="auto"/>
              </w:rPr>
            </w:pPr>
            <w:r>
              <w:rPr>
                <w:rFonts w:ascii="Times New Roman" w:cs="Times New Roman" w:eastAsia="Times New Roman" w:hAnsi="Times New Roman"/>
                <w:sz w:val="13"/>
                <w:szCs w:val="13"/>
                <w:b w:val="1"/>
                <w:bCs w:val="1"/>
                <w:color w:val="auto"/>
                <w:w w:val="94"/>
              </w:rPr>
              <w:t>Fair Value at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jc w:val="right"/>
              <w:ind w:right="237"/>
              <w:spacing w:after="0" w:line="135" w:lineRule="exact"/>
              <w:rPr>
                <w:sz w:val="20"/>
                <w:szCs w:val="20"/>
                <w:color w:val="auto"/>
              </w:rPr>
            </w:pPr>
            <w:r>
              <w:rPr>
                <w:rFonts w:ascii="Times New Roman" w:cs="Times New Roman" w:eastAsia="Times New Roman" w:hAnsi="Times New Roman"/>
                <w:sz w:val="13"/>
                <w:szCs w:val="13"/>
                <w:b w:val="1"/>
                <w:bCs w:val="1"/>
                <w:color w:val="auto"/>
              </w:rPr>
              <w:t>Gross</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center"/>
              <w:ind w:right="117"/>
              <w:spacing w:after="0" w:line="135" w:lineRule="exact"/>
              <w:rPr>
                <w:sz w:val="20"/>
                <w:szCs w:val="20"/>
                <w:color w:val="auto"/>
              </w:rPr>
            </w:pPr>
            <w:r>
              <w:rPr>
                <w:rFonts w:ascii="Times New Roman" w:cs="Times New Roman" w:eastAsia="Times New Roman" w:hAnsi="Times New Roman"/>
                <w:sz w:val="13"/>
                <w:szCs w:val="13"/>
                <w:b w:val="1"/>
                <w:bCs w:val="1"/>
                <w:color w:val="auto"/>
                <w:w w:val="98"/>
              </w:rPr>
              <w:t>Gross</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 Unrealized</w:t>
            </w:r>
          </w:p>
        </w:tc>
        <w:tc>
          <w:tcPr>
            <w:tcW w:w="220" w:type="dxa"/>
            <w:vAlign w:val="bottom"/>
          </w:tcPr>
          <w:p>
            <w:pPr>
              <w:spacing w:after="0"/>
              <w:rPr>
                <w:sz w:val="11"/>
                <w:szCs w:val="11"/>
                <w:color w:val="auto"/>
              </w:rPr>
            </w:pPr>
          </w:p>
        </w:tc>
        <w:tc>
          <w:tcPr>
            <w:tcW w:w="760" w:type="dxa"/>
            <w:vAlign w:val="bottom"/>
          </w:tcPr>
          <w:p>
            <w:pPr>
              <w:jc w:val="right"/>
              <w:ind w:right="41"/>
              <w:spacing w:after="0" w:line="135" w:lineRule="exact"/>
              <w:rPr>
                <w:sz w:val="20"/>
                <w:szCs w:val="20"/>
                <w:color w:val="auto"/>
              </w:rPr>
            </w:pPr>
            <w:r>
              <w:rPr>
                <w:rFonts w:ascii="Times New Roman" w:cs="Times New Roman" w:eastAsia="Times New Roman" w:hAnsi="Times New Roman"/>
                <w:sz w:val="13"/>
                <w:szCs w:val="13"/>
                <w:b w:val="1"/>
                <w:bCs w:val="1"/>
                <w:color w:val="auto"/>
              </w:rPr>
              <w:t>Realized</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September 30,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Interest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4"/>
              </w:rPr>
              <w:t>Dividend</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0" w:type="dxa"/>
            <w:vAlign w:val="bottom"/>
          </w:tcPr>
          <w:p>
            <w:pPr>
              <w:spacing w:after="0"/>
              <w:rPr>
                <w:sz w:val="1"/>
                <w:szCs w:val="1"/>
                <w:color w:val="auto"/>
              </w:rPr>
            </w:pPr>
          </w:p>
        </w:tc>
      </w:tr>
      <w:tr>
        <w:trPr>
          <w:trHeight w:val="155"/>
        </w:trPr>
        <w:tc>
          <w:tcPr>
            <w:tcW w:w="14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3"/>
                <w:szCs w:val="13"/>
                <w:b w:val="1"/>
                <w:bCs w:val="1"/>
                <w:color w:val="auto"/>
              </w:rPr>
              <w:t>Company</w:t>
            </w:r>
          </w:p>
        </w:tc>
        <w:tc>
          <w:tcPr>
            <w:tcW w:w="120" w:type="dxa"/>
            <w:vAlign w:val="bottom"/>
          </w:tcPr>
          <w:p>
            <w:pPr>
              <w:spacing w:after="0"/>
              <w:rPr>
                <w:sz w:val="13"/>
                <w:szCs w:val="13"/>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December 31, 2025</w:t>
            </w:r>
          </w:p>
        </w:tc>
        <w:tc>
          <w:tcPr>
            <w:tcW w:w="2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6"/>
              </w:rPr>
              <w:t>Additions (a)</w:t>
            </w:r>
          </w:p>
        </w:tc>
        <w:tc>
          <w:tcPr>
            <w:tcW w:w="220" w:type="dxa"/>
            <w:vAlign w:val="bottom"/>
          </w:tcPr>
          <w:p>
            <w:pPr>
              <w:spacing w:after="0"/>
              <w:rPr>
                <w:sz w:val="13"/>
                <w:szCs w:val="13"/>
                <w:color w:val="auto"/>
              </w:rPr>
            </w:pPr>
          </w:p>
        </w:tc>
        <w:tc>
          <w:tcPr>
            <w:tcW w:w="9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Reductions (b)</w:t>
            </w:r>
          </w:p>
        </w:tc>
        <w:tc>
          <w:tcPr>
            <w:tcW w:w="2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8"/>
              </w:rPr>
              <w:t>Gain/(Loss)</w:t>
            </w:r>
          </w:p>
        </w:tc>
        <w:tc>
          <w:tcPr>
            <w:tcW w:w="220" w:type="dxa"/>
            <w:vAlign w:val="bottom"/>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Gain/(Loss)</w:t>
            </w:r>
          </w:p>
        </w:tc>
        <w:tc>
          <w:tcPr>
            <w:tcW w:w="1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9"/>
              </w:rPr>
              <w:t>2026</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2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1460" w:type="dxa"/>
            <w:vAlign w:val="bottom"/>
            <w:shd w:val="clear" w:color="auto" w:fill="CFF0FC"/>
          </w:tcPr>
          <w:p>
            <w:pPr>
              <w:spacing w:after="0" w:line="110" w:lineRule="exact"/>
              <w:rPr>
                <w:sz w:val="20"/>
                <w:szCs w:val="20"/>
                <w:color w:val="auto"/>
              </w:rPr>
            </w:pPr>
            <w:r>
              <w:rPr>
                <w:rFonts w:ascii="Times New Roman" w:cs="Times New Roman" w:eastAsia="Times New Roman" w:hAnsi="Times New Roman"/>
                <w:sz w:val="12"/>
                <w:szCs w:val="12"/>
                <w:color w:val="auto"/>
              </w:rPr>
              <w:t>Structured Credit Partners</w:t>
            </w:r>
          </w:p>
        </w:tc>
        <w:tc>
          <w:tcPr>
            <w:tcW w:w="240" w:type="dxa"/>
            <w:vAlign w:val="bottom"/>
            <w:gridSpan w:val="2"/>
            <w:vMerge w:val="restart"/>
            <w:shd w:val="clear" w:color="auto" w:fill="CFF0FC"/>
          </w:tcPr>
          <w:p>
            <w:pPr>
              <w:jc w:val="right"/>
              <w:ind w:right="2"/>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vMerge w:val="restart"/>
            <w:shd w:val="clear" w:color="auto" w:fill="CFF0FC"/>
          </w:tcPr>
          <w:p>
            <w:pPr>
              <w:ind w:left="860"/>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37,832</w:t>
            </w:r>
          </w:p>
        </w:tc>
        <w:tc>
          <w:tcPr>
            <w:tcW w:w="380" w:type="dxa"/>
            <w:vAlign w:val="bottom"/>
            <w:gridSpan w:val="2"/>
            <w:vMerge w:val="restart"/>
            <w:shd w:val="clear" w:color="auto" w:fill="CFF0FC"/>
          </w:tcPr>
          <w:p>
            <w:pPr>
              <w:jc w:val="right"/>
              <w:ind w:right="42"/>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vMerge w:val="restart"/>
            <w:shd w:val="clear" w:color="auto" w:fill="CFF0FC"/>
          </w:tcPr>
          <w:p>
            <w:pPr>
              <w:ind w:left="600"/>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2,175</w:t>
            </w:r>
          </w:p>
        </w:tc>
        <w:tc>
          <w:tcPr>
            <w:tcW w:w="980" w:type="dxa"/>
            <w:vAlign w:val="bottom"/>
            <w:gridSpan w:val="2"/>
            <w:vMerge w:val="restart"/>
            <w:shd w:val="clear" w:color="auto" w:fill="CFF0FC"/>
          </w:tcPr>
          <w:p>
            <w:pPr>
              <w:jc w:val="right"/>
              <w:ind w:right="641"/>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40,007</w:t>
            </w:r>
          </w:p>
        </w:tc>
        <w:tc>
          <w:tcPr>
            <w:tcW w:w="3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vMerge w:val="restart"/>
            <w:shd w:val="clear" w:color="auto" w:fill="CFF0FC"/>
          </w:tcPr>
          <w:p>
            <w:pPr>
              <w:ind w:left="440"/>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2,587</w:t>
            </w:r>
          </w:p>
        </w:tc>
        <w:tc>
          <w:tcPr>
            <w:tcW w:w="3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vMerge w:val="restart"/>
            <w:shd w:val="clear" w:color="auto" w:fill="CFF0FC"/>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0"/>
        </w:trPr>
        <w:tc>
          <w:tcPr>
            <w:tcW w:w="1460" w:type="dxa"/>
            <w:vAlign w:val="bottom"/>
            <w:shd w:val="clear" w:color="auto" w:fill="CFF0FC"/>
          </w:tcPr>
          <w:p>
            <w:pPr>
              <w:spacing w:after="0" w:line="140" w:lineRule="exact"/>
              <w:rPr>
                <w:sz w:val="20"/>
                <w:szCs w:val="20"/>
                <w:color w:val="auto"/>
              </w:rPr>
            </w:pPr>
            <w:r>
              <w:rPr>
                <w:rFonts w:ascii="Times New Roman" w:cs="Times New Roman" w:eastAsia="Times New Roman" w:hAnsi="Times New Roman"/>
                <w:sz w:val="13"/>
                <w:szCs w:val="13"/>
                <w:color w:val="auto"/>
              </w:rPr>
              <w:t>JV, LLC</w:t>
            </w:r>
          </w:p>
        </w:tc>
        <w:tc>
          <w:tcPr>
            <w:tcW w:w="240" w:type="dxa"/>
            <w:vAlign w:val="bottom"/>
            <w:gridSpan w:val="2"/>
            <w:vMerge w:val="continue"/>
            <w:shd w:val="clear" w:color="auto" w:fill="CFF0FC"/>
          </w:tcPr>
          <w:p>
            <w:pPr>
              <w:spacing w:after="0"/>
              <w:rPr>
                <w:sz w:val="12"/>
                <w:szCs w:val="12"/>
                <w:color w:val="auto"/>
              </w:rPr>
            </w:pPr>
          </w:p>
        </w:tc>
        <w:tc>
          <w:tcPr>
            <w:tcW w:w="1000" w:type="dxa"/>
            <w:vAlign w:val="bottom"/>
            <w:vMerge w:val="continue"/>
            <w:shd w:val="clear" w:color="auto" w:fill="CFF0FC"/>
          </w:tcPr>
          <w:p>
            <w:pPr>
              <w:spacing w:after="0"/>
              <w:rPr>
                <w:sz w:val="12"/>
                <w:szCs w:val="12"/>
                <w:color w:val="auto"/>
              </w:rPr>
            </w:pPr>
          </w:p>
        </w:tc>
        <w:tc>
          <w:tcPr>
            <w:tcW w:w="280" w:type="dxa"/>
            <w:vAlign w:val="bottom"/>
            <w:gridSpan w:val="2"/>
            <w:vMerge w:val="continue"/>
            <w:shd w:val="clear" w:color="auto" w:fill="CFF0FC"/>
          </w:tcPr>
          <w:p>
            <w:pPr>
              <w:spacing w:after="0"/>
              <w:rPr>
                <w:sz w:val="12"/>
                <w:szCs w:val="12"/>
                <w:color w:val="auto"/>
              </w:rPr>
            </w:pPr>
          </w:p>
        </w:tc>
        <w:tc>
          <w:tcPr>
            <w:tcW w:w="840" w:type="dxa"/>
            <w:vAlign w:val="bottom"/>
            <w:vMerge w:val="continue"/>
            <w:shd w:val="clear" w:color="auto" w:fill="CFF0FC"/>
          </w:tcPr>
          <w:p>
            <w:pPr>
              <w:spacing w:after="0"/>
              <w:rPr>
                <w:sz w:val="12"/>
                <w:szCs w:val="12"/>
                <w:color w:val="auto"/>
              </w:rPr>
            </w:pPr>
          </w:p>
        </w:tc>
        <w:tc>
          <w:tcPr>
            <w:tcW w:w="380" w:type="dxa"/>
            <w:vAlign w:val="bottom"/>
            <w:gridSpan w:val="2"/>
            <w:vMerge w:val="continue"/>
            <w:shd w:val="clear" w:color="auto" w:fill="CFF0FC"/>
          </w:tcPr>
          <w:p>
            <w:pPr>
              <w:spacing w:after="0"/>
              <w:rPr>
                <w:sz w:val="12"/>
                <w:szCs w:val="12"/>
                <w:color w:val="auto"/>
              </w:rPr>
            </w:pPr>
          </w:p>
        </w:tc>
        <w:tc>
          <w:tcPr>
            <w:tcW w:w="740" w:type="dxa"/>
            <w:vAlign w:val="bottom"/>
            <w:vMerge w:val="continue"/>
            <w:shd w:val="clear" w:color="auto" w:fill="CFF0FC"/>
          </w:tcPr>
          <w:p>
            <w:pPr>
              <w:spacing w:after="0"/>
              <w:rPr>
                <w:sz w:val="12"/>
                <w:szCs w:val="12"/>
                <w:color w:val="auto"/>
              </w:rPr>
            </w:pPr>
          </w:p>
        </w:tc>
        <w:tc>
          <w:tcPr>
            <w:tcW w:w="280" w:type="dxa"/>
            <w:vAlign w:val="bottom"/>
            <w:gridSpan w:val="2"/>
            <w:vMerge w:val="continue"/>
            <w:shd w:val="clear" w:color="auto" w:fill="CFF0FC"/>
          </w:tcPr>
          <w:p>
            <w:pPr>
              <w:spacing w:after="0"/>
              <w:rPr>
                <w:sz w:val="12"/>
                <w:szCs w:val="12"/>
                <w:color w:val="auto"/>
              </w:rPr>
            </w:pPr>
          </w:p>
        </w:tc>
        <w:tc>
          <w:tcPr>
            <w:tcW w:w="840" w:type="dxa"/>
            <w:vAlign w:val="bottom"/>
            <w:vMerge w:val="continue"/>
            <w:shd w:val="clear" w:color="auto" w:fill="CFF0FC"/>
          </w:tcPr>
          <w:p>
            <w:pPr>
              <w:spacing w:after="0"/>
              <w:rPr>
                <w:sz w:val="12"/>
                <w:szCs w:val="12"/>
                <w:color w:val="auto"/>
              </w:rPr>
            </w:pPr>
          </w:p>
        </w:tc>
        <w:tc>
          <w:tcPr>
            <w:tcW w:w="980" w:type="dxa"/>
            <w:vAlign w:val="bottom"/>
            <w:gridSpan w:val="2"/>
            <w:vMerge w:val="continue"/>
            <w:shd w:val="clear" w:color="auto" w:fill="CFF0FC"/>
          </w:tcPr>
          <w:p>
            <w:pPr>
              <w:spacing w:after="0"/>
              <w:rPr>
                <w:sz w:val="12"/>
                <w:szCs w:val="12"/>
                <w:color w:val="auto"/>
              </w:rPr>
            </w:pPr>
          </w:p>
        </w:tc>
        <w:tc>
          <w:tcPr>
            <w:tcW w:w="140" w:type="dxa"/>
            <w:vAlign w:val="bottom"/>
            <w:vMerge w:val="continue"/>
            <w:shd w:val="clear" w:color="auto" w:fill="CFF0FC"/>
          </w:tcPr>
          <w:p>
            <w:pPr>
              <w:spacing w:after="0"/>
              <w:rPr>
                <w:sz w:val="12"/>
                <w:szCs w:val="12"/>
                <w:color w:val="auto"/>
              </w:rPr>
            </w:pPr>
          </w:p>
        </w:tc>
        <w:tc>
          <w:tcPr>
            <w:tcW w:w="300" w:type="dxa"/>
            <w:vAlign w:val="bottom"/>
            <w:gridSpan w:val="2"/>
            <w:vMerge w:val="continue"/>
            <w:shd w:val="clear" w:color="auto" w:fill="CFF0FC"/>
          </w:tcPr>
          <w:p>
            <w:pPr>
              <w:spacing w:after="0"/>
              <w:rPr>
                <w:sz w:val="12"/>
                <w:szCs w:val="12"/>
                <w:color w:val="auto"/>
              </w:rPr>
            </w:pPr>
          </w:p>
        </w:tc>
        <w:tc>
          <w:tcPr>
            <w:tcW w:w="920" w:type="dxa"/>
            <w:vAlign w:val="bottom"/>
            <w:vMerge w:val="continue"/>
            <w:shd w:val="clear" w:color="auto" w:fill="CFF0FC"/>
          </w:tcPr>
          <w:p>
            <w:pPr>
              <w:spacing w:after="0"/>
              <w:rPr>
                <w:sz w:val="12"/>
                <w:szCs w:val="12"/>
                <w:color w:val="auto"/>
              </w:rPr>
            </w:pPr>
          </w:p>
        </w:tc>
        <w:tc>
          <w:tcPr>
            <w:tcW w:w="320" w:type="dxa"/>
            <w:vAlign w:val="bottom"/>
            <w:gridSpan w:val="2"/>
            <w:vMerge w:val="continue"/>
            <w:shd w:val="clear" w:color="auto" w:fill="CFF0FC"/>
          </w:tcPr>
          <w:p>
            <w:pPr>
              <w:spacing w:after="0"/>
              <w:rPr>
                <w:sz w:val="12"/>
                <w:szCs w:val="12"/>
                <w:color w:val="auto"/>
              </w:rPr>
            </w:pPr>
          </w:p>
        </w:tc>
        <w:tc>
          <w:tcPr>
            <w:tcW w:w="580" w:type="dxa"/>
            <w:vAlign w:val="bottom"/>
            <w:vMerge w:val="continue"/>
            <w:shd w:val="clear" w:color="auto" w:fill="CFF0FC"/>
          </w:tcPr>
          <w:p>
            <w:pPr>
              <w:spacing w:after="0"/>
              <w:rPr>
                <w:sz w:val="12"/>
                <w:szCs w:val="12"/>
                <w:color w:val="auto"/>
              </w:rPr>
            </w:pPr>
          </w:p>
        </w:tc>
        <w:tc>
          <w:tcPr>
            <w:tcW w:w="280" w:type="dxa"/>
            <w:vAlign w:val="bottom"/>
            <w:gridSpan w:val="2"/>
            <w:vMerge w:val="continue"/>
            <w:shd w:val="clear" w:color="auto" w:fill="CFF0FC"/>
          </w:tcPr>
          <w:p>
            <w:pPr>
              <w:spacing w:after="0"/>
              <w:rPr>
                <w:sz w:val="12"/>
                <w:szCs w:val="12"/>
                <w:color w:val="auto"/>
              </w:rPr>
            </w:pPr>
          </w:p>
        </w:tc>
        <w:tc>
          <w:tcPr>
            <w:tcW w:w="620" w:type="dxa"/>
            <w:vAlign w:val="bottom"/>
            <w:vMerge w:val="continue"/>
            <w:shd w:val="clear" w:color="auto" w:fill="CFF0FC"/>
          </w:tcPr>
          <w:p>
            <w:pPr>
              <w:spacing w:after="0"/>
              <w:rPr>
                <w:sz w:val="12"/>
                <w:szCs w:val="12"/>
                <w:color w:val="auto"/>
              </w:rPr>
            </w:pPr>
          </w:p>
        </w:tc>
        <w:tc>
          <w:tcPr>
            <w:tcW w:w="320" w:type="dxa"/>
            <w:vAlign w:val="bottom"/>
            <w:gridSpan w:val="2"/>
            <w:vMerge w:val="continue"/>
            <w:shd w:val="clear" w:color="auto" w:fill="CFF0FC"/>
          </w:tcPr>
          <w:p>
            <w:pPr>
              <w:spacing w:after="0"/>
              <w:rPr>
                <w:sz w:val="12"/>
                <w:szCs w:val="12"/>
                <w:color w:val="auto"/>
              </w:rPr>
            </w:pPr>
          </w:p>
        </w:tc>
        <w:tc>
          <w:tcPr>
            <w:tcW w:w="720" w:type="dxa"/>
            <w:vAlign w:val="bottom"/>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460" w:type="dxa"/>
            <w:vAlign w:val="bottom"/>
            <w:tcBorders>
              <w:top w:val="single" w:sz="8" w:color="CFF0FC"/>
              <w:bottom w:val="single" w:sz="8" w:color="CFF0FC"/>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Borders>
              <w:top w:val="single" w:sz="8" w:color="CFF0FC"/>
              <w:bottom w:val="single" w:sz="8" w:color="CFF0FC"/>
            </w:tcBorders>
          </w:tcPr>
          <w:p>
            <w:pPr>
              <w:spacing w:after="0"/>
              <w:rPr>
                <w:sz w:val="11"/>
                <w:szCs w:val="11"/>
                <w:color w:val="auto"/>
              </w:rPr>
            </w:pPr>
          </w:p>
        </w:tc>
        <w:tc>
          <w:tcPr>
            <w:tcW w:w="12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000" w:type="dxa"/>
            <w:vAlign w:val="bottom"/>
            <w:tcBorders>
              <w:top w:val="single" w:sz="8" w:color="auto"/>
              <w:bottom w:val="single" w:sz="8" w:color="auto"/>
            </w:tcBorders>
          </w:tcPr>
          <w:p>
            <w:pPr>
              <w:ind w:left="860"/>
              <w:spacing w:after="0" w:line="115"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220" w:type="dxa"/>
            <w:vAlign w:val="bottom"/>
            <w:tcBorders>
              <w:top w:val="single" w:sz="8" w:color="CFF0FC"/>
              <w:bottom w:val="single" w:sz="8" w:color="CFF0FC"/>
            </w:tcBorders>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37,832</w:t>
            </w:r>
          </w:p>
        </w:tc>
        <w:tc>
          <w:tcPr>
            <w:tcW w:w="220" w:type="dxa"/>
            <w:vAlign w:val="bottom"/>
            <w:tcBorders>
              <w:top w:val="single" w:sz="8" w:color="CFF0FC"/>
              <w:bottom w:val="single" w:sz="8" w:color="CFF0FC"/>
            </w:tcBorders>
          </w:tcPr>
          <w:p>
            <w:pPr>
              <w:spacing w:after="0"/>
              <w:rPr>
                <w:sz w:val="11"/>
                <w:szCs w:val="11"/>
                <w:color w:val="auto"/>
              </w:rPr>
            </w:pPr>
          </w:p>
        </w:tc>
        <w:tc>
          <w:tcPr>
            <w:tcW w:w="16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40" w:type="dxa"/>
            <w:vAlign w:val="bottom"/>
            <w:tcBorders>
              <w:top w:val="single" w:sz="8" w:color="auto"/>
              <w:bottom w:val="single" w:sz="8" w:color="auto"/>
            </w:tcBorders>
          </w:tcPr>
          <w:p>
            <w:pPr>
              <w:ind w:left="600"/>
              <w:spacing w:after="0" w:line="115"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220" w:type="dxa"/>
            <w:vAlign w:val="bottom"/>
            <w:tcBorders>
              <w:top w:val="single" w:sz="8" w:color="CFF0FC"/>
              <w:bottom w:val="single" w:sz="8" w:color="CFF0FC"/>
            </w:tcBorders>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2,175</w:t>
            </w:r>
          </w:p>
        </w:tc>
        <w:tc>
          <w:tcPr>
            <w:tcW w:w="220" w:type="dxa"/>
            <w:vAlign w:val="bottom"/>
            <w:tcBorders>
              <w:top w:val="single" w:sz="8" w:color="CFF0FC"/>
              <w:bottom w:val="single" w:sz="8" w:color="CFF0FC"/>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64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40" w:type="dxa"/>
            <w:vAlign w:val="bottom"/>
            <w:tcBorders>
              <w:top w:val="single" w:sz="8" w:color="auto"/>
              <w:bottom w:val="single" w:sz="8" w:color="auto"/>
            </w:tcBorders>
          </w:tcPr>
          <w:p>
            <w:pPr>
              <w:spacing w:after="0" w:line="115"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220" w:type="dxa"/>
            <w:vAlign w:val="bottom"/>
            <w:tcBorders>
              <w:top w:val="single" w:sz="8" w:color="CFF0FC"/>
              <w:bottom w:val="single" w:sz="8" w:color="CFF0FC"/>
            </w:tcBorders>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2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40,007</w:t>
            </w:r>
          </w:p>
        </w:tc>
        <w:tc>
          <w:tcPr>
            <w:tcW w:w="220" w:type="dxa"/>
            <w:vAlign w:val="bottom"/>
            <w:tcBorders>
              <w:top w:val="single" w:sz="8" w:color="CFF0FC"/>
              <w:bottom w:val="single" w:sz="8" w:color="CFF0FC"/>
            </w:tcBorders>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80" w:type="dxa"/>
            <w:vAlign w:val="bottom"/>
            <w:tcBorders>
              <w:top w:val="single" w:sz="8" w:color="auto"/>
              <w:bottom w:val="single" w:sz="8" w:color="auto"/>
            </w:tcBorders>
          </w:tcPr>
          <w:p>
            <w:pPr>
              <w:ind w:left="440"/>
              <w:spacing w:after="0" w:line="115"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220" w:type="dxa"/>
            <w:vAlign w:val="bottom"/>
            <w:tcBorders>
              <w:top w:val="single" w:sz="8" w:color="CFF0FC"/>
              <w:bottom w:val="single" w:sz="8" w:color="CFF0FC"/>
            </w:tcBorders>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2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2,587</w:t>
            </w:r>
          </w:p>
        </w:tc>
        <w:tc>
          <w:tcPr>
            <w:tcW w:w="220" w:type="dxa"/>
            <w:vAlign w:val="bottom"/>
            <w:tcBorders>
              <w:top w:val="single" w:sz="8" w:color="CFF0FC"/>
              <w:bottom w:val="single" w:sz="8" w:color="CFF0FC"/>
            </w:tcBorders>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00" w:type="dxa"/>
            <w:vAlign w:val="bottom"/>
            <w:tcBorders>
              <w:top w:val="single" w:sz="8" w:color="auto"/>
              <w:bottom w:val="single" w:sz="8" w:color="auto"/>
            </w:tcBorders>
          </w:tcPr>
          <w:p>
            <w:pPr>
              <w:ind w:left="460"/>
              <w:spacing w:after="0" w:line="115"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120" w:type="dxa"/>
            <w:vAlign w:val="bottom"/>
            <w:tcBorders>
              <w:top w:val="single" w:sz="8" w:color="CFF0FC"/>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1710690</wp:posOffset>
            </wp:positionH>
            <wp:positionV relativeFrom="paragraph">
              <wp:posOffset>-119380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-119380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-119380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-119380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-119380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-119380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-119380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-119380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-119380</wp:posOffset>
            </wp:positionV>
            <wp:extent cx="7747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94" w:lineRule="exact"/>
        <w:rPr>
          <w:sz w:val="20"/>
          <w:szCs w:val="20"/>
          <w:color w:val="auto"/>
        </w:rPr>
      </w:pPr>
    </w:p>
    <w:p>
      <w:pPr>
        <w:ind w:left="1020" w:right="80" w:hanging="503"/>
        <w:spacing w:after="0" w:line="261" w:lineRule="auto"/>
        <w:tabs>
          <w:tab w:leader="none" w:pos="10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ind w:left="1020" w:right="200" w:hanging="503"/>
        <w:spacing w:after="0" w:line="255" w:lineRule="auto"/>
        <w:tabs>
          <w:tab w:leader="none" w:pos="10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are applied to the outstanding principal balance.</w:t>
      </w:r>
    </w:p>
    <w:p>
      <w:pPr>
        <w:spacing w:after="0" w:line="185" w:lineRule="exact"/>
        <w:rPr>
          <w:rFonts w:ascii="Times New Roman" w:cs="Times New Roman" w:eastAsia="Times New Roman" w:hAnsi="Times New Roman"/>
          <w:sz w:val="18"/>
          <w:szCs w:val="18"/>
          <w:color w:val="auto"/>
        </w:rPr>
      </w:pPr>
    </w:p>
    <w:p>
      <w:pPr>
        <w:ind w:left="520" w:right="600" w:hanging="512"/>
        <w:spacing w:after="0" w:line="261"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30, 2026, the estimated cost basis of investments for U.S. federal tax purposes was $9,238,754, resulting in estimated gross unrealized gains and losses of $182,887 and $263,307, respectively.</w:t>
      </w:r>
    </w:p>
    <w:p>
      <w:pPr>
        <w:ind w:left="520" w:right="2120" w:hanging="512"/>
        <w:spacing w:after="0" w:line="250"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Financial Accounting Standards Board Accounting Standards Codification Topic 820, Fair Value Measurements (“ASC Topic 820”), unless otherwise indicated, the fair values of all investments were determined using significant unobservable inputs and are considered Level 3 investments. See Note 6 for further information related to investments at fair value.</w:t>
      </w:r>
    </w:p>
    <w:p>
      <w:pPr>
        <w:spacing w:after="0" w:line="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investment is non-income producing.</w:t>
      </w:r>
    </w:p>
    <w:p>
      <w:pPr>
        <w:spacing w:after="0" w:line="9" w:lineRule="exact"/>
        <w:rPr>
          <w:rFonts w:ascii="Times New Roman" w:cs="Times New Roman" w:eastAsia="Times New Roman" w:hAnsi="Times New Roman"/>
          <w:sz w:val="18"/>
          <w:szCs w:val="18"/>
          <w:color w:val="auto"/>
        </w:rPr>
      </w:pPr>
    </w:p>
    <w:p>
      <w:pPr>
        <w:ind w:left="520" w:right="60" w:hanging="512"/>
        <w:spacing w:after="0" w:line="250"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 a portion of this security was acquired in a transaction exempt from registration under the Securities Act of 1933, as amended (the “Securities Act”), and may be deemed to be “restricted securities” under the Securities Act. As of September 30, 2026, the aggregate fair value of these securities is $118,929, or 2.3% of the Company’s net assets.</w:t>
      </w:r>
    </w:p>
    <w:p>
      <w:pPr>
        <w:spacing w:after="0" w:line="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is on non-accrual status as of September 30, 2026.</w:t>
      </w:r>
    </w:p>
    <w:p>
      <w:pPr>
        <w:spacing w:after="0" w:line="9" w:lineRule="exact"/>
        <w:rPr>
          <w:rFonts w:ascii="Times New Roman" w:cs="Times New Roman" w:eastAsia="Times New Roman" w:hAnsi="Times New Roman"/>
          <w:sz w:val="18"/>
          <w:szCs w:val="18"/>
          <w:color w:val="auto"/>
        </w:rPr>
      </w:pPr>
    </w:p>
    <w:p>
      <w:pPr>
        <w:ind w:left="520" w:right="1720" w:hanging="512"/>
        <w:spacing w:after="0" w:line="250"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investment is valued using observable inputs and is considered a Level 2 investment. See Note 6 for further information related to investments at fair value.</w:t>
      </w:r>
    </w:p>
    <w:p>
      <w:pPr>
        <w:ind w:left="520" w:right="20" w:hanging="512"/>
        <w:spacing w:after="0" w:line="253"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principal amount outstanding and accrued interest owed on this investment, the Company is entitled to a separate Make-Whole Amount (the “Make-Whole”) of $31.9 million. The Make-Whole is a contractual obligation of the borrower and accrues interest on the balance outstanding. The Make-Whole is included on the Company’s Consolidated Balance Sheet within other assets, net of any valuation allowance. Given uncertainty relating to collectability of the Make-Whole, the Company has applied a full valuation allowance against the amount of the Make-Whole balance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2"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Sixth Street Lending Partners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as of December 31, 2025</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amounts)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008" w:right="1440" w:bottom="1440" w:gutter="0" w:footer="0" w:header="0"/>
        </w:sectPr>
      </w:pPr>
    </w:p>
    <w:bookmarkStart w:id="12" w:name="page13"/>
    <w:bookmarkEnd w:id="12"/>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 xml:space="preserve">Company </w:t>
            </w:r>
            <w:r>
              <w:rPr>
                <w:rFonts w:ascii="Times New Roman" w:cs="Times New Roman" w:eastAsia="Times New Roman" w:hAnsi="Times New Roman"/>
                <w:sz w:val="16"/>
                <w:szCs w:val="16"/>
                <w:b w:val="1"/>
                <w:bCs w:val="1"/>
                <w:color w:val="auto"/>
                <w:vertAlign w:val="superscript"/>
              </w:rPr>
              <w:t>(1)(9)</w:t>
            </w:r>
          </w:p>
        </w:tc>
        <w:tc>
          <w:tcPr>
            <w:tcW w:w="120" w:type="dxa"/>
            <w:vAlign w:val="bottom"/>
          </w:tcPr>
          <w:p>
            <w:pPr>
              <w:spacing w:after="0"/>
              <w:rPr>
                <w:sz w:val="16"/>
                <w:szCs w:val="16"/>
                <w:color w:val="auto"/>
              </w:rPr>
            </w:pPr>
          </w:p>
        </w:tc>
        <w:tc>
          <w:tcPr>
            <w:tcW w:w="240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0" w:type="dxa"/>
            <w:vAlign w:val="bottom"/>
          </w:tcPr>
          <w:p>
            <w:pPr>
              <w:spacing w:after="0"/>
              <w:rPr>
                <w:sz w:val="1"/>
                <w:szCs w:val="1"/>
                <w:color w:val="auto"/>
              </w:rPr>
            </w:pPr>
          </w:p>
        </w:tc>
      </w:tr>
      <w:tr>
        <w:trPr>
          <w:trHeight w:val="257"/>
        </w:trPr>
        <w:tc>
          <w:tcPr>
            <w:tcW w:w="18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Debt Investments</w:t>
            </w:r>
          </w:p>
        </w:tc>
        <w:tc>
          <w:tcPr>
            <w:tcW w:w="12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1820" w:type="dxa"/>
            <w:vAlign w:val="bottom"/>
          </w:tcPr>
          <w:p>
            <w:pPr>
              <w:spacing w:after="0" w:line="128" w:lineRule="exact"/>
              <w:rPr>
                <w:sz w:val="20"/>
                <w:szCs w:val="20"/>
                <w:color w:val="auto"/>
              </w:rPr>
            </w:pPr>
            <w:r>
              <w:rPr>
                <w:rFonts w:ascii="Times New Roman" w:cs="Times New Roman" w:eastAsia="Times New Roman" w:hAnsi="Times New Roman"/>
                <w:sz w:val="13"/>
                <w:szCs w:val="13"/>
                <w:b w:val="1"/>
                <w:bCs w:val="1"/>
                <w:color w:val="auto"/>
              </w:rPr>
              <w:t>Automotive</w:t>
            </w:r>
          </w:p>
        </w:tc>
        <w:tc>
          <w:tcPr>
            <w:tcW w:w="1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82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 xml:space="preserve">Truck-Lite Co., LLC </w:t>
            </w:r>
            <w:r>
              <w:rPr>
                <w:rFonts w:ascii="Times New Roman" w:cs="Times New Roman" w:eastAsia="Times New Roman" w:hAnsi="Times New Roman"/>
                <w:sz w:val="16"/>
                <w:szCs w:val="16"/>
                <w:color w:val="auto"/>
                <w:vertAlign w:val="superscript"/>
              </w:rPr>
              <w:t>(3)</w:t>
            </w:r>
          </w:p>
        </w:tc>
        <w:tc>
          <w:tcPr>
            <w:tcW w:w="252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3"/>
                <w:szCs w:val="13"/>
                <w:color w:val="auto"/>
              </w:rPr>
              <w:t>First-lien loan ($303,927 par, due 2/2032)</w:t>
            </w:r>
          </w:p>
        </w:tc>
        <w:tc>
          <w:tcPr>
            <w:tcW w:w="0" w:type="dxa"/>
            <w:vAlign w:val="bottom"/>
          </w:tcPr>
          <w:p>
            <w:pPr>
              <w:spacing w:after="0"/>
              <w:rPr>
                <w:sz w:val="1"/>
                <w:szCs w:val="1"/>
                <w:color w:val="auto"/>
              </w:rPr>
            </w:pPr>
          </w:p>
        </w:tc>
      </w:tr>
      <w:tr>
        <w:trPr>
          <w:trHeight w:val="128"/>
        </w:trPr>
        <w:tc>
          <w:tcPr>
            <w:tcW w:w="1820" w:type="dxa"/>
            <w:vAlign w:val="bottom"/>
          </w:tcPr>
          <w:p>
            <w:pPr>
              <w:spacing w:after="0" w:line="128" w:lineRule="exact"/>
              <w:rPr>
                <w:sz w:val="20"/>
                <w:szCs w:val="20"/>
                <w:color w:val="auto"/>
              </w:rPr>
            </w:pPr>
            <w:r>
              <w:rPr>
                <w:rFonts w:ascii="Times New Roman" w:cs="Times New Roman" w:eastAsia="Times New Roman" w:hAnsi="Times New Roman"/>
                <w:sz w:val="13"/>
                <w:szCs w:val="13"/>
                <w:b w:val="1"/>
                <w:bCs w:val="1"/>
                <w:color w:val="auto"/>
              </w:rPr>
              <w:t>Business Services</w:t>
            </w:r>
          </w:p>
        </w:tc>
        <w:tc>
          <w:tcPr>
            <w:tcW w:w="1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82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Artisan Bidco, Inc.</w:t>
            </w:r>
            <w:r>
              <w:rPr>
                <w:rFonts w:ascii="Times New Roman" w:cs="Times New Roman" w:eastAsia="Times New Roman" w:hAnsi="Times New Roman"/>
                <w:sz w:val="16"/>
                <w:szCs w:val="16"/>
                <w:color w:val="auto"/>
                <w:vertAlign w:val="superscript"/>
              </w:rPr>
              <w:t>(3)</w:t>
            </w:r>
          </w:p>
        </w:tc>
        <w:tc>
          <w:tcPr>
            <w:tcW w:w="2520" w:type="dxa"/>
            <w:vAlign w:val="bottom"/>
            <w:gridSpan w:val="2"/>
          </w:tcPr>
          <w:p>
            <w:pPr>
              <w:ind w:left="120"/>
              <w:spacing w:after="0" w:line="144" w:lineRule="exact"/>
              <w:rPr>
                <w:sz w:val="20"/>
                <w:szCs w:val="20"/>
                <w:color w:val="auto"/>
              </w:rPr>
            </w:pPr>
            <w:r>
              <w:rPr>
                <w:rFonts w:ascii="Times New Roman" w:cs="Times New Roman" w:eastAsia="Times New Roman" w:hAnsi="Times New Roman"/>
                <w:sz w:val="13"/>
                <w:szCs w:val="13"/>
                <w:color w:val="auto"/>
              </w:rPr>
              <w:t>First-lien loan ($112,992 par, due 11/2029)</w:t>
            </w:r>
          </w:p>
        </w:tc>
        <w:tc>
          <w:tcPr>
            <w:tcW w:w="0" w:type="dxa"/>
            <w:vAlign w:val="bottom"/>
          </w:tcPr>
          <w:p>
            <w:pPr>
              <w:spacing w:after="0"/>
              <w:rPr>
                <w:sz w:val="1"/>
                <w:szCs w:val="1"/>
                <w:color w:val="auto"/>
              </w:rPr>
            </w:pPr>
          </w:p>
        </w:tc>
      </w:tr>
      <w:tr>
        <w:trPr>
          <w:trHeight w:val="164"/>
        </w:trPr>
        <w:tc>
          <w:tcPr>
            <w:tcW w:w="1820" w:type="dxa"/>
            <w:vAlign w:val="bottom"/>
          </w:tcPr>
          <w:p>
            <w:pPr>
              <w:spacing w:after="0"/>
              <w:rPr>
                <w:sz w:val="14"/>
                <w:szCs w:val="14"/>
                <w:color w:val="auto"/>
              </w:rPr>
            </w:pPr>
          </w:p>
        </w:tc>
        <w:tc>
          <w:tcPr>
            <w:tcW w:w="25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w w:val="98"/>
              </w:rPr>
              <w:t>First-lien loan (EUR 51,339 par, due 11/2029)</w:t>
            </w:r>
          </w:p>
        </w:tc>
        <w:tc>
          <w:tcPr>
            <w:tcW w:w="0" w:type="dxa"/>
            <w:vAlign w:val="bottom"/>
          </w:tcPr>
          <w:p>
            <w:pPr>
              <w:spacing w:after="0"/>
              <w:rPr>
                <w:sz w:val="1"/>
                <w:szCs w:val="1"/>
                <w:color w:val="auto"/>
              </w:rPr>
            </w:pPr>
          </w:p>
        </w:tc>
      </w:tr>
      <w:tr>
        <w:trPr>
          <w:trHeight w:val="241"/>
        </w:trPr>
        <w:tc>
          <w:tcPr>
            <w:tcW w:w="1820" w:type="dxa"/>
            <w:vAlign w:val="bottom"/>
          </w:tcPr>
          <w:p>
            <w:pPr>
              <w:spacing w:after="0"/>
              <w:rPr>
                <w:sz w:val="20"/>
                <w:szCs w:val="20"/>
                <w:color w:val="auto"/>
              </w:rPr>
            </w:pPr>
          </w:p>
        </w:tc>
        <w:tc>
          <w:tcPr>
            <w:tcW w:w="25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First-lien revolving loan ($12,664 par, due</w:t>
            </w:r>
          </w:p>
        </w:tc>
        <w:tc>
          <w:tcPr>
            <w:tcW w:w="0" w:type="dxa"/>
            <w:vAlign w:val="bottom"/>
          </w:tcPr>
          <w:p>
            <w:pPr>
              <w:spacing w:after="0"/>
              <w:rPr>
                <w:sz w:val="1"/>
                <w:szCs w:val="1"/>
                <w:color w:val="auto"/>
              </w:rPr>
            </w:pPr>
          </w:p>
        </w:tc>
      </w:tr>
      <w:tr>
        <w:trPr>
          <w:trHeight w:val="135"/>
        </w:trPr>
        <w:tc>
          <w:tcPr>
            <w:tcW w:w="1820" w:type="dxa"/>
            <w:vAlign w:val="bottom"/>
          </w:tcPr>
          <w:p>
            <w:pPr>
              <w:spacing w:after="0"/>
              <w:rPr>
                <w:sz w:val="11"/>
                <w:szCs w:val="11"/>
                <w:color w:val="auto"/>
              </w:rPr>
            </w:pPr>
          </w:p>
        </w:tc>
        <w:tc>
          <w:tcPr>
            <w:tcW w:w="252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11/2029)</w:t>
            </w:r>
          </w:p>
        </w:tc>
        <w:tc>
          <w:tcPr>
            <w:tcW w:w="0" w:type="dxa"/>
            <w:vAlign w:val="bottom"/>
          </w:tcPr>
          <w:p>
            <w:pPr>
              <w:spacing w:after="0"/>
              <w:rPr>
                <w:sz w:val="1"/>
                <w:szCs w:val="1"/>
                <w:color w:val="auto"/>
              </w:rPr>
            </w:pPr>
          </w:p>
        </w:tc>
      </w:tr>
      <w:tr>
        <w:trPr>
          <w:trHeight w:val="126"/>
        </w:trPr>
        <w:tc>
          <w:tcPr>
            <w:tcW w:w="1820" w:type="dxa"/>
            <w:vAlign w:val="bottom"/>
          </w:tcPr>
          <w:p>
            <w:pPr>
              <w:spacing w:after="0" w:line="126" w:lineRule="exact"/>
              <w:rPr>
                <w:sz w:val="20"/>
                <w:szCs w:val="20"/>
                <w:color w:val="auto"/>
              </w:rPr>
            </w:pPr>
            <w:r>
              <w:rPr>
                <w:rFonts w:ascii="Times New Roman" w:cs="Times New Roman" w:eastAsia="Times New Roman" w:hAnsi="Times New Roman"/>
                <w:sz w:val="13"/>
                <w:szCs w:val="13"/>
                <w:color w:val="auto"/>
                <w:w w:val="97"/>
              </w:rPr>
              <w:t>Azurite Intermediate Holdings, Inc.</w:t>
            </w:r>
          </w:p>
        </w:tc>
        <w:tc>
          <w:tcPr>
            <w:tcW w:w="2520" w:type="dxa"/>
            <w:vAlign w:val="bottom"/>
            <w:gridSpan w:val="2"/>
          </w:tcPr>
          <w:p>
            <w:pPr>
              <w:ind w:left="120"/>
              <w:spacing w:after="0" w:line="126" w:lineRule="exact"/>
              <w:rPr>
                <w:sz w:val="20"/>
                <w:szCs w:val="20"/>
                <w:color w:val="auto"/>
              </w:rPr>
            </w:pPr>
            <w:r>
              <w:rPr>
                <w:rFonts w:ascii="Times New Roman" w:cs="Times New Roman" w:eastAsia="Times New Roman" w:hAnsi="Times New Roman"/>
                <w:sz w:val="13"/>
                <w:szCs w:val="13"/>
                <w:color w:val="auto"/>
              </w:rPr>
              <w:t>First-lien loan ($213,750 par, due 3/2031)</w:t>
            </w:r>
          </w:p>
        </w:tc>
        <w:tc>
          <w:tcPr>
            <w:tcW w:w="0" w:type="dxa"/>
            <w:vAlign w:val="bottom"/>
          </w:tcPr>
          <w:p>
            <w:pPr>
              <w:spacing w:after="0"/>
              <w:rPr>
                <w:sz w:val="1"/>
                <w:szCs w:val="1"/>
                <w:color w:val="auto"/>
              </w:rPr>
            </w:pPr>
          </w:p>
        </w:tc>
      </w:tr>
      <w:tr>
        <w:trPr>
          <w:trHeight w:val="107"/>
        </w:trPr>
        <w:tc>
          <w:tcPr>
            <w:tcW w:w="1820" w:type="dxa"/>
            <w:vAlign w:val="bottom"/>
          </w:tcPr>
          <w:p>
            <w:pPr>
              <w:spacing w:after="0"/>
              <w:rPr>
                <w:sz w:val="20"/>
                <w:szCs w:val="20"/>
                <w:color w:val="auto"/>
              </w:rPr>
            </w:pPr>
            <w:r>
              <w:rPr>
                <w:rFonts w:ascii="Times New Roman" w:cs="Times New Roman" w:eastAsia="Times New Roman" w:hAnsi="Times New Roman"/>
                <w:sz w:val="8"/>
                <w:szCs w:val="8"/>
                <w:color w:val="auto"/>
              </w:rPr>
              <w:t>(3)</w:t>
            </w:r>
          </w:p>
        </w:tc>
        <w:tc>
          <w:tcPr>
            <w:tcW w:w="1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1820" w:type="dxa"/>
            <w:vAlign w:val="bottom"/>
          </w:tcPr>
          <w:p>
            <w:pPr>
              <w:spacing w:after="0" w:line="158" w:lineRule="exact"/>
              <w:rPr>
                <w:sz w:val="20"/>
                <w:szCs w:val="20"/>
                <w:color w:val="auto"/>
              </w:rPr>
            </w:pPr>
            <w:r>
              <w:rPr>
                <w:rFonts w:ascii="Times New Roman" w:cs="Times New Roman" w:eastAsia="Times New Roman" w:hAnsi="Times New Roman"/>
                <w:sz w:val="13"/>
                <w:szCs w:val="13"/>
                <w:color w:val="auto"/>
              </w:rPr>
              <w:t xml:space="preserve">BCTO Ignition Purchaser, Inc. </w:t>
            </w:r>
            <w:r>
              <w:rPr>
                <w:rFonts w:ascii="Times New Roman" w:cs="Times New Roman" w:eastAsia="Times New Roman" w:hAnsi="Times New Roman"/>
                <w:sz w:val="16"/>
                <w:szCs w:val="16"/>
                <w:color w:val="auto"/>
                <w:vertAlign w:val="superscript"/>
              </w:rPr>
              <w:t>(3)</w:t>
            </w:r>
          </w:p>
        </w:tc>
        <w:tc>
          <w:tcPr>
            <w:tcW w:w="25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First-lien holdco loan ($218,542 par, due</w:t>
            </w:r>
          </w:p>
        </w:tc>
        <w:tc>
          <w:tcPr>
            <w:tcW w:w="0" w:type="dxa"/>
            <w:vAlign w:val="bottom"/>
          </w:tcPr>
          <w:p>
            <w:pPr>
              <w:spacing w:after="0"/>
              <w:rPr>
                <w:sz w:val="1"/>
                <w:szCs w:val="1"/>
                <w:color w:val="auto"/>
              </w:rPr>
            </w:pPr>
          </w:p>
        </w:tc>
      </w:tr>
      <w:tr>
        <w:trPr>
          <w:trHeight w:val="135"/>
        </w:trPr>
        <w:tc>
          <w:tcPr>
            <w:tcW w:w="18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Crewline Buyer, Inc. </w:t>
            </w:r>
            <w:r>
              <w:rPr>
                <w:rFonts w:ascii="Times New Roman" w:cs="Times New Roman" w:eastAsia="Times New Roman" w:hAnsi="Times New Roman"/>
                <w:sz w:val="16"/>
                <w:szCs w:val="16"/>
                <w:color w:val="auto"/>
                <w:vertAlign w:val="superscript"/>
              </w:rPr>
              <w:t>(3)</w:t>
            </w:r>
          </w:p>
        </w:tc>
        <w:tc>
          <w:tcPr>
            <w:tcW w:w="252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10/2030)</w:t>
            </w:r>
          </w:p>
        </w:tc>
        <w:tc>
          <w:tcPr>
            <w:tcW w:w="0" w:type="dxa"/>
            <w:vAlign w:val="bottom"/>
          </w:tcPr>
          <w:p>
            <w:pPr>
              <w:spacing w:after="0"/>
              <w:rPr>
                <w:sz w:val="1"/>
                <w:szCs w:val="1"/>
                <w:color w:val="auto"/>
              </w:rPr>
            </w:pPr>
          </w:p>
        </w:tc>
      </w:tr>
      <w:tr>
        <w:trPr>
          <w:trHeight w:val="126"/>
        </w:trPr>
        <w:tc>
          <w:tcPr>
            <w:tcW w:w="1820" w:type="dxa"/>
            <w:vAlign w:val="bottom"/>
            <w:vMerge w:val="continue"/>
          </w:tcPr>
          <w:p>
            <w:pPr>
              <w:spacing w:after="0"/>
              <w:rPr>
                <w:sz w:val="10"/>
                <w:szCs w:val="10"/>
                <w:color w:val="auto"/>
              </w:rPr>
            </w:pPr>
          </w:p>
        </w:tc>
        <w:tc>
          <w:tcPr>
            <w:tcW w:w="2520" w:type="dxa"/>
            <w:vAlign w:val="bottom"/>
            <w:gridSpan w:val="2"/>
          </w:tcPr>
          <w:p>
            <w:pPr>
              <w:ind w:left="120"/>
              <w:spacing w:after="0" w:line="126" w:lineRule="exact"/>
              <w:rPr>
                <w:sz w:val="20"/>
                <w:szCs w:val="20"/>
                <w:color w:val="auto"/>
              </w:rPr>
            </w:pPr>
            <w:r>
              <w:rPr>
                <w:rFonts w:ascii="Times New Roman" w:cs="Times New Roman" w:eastAsia="Times New Roman" w:hAnsi="Times New Roman"/>
                <w:sz w:val="13"/>
                <w:szCs w:val="13"/>
                <w:color w:val="auto"/>
              </w:rPr>
              <w:t>First-lien loan ($152,696 par, due 11/2030)</w:t>
            </w:r>
          </w:p>
        </w:tc>
        <w:tc>
          <w:tcPr>
            <w:tcW w:w="0" w:type="dxa"/>
            <w:vAlign w:val="bottom"/>
          </w:tcPr>
          <w:p>
            <w:pPr>
              <w:spacing w:after="0"/>
              <w:rPr>
                <w:sz w:val="1"/>
                <w:szCs w:val="1"/>
                <w:color w:val="auto"/>
              </w:rPr>
            </w:pPr>
          </w:p>
        </w:tc>
      </w:tr>
      <w:tr>
        <w:trPr>
          <w:trHeight w:val="135"/>
        </w:trPr>
        <w:tc>
          <w:tcPr>
            <w:tcW w:w="182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 xml:space="preserve">Dye &amp; Durham Corp. </w:t>
            </w:r>
            <w:r>
              <w:rPr>
                <w:rFonts w:ascii="Times New Roman" w:cs="Times New Roman" w:eastAsia="Times New Roman" w:hAnsi="Times New Roman"/>
                <w:sz w:val="15"/>
                <w:szCs w:val="15"/>
                <w:color w:val="auto"/>
                <w:vertAlign w:val="superscript"/>
              </w:rPr>
              <w:t>(3)(4)(12)</w:t>
            </w:r>
          </w:p>
        </w:tc>
        <w:tc>
          <w:tcPr>
            <w:tcW w:w="252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First-lien loan ($945 par, due 4/2031)</w:t>
            </w:r>
          </w:p>
        </w:tc>
        <w:tc>
          <w:tcPr>
            <w:tcW w:w="0" w:type="dxa"/>
            <w:vAlign w:val="bottom"/>
          </w:tcPr>
          <w:p>
            <w:pPr>
              <w:spacing w:after="0"/>
              <w:rPr>
                <w:sz w:val="1"/>
                <w:szCs w:val="1"/>
                <w:color w:val="auto"/>
              </w:rPr>
            </w:pPr>
          </w:p>
        </w:tc>
      </w:tr>
      <w:tr>
        <w:trPr>
          <w:trHeight w:val="220"/>
        </w:trPr>
        <w:tc>
          <w:tcPr>
            <w:tcW w:w="182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Elements Finco Limited </w:t>
            </w:r>
            <w:r>
              <w:rPr>
                <w:rFonts w:ascii="Times New Roman" w:cs="Times New Roman" w:eastAsia="Times New Roman" w:hAnsi="Times New Roman"/>
                <w:sz w:val="16"/>
                <w:szCs w:val="16"/>
                <w:color w:val="auto"/>
                <w:vertAlign w:val="superscript"/>
              </w:rPr>
              <w:t>(3)(4)</w:t>
            </w:r>
          </w:p>
        </w:tc>
        <w:tc>
          <w:tcPr>
            <w:tcW w:w="25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First-lien loan ($25,620 par, due 4/2031)</w:t>
            </w:r>
          </w:p>
        </w:tc>
        <w:tc>
          <w:tcPr>
            <w:tcW w:w="0" w:type="dxa"/>
            <w:vAlign w:val="bottom"/>
          </w:tcPr>
          <w:p>
            <w:pPr>
              <w:spacing w:after="0"/>
              <w:rPr>
                <w:sz w:val="1"/>
                <w:szCs w:val="1"/>
                <w:color w:val="auto"/>
              </w:rPr>
            </w:pPr>
          </w:p>
        </w:tc>
      </w:tr>
      <w:tr>
        <w:trPr>
          <w:trHeight w:val="194"/>
        </w:trPr>
        <w:tc>
          <w:tcPr>
            <w:tcW w:w="1820" w:type="dxa"/>
            <w:vAlign w:val="bottom"/>
          </w:tcPr>
          <w:p>
            <w:pPr>
              <w:spacing w:after="0"/>
              <w:rPr>
                <w:sz w:val="16"/>
                <w:szCs w:val="16"/>
                <w:color w:val="auto"/>
              </w:rPr>
            </w:pPr>
          </w:p>
        </w:tc>
        <w:tc>
          <w:tcPr>
            <w:tcW w:w="25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First-lien loan ($20,857 par, due 4/2031)</w:t>
            </w:r>
          </w:p>
        </w:tc>
        <w:tc>
          <w:tcPr>
            <w:tcW w:w="0" w:type="dxa"/>
            <w:vAlign w:val="bottom"/>
          </w:tcPr>
          <w:p>
            <w:pPr>
              <w:spacing w:after="0"/>
              <w:rPr>
                <w:sz w:val="1"/>
                <w:szCs w:val="1"/>
                <w:color w:val="auto"/>
              </w:rPr>
            </w:pPr>
          </w:p>
        </w:tc>
      </w:tr>
      <w:tr>
        <w:trPr>
          <w:trHeight w:val="164"/>
        </w:trPr>
        <w:tc>
          <w:tcPr>
            <w:tcW w:w="1820" w:type="dxa"/>
            <w:vAlign w:val="bottom"/>
          </w:tcPr>
          <w:p>
            <w:pPr>
              <w:spacing w:after="0"/>
              <w:rPr>
                <w:sz w:val="14"/>
                <w:szCs w:val="14"/>
                <w:color w:val="auto"/>
              </w:rPr>
            </w:pPr>
          </w:p>
        </w:tc>
        <w:tc>
          <w:tcPr>
            <w:tcW w:w="25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w w:val="98"/>
              </w:rPr>
              <w:t>First-lien loan (GBP 118,804 par, due 4/2031)</w:t>
            </w:r>
          </w:p>
        </w:tc>
        <w:tc>
          <w:tcPr>
            <w:tcW w:w="0" w:type="dxa"/>
            <w:vAlign w:val="bottom"/>
          </w:tcPr>
          <w:p>
            <w:pPr>
              <w:spacing w:after="0"/>
              <w:rPr>
                <w:sz w:val="1"/>
                <w:szCs w:val="1"/>
                <w:color w:val="auto"/>
              </w:rPr>
            </w:pPr>
          </w:p>
        </w:tc>
      </w:tr>
      <w:tr>
        <w:trPr>
          <w:trHeight w:val="241"/>
        </w:trPr>
        <w:tc>
          <w:tcPr>
            <w:tcW w:w="182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Galileo Parent, Inc. </w:t>
            </w:r>
            <w:r>
              <w:rPr>
                <w:rFonts w:ascii="Times New Roman" w:cs="Times New Roman" w:eastAsia="Times New Roman" w:hAnsi="Times New Roman"/>
                <w:sz w:val="16"/>
                <w:szCs w:val="16"/>
                <w:color w:val="auto"/>
                <w:vertAlign w:val="superscript"/>
              </w:rPr>
              <w:t>(3)</w:t>
            </w:r>
          </w:p>
        </w:tc>
        <w:tc>
          <w:tcPr>
            <w:tcW w:w="25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First-lien loan ($148,035 par, due 5/2030)</w:t>
            </w:r>
          </w:p>
        </w:tc>
        <w:tc>
          <w:tcPr>
            <w:tcW w:w="0" w:type="dxa"/>
            <w:vAlign w:val="bottom"/>
          </w:tcPr>
          <w:p>
            <w:pPr>
              <w:spacing w:after="0"/>
              <w:rPr>
                <w:sz w:val="1"/>
                <w:szCs w:val="1"/>
                <w:color w:val="auto"/>
              </w:rPr>
            </w:pPr>
          </w:p>
        </w:tc>
      </w:tr>
      <w:tr>
        <w:trPr>
          <w:trHeight w:val="135"/>
        </w:trPr>
        <w:tc>
          <w:tcPr>
            <w:tcW w:w="1820" w:type="dxa"/>
            <w:vAlign w:val="bottom"/>
          </w:tcPr>
          <w:p>
            <w:pPr>
              <w:spacing w:after="0"/>
              <w:rPr>
                <w:sz w:val="11"/>
                <w:szCs w:val="11"/>
                <w:color w:val="auto"/>
              </w:rPr>
            </w:pPr>
          </w:p>
        </w:tc>
        <w:tc>
          <w:tcPr>
            <w:tcW w:w="252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First-lien revolving loan ($15,481 par, due</w:t>
            </w:r>
          </w:p>
        </w:tc>
        <w:tc>
          <w:tcPr>
            <w:tcW w:w="0" w:type="dxa"/>
            <w:vAlign w:val="bottom"/>
          </w:tcPr>
          <w:p>
            <w:pPr>
              <w:spacing w:after="0"/>
              <w:rPr>
                <w:sz w:val="1"/>
                <w:szCs w:val="1"/>
                <w:color w:val="auto"/>
              </w:rPr>
            </w:pPr>
          </w:p>
        </w:tc>
      </w:tr>
      <w:tr>
        <w:trPr>
          <w:trHeight w:val="135"/>
        </w:trPr>
        <w:tc>
          <w:tcPr>
            <w:tcW w:w="18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Lynx BidCo </w:t>
            </w:r>
            <w:r>
              <w:rPr>
                <w:rFonts w:ascii="Times New Roman" w:cs="Times New Roman" w:eastAsia="Times New Roman" w:hAnsi="Times New Roman"/>
                <w:sz w:val="16"/>
                <w:szCs w:val="16"/>
                <w:color w:val="auto"/>
                <w:vertAlign w:val="superscript"/>
              </w:rPr>
              <w:t>(3)(4)</w:t>
            </w:r>
          </w:p>
        </w:tc>
        <w:tc>
          <w:tcPr>
            <w:tcW w:w="252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5/2030)</w:t>
            </w:r>
          </w:p>
        </w:tc>
        <w:tc>
          <w:tcPr>
            <w:tcW w:w="0" w:type="dxa"/>
            <w:vAlign w:val="bottom"/>
          </w:tcPr>
          <w:p>
            <w:pPr>
              <w:spacing w:after="0"/>
              <w:rPr>
                <w:sz w:val="1"/>
                <w:szCs w:val="1"/>
                <w:color w:val="auto"/>
              </w:rPr>
            </w:pPr>
          </w:p>
        </w:tc>
      </w:tr>
      <w:tr>
        <w:trPr>
          <w:trHeight w:val="209"/>
        </w:trPr>
        <w:tc>
          <w:tcPr>
            <w:tcW w:w="1820" w:type="dxa"/>
            <w:vAlign w:val="bottom"/>
            <w:vMerge w:val="continue"/>
          </w:tcPr>
          <w:p>
            <w:pPr>
              <w:spacing w:after="0"/>
              <w:rPr>
                <w:sz w:val="18"/>
                <w:szCs w:val="18"/>
                <w:color w:val="auto"/>
              </w:rPr>
            </w:pPr>
          </w:p>
        </w:tc>
        <w:tc>
          <w:tcPr>
            <w:tcW w:w="25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First-lien loan ($42,872 par, due 7/2031)</w:t>
            </w:r>
          </w:p>
        </w:tc>
        <w:tc>
          <w:tcPr>
            <w:tcW w:w="0" w:type="dxa"/>
            <w:vAlign w:val="bottom"/>
          </w:tcPr>
          <w:p>
            <w:pPr>
              <w:spacing w:after="0"/>
              <w:rPr>
                <w:sz w:val="1"/>
                <w:szCs w:val="1"/>
                <w:color w:val="auto"/>
              </w:rPr>
            </w:pPr>
          </w:p>
        </w:tc>
      </w:tr>
      <w:tr>
        <w:trPr>
          <w:trHeight w:val="225"/>
        </w:trPr>
        <w:tc>
          <w:tcPr>
            <w:tcW w:w="1820" w:type="dxa"/>
            <w:vAlign w:val="bottom"/>
          </w:tcPr>
          <w:p>
            <w:pPr>
              <w:spacing w:after="0"/>
              <w:rPr>
                <w:sz w:val="19"/>
                <w:szCs w:val="19"/>
                <w:color w:val="auto"/>
              </w:rPr>
            </w:pPr>
          </w:p>
        </w:tc>
        <w:tc>
          <w:tcPr>
            <w:tcW w:w="25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First-lien loan (EUR 63,686 par, due 7/2031)</w:t>
            </w:r>
          </w:p>
        </w:tc>
        <w:tc>
          <w:tcPr>
            <w:tcW w:w="0" w:type="dxa"/>
            <w:vAlign w:val="bottom"/>
          </w:tcPr>
          <w:p>
            <w:pPr>
              <w:spacing w:after="0"/>
              <w:rPr>
                <w:sz w:val="1"/>
                <w:szCs w:val="1"/>
                <w:color w:val="auto"/>
              </w:rPr>
            </w:pPr>
          </w:p>
        </w:tc>
      </w:tr>
      <w:tr>
        <w:trPr>
          <w:trHeight w:val="315"/>
        </w:trPr>
        <w:tc>
          <w:tcPr>
            <w:tcW w:w="182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Price Fx Inc. </w:t>
            </w:r>
            <w:r>
              <w:rPr>
                <w:rFonts w:ascii="Times New Roman" w:cs="Times New Roman" w:eastAsia="Times New Roman" w:hAnsi="Times New Roman"/>
                <w:sz w:val="16"/>
                <w:szCs w:val="16"/>
                <w:color w:val="auto"/>
                <w:vertAlign w:val="superscript"/>
              </w:rPr>
              <w:t>(3)(4)</w:t>
            </w:r>
          </w:p>
        </w:tc>
        <w:tc>
          <w:tcPr>
            <w:tcW w:w="25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First-lien loan (EUR 910 par, due 10/2029)</w:t>
            </w:r>
          </w:p>
        </w:tc>
        <w:tc>
          <w:tcPr>
            <w:tcW w:w="0" w:type="dxa"/>
            <w:vAlign w:val="bottom"/>
          </w:tcPr>
          <w:p>
            <w:pPr>
              <w:spacing w:after="0"/>
              <w:rPr>
                <w:sz w:val="1"/>
                <w:szCs w:val="1"/>
                <w:color w:val="auto"/>
              </w:rPr>
            </w:pPr>
          </w:p>
        </w:tc>
      </w:tr>
      <w:tr>
        <w:trPr>
          <w:trHeight w:val="225"/>
        </w:trPr>
        <w:tc>
          <w:tcPr>
            <w:tcW w:w="1820" w:type="dxa"/>
            <w:vAlign w:val="bottom"/>
          </w:tcPr>
          <w:p>
            <w:pPr>
              <w:spacing w:after="0"/>
              <w:rPr>
                <w:sz w:val="19"/>
                <w:szCs w:val="19"/>
                <w:color w:val="auto"/>
              </w:rPr>
            </w:pPr>
          </w:p>
        </w:tc>
        <w:tc>
          <w:tcPr>
            <w:tcW w:w="25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First-lien loan (EUR 910 par, due 10/2029)</w:t>
            </w:r>
          </w:p>
        </w:tc>
        <w:tc>
          <w:tcPr>
            <w:tcW w:w="0" w:type="dxa"/>
            <w:vAlign w:val="bottom"/>
          </w:tcPr>
          <w:p>
            <w:pPr>
              <w:spacing w:after="0"/>
              <w:rPr>
                <w:sz w:val="1"/>
                <w:szCs w:val="1"/>
                <w:color w:val="auto"/>
              </w:rPr>
            </w:pPr>
          </w:p>
        </w:tc>
      </w:tr>
      <w:tr>
        <w:trPr>
          <w:trHeight w:val="241"/>
        </w:trPr>
        <w:tc>
          <w:tcPr>
            <w:tcW w:w="182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USA DeBusk, LLC </w:t>
            </w:r>
            <w:r>
              <w:rPr>
                <w:rFonts w:ascii="Times New Roman" w:cs="Times New Roman" w:eastAsia="Times New Roman" w:hAnsi="Times New Roman"/>
                <w:sz w:val="16"/>
                <w:szCs w:val="16"/>
                <w:color w:val="auto"/>
                <w:vertAlign w:val="superscript"/>
              </w:rPr>
              <w:t>(3)</w:t>
            </w:r>
          </w:p>
        </w:tc>
        <w:tc>
          <w:tcPr>
            <w:tcW w:w="25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First-lien loan ($124,825 par, due 4/2031)</w:t>
            </w:r>
          </w:p>
        </w:tc>
        <w:tc>
          <w:tcPr>
            <w:tcW w:w="0" w:type="dxa"/>
            <w:vAlign w:val="bottom"/>
          </w:tcPr>
          <w:p>
            <w:pPr>
              <w:spacing w:after="0"/>
              <w:rPr>
                <w:sz w:val="1"/>
                <w:szCs w:val="1"/>
                <w:color w:val="auto"/>
              </w:rPr>
            </w:pPr>
          </w:p>
        </w:tc>
      </w:tr>
      <w:tr>
        <w:trPr>
          <w:trHeight w:val="135"/>
        </w:trPr>
        <w:tc>
          <w:tcPr>
            <w:tcW w:w="1820" w:type="dxa"/>
            <w:vAlign w:val="bottom"/>
          </w:tcPr>
          <w:p>
            <w:pPr>
              <w:spacing w:after="0"/>
              <w:rPr>
                <w:sz w:val="11"/>
                <w:szCs w:val="11"/>
                <w:color w:val="auto"/>
              </w:rPr>
            </w:pPr>
          </w:p>
        </w:tc>
        <w:tc>
          <w:tcPr>
            <w:tcW w:w="252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First-lien revolving loan ($13,511 par, due</w:t>
            </w:r>
          </w:p>
        </w:tc>
        <w:tc>
          <w:tcPr>
            <w:tcW w:w="0" w:type="dxa"/>
            <w:vAlign w:val="bottom"/>
          </w:tcPr>
          <w:p>
            <w:pPr>
              <w:spacing w:after="0"/>
              <w:rPr>
                <w:sz w:val="1"/>
                <w:szCs w:val="1"/>
                <w:color w:val="auto"/>
              </w:rPr>
            </w:pPr>
          </w:p>
        </w:tc>
      </w:tr>
      <w:tr>
        <w:trPr>
          <w:trHeight w:val="132"/>
        </w:trPr>
        <w:tc>
          <w:tcPr>
            <w:tcW w:w="1820" w:type="dxa"/>
            <w:vAlign w:val="bottom"/>
          </w:tcPr>
          <w:p>
            <w:pPr>
              <w:spacing w:after="0"/>
              <w:rPr>
                <w:sz w:val="11"/>
                <w:szCs w:val="11"/>
                <w:color w:val="auto"/>
              </w:rPr>
            </w:pPr>
          </w:p>
        </w:tc>
        <w:tc>
          <w:tcPr>
            <w:tcW w:w="2520" w:type="dxa"/>
            <w:vAlign w:val="bottom"/>
            <w:gridSpan w:val="2"/>
          </w:tcPr>
          <w:p>
            <w:pPr>
              <w:ind w:left="120"/>
              <w:spacing w:after="0" w:line="133" w:lineRule="exact"/>
              <w:rPr>
                <w:sz w:val="20"/>
                <w:szCs w:val="20"/>
                <w:color w:val="auto"/>
              </w:rPr>
            </w:pPr>
            <w:r>
              <w:rPr>
                <w:rFonts w:ascii="Times New Roman" w:cs="Times New Roman" w:eastAsia="Times New Roman" w:hAnsi="Times New Roman"/>
                <w:sz w:val="13"/>
                <w:szCs w:val="13"/>
                <w:color w:val="auto"/>
              </w:rPr>
              <w:t>4/2030)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Initial</w:t>
            </w:r>
          </w:p>
        </w:tc>
        <w:tc>
          <w:tcPr>
            <w:tcW w:w="10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Reference</w:t>
            </w: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86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4"/>
              </w:rPr>
              <w:t>Acquisition</w:t>
            </w:r>
          </w:p>
        </w:tc>
        <w:tc>
          <w:tcPr>
            <w:tcW w:w="100" w:type="dxa"/>
            <w:vAlign w:val="bottom"/>
          </w:tcPr>
          <w:p>
            <w:pPr>
              <w:spacing w:after="0"/>
              <w:rPr>
                <w:sz w:val="11"/>
                <w:szCs w:val="11"/>
                <w:color w:val="auto"/>
              </w:rPr>
            </w:pPr>
          </w:p>
        </w:tc>
        <w:tc>
          <w:tcPr>
            <w:tcW w:w="84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5"/>
              </w:rPr>
              <w:t>Rate and</w:t>
            </w: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ind w:right="98"/>
              <w:spacing w:after="0" w:line="12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vMerge w:val="restart"/>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w w:val="95"/>
              </w:rPr>
              <w:t xml:space="preserve">Fair Value </w:t>
            </w:r>
            <w:r>
              <w:rPr>
                <w:rFonts w:ascii="Times New Roman" w:cs="Times New Roman" w:eastAsia="Times New Roman" w:hAnsi="Times New Roman"/>
                <w:sz w:val="16"/>
                <w:szCs w:val="16"/>
                <w:b w:val="1"/>
                <w:bCs w:val="1"/>
                <w:color w:val="auto"/>
                <w:w w:val="95"/>
                <w:vertAlign w:val="superscript"/>
              </w:rPr>
              <w:t>(6)</w:t>
            </w:r>
          </w:p>
        </w:tc>
        <w:tc>
          <w:tcPr>
            <w:tcW w:w="200" w:type="dxa"/>
            <w:vAlign w:val="bottom"/>
          </w:tcPr>
          <w:p>
            <w:pPr>
              <w:spacing w:after="0"/>
              <w:rPr>
                <w:sz w:val="11"/>
                <w:szCs w:val="11"/>
                <w:color w:val="auto"/>
              </w:rPr>
            </w:pPr>
          </w:p>
        </w:tc>
        <w:tc>
          <w:tcPr>
            <w:tcW w:w="960" w:type="dxa"/>
            <w:vAlign w:val="bottom"/>
            <w:gridSpan w:val="2"/>
          </w:tcPr>
          <w:p>
            <w:pPr>
              <w:jc w:val="center"/>
              <w:ind w:right="120"/>
              <w:spacing w:after="0" w:line="128" w:lineRule="exact"/>
              <w:rPr>
                <w:sz w:val="20"/>
                <w:szCs w:val="20"/>
                <w:color w:val="auto"/>
              </w:rPr>
            </w:pPr>
            <w:r>
              <w:rPr>
                <w:rFonts w:ascii="Times New Roman" w:cs="Times New Roman" w:eastAsia="Times New Roman" w:hAnsi="Times New Roman"/>
                <w:sz w:val="13"/>
                <w:szCs w:val="13"/>
                <w:b w:val="1"/>
                <w:bCs w:val="1"/>
                <w:color w:val="auto"/>
                <w:w w:val="97"/>
              </w:rPr>
              <w:t>Percentage</w:t>
            </w:r>
          </w:p>
        </w:tc>
        <w:tc>
          <w:tcPr>
            <w:tcW w:w="0" w:type="dxa"/>
            <w:vAlign w:val="bottom"/>
          </w:tcPr>
          <w:p>
            <w:pPr>
              <w:spacing w:after="0"/>
              <w:rPr>
                <w:sz w:val="1"/>
                <w:szCs w:val="1"/>
                <w:color w:val="auto"/>
              </w:rPr>
            </w:pPr>
          </w:p>
        </w:tc>
      </w:tr>
      <w:tr>
        <w:trPr>
          <w:trHeight w:val="162"/>
        </w:trPr>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Date</w:t>
            </w:r>
          </w:p>
        </w:tc>
        <w:tc>
          <w:tcPr>
            <w:tcW w:w="10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Spread</w:t>
            </w:r>
          </w:p>
        </w:tc>
        <w:tc>
          <w:tcPr>
            <w:tcW w:w="220" w:type="dxa"/>
            <w:vAlign w:val="bottom"/>
          </w:tcPr>
          <w:p>
            <w:pPr>
              <w:spacing w:after="0"/>
              <w:rPr>
                <w:sz w:val="14"/>
                <w:szCs w:val="14"/>
                <w:color w:val="auto"/>
              </w:rPr>
            </w:pPr>
          </w:p>
        </w:tc>
        <w:tc>
          <w:tcPr>
            <w:tcW w:w="124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Interest Rate</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38"/>
              <w:spacing w:after="0" w:line="162" w:lineRule="exact"/>
              <w:rPr>
                <w:sz w:val="20"/>
                <w:szCs w:val="20"/>
                <w:color w:val="auto"/>
              </w:rPr>
            </w:pPr>
            <w:r>
              <w:rPr>
                <w:rFonts w:ascii="Times New Roman" w:cs="Times New Roman" w:eastAsia="Times New Roman" w:hAnsi="Times New Roman"/>
                <w:sz w:val="18"/>
                <w:szCs w:val="18"/>
                <w:b w:val="1"/>
                <w:bCs w:val="1"/>
                <w:color w:val="auto"/>
                <w:vertAlign w:val="subscript"/>
              </w:rPr>
              <w:t>Cost</w:t>
            </w:r>
            <w:r>
              <w:rPr>
                <w:rFonts w:ascii="Times New Roman" w:cs="Times New Roman" w:eastAsia="Times New Roman" w:hAnsi="Times New Roman"/>
                <w:sz w:val="7"/>
                <w:szCs w:val="7"/>
                <w:b w:val="1"/>
                <w:bCs w:val="1"/>
                <w:color w:val="auto"/>
              </w:rPr>
              <w:t xml:space="preserve"> (2) (7)</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of Net Assets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8"/>
        </w:trPr>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2/13/2024</w:t>
            </w: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SOFR + 4.75%</w:t>
            </w:r>
          </w:p>
        </w:tc>
        <w:tc>
          <w:tcPr>
            <w:tcW w:w="16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8.48%</w:t>
            </w: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301,240</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304,775</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0" w:type="dxa"/>
            <w:vAlign w:val="bottom"/>
          </w:tcPr>
          <w:p>
            <w:pPr>
              <w:spacing w:after="0"/>
              <w:rPr>
                <w:sz w:val="1"/>
                <w:szCs w:val="1"/>
                <w:color w:val="auto"/>
              </w:rPr>
            </w:pPr>
          </w:p>
        </w:tc>
      </w:tr>
      <w:tr>
        <w:trPr>
          <w:trHeight w:val="241"/>
        </w:trPr>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11/7/2023</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SOFR + 7.00%</w:t>
            </w:r>
          </w:p>
        </w:tc>
        <w:tc>
          <w:tcPr>
            <w:tcW w:w="16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10.94%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111,413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112,427</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0" w:type="dxa"/>
            <w:vAlign w:val="bottom"/>
          </w:tcPr>
          <w:p>
            <w:pPr>
              <w:spacing w:after="0"/>
              <w:rPr>
                <w:sz w:val="1"/>
                <w:szCs w:val="1"/>
                <w:color w:val="auto"/>
              </w:rPr>
            </w:pPr>
          </w:p>
        </w:tc>
      </w:tr>
      <w:tr>
        <w:trPr>
          <w:trHeight w:val="135"/>
        </w:trPr>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11/7/2023</w:t>
            </w:r>
          </w:p>
        </w:tc>
        <w:tc>
          <w:tcPr>
            <w:tcW w:w="10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E + 7.00%</w:t>
            </w:r>
          </w:p>
        </w:tc>
        <w:tc>
          <w:tcPr>
            <w:tcW w:w="1640" w:type="dxa"/>
            <w:vAlign w:val="bottom"/>
            <w:gridSpan w:val="3"/>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9.03%</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54,392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59,993</w:t>
            </w:r>
          </w:p>
        </w:tc>
        <w:tc>
          <w:tcPr>
            <w:tcW w:w="116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135"/>
        </w:trPr>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(EUR 51,082)</w:t>
            </w: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11/7/2023</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SOFR + 7.00%</w:t>
            </w:r>
          </w:p>
        </w:tc>
        <w:tc>
          <w:tcPr>
            <w:tcW w:w="16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10.95%</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12,448</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12,580</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0" w:type="dxa"/>
            <w:vAlign w:val="bottom"/>
          </w:tcPr>
          <w:p>
            <w:pPr>
              <w:spacing w:after="0"/>
              <w:rPr>
                <w:sz w:val="1"/>
                <w:szCs w:val="1"/>
                <w:color w:val="auto"/>
              </w:rPr>
            </w:pPr>
          </w:p>
        </w:tc>
      </w:tr>
      <w:tr>
        <w:trPr>
          <w:trHeight w:val="270"/>
        </w:trPr>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3/19/2024</w:t>
            </w:r>
          </w:p>
        </w:tc>
        <w:tc>
          <w:tcPr>
            <w:tcW w:w="1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SOFR + 6.00%</w:t>
            </w:r>
          </w:p>
        </w:tc>
        <w:tc>
          <w:tcPr>
            <w:tcW w:w="16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9.72%</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210,732</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214,938</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0" w:type="dxa"/>
            <w:vAlign w:val="bottom"/>
          </w:tcPr>
          <w:p>
            <w:pPr>
              <w:spacing w:after="0"/>
              <w:rPr>
                <w:sz w:val="1"/>
                <w:szCs w:val="1"/>
                <w:color w:val="auto"/>
              </w:rPr>
            </w:pPr>
          </w:p>
        </w:tc>
      </w:tr>
      <w:tr>
        <w:trPr>
          <w:trHeight w:val="257"/>
        </w:trPr>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4/18/2023</w:t>
            </w: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SOFR + 7.50%</w:t>
            </w:r>
          </w:p>
        </w:tc>
        <w:tc>
          <w:tcPr>
            <w:tcW w:w="220" w:type="dxa"/>
            <w:vAlign w:val="bottom"/>
          </w:tcPr>
          <w:p>
            <w:pPr>
              <w:spacing w:after="0"/>
              <w:rPr>
                <w:sz w:val="22"/>
                <w:szCs w:val="22"/>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11.37% PIK</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215,194</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222,366</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0" w:type="dxa"/>
            <w:vAlign w:val="bottom"/>
          </w:tcPr>
          <w:p>
            <w:pPr>
              <w:spacing w:after="0"/>
              <w:rPr>
                <w:sz w:val="1"/>
                <w:szCs w:val="1"/>
                <w:color w:val="auto"/>
              </w:rPr>
            </w:pPr>
          </w:p>
        </w:tc>
      </w:tr>
      <w:tr>
        <w:trPr>
          <w:trHeight w:val="241"/>
        </w:trPr>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11/8/2023</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SOFR + 6.75%</w:t>
            </w:r>
          </w:p>
        </w:tc>
        <w:tc>
          <w:tcPr>
            <w:tcW w:w="16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10.59%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149,453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153,537</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0" w:type="dxa"/>
            <w:vAlign w:val="bottom"/>
          </w:tcPr>
          <w:p>
            <w:pPr>
              <w:spacing w:after="0"/>
              <w:rPr>
                <w:sz w:val="1"/>
                <w:szCs w:val="1"/>
                <w:color w:val="auto"/>
              </w:rPr>
            </w:pPr>
          </w:p>
        </w:tc>
      </w:tr>
      <w:tr>
        <w:trPr>
          <w:trHeight w:val="135"/>
        </w:trPr>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4/4/2024</w:t>
            </w:r>
          </w:p>
        </w:tc>
        <w:tc>
          <w:tcPr>
            <w:tcW w:w="10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SOFR + 4.35%</w:t>
            </w:r>
          </w:p>
        </w:tc>
        <w:tc>
          <w:tcPr>
            <w:tcW w:w="1640" w:type="dxa"/>
            <w:vAlign w:val="bottom"/>
            <w:gridSpan w:val="3"/>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8.02%</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933</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869</w:t>
            </w:r>
          </w:p>
        </w:tc>
        <w:tc>
          <w:tcPr>
            <w:tcW w:w="116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0.0%</w:t>
            </w:r>
          </w:p>
        </w:tc>
        <w:tc>
          <w:tcPr>
            <w:tcW w:w="0" w:type="dxa"/>
            <w:vAlign w:val="bottom"/>
          </w:tcPr>
          <w:p>
            <w:pPr>
              <w:spacing w:after="0"/>
              <w:rPr>
                <w:sz w:val="1"/>
                <w:szCs w:val="1"/>
                <w:color w:val="auto"/>
              </w:rPr>
            </w:pPr>
          </w:p>
        </w:tc>
      </w:tr>
      <w:tr>
        <w:trPr>
          <w:trHeight w:val="135"/>
        </w:trPr>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4/29/2024</w:t>
            </w:r>
          </w:p>
        </w:tc>
        <w:tc>
          <w:tcPr>
            <w:tcW w:w="10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SOFR + 5.25%</w:t>
            </w:r>
          </w:p>
        </w:tc>
        <w:tc>
          <w:tcPr>
            <w:tcW w:w="220" w:type="dxa"/>
            <w:vAlign w:val="bottom"/>
          </w:tcPr>
          <w:p>
            <w:pPr>
              <w:spacing w:after="0"/>
              <w:rPr>
                <w:sz w:val="11"/>
                <w:szCs w:val="11"/>
                <w:color w:val="auto"/>
              </w:rPr>
            </w:pPr>
          </w:p>
        </w:tc>
        <w:tc>
          <w:tcPr>
            <w:tcW w:w="14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8.97% (incl. 2.25 %</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25,461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25,876</w:t>
            </w:r>
          </w:p>
        </w:tc>
        <w:tc>
          <w:tcPr>
            <w:tcW w:w="116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0.6%</w:t>
            </w:r>
          </w:p>
        </w:tc>
        <w:tc>
          <w:tcPr>
            <w:tcW w:w="0" w:type="dxa"/>
            <w:vAlign w:val="bottom"/>
          </w:tcPr>
          <w:p>
            <w:pPr>
              <w:spacing w:after="0"/>
              <w:rPr>
                <w:sz w:val="1"/>
                <w:szCs w:val="1"/>
                <w:color w:val="auto"/>
              </w:rPr>
            </w:pPr>
          </w:p>
        </w:tc>
      </w:tr>
      <w:tr>
        <w:trPr>
          <w:trHeight w:val="135"/>
        </w:trPr>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PIK)</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4/29/2024</w:t>
            </w:r>
          </w:p>
        </w:tc>
        <w:tc>
          <w:tcPr>
            <w:tcW w:w="10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SOFR + 5.00%</w:t>
            </w:r>
          </w:p>
        </w:tc>
        <w:tc>
          <w:tcPr>
            <w:tcW w:w="1640" w:type="dxa"/>
            <w:vAlign w:val="bottom"/>
            <w:gridSpan w:val="3"/>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8.72%</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20,698</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20,961</w:t>
            </w:r>
          </w:p>
        </w:tc>
        <w:tc>
          <w:tcPr>
            <w:tcW w:w="116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0.5%</w:t>
            </w:r>
          </w:p>
        </w:tc>
        <w:tc>
          <w:tcPr>
            <w:tcW w:w="0" w:type="dxa"/>
            <w:vAlign w:val="bottom"/>
          </w:tcPr>
          <w:p>
            <w:pPr>
              <w:spacing w:after="0"/>
              <w:rPr>
                <w:sz w:val="1"/>
                <w:szCs w:val="1"/>
                <w:color w:val="auto"/>
              </w:rPr>
            </w:pPr>
          </w:p>
        </w:tc>
      </w:tr>
      <w:tr>
        <w:trPr>
          <w:trHeight w:val="135"/>
        </w:trPr>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4/29/2024</w:t>
            </w:r>
          </w:p>
        </w:tc>
        <w:tc>
          <w:tcPr>
            <w:tcW w:w="10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S + 5.50%</w:t>
            </w:r>
          </w:p>
        </w:tc>
        <w:tc>
          <w:tcPr>
            <w:tcW w:w="220" w:type="dxa"/>
            <w:vAlign w:val="bottom"/>
          </w:tcPr>
          <w:p>
            <w:pPr>
              <w:spacing w:after="0"/>
              <w:rPr>
                <w:sz w:val="11"/>
                <w:szCs w:val="11"/>
                <w:color w:val="auto"/>
              </w:rPr>
            </w:pPr>
          </w:p>
        </w:tc>
        <w:tc>
          <w:tcPr>
            <w:tcW w:w="14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9.23% (incl. 2.50%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148,110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161,795</w:t>
            </w:r>
          </w:p>
        </w:tc>
        <w:tc>
          <w:tcPr>
            <w:tcW w:w="116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3.9%</w:t>
            </w:r>
          </w:p>
        </w:tc>
        <w:tc>
          <w:tcPr>
            <w:tcW w:w="0" w:type="dxa"/>
            <w:vAlign w:val="bottom"/>
          </w:tcPr>
          <w:p>
            <w:pPr>
              <w:spacing w:after="0"/>
              <w:rPr>
                <w:sz w:val="1"/>
                <w:szCs w:val="1"/>
                <w:color w:val="auto"/>
              </w:rPr>
            </w:pPr>
          </w:p>
        </w:tc>
      </w:tr>
      <w:tr>
        <w:trPr>
          <w:trHeight w:val="135"/>
        </w:trPr>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PIK)</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(GBP 120,289)</w:t>
            </w: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5/3/2023</w:t>
            </w:r>
          </w:p>
        </w:tc>
        <w:tc>
          <w:tcPr>
            <w:tcW w:w="10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SOFR + 5.75%</w:t>
            </w:r>
          </w:p>
        </w:tc>
        <w:tc>
          <w:tcPr>
            <w:tcW w:w="1640" w:type="dxa"/>
            <w:vAlign w:val="bottom"/>
            <w:gridSpan w:val="3"/>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9.42%</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145,285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149,515</w:t>
            </w:r>
          </w:p>
        </w:tc>
        <w:tc>
          <w:tcPr>
            <w:tcW w:w="116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3.6%</w:t>
            </w:r>
          </w:p>
        </w:tc>
        <w:tc>
          <w:tcPr>
            <w:tcW w:w="0" w:type="dxa"/>
            <w:vAlign w:val="bottom"/>
          </w:tcPr>
          <w:p>
            <w:pPr>
              <w:spacing w:after="0"/>
              <w:rPr>
                <w:sz w:val="1"/>
                <w:szCs w:val="1"/>
                <w:color w:val="auto"/>
              </w:rPr>
            </w:pPr>
          </w:p>
        </w:tc>
      </w:tr>
      <w:tr>
        <w:trPr>
          <w:trHeight w:val="164"/>
        </w:trPr>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5/3/2023</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SOFR + 5.75%</w:t>
            </w:r>
          </w:p>
        </w:tc>
        <w:tc>
          <w:tcPr>
            <w:tcW w:w="16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9.42%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15,088</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15,716</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0" w:type="dxa"/>
            <w:vAlign w:val="bottom"/>
          </w:tcPr>
          <w:p>
            <w:pPr>
              <w:spacing w:after="0"/>
              <w:rPr>
                <w:sz w:val="1"/>
                <w:szCs w:val="1"/>
                <w:color w:val="auto"/>
              </w:rPr>
            </w:pPr>
          </w:p>
        </w:tc>
      </w:tr>
      <w:tr>
        <w:trPr>
          <w:trHeight w:val="241"/>
        </w:trPr>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7/5/2024</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SOFR +</w:t>
            </w:r>
          </w:p>
        </w:tc>
        <w:tc>
          <w:tcPr>
            <w:tcW w:w="16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10.17%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41,889</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43,037</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35"/>
        </w:trPr>
        <w:tc>
          <w:tcPr>
            <w:tcW w:w="860" w:type="dxa"/>
            <w:vAlign w:val="bottom"/>
          </w:tcPr>
          <w:p>
            <w:pPr>
              <w:spacing w:after="0"/>
              <w:rPr>
                <w:sz w:val="11"/>
                <w:szCs w:val="11"/>
                <w:color w:val="auto"/>
              </w:rPr>
            </w:pPr>
          </w:p>
        </w:tc>
        <w:tc>
          <w:tcPr>
            <w:tcW w:w="9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6.50%</w:t>
            </w: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7/5/2024</w:t>
            </w:r>
          </w:p>
        </w:tc>
        <w:tc>
          <w:tcPr>
            <w:tcW w:w="10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E + 6.50%</w:t>
            </w:r>
          </w:p>
        </w:tc>
        <w:tc>
          <w:tcPr>
            <w:tcW w:w="1640" w:type="dxa"/>
            <w:vAlign w:val="bottom"/>
            <w:gridSpan w:val="3"/>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8.52%</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71,523</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74,642</w:t>
            </w:r>
          </w:p>
        </w:tc>
        <w:tc>
          <w:tcPr>
            <w:tcW w:w="116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1.8%</w:t>
            </w:r>
          </w:p>
        </w:tc>
        <w:tc>
          <w:tcPr>
            <w:tcW w:w="0" w:type="dxa"/>
            <w:vAlign w:val="bottom"/>
          </w:tcPr>
          <w:p>
            <w:pPr>
              <w:spacing w:after="0"/>
              <w:rPr>
                <w:sz w:val="1"/>
                <w:szCs w:val="1"/>
                <w:color w:val="auto"/>
              </w:rPr>
            </w:pPr>
          </w:p>
        </w:tc>
      </w:tr>
      <w:tr>
        <w:trPr>
          <w:trHeight w:val="135"/>
        </w:trPr>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(EUR 63,555)</w:t>
            </w: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10/27/2023</w:t>
            </w:r>
          </w:p>
        </w:tc>
        <w:tc>
          <w:tcPr>
            <w:tcW w:w="10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E + 7.00%</w:t>
            </w:r>
          </w:p>
        </w:tc>
        <w:tc>
          <w:tcPr>
            <w:tcW w:w="1640" w:type="dxa"/>
            <w:vAlign w:val="bottom"/>
            <w:gridSpan w:val="3"/>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9.08%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970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1,087</w:t>
            </w:r>
          </w:p>
        </w:tc>
        <w:tc>
          <w:tcPr>
            <w:tcW w:w="116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35"/>
        </w:trPr>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(EUR 926)</w:t>
            </w: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12/19/2024</w:t>
            </w:r>
          </w:p>
        </w:tc>
        <w:tc>
          <w:tcPr>
            <w:tcW w:w="10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E + 6.25%</w:t>
            </w:r>
          </w:p>
        </w:tc>
        <w:tc>
          <w:tcPr>
            <w:tcW w:w="1640" w:type="dxa"/>
            <w:vAlign w:val="bottom"/>
            <w:gridSpan w:val="3"/>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8.33%</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926</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1,079</w:t>
            </w:r>
          </w:p>
        </w:tc>
        <w:tc>
          <w:tcPr>
            <w:tcW w:w="116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0.0%</w:t>
            </w:r>
          </w:p>
        </w:tc>
        <w:tc>
          <w:tcPr>
            <w:tcW w:w="0" w:type="dxa"/>
            <w:vAlign w:val="bottom"/>
          </w:tcPr>
          <w:p>
            <w:pPr>
              <w:spacing w:after="0"/>
              <w:rPr>
                <w:sz w:val="1"/>
                <w:szCs w:val="1"/>
                <w:color w:val="auto"/>
              </w:rPr>
            </w:pPr>
          </w:p>
        </w:tc>
      </w:tr>
      <w:tr>
        <w:trPr>
          <w:trHeight w:val="135"/>
        </w:trPr>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(EUR 919)</w:t>
            </w: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4/30/2024</w:t>
            </w:r>
          </w:p>
        </w:tc>
        <w:tc>
          <w:tcPr>
            <w:tcW w:w="10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SOFR + 5.25%</w:t>
            </w:r>
          </w:p>
        </w:tc>
        <w:tc>
          <w:tcPr>
            <w:tcW w:w="1640" w:type="dxa"/>
            <w:vAlign w:val="bottom"/>
            <w:gridSpan w:val="3"/>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9.00%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123,182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125,602</w:t>
            </w:r>
          </w:p>
        </w:tc>
        <w:tc>
          <w:tcPr>
            <w:tcW w:w="116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3.0%</w:t>
            </w:r>
          </w:p>
        </w:tc>
        <w:tc>
          <w:tcPr>
            <w:tcW w:w="0" w:type="dxa"/>
            <w:vAlign w:val="bottom"/>
          </w:tcPr>
          <w:p>
            <w:pPr>
              <w:spacing w:after="0"/>
              <w:rPr>
                <w:sz w:val="1"/>
                <w:szCs w:val="1"/>
                <w:color w:val="auto"/>
              </w:rPr>
            </w:pPr>
          </w:p>
        </w:tc>
      </w:tr>
      <w:tr>
        <w:trPr>
          <w:trHeight w:val="164"/>
        </w:trPr>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4/30/2024</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SOFR + 5.25%</w:t>
            </w:r>
          </w:p>
        </w:tc>
        <w:tc>
          <w:tcPr>
            <w:tcW w:w="16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9.06%</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13,316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13,615</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-2835275</wp:posOffset>
            </wp:positionV>
            <wp:extent cx="7132320" cy="9398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-2655570</wp:posOffset>
            </wp:positionV>
            <wp:extent cx="7132320" cy="8572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-2484120</wp:posOffset>
            </wp:positionV>
            <wp:extent cx="7132320" cy="8572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-2226945</wp:posOffset>
            </wp:positionV>
            <wp:extent cx="7132320" cy="1714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-1892300</wp:posOffset>
            </wp:positionV>
            <wp:extent cx="7132320" cy="1714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-1635125</wp:posOffset>
            </wp:positionV>
            <wp:extent cx="7132320" cy="8572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-1377950</wp:posOffset>
            </wp:positionV>
            <wp:extent cx="7132320" cy="8572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-1120775</wp:posOffset>
            </wp:positionV>
            <wp:extent cx="7132320" cy="8572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-863600</wp:posOffset>
            </wp:positionV>
            <wp:extent cx="7132320" cy="1714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-520700</wp:posOffset>
            </wp:positionV>
            <wp:extent cx="7132320" cy="1714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-177800</wp:posOffset>
            </wp:positionV>
            <wp:extent cx="7132320" cy="8572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5725"/>
                    </a:xfrm>
                    <a:prstGeom prst="rect">
                      <a:avLst/>
                    </a:prstGeom>
                    <a:noFill/>
                  </pic:spPr>
                </pic:pic>
              </a:graphicData>
            </a:graphic>
          </wp:anchor>
        </w:drawing>
      </w:r>
    </w:p>
    <w:p>
      <w:pPr>
        <w:spacing w:after="0" w:line="103" w:lineRule="exact"/>
        <w:rPr>
          <w:sz w:val="20"/>
          <w:szCs w:val="20"/>
          <w:color w:val="auto"/>
        </w:rPr>
      </w:pPr>
    </w:p>
    <w:p>
      <w:pPr>
        <w:sectPr>
          <w:pgSz w:w="11900" w:h="16838" w:orient="portrait"/>
          <w:cols w:equalWidth="0" w:num="2">
            <w:col w:w="4340" w:space="120"/>
            <w:col w:w="6780"/>
          </w:cols>
          <w:pgMar w:left="320" w:top="996" w:right="339" w:bottom="1440" w:gutter="0" w:footer="0" w:header="0"/>
        </w:sectPr>
      </w:pPr>
    </w:p>
    <w:tbl>
      <w:tblPr>
        <w:tblLayout w:type="fixed"/>
        <w:tblInd w:w="0" w:type="dxa"/>
        <w:tblCellMar>
          <w:top w:w="0" w:type="dxa"/>
          <w:left w:w="0" w:type="dxa"/>
          <w:bottom w:w="0" w:type="dxa"/>
          <w:right w:w="0" w:type="dxa"/>
        </w:tblCellMar>
      </w:tblPr>
      <w:tr>
        <w:trPr>
          <w:trHeight w:val="21"/>
        </w:trPr>
        <w:tc>
          <w:tcPr>
            <w:tcW w:w="18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5"/>
        </w:trPr>
        <w:tc>
          <w:tcPr>
            <w:tcW w:w="18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 xml:space="preserve">Wrangler TopCo, LLC </w:t>
            </w:r>
            <w:r>
              <w:rPr>
                <w:rFonts w:ascii="Times New Roman" w:cs="Times New Roman" w:eastAsia="Times New Roman" w:hAnsi="Times New Roman"/>
                <w:sz w:val="15"/>
                <w:szCs w:val="15"/>
                <w:color w:val="auto"/>
                <w:vertAlign w:val="superscript"/>
              </w:rPr>
              <w:t>(3)</w:t>
            </w:r>
          </w:p>
        </w:tc>
        <w:tc>
          <w:tcPr>
            <w:tcW w:w="2740" w:type="dxa"/>
            <w:vAlign w:val="bottom"/>
            <w:shd w:val="clear" w:color="auto" w:fill="CFF0FC"/>
          </w:tcPr>
          <w:p>
            <w:pPr>
              <w:ind w:left="140"/>
              <w:spacing w:after="0" w:line="135" w:lineRule="exact"/>
              <w:rPr>
                <w:sz w:val="20"/>
                <w:szCs w:val="20"/>
                <w:color w:val="auto"/>
              </w:rPr>
            </w:pPr>
            <w:r>
              <w:rPr>
                <w:rFonts w:ascii="Times New Roman" w:cs="Times New Roman" w:eastAsia="Times New Roman" w:hAnsi="Times New Roman"/>
                <w:sz w:val="13"/>
                <w:szCs w:val="13"/>
                <w:color w:val="auto"/>
              </w:rPr>
              <w:t>First-lien loan ($134,915 par, due 9/2029)</w:t>
            </w:r>
          </w:p>
        </w:tc>
        <w:tc>
          <w:tcPr>
            <w:tcW w:w="84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7/7/2023</w:t>
            </w:r>
          </w:p>
        </w:tc>
        <w:tc>
          <w:tcPr>
            <w:tcW w:w="1160" w:type="dxa"/>
            <w:vAlign w:val="bottom"/>
            <w:shd w:val="clear" w:color="auto" w:fill="CFF0FC"/>
          </w:tcPr>
          <w:p>
            <w:pPr>
              <w:jc w:val="right"/>
              <w:ind w:right="237"/>
              <w:spacing w:after="0" w:line="135" w:lineRule="exact"/>
              <w:rPr>
                <w:sz w:val="20"/>
                <w:szCs w:val="20"/>
                <w:color w:val="auto"/>
              </w:rPr>
            </w:pPr>
            <w:r>
              <w:rPr>
                <w:rFonts w:ascii="Times New Roman" w:cs="Times New Roman" w:eastAsia="Times New Roman" w:hAnsi="Times New Roman"/>
                <w:sz w:val="13"/>
                <w:szCs w:val="13"/>
                <w:color w:val="auto"/>
              </w:rPr>
              <w:t>SOFR + 5.75%</w:t>
            </w:r>
          </w:p>
        </w:tc>
        <w:tc>
          <w:tcPr>
            <w:tcW w:w="142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9.49%</w:t>
            </w: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132,801</w:t>
            </w:r>
          </w:p>
        </w:tc>
        <w:tc>
          <w:tcPr>
            <w:tcW w:w="220" w:type="dxa"/>
            <w:vAlign w:val="bottom"/>
            <w:shd w:val="clear" w:color="auto" w:fill="CFF0FC"/>
          </w:tcPr>
          <w:p>
            <w:pPr>
              <w:spacing w:after="0"/>
              <w:rPr>
                <w:sz w:val="11"/>
                <w:szCs w:val="11"/>
                <w:color w:val="auto"/>
              </w:rPr>
            </w:pPr>
          </w:p>
        </w:tc>
        <w:tc>
          <w:tcPr>
            <w:tcW w:w="10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136,465</w:t>
            </w:r>
          </w:p>
        </w:tc>
        <w:tc>
          <w:tcPr>
            <w:tcW w:w="200" w:type="dxa"/>
            <w:vAlign w:val="bottom"/>
            <w:shd w:val="clear" w:color="auto" w:fill="CFF0FC"/>
          </w:tcPr>
          <w:p>
            <w:pPr>
              <w:spacing w:after="0"/>
              <w:rPr>
                <w:sz w:val="11"/>
                <w:szCs w:val="11"/>
                <w:color w:val="auto"/>
              </w:rPr>
            </w:pPr>
          </w:p>
        </w:tc>
        <w:tc>
          <w:tcPr>
            <w:tcW w:w="980" w:type="dxa"/>
            <w:vAlign w:val="bottom"/>
            <w:gridSpan w:val="2"/>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3.3%</w:t>
            </w:r>
          </w:p>
        </w:tc>
      </w:tr>
      <w:tr>
        <w:trPr>
          <w:trHeight w:val="20"/>
        </w:trPr>
        <w:tc>
          <w:tcPr>
            <w:tcW w:w="1800" w:type="dxa"/>
            <w:vAlign w:val="bottom"/>
            <w:shd w:val="clear" w:color="auto" w:fill="CFF0FC"/>
          </w:tcPr>
          <w:p>
            <w:pPr>
              <w:spacing w:after="0" w:line="20" w:lineRule="exact"/>
              <w:rPr>
                <w:sz w:val="1"/>
                <w:szCs w:val="1"/>
                <w:color w:val="auto"/>
              </w:rPr>
            </w:pPr>
          </w:p>
        </w:tc>
        <w:tc>
          <w:tcPr>
            <w:tcW w:w="274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1160" w:type="dxa"/>
            <w:vAlign w:val="bottom"/>
            <w:shd w:val="clear" w:color="auto" w:fill="CFF0FC"/>
          </w:tcPr>
          <w:p>
            <w:pPr>
              <w:spacing w:after="0" w:line="20" w:lineRule="exact"/>
              <w:rPr>
                <w:sz w:val="1"/>
                <w:szCs w:val="1"/>
                <w:color w:val="auto"/>
              </w:rPr>
            </w:pPr>
          </w:p>
        </w:tc>
        <w:tc>
          <w:tcPr>
            <w:tcW w:w="14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28"/>
        </w:trPr>
        <w:tc>
          <w:tcPr>
            <w:tcW w:w="180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1,493,814</w:t>
            </w:r>
          </w:p>
        </w:tc>
        <w:tc>
          <w:tcPr>
            <w:tcW w:w="220" w:type="dxa"/>
            <w:vAlign w:val="bottom"/>
          </w:tcPr>
          <w:p>
            <w:pPr>
              <w:spacing w:after="0"/>
              <w:rPr>
                <w:sz w:val="11"/>
                <w:szCs w:val="11"/>
                <w:color w:val="auto"/>
              </w:rPr>
            </w:pPr>
          </w:p>
        </w:tc>
        <w:tc>
          <w:tcPr>
            <w:tcW w:w="10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1,546,100</w:t>
            </w:r>
          </w:p>
        </w:tc>
        <w:tc>
          <w:tcPr>
            <w:tcW w:w="200" w:type="dxa"/>
            <w:vAlign w:val="bottom"/>
          </w:tcPr>
          <w:p>
            <w:pPr>
              <w:spacing w:after="0"/>
              <w:rPr>
                <w:sz w:val="11"/>
                <w:szCs w:val="11"/>
                <w:color w:val="auto"/>
              </w:rPr>
            </w:pPr>
          </w:p>
        </w:tc>
        <w:tc>
          <w:tcPr>
            <w:tcW w:w="98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37.1%</w:t>
            </w:r>
          </w:p>
        </w:tc>
      </w:tr>
      <w:tr>
        <w:trPr>
          <w:trHeight w:val="129"/>
        </w:trPr>
        <w:tc>
          <w:tcPr>
            <w:tcW w:w="180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Chemicals</w:t>
            </w:r>
          </w:p>
        </w:tc>
        <w:tc>
          <w:tcPr>
            <w:tcW w:w="27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1420" w:type="dxa"/>
            <w:vAlign w:val="bottom"/>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6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17"/>
        </w:trPr>
        <w:tc>
          <w:tcPr>
            <w:tcW w:w="1800" w:type="dxa"/>
            <w:vAlign w:val="bottom"/>
          </w:tcPr>
          <w:p>
            <w:pPr>
              <w:spacing w:after="0" w:line="117" w:lineRule="exact"/>
              <w:rPr>
                <w:sz w:val="20"/>
                <w:szCs w:val="20"/>
                <w:color w:val="auto"/>
              </w:rPr>
            </w:pPr>
            <w:r>
              <w:rPr>
                <w:rFonts w:ascii="Times New Roman" w:cs="Times New Roman" w:eastAsia="Times New Roman" w:hAnsi="Times New Roman"/>
                <w:sz w:val="10"/>
                <w:szCs w:val="10"/>
                <w:color w:val="auto"/>
              </w:rPr>
              <w:t xml:space="preserve">Erling Lux Bidco SARL </w:t>
            </w:r>
            <w:r>
              <w:rPr>
                <w:rFonts w:ascii="Times New Roman" w:cs="Times New Roman" w:eastAsia="Times New Roman" w:hAnsi="Times New Roman"/>
                <w:sz w:val="13"/>
                <w:szCs w:val="13"/>
                <w:color w:val="auto"/>
                <w:vertAlign w:val="superscript"/>
              </w:rPr>
              <w:t>(3)(4)</w:t>
            </w:r>
          </w:p>
        </w:tc>
        <w:tc>
          <w:tcPr>
            <w:tcW w:w="2740" w:type="dxa"/>
            <w:vAlign w:val="bottom"/>
          </w:tcPr>
          <w:p>
            <w:pPr>
              <w:ind w:left="140"/>
              <w:spacing w:after="0" w:line="117" w:lineRule="exact"/>
              <w:rPr>
                <w:sz w:val="20"/>
                <w:szCs w:val="20"/>
                <w:color w:val="auto"/>
              </w:rPr>
            </w:pPr>
            <w:r>
              <w:rPr>
                <w:rFonts w:ascii="Times New Roman" w:cs="Times New Roman" w:eastAsia="Times New Roman" w:hAnsi="Times New Roman"/>
                <w:sz w:val="13"/>
                <w:szCs w:val="13"/>
                <w:color w:val="auto"/>
              </w:rPr>
              <w:t>First-lien loan (EUR 11,549 par, due 9/2028)</w:t>
            </w:r>
          </w:p>
        </w:tc>
        <w:tc>
          <w:tcPr>
            <w:tcW w:w="840" w:type="dxa"/>
            <w:vAlign w:val="bottom"/>
          </w:tcPr>
          <w:p>
            <w:pPr>
              <w:jc w:val="right"/>
              <w:ind w:right="17"/>
              <w:spacing w:after="0" w:line="117" w:lineRule="exact"/>
              <w:rPr>
                <w:sz w:val="20"/>
                <w:szCs w:val="20"/>
                <w:color w:val="auto"/>
              </w:rPr>
            </w:pPr>
            <w:r>
              <w:rPr>
                <w:rFonts w:ascii="Times New Roman" w:cs="Times New Roman" w:eastAsia="Times New Roman" w:hAnsi="Times New Roman"/>
                <w:sz w:val="13"/>
                <w:szCs w:val="13"/>
                <w:color w:val="auto"/>
              </w:rPr>
              <w:t>9/6/2022</w:t>
            </w:r>
          </w:p>
        </w:tc>
        <w:tc>
          <w:tcPr>
            <w:tcW w:w="1160" w:type="dxa"/>
            <w:vAlign w:val="bottom"/>
          </w:tcPr>
          <w:p>
            <w:pPr>
              <w:jc w:val="right"/>
              <w:ind w:right="237"/>
              <w:spacing w:after="0" w:line="117" w:lineRule="exact"/>
              <w:rPr>
                <w:sz w:val="20"/>
                <w:szCs w:val="20"/>
                <w:color w:val="auto"/>
              </w:rPr>
            </w:pPr>
            <w:r>
              <w:rPr>
                <w:rFonts w:ascii="Times New Roman" w:cs="Times New Roman" w:eastAsia="Times New Roman" w:hAnsi="Times New Roman"/>
                <w:sz w:val="13"/>
                <w:szCs w:val="13"/>
                <w:color w:val="auto"/>
              </w:rPr>
              <w:t>E + 7.00%</w:t>
            </w:r>
          </w:p>
        </w:tc>
        <w:tc>
          <w:tcPr>
            <w:tcW w:w="1420" w:type="dxa"/>
            <w:vAlign w:val="bottom"/>
          </w:tcPr>
          <w:p>
            <w:pPr>
              <w:jc w:val="right"/>
              <w:ind w:right="77"/>
              <w:spacing w:after="0" w:line="117" w:lineRule="exact"/>
              <w:rPr>
                <w:sz w:val="20"/>
                <w:szCs w:val="20"/>
                <w:color w:val="auto"/>
              </w:rPr>
            </w:pPr>
            <w:r>
              <w:rPr>
                <w:rFonts w:ascii="Times New Roman" w:cs="Times New Roman" w:eastAsia="Times New Roman" w:hAnsi="Times New Roman"/>
                <w:sz w:val="13"/>
                <w:szCs w:val="13"/>
                <w:color w:val="auto"/>
              </w:rPr>
              <w:t>9.07%</w:t>
            </w:r>
          </w:p>
        </w:tc>
        <w:tc>
          <w:tcPr>
            <w:tcW w:w="88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11,664</w:t>
            </w:r>
          </w:p>
        </w:tc>
        <w:tc>
          <w:tcPr>
            <w:tcW w:w="12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13,809</w:t>
            </w:r>
          </w:p>
        </w:tc>
        <w:tc>
          <w:tcPr>
            <w:tcW w:w="118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0.3%</w:t>
            </w:r>
          </w:p>
        </w:tc>
      </w:tr>
      <w:tr>
        <w:trPr>
          <w:trHeight w:val="153"/>
        </w:trPr>
        <w:tc>
          <w:tcPr>
            <w:tcW w:w="180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(EUR 11,758)</w:t>
            </w: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17"/>
        </w:trPr>
        <w:tc>
          <w:tcPr>
            <w:tcW w:w="1800" w:type="dxa"/>
            <w:vAlign w:val="bottom"/>
            <w:shd w:val="clear" w:color="auto" w:fill="CFF0FC"/>
          </w:tcPr>
          <w:p>
            <w:pPr>
              <w:spacing w:after="0"/>
              <w:rPr>
                <w:sz w:val="10"/>
                <w:szCs w:val="10"/>
                <w:color w:val="auto"/>
              </w:rPr>
            </w:pPr>
          </w:p>
        </w:tc>
        <w:tc>
          <w:tcPr>
            <w:tcW w:w="2740" w:type="dxa"/>
            <w:vAlign w:val="bottom"/>
            <w:shd w:val="clear" w:color="auto" w:fill="CFF0FC"/>
          </w:tcPr>
          <w:p>
            <w:pPr>
              <w:ind w:left="140"/>
              <w:spacing w:after="0" w:line="117" w:lineRule="exact"/>
              <w:rPr>
                <w:sz w:val="20"/>
                <w:szCs w:val="20"/>
                <w:color w:val="auto"/>
              </w:rPr>
            </w:pPr>
            <w:r>
              <w:rPr>
                <w:rFonts w:ascii="Times New Roman" w:cs="Times New Roman" w:eastAsia="Times New Roman" w:hAnsi="Times New Roman"/>
                <w:sz w:val="13"/>
                <w:szCs w:val="13"/>
                <w:color w:val="auto"/>
              </w:rPr>
              <w:t>First-lien loan (GBP 19,592 par, due 9/2028)</w:t>
            </w:r>
          </w:p>
        </w:tc>
        <w:tc>
          <w:tcPr>
            <w:tcW w:w="840" w:type="dxa"/>
            <w:vAlign w:val="bottom"/>
            <w:shd w:val="clear" w:color="auto" w:fill="CFF0FC"/>
          </w:tcPr>
          <w:p>
            <w:pPr>
              <w:jc w:val="right"/>
              <w:ind w:right="17"/>
              <w:spacing w:after="0" w:line="117" w:lineRule="exact"/>
              <w:rPr>
                <w:sz w:val="20"/>
                <w:szCs w:val="20"/>
                <w:color w:val="auto"/>
              </w:rPr>
            </w:pPr>
            <w:r>
              <w:rPr>
                <w:rFonts w:ascii="Times New Roman" w:cs="Times New Roman" w:eastAsia="Times New Roman" w:hAnsi="Times New Roman"/>
                <w:sz w:val="13"/>
                <w:szCs w:val="13"/>
                <w:color w:val="auto"/>
              </w:rPr>
              <w:t>9/6/2022</w:t>
            </w:r>
          </w:p>
        </w:tc>
        <w:tc>
          <w:tcPr>
            <w:tcW w:w="1160" w:type="dxa"/>
            <w:vAlign w:val="bottom"/>
            <w:shd w:val="clear" w:color="auto" w:fill="CFF0FC"/>
          </w:tcPr>
          <w:p>
            <w:pPr>
              <w:jc w:val="right"/>
              <w:ind w:right="237"/>
              <w:spacing w:after="0" w:line="117" w:lineRule="exact"/>
              <w:rPr>
                <w:sz w:val="20"/>
                <w:szCs w:val="20"/>
                <w:color w:val="auto"/>
              </w:rPr>
            </w:pPr>
            <w:r>
              <w:rPr>
                <w:rFonts w:ascii="Times New Roman" w:cs="Times New Roman" w:eastAsia="Times New Roman" w:hAnsi="Times New Roman"/>
                <w:sz w:val="13"/>
                <w:szCs w:val="13"/>
                <w:color w:val="auto"/>
              </w:rPr>
              <w:t>S + 7.00%</w:t>
            </w:r>
          </w:p>
        </w:tc>
        <w:tc>
          <w:tcPr>
            <w:tcW w:w="1420" w:type="dxa"/>
            <w:vAlign w:val="bottom"/>
            <w:shd w:val="clear" w:color="auto" w:fill="CFF0FC"/>
          </w:tcPr>
          <w:p>
            <w:pPr>
              <w:jc w:val="right"/>
              <w:ind w:right="77"/>
              <w:spacing w:after="0" w:line="117" w:lineRule="exact"/>
              <w:rPr>
                <w:sz w:val="20"/>
                <w:szCs w:val="20"/>
                <w:color w:val="auto"/>
              </w:rPr>
            </w:pPr>
            <w:r>
              <w:rPr>
                <w:rFonts w:ascii="Times New Roman" w:cs="Times New Roman" w:eastAsia="Times New Roman" w:hAnsi="Times New Roman"/>
                <w:sz w:val="13"/>
                <w:szCs w:val="13"/>
                <w:color w:val="auto"/>
              </w:rPr>
              <w:t>10.73%</w:t>
            </w:r>
          </w:p>
        </w:tc>
        <w:tc>
          <w:tcPr>
            <w:tcW w:w="88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23,173</w:t>
            </w:r>
          </w:p>
        </w:tc>
        <w:tc>
          <w:tcPr>
            <w:tcW w:w="122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26,681</w:t>
            </w:r>
          </w:p>
        </w:tc>
        <w:tc>
          <w:tcPr>
            <w:tcW w:w="1180" w:type="dxa"/>
            <w:vAlign w:val="bottom"/>
            <w:gridSpan w:val="3"/>
            <w:shd w:val="clear" w:color="auto" w:fill="CFF0FC"/>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0.6%</w:t>
            </w:r>
          </w:p>
        </w:tc>
      </w:tr>
      <w:tr>
        <w:trPr>
          <w:trHeight w:val="153"/>
        </w:trPr>
        <w:tc>
          <w:tcPr>
            <w:tcW w:w="1800" w:type="dxa"/>
            <w:vAlign w:val="bottom"/>
            <w:shd w:val="clear" w:color="auto" w:fill="CFF0FC"/>
          </w:tcPr>
          <w:p>
            <w:pPr>
              <w:spacing w:after="0"/>
              <w:rPr>
                <w:sz w:val="13"/>
                <w:szCs w:val="13"/>
                <w:color w:val="auto"/>
              </w:rPr>
            </w:pPr>
          </w:p>
        </w:tc>
        <w:tc>
          <w:tcPr>
            <w:tcW w:w="274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(GBP 19,836)</w:t>
            </w:r>
          </w:p>
        </w:tc>
        <w:tc>
          <w:tcPr>
            <w:tcW w:w="2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17"/>
        </w:trPr>
        <w:tc>
          <w:tcPr>
            <w:tcW w:w="1800" w:type="dxa"/>
            <w:vAlign w:val="bottom"/>
          </w:tcPr>
          <w:p>
            <w:pPr>
              <w:spacing w:after="0"/>
              <w:rPr>
                <w:sz w:val="10"/>
                <w:szCs w:val="10"/>
                <w:color w:val="auto"/>
              </w:rPr>
            </w:pPr>
          </w:p>
        </w:tc>
        <w:tc>
          <w:tcPr>
            <w:tcW w:w="2740" w:type="dxa"/>
            <w:vAlign w:val="bottom"/>
          </w:tcPr>
          <w:p>
            <w:pPr>
              <w:ind w:left="140"/>
              <w:spacing w:after="0" w:line="117" w:lineRule="exact"/>
              <w:rPr>
                <w:sz w:val="20"/>
                <w:szCs w:val="20"/>
                <w:color w:val="auto"/>
              </w:rPr>
            </w:pPr>
            <w:r>
              <w:rPr>
                <w:rFonts w:ascii="Times New Roman" w:cs="Times New Roman" w:eastAsia="Times New Roman" w:hAnsi="Times New Roman"/>
                <w:sz w:val="13"/>
                <w:szCs w:val="13"/>
                <w:color w:val="auto"/>
              </w:rPr>
              <w:t>First-lien loan (NOK 7,427 par, due 9/2028)</w:t>
            </w:r>
          </w:p>
        </w:tc>
        <w:tc>
          <w:tcPr>
            <w:tcW w:w="840" w:type="dxa"/>
            <w:vAlign w:val="bottom"/>
          </w:tcPr>
          <w:p>
            <w:pPr>
              <w:jc w:val="right"/>
              <w:ind w:right="17"/>
              <w:spacing w:after="0" w:line="117" w:lineRule="exact"/>
              <w:rPr>
                <w:sz w:val="20"/>
                <w:szCs w:val="20"/>
                <w:color w:val="auto"/>
              </w:rPr>
            </w:pPr>
            <w:r>
              <w:rPr>
                <w:rFonts w:ascii="Times New Roman" w:cs="Times New Roman" w:eastAsia="Times New Roman" w:hAnsi="Times New Roman"/>
                <w:sz w:val="13"/>
                <w:szCs w:val="13"/>
                <w:color w:val="auto"/>
              </w:rPr>
              <w:t>9/6/2022</w:t>
            </w:r>
          </w:p>
        </w:tc>
        <w:tc>
          <w:tcPr>
            <w:tcW w:w="1160" w:type="dxa"/>
            <w:vAlign w:val="bottom"/>
          </w:tcPr>
          <w:p>
            <w:pPr>
              <w:jc w:val="right"/>
              <w:ind w:right="237"/>
              <w:spacing w:after="0" w:line="117" w:lineRule="exact"/>
              <w:rPr>
                <w:sz w:val="20"/>
                <w:szCs w:val="20"/>
                <w:color w:val="auto"/>
              </w:rPr>
            </w:pPr>
            <w:r>
              <w:rPr>
                <w:rFonts w:ascii="Times New Roman" w:cs="Times New Roman" w:eastAsia="Times New Roman" w:hAnsi="Times New Roman"/>
                <w:sz w:val="13"/>
                <w:szCs w:val="13"/>
                <w:color w:val="auto"/>
              </w:rPr>
              <w:t>N + 7.00%</w:t>
            </w:r>
          </w:p>
        </w:tc>
        <w:tc>
          <w:tcPr>
            <w:tcW w:w="1420" w:type="dxa"/>
            <w:vAlign w:val="bottom"/>
          </w:tcPr>
          <w:p>
            <w:pPr>
              <w:jc w:val="right"/>
              <w:ind w:right="77"/>
              <w:spacing w:after="0" w:line="117" w:lineRule="exact"/>
              <w:rPr>
                <w:sz w:val="20"/>
                <w:szCs w:val="20"/>
                <w:color w:val="auto"/>
              </w:rPr>
            </w:pPr>
            <w:r>
              <w:rPr>
                <w:rFonts w:ascii="Times New Roman" w:cs="Times New Roman" w:eastAsia="Times New Roman" w:hAnsi="Times New Roman"/>
                <w:sz w:val="13"/>
                <w:szCs w:val="13"/>
                <w:color w:val="auto"/>
              </w:rPr>
              <w:t>11.23%</w:t>
            </w:r>
          </w:p>
        </w:tc>
        <w:tc>
          <w:tcPr>
            <w:tcW w:w="88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712</w:t>
            </w:r>
          </w:p>
        </w:tc>
        <w:tc>
          <w:tcPr>
            <w:tcW w:w="12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745</w:t>
            </w:r>
          </w:p>
        </w:tc>
        <w:tc>
          <w:tcPr>
            <w:tcW w:w="118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0.0%</w:t>
            </w:r>
          </w:p>
        </w:tc>
      </w:tr>
      <w:tr>
        <w:trPr>
          <w:trHeight w:val="153"/>
        </w:trPr>
        <w:tc>
          <w:tcPr>
            <w:tcW w:w="180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(NOK 7,520)</w:t>
            </w: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17"/>
        </w:trPr>
        <w:tc>
          <w:tcPr>
            <w:tcW w:w="1800" w:type="dxa"/>
            <w:vAlign w:val="bottom"/>
            <w:shd w:val="clear" w:color="auto" w:fill="CFF0FC"/>
          </w:tcPr>
          <w:p>
            <w:pPr>
              <w:spacing w:after="0"/>
              <w:rPr>
                <w:sz w:val="10"/>
                <w:szCs w:val="10"/>
                <w:color w:val="auto"/>
              </w:rPr>
            </w:pPr>
          </w:p>
        </w:tc>
        <w:tc>
          <w:tcPr>
            <w:tcW w:w="2740" w:type="dxa"/>
            <w:vAlign w:val="bottom"/>
            <w:shd w:val="clear" w:color="auto" w:fill="CFF0FC"/>
          </w:tcPr>
          <w:p>
            <w:pPr>
              <w:ind w:left="140"/>
              <w:spacing w:after="0" w:line="117" w:lineRule="exact"/>
              <w:rPr>
                <w:sz w:val="20"/>
                <w:szCs w:val="20"/>
                <w:color w:val="auto"/>
              </w:rPr>
            </w:pPr>
            <w:r>
              <w:rPr>
                <w:rFonts w:ascii="Times New Roman" w:cs="Times New Roman" w:eastAsia="Times New Roman" w:hAnsi="Times New Roman"/>
                <w:sz w:val="13"/>
                <w:szCs w:val="13"/>
                <w:color w:val="auto"/>
              </w:rPr>
              <w:t>First-lien revolving loan (GBP 592 par, due</w:t>
            </w:r>
          </w:p>
        </w:tc>
        <w:tc>
          <w:tcPr>
            <w:tcW w:w="840" w:type="dxa"/>
            <w:vAlign w:val="bottom"/>
            <w:shd w:val="clear" w:color="auto" w:fill="CFF0FC"/>
          </w:tcPr>
          <w:p>
            <w:pPr>
              <w:jc w:val="right"/>
              <w:ind w:right="17"/>
              <w:spacing w:after="0" w:line="117" w:lineRule="exact"/>
              <w:rPr>
                <w:sz w:val="20"/>
                <w:szCs w:val="20"/>
                <w:color w:val="auto"/>
              </w:rPr>
            </w:pPr>
            <w:r>
              <w:rPr>
                <w:rFonts w:ascii="Times New Roman" w:cs="Times New Roman" w:eastAsia="Times New Roman" w:hAnsi="Times New Roman"/>
                <w:sz w:val="13"/>
                <w:szCs w:val="13"/>
                <w:color w:val="auto"/>
              </w:rPr>
              <w:t>9/6/2022</w:t>
            </w:r>
          </w:p>
        </w:tc>
        <w:tc>
          <w:tcPr>
            <w:tcW w:w="1160" w:type="dxa"/>
            <w:vAlign w:val="bottom"/>
            <w:shd w:val="clear" w:color="auto" w:fill="CFF0FC"/>
          </w:tcPr>
          <w:p>
            <w:pPr>
              <w:jc w:val="right"/>
              <w:ind w:right="237"/>
              <w:spacing w:after="0" w:line="117" w:lineRule="exact"/>
              <w:rPr>
                <w:sz w:val="20"/>
                <w:szCs w:val="20"/>
                <w:color w:val="auto"/>
              </w:rPr>
            </w:pPr>
            <w:r>
              <w:rPr>
                <w:rFonts w:ascii="Times New Roman" w:cs="Times New Roman" w:eastAsia="Times New Roman" w:hAnsi="Times New Roman"/>
                <w:sz w:val="13"/>
                <w:szCs w:val="13"/>
                <w:color w:val="auto"/>
              </w:rPr>
              <w:t>S + 7.00%</w:t>
            </w:r>
          </w:p>
        </w:tc>
        <w:tc>
          <w:tcPr>
            <w:tcW w:w="1420" w:type="dxa"/>
            <w:vAlign w:val="bottom"/>
            <w:shd w:val="clear" w:color="auto" w:fill="CFF0FC"/>
          </w:tcPr>
          <w:p>
            <w:pPr>
              <w:jc w:val="right"/>
              <w:ind w:right="77"/>
              <w:spacing w:after="0" w:line="117" w:lineRule="exact"/>
              <w:rPr>
                <w:sz w:val="20"/>
                <w:szCs w:val="20"/>
                <w:color w:val="auto"/>
              </w:rPr>
            </w:pPr>
            <w:r>
              <w:rPr>
                <w:rFonts w:ascii="Times New Roman" w:cs="Times New Roman" w:eastAsia="Times New Roman" w:hAnsi="Times New Roman"/>
                <w:sz w:val="13"/>
                <w:szCs w:val="13"/>
                <w:color w:val="auto"/>
              </w:rPr>
              <w:t>10.73%</w:t>
            </w:r>
          </w:p>
        </w:tc>
        <w:tc>
          <w:tcPr>
            <w:tcW w:w="88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724</w:t>
            </w:r>
          </w:p>
        </w:tc>
        <w:tc>
          <w:tcPr>
            <w:tcW w:w="122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807</w:t>
            </w:r>
          </w:p>
        </w:tc>
        <w:tc>
          <w:tcPr>
            <w:tcW w:w="1180" w:type="dxa"/>
            <w:vAlign w:val="bottom"/>
            <w:gridSpan w:val="3"/>
            <w:shd w:val="clear" w:color="auto" w:fill="CFF0FC"/>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0.1%</w:t>
            </w:r>
          </w:p>
        </w:tc>
      </w:tr>
      <w:tr>
        <w:trPr>
          <w:trHeight w:val="153"/>
        </w:trPr>
        <w:tc>
          <w:tcPr>
            <w:tcW w:w="1800" w:type="dxa"/>
            <w:vAlign w:val="bottom"/>
            <w:shd w:val="clear" w:color="auto" w:fill="CFF0FC"/>
          </w:tcPr>
          <w:p>
            <w:pPr>
              <w:spacing w:after="0"/>
              <w:rPr>
                <w:sz w:val="13"/>
                <w:szCs w:val="13"/>
                <w:color w:val="auto"/>
              </w:rPr>
            </w:pPr>
          </w:p>
        </w:tc>
        <w:tc>
          <w:tcPr>
            <w:tcW w:w="2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9/2028)</w:t>
            </w:r>
          </w:p>
        </w:tc>
        <w:tc>
          <w:tcPr>
            <w:tcW w:w="84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(GBP 600)</w:t>
            </w:r>
          </w:p>
        </w:tc>
        <w:tc>
          <w:tcPr>
            <w:tcW w:w="2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17"/>
        </w:trPr>
        <w:tc>
          <w:tcPr>
            <w:tcW w:w="1800" w:type="dxa"/>
            <w:vAlign w:val="bottom"/>
          </w:tcPr>
          <w:p>
            <w:pPr>
              <w:spacing w:after="0" w:line="117" w:lineRule="exact"/>
              <w:rPr>
                <w:sz w:val="20"/>
                <w:szCs w:val="20"/>
                <w:color w:val="auto"/>
              </w:rPr>
            </w:pPr>
            <w:r>
              <w:rPr>
                <w:rFonts w:ascii="Times New Roman" w:cs="Times New Roman" w:eastAsia="Times New Roman" w:hAnsi="Times New Roman"/>
                <w:sz w:val="10"/>
                <w:szCs w:val="10"/>
                <w:color w:val="auto"/>
              </w:rPr>
              <w:t xml:space="preserve">FGI Acquisition Corp. </w:t>
            </w:r>
            <w:r>
              <w:rPr>
                <w:rFonts w:ascii="Times New Roman" w:cs="Times New Roman" w:eastAsia="Times New Roman" w:hAnsi="Times New Roman"/>
                <w:sz w:val="13"/>
                <w:szCs w:val="13"/>
                <w:color w:val="auto"/>
                <w:vertAlign w:val="superscript"/>
              </w:rPr>
              <w:t>(3)(4)</w:t>
            </w:r>
          </w:p>
        </w:tc>
        <w:tc>
          <w:tcPr>
            <w:tcW w:w="2740" w:type="dxa"/>
            <w:vAlign w:val="bottom"/>
          </w:tcPr>
          <w:p>
            <w:pPr>
              <w:ind w:left="140"/>
              <w:spacing w:after="0" w:line="117" w:lineRule="exact"/>
              <w:rPr>
                <w:sz w:val="20"/>
                <w:szCs w:val="20"/>
                <w:color w:val="auto"/>
              </w:rPr>
            </w:pPr>
            <w:r>
              <w:rPr>
                <w:rFonts w:ascii="Times New Roman" w:cs="Times New Roman" w:eastAsia="Times New Roman" w:hAnsi="Times New Roman"/>
                <w:sz w:val="13"/>
                <w:szCs w:val="13"/>
                <w:color w:val="auto"/>
              </w:rPr>
              <w:t>First-lien loan ($89,550 par, due 6/2032)</w:t>
            </w:r>
          </w:p>
        </w:tc>
        <w:tc>
          <w:tcPr>
            <w:tcW w:w="840" w:type="dxa"/>
            <w:vAlign w:val="bottom"/>
          </w:tcPr>
          <w:p>
            <w:pPr>
              <w:jc w:val="right"/>
              <w:ind w:right="17"/>
              <w:spacing w:after="0" w:line="117" w:lineRule="exact"/>
              <w:rPr>
                <w:sz w:val="20"/>
                <w:szCs w:val="20"/>
                <w:color w:val="auto"/>
              </w:rPr>
            </w:pPr>
            <w:r>
              <w:rPr>
                <w:rFonts w:ascii="Times New Roman" w:cs="Times New Roman" w:eastAsia="Times New Roman" w:hAnsi="Times New Roman"/>
                <w:sz w:val="13"/>
                <w:szCs w:val="13"/>
                <w:color w:val="auto"/>
              </w:rPr>
              <w:t>6/4/2025</w:t>
            </w:r>
          </w:p>
        </w:tc>
        <w:tc>
          <w:tcPr>
            <w:tcW w:w="1160" w:type="dxa"/>
            <w:vAlign w:val="bottom"/>
          </w:tcPr>
          <w:p>
            <w:pPr>
              <w:jc w:val="right"/>
              <w:ind w:right="257"/>
              <w:spacing w:after="0" w:line="117" w:lineRule="exact"/>
              <w:rPr>
                <w:sz w:val="20"/>
                <w:szCs w:val="20"/>
                <w:color w:val="auto"/>
              </w:rPr>
            </w:pPr>
            <w:r>
              <w:rPr>
                <w:rFonts w:ascii="Times New Roman" w:cs="Times New Roman" w:eastAsia="Times New Roman" w:hAnsi="Times New Roman"/>
                <w:sz w:val="13"/>
                <w:szCs w:val="13"/>
                <w:color w:val="auto"/>
              </w:rPr>
              <w:t>SOFR +</w:t>
            </w:r>
          </w:p>
        </w:tc>
        <w:tc>
          <w:tcPr>
            <w:tcW w:w="1420" w:type="dxa"/>
            <w:vAlign w:val="bottom"/>
          </w:tcPr>
          <w:p>
            <w:pPr>
              <w:jc w:val="right"/>
              <w:ind w:right="77"/>
              <w:spacing w:after="0" w:line="117" w:lineRule="exact"/>
              <w:rPr>
                <w:sz w:val="20"/>
                <w:szCs w:val="20"/>
                <w:color w:val="auto"/>
              </w:rPr>
            </w:pPr>
            <w:r>
              <w:rPr>
                <w:rFonts w:ascii="Times New Roman" w:cs="Times New Roman" w:eastAsia="Times New Roman" w:hAnsi="Times New Roman"/>
                <w:sz w:val="13"/>
                <w:szCs w:val="13"/>
                <w:color w:val="auto"/>
              </w:rPr>
              <w:t>9.27%</w:t>
            </w:r>
          </w:p>
        </w:tc>
        <w:tc>
          <w:tcPr>
            <w:tcW w:w="88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87,867</w:t>
            </w:r>
          </w:p>
        </w:tc>
        <w:tc>
          <w:tcPr>
            <w:tcW w:w="12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88,878</w:t>
            </w:r>
          </w:p>
        </w:tc>
        <w:tc>
          <w:tcPr>
            <w:tcW w:w="118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2.1%</w:t>
            </w:r>
          </w:p>
        </w:tc>
      </w:tr>
      <w:tr>
        <w:trPr>
          <w:trHeight w:val="140"/>
        </w:trPr>
        <w:tc>
          <w:tcPr>
            <w:tcW w:w="18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60" w:type="dxa"/>
            <w:vAlign w:val="bottom"/>
          </w:tcPr>
          <w:p>
            <w:pPr>
              <w:jc w:val="right"/>
              <w:ind w:right="237"/>
              <w:spacing w:after="0" w:line="140" w:lineRule="exact"/>
              <w:rPr>
                <w:sz w:val="20"/>
                <w:szCs w:val="20"/>
                <w:color w:val="auto"/>
              </w:rPr>
            </w:pPr>
            <w:r>
              <w:rPr>
                <w:rFonts w:ascii="Times New Roman" w:cs="Times New Roman" w:eastAsia="Times New Roman" w:hAnsi="Times New Roman"/>
                <w:sz w:val="13"/>
                <w:szCs w:val="13"/>
                <w:color w:val="auto"/>
              </w:rPr>
              <w:t>5.50%</w:t>
            </w:r>
          </w:p>
        </w:tc>
        <w:tc>
          <w:tcPr>
            <w:tcW w:w="1420" w:type="dxa"/>
            <w:vAlign w:val="bottom"/>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28"/>
        </w:trPr>
        <w:tc>
          <w:tcPr>
            <w:tcW w:w="1800" w:type="dxa"/>
            <w:vAlign w:val="bottom"/>
            <w:shd w:val="clear" w:color="auto" w:fill="CFF0FC"/>
          </w:tcPr>
          <w:p>
            <w:pPr>
              <w:spacing w:after="0"/>
              <w:rPr>
                <w:sz w:val="11"/>
                <w:szCs w:val="11"/>
                <w:color w:val="auto"/>
              </w:rPr>
            </w:pPr>
          </w:p>
        </w:tc>
        <w:tc>
          <w:tcPr>
            <w:tcW w:w="27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14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124,140</w:t>
            </w:r>
          </w:p>
        </w:tc>
        <w:tc>
          <w:tcPr>
            <w:tcW w:w="122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130,920</w:t>
            </w:r>
          </w:p>
        </w:tc>
        <w:tc>
          <w:tcPr>
            <w:tcW w:w="1180" w:type="dxa"/>
            <w:vAlign w:val="bottom"/>
            <w:gridSpan w:val="3"/>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3.1%</w:t>
            </w:r>
          </w:p>
        </w:tc>
      </w:tr>
      <w:tr>
        <w:trPr>
          <w:trHeight w:val="128"/>
        </w:trPr>
        <w:tc>
          <w:tcPr>
            <w:tcW w:w="180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Communications</w:t>
            </w:r>
          </w:p>
        </w:tc>
        <w:tc>
          <w:tcPr>
            <w:tcW w:w="2740" w:type="dxa"/>
            <w:vAlign w:val="bottom"/>
            <w:tcBorders>
              <w:top w:val="single" w:sz="8" w:color="CFF0FC"/>
            </w:tcBorders>
          </w:tcPr>
          <w:p>
            <w:pPr>
              <w:spacing w:after="0"/>
              <w:rPr>
                <w:sz w:val="11"/>
                <w:szCs w:val="11"/>
                <w:color w:val="auto"/>
              </w:rPr>
            </w:pPr>
          </w:p>
        </w:tc>
        <w:tc>
          <w:tcPr>
            <w:tcW w:w="840" w:type="dxa"/>
            <w:vAlign w:val="bottom"/>
            <w:tcBorders>
              <w:top w:val="single" w:sz="8" w:color="CFF0FC"/>
            </w:tcBorders>
          </w:tcPr>
          <w:p>
            <w:pPr>
              <w:spacing w:after="0"/>
              <w:rPr>
                <w:sz w:val="11"/>
                <w:szCs w:val="11"/>
                <w:color w:val="auto"/>
              </w:rPr>
            </w:pPr>
          </w:p>
        </w:tc>
        <w:tc>
          <w:tcPr>
            <w:tcW w:w="1160" w:type="dxa"/>
            <w:vAlign w:val="bottom"/>
            <w:tcBorders>
              <w:top w:val="single" w:sz="8" w:color="CFF0FC"/>
            </w:tcBorders>
          </w:tcPr>
          <w:p>
            <w:pPr>
              <w:spacing w:after="0"/>
              <w:rPr>
                <w:sz w:val="11"/>
                <w:szCs w:val="11"/>
                <w:color w:val="auto"/>
              </w:rPr>
            </w:pPr>
          </w:p>
        </w:tc>
        <w:tc>
          <w:tcPr>
            <w:tcW w:w="1420" w:type="dxa"/>
            <w:vAlign w:val="bottom"/>
            <w:tcBorders>
              <w:top w:val="single" w:sz="8" w:color="CFF0FC"/>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r>
      <w:tr>
        <w:trPr>
          <w:trHeight w:val="117"/>
        </w:trPr>
        <w:tc>
          <w:tcPr>
            <w:tcW w:w="180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0"/>
                <w:szCs w:val="10"/>
                <w:color w:val="auto"/>
              </w:rPr>
              <w:t xml:space="preserve">Aurelia Netherlands B.V. </w:t>
            </w:r>
            <w:r>
              <w:rPr>
                <w:rFonts w:ascii="Times New Roman" w:cs="Times New Roman" w:eastAsia="Times New Roman" w:hAnsi="Times New Roman"/>
                <w:sz w:val="13"/>
                <w:szCs w:val="13"/>
                <w:color w:val="auto"/>
                <w:vertAlign w:val="superscript"/>
              </w:rPr>
              <w:t>(3)(4)</w:t>
            </w:r>
          </w:p>
        </w:tc>
        <w:tc>
          <w:tcPr>
            <w:tcW w:w="2740" w:type="dxa"/>
            <w:vAlign w:val="bottom"/>
            <w:shd w:val="clear" w:color="auto" w:fill="CFF0FC"/>
          </w:tcPr>
          <w:p>
            <w:pPr>
              <w:ind w:left="140"/>
              <w:spacing w:after="0" w:line="117" w:lineRule="exact"/>
              <w:rPr>
                <w:sz w:val="20"/>
                <w:szCs w:val="20"/>
                <w:color w:val="auto"/>
              </w:rPr>
            </w:pPr>
            <w:r>
              <w:rPr>
                <w:rFonts w:ascii="Times New Roman" w:cs="Times New Roman" w:eastAsia="Times New Roman" w:hAnsi="Times New Roman"/>
                <w:sz w:val="13"/>
                <w:szCs w:val="13"/>
                <w:color w:val="auto"/>
              </w:rPr>
              <w:t>First-lien loan (EUR 326,566 par, due 5/2031)</w:t>
            </w:r>
          </w:p>
        </w:tc>
        <w:tc>
          <w:tcPr>
            <w:tcW w:w="840" w:type="dxa"/>
            <w:vAlign w:val="bottom"/>
            <w:shd w:val="clear" w:color="auto" w:fill="CFF0FC"/>
          </w:tcPr>
          <w:p>
            <w:pPr>
              <w:jc w:val="right"/>
              <w:ind w:right="17"/>
              <w:spacing w:after="0" w:line="117" w:lineRule="exact"/>
              <w:rPr>
                <w:sz w:val="20"/>
                <w:szCs w:val="20"/>
                <w:color w:val="auto"/>
              </w:rPr>
            </w:pPr>
            <w:r>
              <w:rPr>
                <w:rFonts w:ascii="Times New Roman" w:cs="Times New Roman" w:eastAsia="Times New Roman" w:hAnsi="Times New Roman"/>
                <w:sz w:val="13"/>
                <w:szCs w:val="13"/>
                <w:color w:val="auto"/>
              </w:rPr>
              <w:t>5/22/2024</w:t>
            </w:r>
          </w:p>
        </w:tc>
        <w:tc>
          <w:tcPr>
            <w:tcW w:w="1160" w:type="dxa"/>
            <w:vAlign w:val="bottom"/>
            <w:shd w:val="clear" w:color="auto" w:fill="CFF0FC"/>
          </w:tcPr>
          <w:p>
            <w:pPr>
              <w:jc w:val="right"/>
              <w:ind w:right="237"/>
              <w:spacing w:after="0" w:line="117" w:lineRule="exact"/>
              <w:rPr>
                <w:sz w:val="20"/>
                <w:szCs w:val="20"/>
                <w:color w:val="auto"/>
              </w:rPr>
            </w:pPr>
            <w:r>
              <w:rPr>
                <w:rFonts w:ascii="Times New Roman" w:cs="Times New Roman" w:eastAsia="Times New Roman" w:hAnsi="Times New Roman"/>
                <w:sz w:val="13"/>
                <w:szCs w:val="13"/>
                <w:color w:val="auto"/>
              </w:rPr>
              <w:t>E + 4.75%</w:t>
            </w:r>
          </w:p>
        </w:tc>
        <w:tc>
          <w:tcPr>
            <w:tcW w:w="1420" w:type="dxa"/>
            <w:vAlign w:val="bottom"/>
            <w:shd w:val="clear" w:color="auto" w:fill="CFF0FC"/>
          </w:tcPr>
          <w:p>
            <w:pPr>
              <w:jc w:val="right"/>
              <w:ind w:right="77"/>
              <w:spacing w:after="0" w:line="117" w:lineRule="exact"/>
              <w:rPr>
                <w:sz w:val="20"/>
                <w:szCs w:val="20"/>
                <w:color w:val="auto"/>
              </w:rPr>
            </w:pPr>
            <w:r>
              <w:rPr>
                <w:rFonts w:ascii="Times New Roman" w:cs="Times New Roman" w:eastAsia="Times New Roman" w:hAnsi="Times New Roman"/>
                <w:sz w:val="13"/>
                <w:szCs w:val="13"/>
                <w:color w:val="auto"/>
              </w:rPr>
              <w:t>6.78%</w:t>
            </w:r>
          </w:p>
        </w:tc>
        <w:tc>
          <w:tcPr>
            <w:tcW w:w="88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354,785</w:t>
            </w:r>
          </w:p>
        </w:tc>
        <w:tc>
          <w:tcPr>
            <w:tcW w:w="122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385,453</w:t>
            </w:r>
          </w:p>
        </w:tc>
        <w:tc>
          <w:tcPr>
            <w:tcW w:w="1180" w:type="dxa"/>
            <w:vAlign w:val="bottom"/>
            <w:gridSpan w:val="3"/>
            <w:shd w:val="clear" w:color="auto" w:fill="CFF0FC"/>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9.2%</w:t>
            </w:r>
          </w:p>
        </w:tc>
      </w:tr>
      <w:tr>
        <w:trPr>
          <w:trHeight w:val="153"/>
        </w:trPr>
        <w:tc>
          <w:tcPr>
            <w:tcW w:w="1800" w:type="dxa"/>
            <w:vAlign w:val="bottom"/>
            <w:shd w:val="clear" w:color="auto" w:fill="CFF0FC"/>
          </w:tcPr>
          <w:p>
            <w:pPr>
              <w:spacing w:after="0"/>
              <w:rPr>
                <w:sz w:val="13"/>
                <w:szCs w:val="13"/>
                <w:color w:val="auto"/>
              </w:rPr>
            </w:pPr>
          </w:p>
        </w:tc>
        <w:tc>
          <w:tcPr>
            <w:tcW w:w="274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(EUR 328,199)</w:t>
            </w:r>
          </w:p>
        </w:tc>
        <w:tc>
          <w:tcPr>
            <w:tcW w:w="2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17"/>
        </w:trPr>
        <w:tc>
          <w:tcPr>
            <w:tcW w:w="1800" w:type="dxa"/>
            <w:vAlign w:val="bottom"/>
          </w:tcPr>
          <w:p>
            <w:pPr>
              <w:spacing w:after="0" w:line="117" w:lineRule="exact"/>
              <w:rPr>
                <w:sz w:val="20"/>
                <w:szCs w:val="20"/>
                <w:color w:val="auto"/>
              </w:rPr>
            </w:pPr>
            <w:r>
              <w:rPr>
                <w:rFonts w:ascii="Times New Roman" w:cs="Times New Roman" w:eastAsia="Times New Roman" w:hAnsi="Times New Roman"/>
                <w:sz w:val="10"/>
                <w:szCs w:val="10"/>
                <w:color w:val="auto"/>
              </w:rPr>
              <w:t xml:space="preserve">X Holdings. Inc. </w:t>
            </w:r>
            <w:r>
              <w:rPr>
                <w:rFonts w:ascii="Times New Roman" w:cs="Times New Roman" w:eastAsia="Times New Roman" w:hAnsi="Times New Roman"/>
                <w:sz w:val="13"/>
                <w:szCs w:val="13"/>
                <w:color w:val="auto"/>
                <w:vertAlign w:val="superscript"/>
              </w:rPr>
              <w:t>(12)</w:t>
            </w:r>
          </w:p>
        </w:tc>
        <w:tc>
          <w:tcPr>
            <w:tcW w:w="2740" w:type="dxa"/>
            <w:vAlign w:val="bottom"/>
          </w:tcPr>
          <w:p>
            <w:pPr>
              <w:ind w:left="140"/>
              <w:spacing w:after="0" w:line="117" w:lineRule="exact"/>
              <w:rPr>
                <w:sz w:val="20"/>
                <w:szCs w:val="20"/>
                <w:color w:val="auto"/>
              </w:rPr>
            </w:pPr>
            <w:r>
              <w:rPr>
                <w:rFonts w:ascii="Times New Roman" w:cs="Times New Roman" w:eastAsia="Times New Roman" w:hAnsi="Times New Roman"/>
                <w:sz w:val="10"/>
                <w:szCs w:val="10"/>
                <w:color w:val="auto"/>
              </w:rPr>
              <w:t xml:space="preserve">First-lien loan ($37,351 par, due 10/2029) </w:t>
            </w:r>
            <w:r>
              <w:rPr>
                <w:rFonts w:ascii="Times New Roman" w:cs="Times New Roman" w:eastAsia="Times New Roman" w:hAnsi="Times New Roman"/>
                <w:sz w:val="13"/>
                <w:szCs w:val="13"/>
                <w:color w:val="auto"/>
                <w:vertAlign w:val="superscript"/>
              </w:rPr>
              <w:t>(3)</w:t>
            </w:r>
          </w:p>
        </w:tc>
        <w:tc>
          <w:tcPr>
            <w:tcW w:w="840" w:type="dxa"/>
            <w:vAlign w:val="bottom"/>
          </w:tcPr>
          <w:p>
            <w:pPr>
              <w:jc w:val="right"/>
              <w:ind w:right="17"/>
              <w:spacing w:after="0" w:line="117" w:lineRule="exact"/>
              <w:rPr>
                <w:sz w:val="20"/>
                <w:szCs w:val="20"/>
                <w:color w:val="auto"/>
              </w:rPr>
            </w:pPr>
            <w:r>
              <w:rPr>
                <w:rFonts w:ascii="Times New Roman" w:cs="Times New Roman" w:eastAsia="Times New Roman" w:hAnsi="Times New Roman"/>
                <w:sz w:val="13"/>
                <w:szCs w:val="13"/>
                <w:color w:val="auto"/>
              </w:rPr>
              <w:t>2/5/2025</w:t>
            </w:r>
          </w:p>
        </w:tc>
        <w:tc>
          <w:tcPr>
            <w:tcW w:w="1160" w:type="dxa"/>
            <w:vAlign w:val="bottom"/>
          </w:tcPr>
          <w:p>
            <w:pPr>
              <w:jc w:val="right"/>
              <w:ind w:right="257"/>
              <w:spacing w:after="0" w:line="117" w:lineRule="exact"/>
              <w:rPr>
                <w:sz w:val="20"/>
                <w:szCs w:val="20"/>
                <w:color w:val="auto"/>
              </w:rPr>
            </w:pPr>
            <w:r>
              <w:rPr>
                <w:rFonts w:ascii="Times New Roman" w:cs="Times New Roman" w:eastAsia="Times New Roman" w:hAnsi="Times New Roman"/>
                <w:sz w:val="13"/>
                <w:szCs w:val="13"/>
                <w:color w:val="auto"/>
              </w:rPr>
              <w:t>SOFR +</w:t>
            </w:r>
          </w:p>
        </w:tc>
        <w:tc>
          <w:tcPr>
            <w:tcW w:w="1420" w:type="dxa"/>
            <w:vAlign w:val="bottom"/>
          </w:tcPr>
          <w:p>
            <w:pPr>
              <w:jc w:val="right"/>
              <w:ind w:right="77"/>
              <w:spacing w:after="0" w:line="117" w:lineRule="exact"/>
              <w:rPr>
                <w:sz w:val="20"/>
                <w:szCs w:val="20"/>
                <w:color w:val="auto"/>
              </w:rPr>
            </w:pPr>
            <w:r>
              <w:rPr>
                <w:rFonts w:ascii="Times New Roman" w:cs="Times New Roman" w:eastAsia="Times New Roman" w:hAnsi="Times New Roman"/>
                <w:sz w:val="13"/>
                <w:szCs w:val="13"/>
                <w:color w:val="auto"/>
              </w:rPr>
              <w:t>10.45%</w:t>
            </w:r>
          </w:p>
        </w:tc>
        <w:tc>
          <w:tcPr>
            <w:tcW w:w="88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36,391</w:t>
            </w:r>
          </w:p>
        </w:tc>
        <w:tc>
          <w:tcPr>
            <w:tcW w:w="12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36,657</w:t>
            </w:r>
          </w:p>
        </w:tc>
        <w:tc>
          <w:tcPr>
            <w:tcW w:w="118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0.9%</w:t>
            </w:r>
          </w:p>
        </w:tc>
      </w:tr>
      <w:tr>
        <w:trPr>
          <w:trHeight w:val="153"/>
        </w:trPr>
        <w:tc>
          <w:tcPr>
            <w:tcW w:w="180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60" w:type="dxa"/>
            <w:vAlign w:val="bottom"/>
          </w:tcPr>
          <w:p>
            <w:pPr>
              <w:jc w:val="right"/>
              <w:ind w:right="237"/>
              <w:spacing w:after="0"/>
              <w:rPr>
                <w:sz w:val="20"/>
                <w:szCs w:val="20"/>
                <w:color w:val="auto"/>
              </w:rPr>
            </w:pPr>
            <w:r>
              <w:rPr>
                <w:rFonts w:ascii="Times New Roman" w:cs="Times New Roman" w:eastAsia="Times New Roman" w:hAnsi="Times New Roman"/>
                <w:sz w:val="13"/>
                <w:szCs w:val="13"/>
                <w:color w:val="auto"/>
              </w:rPr>
              <w:t>6.75%</w:t>
            </w:r>
          </w:p>
        </w:tc>
        <w:tc>
          <w:tcPr>
            <w:tcW w:w="1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35"/>
        </w:trPr>
        <w:tc>
          <w:tcPr>
            <w:tcW w:w="1800" w:type="dxa"/>
            <w:vAlign w:val="bottom"/>
            <w:shd w:val="clear" w:color="auto" w:fill="CFF0FC"/>
          </w:tcPr>
          <w:p>
            <w:pPr>
              <w:spacing w:after="0"/>
              <w:rPr>
                <w:sz w:val="11"/>
                <w:szCs w:val="11"/>
                <w:color w:val="auto"/>
              </w:rPr>
            </w:pPr>
          </w:p>
        </w:tc>
        <w:tc>
          <w:tcPr>
            <w:tcW w:w="2740" w:type="dxa"/>
            <w:vAlign w:val="bottom"/>
            <w:shd w:val="clear" w:color="auto" w:fill="CFF0FC"/>
          </w:tcPr>
          <w:p>
            <w:pPr>
              <w:ind w:left="140"/>
              <w:spacing w:after="0" w:line="135" w:lineRule="exact"/>
              <w:rPr>
                <w:sz w:val="20"/>
                <w:szCs w:val="20"/>
                <w:color w:val="auto"/>
              </w:rPr>
            </w:pPr>
            <w:r>
              <w:rPr>
                <w:rFonts w:ascii="Times New Roman" w:cs="Times New Roman" w:eastAsia="Times New Roman" w:hAnsi="Times New Roman"/>
                <w:sz w:val="13"/>
                <w:szCs w:val="13"/>
                <w:color w:val="auto"/>
              </w:rPr>
              <w:t>First-lien loan ($29,710 par, due 10/2029)</w:t>
            </w:r>
          </w:p>
        </w:tc>
        <w:tc>
          <w:tcPr>
            <w:tcW w:w="84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4/28/2025</w:t>
            </w:r>
          </w:p>
        </w:tc>
        <w:tc>
          <w:tcPr>
            <w:tcW w:w="1160" w:type="dxa"/>
            <w:vAlign w:val="bottom"/>
            <w:shd w:val="clear" w:color="auto" w:fill="CFF0FC"/>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9.50%</w:t>
            </w:r>
          </w:p>
        </w:tc>
        <w:tc>
          <w:tcPr>
            <w:tcW w:w="142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9.50%</w:t>
            </w: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29,040</w:t>
            </w:r>
          </w:p>
        </w:tc>
        <w:tc>
          <w:tcPr>
            <w:tcW w:w="220" w:type="dxa"/>
            <w:vAlign w:val="bottom"/>
            <w:shd w:val="clear" w:color="auto" w:fill="CFF0FC"/>
          </w:tcPr>
          <w:p>
            <w:pPr>
              <w:spacing w:after="0"/>
              <w:rPr>
                <w:sz w:val="11"/>
                <w:szCs w:val="11"/>
                <w:color w:val="auto"/>
              </w:rPr>
            </w:pPr>
          </w:p>
        </w:tc>
        <w:tc>
          <w:tcPr>
            <w:tcW w:w="10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29,583</w:t>
            </w:r>
          </w:p>
        </w:tc>
        <w:tc>
          <w:tcPr>
            <w:tcW w:w="200" w:type="dxa"/>
            <w:vAlign w:val="bottom"/>
            <w:shd w:val="clear" w:color="auto" w:fill="CFF0FC"/>
          </w:tcPr>
          <w:p>
            <w:pPr>
              <w:spacing w:after="0"/>
              <w:rPr>
                <w:sz w:val="11"/>
                <w:szCs w:val="11"/>
                <w:color w:val="auto"/>
              </w:rPr>
            </w:pPr>
          </w:p>
        </w:tc>
        <w:tc>
          <w:tcPr>
            <w:tcW w:w="980" w:type="dxa"/>
            <w:vAlign w:val="bottom"/>
            <w:gridSpan w:val="2"/>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0.7%</w:t>
            </w:r>
          </w:p>
        </w:tc>
      </w:tr>
      <w:tr>
        <w:trPr>
          <w:trHeight w:val="20"/>
        </w:trPr>
        <w:tc>
          <w:tcPr>
            <w:tcW w:w="1800" w:type="dxa"/>
            <w:vAlign w:val="bottom"/>
            <w:shd w:val="clear" w:color="auto" w:fill="CFF0FC"/>
          </w:tcPr>
          <w:p>
            <w:pPr>
              <w:spacing w:after="0" w:line="20" w:lineRule="exact"/>
              <w:rPr>
                <w:sz w:val="1"/>
                <w:szCs w:val="1"/>
                <w:color w:val="auto"/>
              </w:rPr>
            </w:pPr>
          </w:p>
        </w:tc>
        <w:tc>
          <w:tcPr>
            <w:tcW w:w="274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1160" w:type="dxa"/>
            <w:vAlign w:val="bottom"/>
            <w:shd w:val="clear" w:color="auto" w:fill="CFF0FC"/>
          </w:tcPr>
          <w:p>
            <w:pPr>
              <w:spacing w:after="0" w:line="20" w:lineRule="exact"/>
              <w:rPr>
                <w:sz w:val="1"/>
                <w:szCs w:val="1"/>
                <w:color w:val="auto"/>
              </w:rPr>
            </w:pPr>
          </w:p>
        </w:tc>
        <w:tc>
          <w:tcPr>
            <w:tcW w:w="14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29"/>
        </w:trPr>
        <w:tc>
          <w:tcPr>
            <w:tcW w:w="180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420,216</w:t>
            </w:r>
          </w:p>
        </w:tc>
        <w:tc>
          <w:tcPr>
            <w:tcW w:w="220" w:type="dxa"/>
            <w:vAlign w:val="bottom"/>
          </w:tcPr>
          <w:p>
            <w:pPr>
              <w:spacing w:after="0"/>
              <w:rPr>
                <w:sz w:val="11"/>
                <w:szCs w:val="11"/>
                <w:color w:val="auto"/>
              </w:rPr>
            </w:pPr>
          </w:p>
        </w:tc>
        <w:tc>
          <w:tcPr>
            <w:tcW w:w="10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451,693</w:t>
            </w:r>
          </w:p>
        </w:tc>
        <w:tc>
          <w:tcPr>
            <w:tcW w:w="200" w:type="dxa"/>
            <w:vAlign w:val="bottom"/>
          </w:tcPr>
          <w:p>
            <w:pPr>
              <w:spacing w:after="0"/>
              <w:rPr>
                <w:sz w:val="11"/>
                <w:szCs w:val="11"/>
                <w:color w:val="auto"/>
              </w:rPr>
            </w:pPr>
          </w:p>
        </w:tc>
        <w:tc>
          <w:tcPr>
            <w:tcW w:w="98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10.8%</w:t>
            </w:r>
          </w:p>
        </w:tc>
      </w:tr>
      <w:tr>
        <w:trPr>
          <w:trHeight w:val="128"/>
        </w:trPr>
        <w:tc>
          <w:tcPr>
            <w:tcW w:w="180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Education</w:t>
            </w:r>
          </w:p>
        </w:tc>
        <w:tc>
          <w:tcPr>
            <w:tcW w:w="27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1420" w:type="dxa"/>
            <w:vAlign w:val="bottom"/>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6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180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 xml:space="preserve">Kangaroo Bidco AS </w:t>
            </w:r>
            <w:r>
              <w:rPr>
                <w:rFonts w:ascii="Times New Roman" w:cs="Times New Roman" w:eastAsia="Times New Roman" w:hAnsi="Times New Roman"/>
                <w:sz w:val="15"/>
                <w:szCs w:val="15"/>
                <w:color w:val="auto"/>
                <w:vertAlign w:val="superscript"/>
              </w:rPr>
              <w:t>(3)(4)</w:t>
            </w:r>
          </w:p>
        </w:tc>
        <w:tc>
          <w:tcPr>
            <w:tcW w:w="274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First-lien loan ($157,500 par, due 11/2030)</w:t>
            </w:r>
          </w:p>
        </w:tc>
        <w:tc>
          <w:tcPr>
            <w:tcW w:w="84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11/2/2023</w:t>
            </w:r>
          </w:p>
        </w:tc>
        <w:tc>
          <w:tcPr>
            <w:tcW w:w="1160" w:type="dxa"/>
            <w:vAlign w:val="bottom"/>
          </w:tcPr>
          <w:p>
            <w:pPr>
              <w:jc w:val="right"/>
              <w:ind w:right="237"/>
              <w:spacing w:after="0" w:line="135" w:lineRule="exact"/>
              <w:rPr>
                <w:sz w:val="20"/>
                <w:szCs w:val="20"/>
                <w:color w:val="auto"/>
              </w:rPr>
            </w:pPr>
            <w:r>
              <w:rPr>
                <w:rFonts w:ascii="Times New Roman" w:cs="Times New Roman" w:eastAsia="Times New Roman" w:hAnsi="Times New Roman"/>
                <w:sz w:val="13"/>
                <w:szCs w:val="13"/>
                <w:color w:val="auto"/>
              </w:rPr>
              <w:t>SOFR + 6.25%</w:t>
            </w:r>
          </w:p>
        </w:tc>
        <w:tc>
          <w:tcPr>
            <w:tcW w:w="142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9.99%</w:t>
            </w: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154,004</w:t>
            </w:r>
          </w:p>
        </w:tc>
        <w:tc>
          <w:tcPr>
            <w:tcW w:w="12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159,300</w:t>
            </w:r>
          </w:p>
        </w:tc>
        <w:tc>
          <w:tcPr>
            <w:tcW w:w="1180" w:type="dxa"/>
            <w:vAlign w:val="bottom"/>
            <w:gridSpan w:val="3"/>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3.8%</w:t>
            </w:r>
          </w:p>
        </w:tc>
      </w:tr>
      <w:tr>
        <w:trPr>
          <w:trHeight w:val="117"/>
        </w:trPr>
        <w:tc>
          <w:tcPr>
            <w:tcW w:w="180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0"/>
                <w:szCs w:val="10"/>
                <w:color w:val="auto"/>
              </w:rPr>
              <w:t xml:space="preserve">Severin Acquisition, LLC </w:t>
            </w:r>
            <w:r>
              <w:rPr>
                <w:rFonts w:ascii="Times New Roman" w:cs="Times New Roman" w:eastAsia="Times New Roman" w:hAnsi="Times New Roman"/>
                <w:sz w:val="13"/>
                <w:szCs w:val="13"/>
                <w:color w:val="auto"/>
                <w:vertAlign w:val="superscript"/>
              </w:rPr>
              <w:t>(3)</w:t>
            </w:r>
          </w:p>
        </w:tc>
        <w:tc>
          <w:tcPr>
            <w:tcW w:w="2740" w:type="dxa"/>
            <w:vAlign w:val="bottom"/>
            <w:shd w:val="clear" w:color="auto" w:fill="CFF0FC"/>
          </w:tcPr>
          <w:p>
            <w:pPr>
              <w:ind w:left="140"/>
              <w:spacing w:after="0" w:line="117" w:lineRule="exact"/>
              <w:rPr>
                <w:sz w:val="20"/>
                <w:szCs w:val="20"/>
                <w:color w:val="auto"/>
              </w:rPr>
            </w:pPr>
            <w:r>
              <w:rPr>
                <w:rFonts w:ascii="Times New Roman" w:cs="Times New Roman" w:eastAsia="Times New Roman" w:hAnsi="Times New Roman"/>
                <w:sz w:val="13"/>
                <w:szCs w:val="13"/>
                <w:color w:val="auto"/>
              </w:rPr>
              <w:t>First-lien loan ($188,983 par, due 10/2031)</w:t>
            </w:r>
          </w:p>
        </w:tc>
        <w:tc>
          <w:tcPr>
            <w:tcW w:w="840" w:type="dxa"/>
            <w:vAlign w:val="bottom"/>
            <w:shd w:val="clear" w:color="auto" w:fill="CFF0FC"/>
          </w:tcPr>
          <w:p>
            <w:pPr>
              <w:jc w:val="right"/>
              <w:ind w:right="17"/>
              <w:spacing w:after="0" w:line="117" w:lineRule="exact"/>
              <w:rPr>
                <w:sz w:val="20"/>
                <w:szCs w:val="20"/>
                <w:color w:val="auto"/>
              </w:rPr>
            </w:pPr>
            <w:r>
              <w:rPr>
                <w:rFonts w:ascii="Times New Roman" w:cs="Times New Roman" w:eastAsia="Times New Roman" w:hAnsi="Times New Roman"/>
                <w:sz w:val="13"/>
                <w:szCs w:val="13"/>
                <w:color w:val="auto"/>
              </w:rPr>
              <w:t>10/1/2024</w:t>
            </w:r>
          </w:p>
        </w:tc>
        <w:tc>
          <w:tcPr>
            <w:tcW w:w="1160" w:type="dxa"/>
            <w:vAlign w:val="bottom"/>
            <w:shd w:val="clear" w:color="auto" w:fill="CFF0FC"/>
          </w:tcPr>
          <w:p>
            <w:pPr>
              <w:jc w:val="right"/>
              <w:ind w:right="237"/>
              <w:spacing w:after="0" w:line="117" w:lineRule="exact"/>
              <w:rPr>
                <w:sz w:val="20"/>
                <w:szCs w:val="20"/>
                <w:color w:val="auto"/>
              </w:rPr>
            </w:pPr>
            <w:r>
              <w:rPr>
                <w:rFonts w:ascii="Times New Roman" w:cs="Times New Roman" w:eastAsia="Times New Roman" w:hAnsi="Times New Roman"/>
                <w:sz w:val="13"/>
                <w:szCs w:val="13"/>
                <w:color w:val="auto"/>
              </w:rPr>
              <w:t>SOFR + 4.75%</w:t>
            </w:r>
          </w:p>
        </w:tc>
        <w:tc>
          <w:tcPr>
            <w:tcW w:w="1420" w:type="dxa"/>
            <w:vAlign w:val="bottom"/>
            <w:shd w:val="clear" w:color="auto" w:fill="CFF0FC"/>
          </w:tcPr>
          <w:p>
            <w:pPr>
              <w:jc w:val="right"/>
              <w:ind w:right="217"/>
              <w:spacing w:after="0" w:line="117" w:lineRule="exact"/>
              <w:rPr>
                <w:sz w:val="20"/>
                <w:szCs w:val="20"/>
                <w:color w:val="auto"/>
              </w:rPr>
            </w:pPr>
            <w:r>
              <w:rPr>
                <w:rFonts w:ascii="Times New Roman" w:cs="Times New Roman" w:eastAsia="Times New Roman" w:hAnsi="Times New Roman"/>
                <w:sz w:val="13"/>
                <w:szCs w:val="13"/>
                <w:color w:val="auto"/>
              </w:rPr>
              <w:t>8.47% (incl. 2.25%</w:t>
            </w:r>
          </w:p>
        </w:tc>
        <w:tc>
          <w:tcPr>
            <w:tcW w:w="88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188,763</w:t>
            </w:r>
          </w:p>
        </w:tc>
        <w:tc>
          <w:tcPr>
            <w:tcW w:w="122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188,381</w:t>
            </w:r>
          </w:p>
        </w:tc>
        <w:tc>
          <w:tcPr>
            <w:tcW w:w="1180" w:type="dxa"/>
            <w:vAlign w:val="bottom"/>
            <w:gridSpan w:val="3"/>
            <w:shd w:val="clear" w:color="auto" w:fill="CFF0FC"/>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4.5%</w:t>
            </w:r>
          </w:p>
        </w:tc>
      </w:tr>
      <w:tr>
        <w:trPr>
          <w:trHeight w:val="140"/>
        </w:trPr>
        <w:tc>
          <w:tcPr>
            <w:tcW w:w="1800" w:type="dxa"/>
            <w:vAlign w:val="bottom"/>
            <w:tcBorders>
              <w:bottom w:val="single" w:sz="8" w:color="CFF0FC"/>
            </w:tcBorders>
            <w:shd w:val="clear" w:color="auto" w:fill="CFF0FC"/>
          </w:tcPr>
          <w:p>
            <w:pPr>
              <w:spacing w:after="0"/>
              <w:rPr>
                <w:sz w:val="12"/>
                <w:szCs w:val="12"/>
                <w:color w:val="auto"/>
              </w:rPr>
            </w:pPr>
          </w:p>
        </w:tc>
        <w:tc>
          <w:tcPr>
            <w:tcW w:w="2740" w:type="dxa"/>
            <w:vAlign w:val="bottom"/>
            <w:tcBorders>
              <w:bottom w:val="single" w:sz="8" w:color="CFF0FC"/>
            </w:tcBorders>
            <w:shd w:val="clear" w:color="auto" w:fill="CFF0FC"/>
          </w:tcPr>
          <w:p>
            <w:pPr>
              <w:spacing w:after="0"/>
              <w:rPr>
                <w:sz w:val="12"/>
                <w:szCs w:val="12"/>
                <w:color w:val="auto"/>
              </w:rPr>
            </w:pPr>
          </w:p>
        </w:tc>
        <w:tc>
          <w:tcPr>
            <w:tcW w:w="840" w:type="dxa"/>
            <w:vAlign w:val="bottom"/>
            <w:tcBorders>
              <w:bottom w:val="single" w:sz="8" w:color="CFF0FC"/>
            </w:tcBorders>
            <w:shd w:val="clear" w:color="auto" w:fill="CFF0FC"/>
          </w:tcPr>
          <w:p>
            <w:pPr>
              <w:spacing w:after="0"/>
              <w:rPr>
                <w:sz w:val="12"/>
                <w:szCs w:val="12"/>
                <w:color w:val="auto"/>
              </w:rPr>
            </w:pPr>
          </w:p>
        </w:tc>
        <w:tc>
          <w:tcPr>
            <w:tcW w:w="1160" w:type="dxa"/>
            <w:vAlign w:val="bottom"/>
            <w:tcBorders>
              <w:bottom w:val="single" w:sz="8" w:color="CFF0FC"/>
            </w:tcBorders>
            <w:shd w:val="clear" w:color="auto" w:fill="CFF0FC"/>
          </w:tcPr>
          <w:p>
            <w:pPr>
              <w:spacing w:after="0"/>
              <w:rPr>
                <w:sz w:val="12"/>
                <w:szCs w:val="12"/>
                <w:color w:val="auto"/>
              </w:rPr>
            </w:pPr>
          </w:p>
        </w:tc>
        <w:tc>
          <w:tcPr>
            <w:tcW w:w="1420" w:type="dxa"/>
            <w:vAlign w:val="bottom"/>
            <w:tcBorders>
              <w:bottom w:val="single" w:sz="8" w:color="CFF0FC"/>
            </w:tcBorders>
            <w:shd w:val="clear" w:color="auto" w:fill="CFF0FC"/>
          </w:tcPr>
          <w:p>
            <w:pPr>
              <w:jc w:val="right"/>
              <w:ind w:right="197"/>
              <w:spacing w:after="0" w:line="140" w:lineRule="exact"/>
              <w:rPr>
                <w:sz w:val="20"/>
                <w:szCs w:val="20"/>
                <w:color w:val="auto"/>
              </w:rPr>
            </w:pPr>
            <w:r>
              <w:rPr>
                <w:rFonts w:ascii="Times New Roman" w:cs="Times New Roman" w:eastAsia="Times New Roman" w:hAnsi="Times New Roman"/>
                <w:sz w:val="13"/>
                <w:szCs w:val="13"/>
                <w:color w:val="auto"/>
              </w:rPr>
              <w:t>PIK)</w:t>
            </w:r>
          </w:p>
        </w:tc>
        <w:tc>
          <w:tcPr>
            <w:tcW w:w="880" w:type="dxa"/>
            <w:vAlign w:val="bottom"/>
            <w:tcBorders>
              <w:bottom w:val="single" w:sz="8" w:color="auto"/>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spacing w:after="0"/>
              <w:rPr>
                <w:sz w:val="12"/>
                <w:szCs w:val="12"/>
                <w:color w:val="auto"/>
              </w:rPr>
            </w:pPr>
          </w:p>
        </w:tc>
        <w:tc>
          <w:tcPr>
            <w:tcW w:w="200" w:type="dxa"/>
            <w:vAlign w:val="bottom"/>
            <w:tcBorders>
              <w:bottom w:val="single" w:sz="8" w:color="CFF0FC"/>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r>
      <w:tr>
        <w:trPr>
          <w:trHeight w:val="128"/>
        </w:trPr>
        <w:tc>
          <w:tcPr>
            <w:tcW w:w="180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342,767</w:t>
            </w:r>
          </w:p>
        </w:tc>
        <w:tc>
          <w:tcPr>
            <w:tcW w:w="122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347,681</w:t>
            </w:r>
          </w:p>
        </w:tc>
        <w:tc>
          <w:tcPr>
            <w:tcW w:w="1180" w:type="dxa"/>
            <w:vAlign w:val="bottom"/>
            <w:gridSpan w:val="3"/>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8.3%</w:t>
            </w:r>
          </w:p>
        </w:tc>
      </w:tr>
      <w:tr>
        <w:trPr>
          <w:trHeight w:val="128"/>
        </w:trPr>
        <w:tc>
          <w:tcPr>
            <w:tcW w:w="180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Electronics</w:t>
            </w:r>
          </w:p>
        </w:tc>
        <w:tc>
          <w:tcPr>
            <w:tcW w:w="27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1420" w:type="dxa"/>
            <w:vAlign w:val="bottom"/>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6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180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 xml:space="preserve">Sapphire Software Buyer, Inc. </w:t>
            </w:r>
            <w:r>
              <w:rPr>
                <w:rFonts w:ascii="Times New Roman" w:cs="Times New Roman" w:eastAsia="Times New Roman" w:hAnsi="Times New Roman"/>
                <w:sz w:val="15"/>
                <w:szCs w:val="15"/>
                <w:color w:val="auto"/>
                <w:vertAlign w:val="superscript"/>
              </w:rPr>
              <w:t>(3)</w:t>
            </w:r>
          </w:p>
        </w:tc>
        <w:tc>
          <w:tcPr>
            <w:tcW w:w="274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First-lien loan ($224,695 par, due 9/2031)</w:t>
            </w:r>
          </w:p>
        </w:tc>
        <w:tc>
          <w:tcPr>
            <w:tcW w:w="84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9/30/2024</w:t>
            </w:r>
          </w:p>
        </w:tc>
        <w:tc>
          <w:tcPr>
            <w:tcW w:w="1160" w:type="dxa"/>
            <w:vAlign w:val="bottom"/>
          </w:tcPr>
          <w:p>
            <w:pPr>
              <w:jc w:val="right"/>
              <w:ind w:right="237"/>
              <w:spacing w:after="0" w:line="135" w:lineRule="exact"/>
              <w:rPr>
                <w:sz w:val="20"/>
                <w:szCs w:val="20"/>
                <w:color w:val="auto"/>
              </w:rPr>
            </w:pPr>
            <w:r>
              <w:rPr>
                <w:rFonts w:ascii="Times New Roman" w:cs="Times New Roman" w:eastAsia="Times New Roman" w:hAnsi="Times New Roman"/>
                <w:sz w:val="13"/>
                <w:szCs w:val="13"/>
                <w:color w:val="auto"/>
              </w:rPr>
              <w:t>SOFR + 5.00%</w:t>
            </w:r>
          </w:p>
        </w:tc>
        <w:tc>
          <w:tcPr>
            <w:tcW w:w="142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8.87%</w:t>
            </w: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222,585</w:t>
            </w:r>
          </w:p>
        </w:tc>
        <w:tc>
          <w:tcPr>
            <w:tcW w:w="12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223,437</w:t>
            </w:r>
          </w:p>
        </w:tc>
        <w:tc>
          <w:tcPr>
            <w:tcW w:w="1180" w:type="dxa"/>
            <w:vAlign w:val="bottom"/>
            <w:gridSpan w:val="3"/>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5.4%</w:t>
            </w:r>
          </w:p>
        </w:tc>
      </w:tr>
      <w:tr>
        <w:trPr>
          <w:trHeight w:val="135"/>
        </w:trPr>
        <w:tc>
          <w:tcPr>
            <w:tcW w:w="18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Financial Services</w:t>
            </w:r>
          </w:p>
        </w:tc>
        <w:tc>
          <w:tcPr>
            <w:tcW w:w="27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14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17"/>
        </w:trPr>
        <w:tc>
          <w:tcPr>
            <w:tcW w:w="1800" w:type="dxa"/>
            <w:vAlign w:val="bottom"/>
          </w:tcPr>
          <w:p>
            <w:pPr>
              <w:spacing w:after="0" w:line="117" w:lineRule="exact"/>
              <w:rPr>
                <w:sz w:val="20"/>
                <w:szCs w:val="20"/>
                <w:color w:val="auto"/>
              </w:rPr>
            </w:pPr>
            <w:r>
              <w:rPr>
                <w:rFonts w:ascii="Times New Roman" w:cs="Times New Roman" w:eastAsia="Times New Roman" w:hAnsi="Times New Roman"/>
                <w:sz w:val="10"/>
                <w:szCs w:val="10"/>
                <w:color w:val="auto"/>
              </w:rPr>
              <w:t xml:space="preserve">Alaska Bidco Oy </w:t>
            </w:r>
            <w:r>
              <w:rPr>
                <w:rFonts w:ascii="Times New Roman" w:cs="Times New Roman" w:eastAsia="Times New Roman" w:hAnsi="Times New Roman"/>
                <w:sz w:val="13"/>
                <w:szCs w:val="13"/>
                <w:color w:val="auto"/>
                <w:vertAlign w:val="superscript"/>
              </w:rPr>
              <w:t>(3)(4)</w:t>
            </w:r>
          </w:p>
        </w:tc>
        <w:tc>
          <w:tcPr>
            <w:tcW w:w="2740" w:type="dxa"/>
            <w:vAlign w:val="bottom"/>
          </w:tcPr>
          <w:p>
            <w:pPr>
              <w:ind w:left="140"/>
              <w:spacing w:after="0" w:line="117" w:lineRule="exact"/>
              <w:rPr>
                <w:sz w:val="20"/>
                <w:szCs w:val="20"/>
                <w:color w:val="auto"/>
              </w:rPr>
            </w:pPr>
            <w:r>
              <w:rPr>
                <w:rFonts w:ascii="Times New Roman" w:cs="Times New Roman" w:eastAsia="Times New Roman" w:hAnsi="Times New Roman"/>
                <w:sz w:val="13"/>
                <w:szCs w:val="13"/>
                <w:color w:val="auto"/>
              </w:rPr>
              <w:t>First-lien loan (EUR 727 par, due 5/2030)</w:t>
            </w:r>
          </w:p>
        </w:tc>
        <w:tc>
          <w:tcPr>
            <w:tcW w:w="840" w:type="dxa"/>
            <w:vAlign w:val="bottom"/>
          </w:tcPr>
          <w:p>
            <w:pPr>
              <w:jc w:val="right"/>
              <w:ind w:right="17"/>
              <w:spacing w:after="0" w:line="117" w:lineRule="exact"/>
              <w:rPr>
                <w:sz w:val="20"/>
                <w:szCs w:val="20"/>
                <w:color w:val="auto"/>
              </w:rPr>
            </w:pPr>
            <w:r>
              <w:rPr>
                <w:rFonts w:ascii="Times New Roman" w:cs="Times New Roman" w:eastAsia="Times New Roman" w:hAnsi="Times New Roman"/>
                <w:sz w:val="13"/>
                <w:szCs w:val="13"/>
                <w:color w:val="auto"/>
              </w:rPr>
              <w:t>5/30/2023</w:t>
            </w:r>
          </w:p>
        </w:tc>
        <w:tc>
          <w:tcPr>
            <w:tcW w:w="1160" w:type="dxa"/>
            <w:vAlign w:val="bottom"/>
          </w:tcPr>
          <w:p>
            <w:pPr>
              <w:jc w:val="right"/>
              <w:ind w:right="237"/>
              <w:spacing w:after="0" w:line="117" w:lineRule="exact"/>
              <w:rPr>
                <w:sz w:val="20"/>
                <w:szCs w:val="20"/>
                <w:color w:val="auto"/>
              </w:rPr>
            </w:pPr>
            <w:r>
              <w:rPr>
                <w:rFonts w:ascii="Times New Roman" w:cs="Times New Roman" w:eastAsia="Times New Roman" w:hAnsi="Times New Roman"/>
                <w:sz w:val="13"/>
                <w:szCs w:val="13"/>
                <w:color w:val="auto"/>
              </w:rPr>
              <w:t>E + 5.75%</w:t>
            </w:r>
          </w:p>
        </w:tc>
        <w:tc>
          <w:tcPr>
            <w:tcW w:w="1420" w:type="dxa"/>
            <w:vAlign w:val="bottom"/>
          </w:tcPr>
          <w:p>
            <w:pPr>
              <w:jc w:val="right"/>
              <w:ind w:right="77"/>
              <w:spacing w:after="0" w:line="117" w:lineRule="exact"/>
              <w:rPr>
                <w:sz w:val="20"/>
                <w:szCs w:val="20"/>
                <w:color w:val="auto"/>
              </w:rPr>
            </w:pPr>
            <w:r>
              <w:rPr>
                <w:rFonts w:ascii="Times New Roman" w:cs="Times New Roman" w:eastAsia="Times New Roman" w:hAnsi="Times New Roman"/>
                <w:sz w:val="13"/>
                <w:szCs w:val="13"/>
                <w:color w:val="auto"/>
              </w:rPr>
              <w:t>7.77%</w:t>
            </w:r>
          </w:p>
        </w:tc>
        <w:tc>
          <w:tcPr>
            <w:tcW w:w="88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763</w:t>
            </w:r>
          </w:p>
        </w:tc>
        <w:tc>
          <w:tcPr>
            <w:tcW w:w="12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860</w:t>
            </w:r>
          </w:p>
        </w:tc>
        <w:tc>
          <w:tcPr>
            <w:tcW w:w="118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0.1%</w:t>
            </w:r>
          </w:p>
        </w:tc>
      </w:tr>
      <w:tr>
        <w:trPr>
          <w:trHeight w:val="164"/>
        </w:trPr>
        <w:tc>
          <w:tcPr>
            <w:tcW w:w="18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(EUR 732)</w:t>
            </w: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-2629535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-2629535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-2629535</wp:posOffset>
            </wp:positionV>
            <wp:extent cx="7747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-1497965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-1497965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-1497965</wp:posOffset>
            </wp:positionV>
            <wp:extent cx="7747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-974725</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-974725</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-974725</wp:posOffset>
            </wp:positionV>
            <wp:extent cx="7747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-537845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-537845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-537845</wp:posOffset>
            </wp:positionV>
            <wp:extent cx="7747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6" w:right="339"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21"/>
        </w:trPr>
        <w:tc>
          <w:tcPr>
            <w:tcW w:w="18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84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 xml:space="preserve">Arlberg Bidco, LLC </w:t>
            </w:r>
            <w:r>
              <w:rPr>
                <w:rFonts w:ascii="Times New Roman" w:cs="Times New Roman" w:eastAsia="Times New Roman" w:hAnsi="Times New Roman"/>
                <w:sz w:val="15"/>
                <w:szCs w:val="15"/>
                <w:color w:val="auto"/>
                <w:vertAlign w:val="superscript"/>
              </w:rPr>
              <w:t>(3)(4)(5)</w:t>
            </w:r>
          </w:p>
        </w:tc>
        <w:tc>
          <w:tcPr>
            <w:tcW w:w="2620" w:type="dxa"/>
            <w:vAlign w:val="bottom"/>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color w:val="auto"/>
              </w:rPr>
              <w:t>First-lien loan ($5,000 par, due 2/2031)</w:t>
            </w:r>
          </w:p>
        </w:tc>
        <w:tc>
          <w:tcPr>
            <w:tcW w:w="92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2/14/2025</w:t>
            </w:r>
          </w:p>
        </w:tc>
        <w:tc>
          <w:tcPr>
            <w:tcW w:w="1100" w:type="dxa"/>
            <w:vAlign w:val="bottom"/>
            <w:shd w:val="clear" w:color="auto" w:fill="CFF0FC"/>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SOFR + 5.75%</w:t>
            </w:r>
          </w:p>
        </w:tc>
        <w:tc>
          <w:tcPr>
            <w:tcW w:w="1480" w:type="dxa"/>
            <w:vAlign w:val="bottom"/>
            <w:shd w:val="clear" w:color="auto" w:fill="CFF0FC"/>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9.60%</w:t>
            </w: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4,903</w:t>
            </w:r>
          </w:p>
        </w:tc>
        <w:tc>
          <w:tcPr>
            <w:tcW w:w="122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4,963</w:t>
            </w:r>
          </w:p>
        </w:tc>
        <w:tc>
          <w:tcPr>
            <w:tcW w:w="1180" w:type="dxa"/>
            <w:vAlign w:val="bottom"/>
            <w:gridSpan w:val="3"/>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17"/>
        </w:trPr>
        <w:tc>
          <w:tcPr>
            <w:tcW w:w="1840" w:type="dxa"/>
            <w:vAlign w:val="bottom"/>
          </w:tcPr>
          <w:p>
            <w:pPr>
              <w:spacing w:after="0" w:line="117" w:lineRule="exact"/>
              <w:rPr>
                <w:sz w:val="20"/>
                <w:szCs w:val="20"/>
                <w:color w:val="auto"/>
              </w:rPr>
            </w:pPr>
            <w:r>
              <w:rPr>
                <w:rFonts w:ascii="Times New Roman" w:cs="Times New Roman" w:eastAsia="Times New Roman" w:hAnsi="Times New Roman"/>
                <w:sz w:val="10"/>
                <w:szCs w:val="10"/>
                <w:color w:val="auto"/>
              </w:rPr>
              <w:t xml:space="preserve">GreenShoot BidCo B.V. </w:t>
            </w:r>
            <w:r>
              <w:rPr>
                <w:rFonts w:ascii="Times New Roman" w:cs="Times New Roman" w:eastAsia="Times New Roman" w:hAnsi="Times New Roman"/>
                <w:sz w:val="13"/>
                <w:szCs w:val="13"/>
                <w:color w:val="auto"/>
                <w:vertAlign w:val="superscript"/>
              </w:rPr>
              <w:t>(3)(4)</w:t>
            </w:r>
          </w:p>
        </w:tc>
        <w:tc>
          <w:tcPr>
            <w:tcW w:w="2620" w:type="dxa"/>
            <w:vAlign w:val="bottom"/>
          </w:tcPr>
          <w:p>
            <w:pPr>
              <w:ind w:left="100"/>
              <w:spacing w:after="0" w:line="117" w:lineRule="exact"/>
              <w:rPr>
                <w:sz w:val="20"/>
                <w:szCs w:val="20"/>
                <w:color w:val="auto"/>
              </w:rPr>
            </w:pPr>
            <w:r>
              <w:rPr>
                <w:rFonts w:ascii="Times New Roman" w:cs="Times New Roman" w:eastAsia="Times New Roman" w:hAnsi="Times New Roman"/>
                <w:sz w:val="13"/>
                <w:szCs w:val="13"/>
                <w:color w:val="auto"/>
              </w:rPr>
              <w:t>First-lien loan (EUR 5,107 par, due 5/2030)</w:t>
            </w:r>
          </w:p>
        </w:tc>
        <w:tc>
          <w:tcPr>
            <w:tcW w:w="920" w:type="dxa"/>
            <w:vAlign w:val="bottom"/>
          </w:tcPr>
          <w:p>
            <w:pPr>
              <w:jc w:val="right"/>
              <w:ind w:right="37"/>
              <w:spacing w:after="0" w:line="117" w:lineRule="exact"/>
              <w:rPr>
                <w:sz w:val="20"/>
                <w:szCs w:val="20"/>
                <w:color w:val="auto"/>
              </w:rPr>
            </w:pPr>
            <w:r>
              <w:rPr>
                <w:rFonts w:ascii="Times New Roman" w:cs="Times New Roman" w:eastAsia="Times New Roman" w:hAnsi="Times New Roman"/>
                <w:sz w:val="13"/>
                <w:szCs w:val="13"/>
                <w:color w:val="auto"/>
              </w:rPr>
              <w:t>5/28/2024</w:t>
            </w:r>
          </w:p>
        </w:tc>
        <w:tc>
          <w:tcPr>
            <w:tcW w:w="1100" w:type="dxa"/>
            <w:vAlign w:val="bottom"/>
          </w:tcPr>
          <w:p>
            <w:pPr>
              <w:jc w:val="right"/>
              <w:ind w:right="177"/>
              <w:spacing w:after="0" w:line="117" w:lineRule="exact"/>
              <w:rPr>
                <w:sz w:val="20"/>
                <w:szCs w:val="20"/>
                <w:color w:val="auto"/>
              </w:rPr>
            </w:pPr>
            <w:r>
              <w:rPr>
                <w:rFonts w:ascii="Times New Roman" w:cs="Times New Roman" w:eastAsia="Times New Roman" w:hAnsi="Times New Roman"/>
                <w:sz w:val="13"/>
                <w:szCs w:val="13"/>
                <w:color w:val="auto"/>
              </w:rPr>
              <w:t>E + 5.75%</w:t>
            </w:r>
          </w:p>
        </w:tc>
        <w:tc>
          <w:tcPr>
            <w:tcW w:w="1480" w:type="dxa"/>
            <w:vAlign w:val="bottom"/>
          </w:tcPr>
          <w:p>
            <w:pPr>
              <w:jc w:val="right"/>
              <w:ind w:right="97"/>
              <w:spacing w:after="0" w:line="117" w:lineRule="exact"/>
              <w:rPr>
                <w:sz w:val="20"/>
                <w:szCs w:val="20"/>
                <w:color w:val="auto"/>
              </w:rPr>
            </w:pPr>
            <w:r>
              <w:rPr>
                <w:rFonts w:ascii="Times New Roman" w:cs="Times New Roman" w:eastAsia="Times New Roman" w:hAnsi="Times New Roman"/>
                <w:sz w:val="13"/>
                <w:szCs w:val="13"/>
                <w:color w:val="auto"/>
              </w:rPr>
              <w:t>7.82%</w:t>
            </w:r>
          </w:p>
        </w:tc>
        <w:tc>
          <w:tcPr>
            <w:tcW w:w="88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5,431</w:t>
            </w:r>
          </w:p>
        </w:tc>
        <w:tc>
          <w:tcPr>
            <w:tcW w:w="12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5,917</w:t>
            </w:r>
          </w:p>
        </w:tc>
        <w:tc>
          <w:tcPr>
            <w:tcW w:w="118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53"/>
        </w:trPr>
        <w:tc>
          <w:tcPr>
            <w:tcW w:w="184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(EUR 5,038)</w:t>
            </w: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84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Volante Technologies, Inc.</w:t>
            </w:r>
          </w:p>
        </w:tc>
        <w:tc>
          <w:tcPr>
            <w:tcW w:w="2620" w:type="dxa"/>
            <w:vAlign w:val="bottom"/>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color w:val="auto"/>
              </w:rPr>
              <w:t>First-lien loan ($3,619 par, due 9/2028)</w:t>
            </w:r>
          </w:p>
        </w:tc>
        <w:tc>
          <w:tcPr>
            <w:tcW w:w="92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9/29/2023</w:t>
            </w:r>
          </w:p>
        </w:tc>
        <w:tc>
          <w:tcPr>
            <w:tcW w:w="11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16.50%</w:t>
            </w:r>
          </w:p>
        </w:tc>
        <w:tc>
          <w:tcPr>
            <w:tcW w:w="1480" w:type="dxa"/>
            <w:vAlign w:val="bottom"/>
            <w:shd w:val="clear" w:color="auto" w:fill="CFF0FC"/>
          </w:tcPr>
          <w:p>
            <w:pPr>
              <w:jc w:val="right"/>
              <w:ind w:right="197"/>
              <w:spacing w:after="0" w:line="135" w:lineRule="exact"/>
              <w:rPr>
                <w:sz w:val="20"/>
                <w:szCs w:val="20"/>
                <w:color w:val="auto"/>
              </w:rPr>
            </w:pPr>
            <w:r>
              <w:rPr>
                <w:rFonts w:ascii="Times New Roman" w:cs="Times New Roman" w:eastAsia="Times New Roman" w:hAnsi="Times New Roman"/>
                <w:sz w:val="13"/>
                <w:szCs w:val="13"/>
                <w:color w:val="auto"/>
              </w:rPr>
              <w:t>16.50% PIK</w:t>
            </w: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3,613</w:t>
            </w:r>
          </w:p>
        </w:tc>
        <w:tc>
          <w:tcPr>
            <w:tcW w:w="220" w:type="dxa"/>
            <w:vAlign w:val="bottom"/>
            <w:shd w:val="clear" w:color="auto" w:fill="CFF0FC"/>
          </w:tcPr>
          <w:p>
            <w:pPr>
              <w:spacing w:after="0"/>
              <w:rPr>
                <w:sz w:val="11"/>
                <w:szCs w:val="11"/>
                <w:color w:val="auto"/>
              </w:rPr>
            </w:pPr>
          </w:p>
        </w:tc>
        <w:tc>
          <w:tcPr>
            <w:tcW w:w="10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3,755</w:t>
            </w:r>
          </w:p>
        </w:tc>
        <w:tc>
          <w:tcPr>
            <w:tcW w:w="200" w:type="dxa"/>
            <w:vAlign w:val="bottom"/>
            <w:shd w:val="clear" w:color="auto" w:fill="CFF0FC"/>
          </w:tcPr>
          <w:p>
            <w:pPr>
              <w:spacing w:after="0"/>
              <w:rPr>
                <w:sz w:val="11"/>
                <w:szCs w:val="11"/>
                <w:color w:val="auto"/>
              </w:rPr>
            </w:pPr>
          </w:p>
        </w:tc>
        <w:tc>
          <w:tcPr>
            <w:tcW w:w="980" w:type="dxa"/>
            <w:vAlign w:val="bottom"/>
            <w:gridSpan w:val="2"/>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20"/>
        </w:trPr>
        <w:tc>
          <w:tcPr>
            <w:tcW w:w="1840" w:type="dxa"/>
            <w:vAlign w:val="bottom"/>
            <w:shd w:val="clear" w:color="auto" w:fill="CFF0FC"/>
          </w:tcPr>
          <w:p>
            <w:pPr>
              <w:spacing w:after="0" w:line="20" w:lineRule="exact"/>
              <w:rPr>
                <w:sz w:val="1"/>
                <w:szCs w:val="1"/>
                <w:color w:val="auto"/>
              </w:rPr>
            </w:pPr>
          </w:p>
        </w:tc>
        <w:tc>
          <w:tcPr>
            <w:tcW w:w="262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1100" w:type="dxa"/>
            <w:vAlign w:val="bottom"/>
            <w:shd w:val="clear" w:color="auto" w:fill="CFF0FC"/>
          </w:tcPr>
          <w:p>
            <w:pPr>
              <w:spacing w:after="0" w:line="20" w:lineRule="exact"/>
              <w:rPr>
                <w:sz w:val="1"/>
                <w:szCs w:val="1"/>
                <w:color w:val="auto"/>
              </w:rPr>
            </w:pPr>
          </w:p>
        </w:tc>
        <w:tc>
          <w:tcPr>
            <w:tcW w:w="148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18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8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14,710</w:t>
            </w:r>
          </w:p>
        </w:tc>
        <w:tc>
          <w:tcPr>
            <w:tcW w:w="220" w:type="dxa"/>
            <w:vAlign w:val="bottom"/>
          </w:tcPr>
          <w:p>
            <w:pPr>
              <w:spacing w:after="0"/>
              <w:rPr>
                <w:sz w:val="11"/>
                <w:szCs w:val="11"/>
                <w:color w:val="auto"/>
              </w:rPr>
            </w:pPr>
          </w:p>
        </w:tc>
        <w:tc>
          <w:tcPr>
            <w:tcW w:w="10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15,495</w:t>
            </w:r>
          </w:p>
        </w:tc>
        <w:tc>
          <w:tcPr>
            <w:tcW w:w="200" w:type="dxa"/>
            <w:vAlign w:val="bottom"/>
          </w:tcPr>
          <w:p>
            <w:pPr>
              <w:spacing w:after="0"/>
              <w:rPr>
                <w:sz w:val="11"/>
                <w:szCs w:val="11"/>
                <w:color w:val="auto"/>
              </w:rPr>
            </w:pPr>
          </w:p>
        </w:tc>
        <w:tc>
          <w:tcPr>
            <w:tcW w:w="98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0.4%</w:t>
            </w:r>
          </w:p>
        </w:tc>
        <w:tc>
          <w:tcPr>
            <w:tcW w:w="0" w:type="dxa"/>
            <w:vAlign w:val="bottom"/>
          </w:tcPr>
          <w:p>
            <w:pPr>
              <w:spacing w:after="0"/>
              <w:rPr>
                <w:sz w:val="1"/>
                <w:szCs w:val="1"/>
                <w:color w:val="auto"/>
              </w:rPr>
            </w:pPr>
          </w:p>
        </w:tc>
      </w:tr>
      <w:tr>
        <w:trPr>
          <w:trHeight w:val="128"/>
        </w:trPr>
        <w:tc>
          <w:tcPr>
            <w:tcW w:w="184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Healthcare</w:t>
            </w:r>
          </w:p>
        </w:tc>
        <w:tc>
          <w:tcPr>
            <w:tcW w:w="26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480" w:type="dxa"/>
            <w:vAlign w:val="bottom"/>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6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840" w:type="dxa"/>
            <w:vAlign w:val="bottom"/>
          </w:tcPr>
          <w:p>
            <w:pPr>
              <w:spacing w:after="0" w:line="117" w:lineRule="exact"/>
              <w:rPr>
                <w:sz w:val="20"/>
                <w:szCs w:val="20"/>
                <w:color w:val="auto"/>
              </w:rPr>
            </w:pPr>
            <w:r>
              <w:rPr>
                <w:rFonts w:ascii="Times New Roman" w:cs="Times New Roman" w:eastAsia="Times New Roman" w:hAnsi="Times New Roman"/>
                <w:sz w:val="10"/>
                <w:szCs w:val="10"/>
                <w:color w:val="auto"/>
              </w:rPr>
              <w:t xml:space="preserve">Aledade, Inc. </w:t>
            </w:r>
            <w:r>
              <w:rPr>
                <w:rFonts w:ascii="Times New Roman" w:cs="Times New Roman" w:eastAsia="Times New Roman" w:hAnsi="Times New Roman"/>
                <w:sz w:val="13"/>
                <w:szCs w:val="13"/>
                <w:color w:val="auto"/>
                <w:vertAlign w:val="superscript"/>
              </w:rPr>
              <w:t>(3)</w:t>
            </w:r>
          </w:p>
        </w:tc>
        <w:tc>
          <w:tcPr>
            <w:tcW w:w="2620" w:type="dxa"/>
            <w:vAlign w:val="bottom"/>
          </w:tcPr>
          <w:p>
            <w:pPr>
              <w:ind w:left="100"/>
              <w:spacing w:after="0" w:line="117" w:lineRule="exact"/>
              <w:rPr>
                <w:sz w:val="20"/>
                <w:szCs w:val="20"/>
                <w:color w:val="auto"/>
              </w:rPr>
            </w:pPr>
            <w:r>
              <w:rPr>
                <w:rFonts w:ascii="Times New Roman" w:cs="Times New Roman" w:eastAsia="Times New Roman" w:hAnsi="Times New Roman"/>
                <w:sz w:val="13"/>
                <w:szCs w:val="13"/>
                <w:color w:val="auto"/>
              </w:rPr>
              <w:t>First-lien revolving loan ($27,935 par, due</w:t>
            </w:r>
          </w:p>
        </w:tc>
        <w:tc>
          <w:tcPr>
            <w:tcW w:w="920" w:type="dxa"/>
            <w:vAlign w:val="bottom"/>
          </w:tcPr>
          <w:p>
            <w:pPr>
              <w:jc w:val="right"/>
              <w:ind w:right="37"/>
              <w:spacing w:after="0" w:line="117" w:lineRule="exact"/>
              <w:rPr>
                <w:sz w:val="20"/>
                <w:szCs w:val="20"/>
                <w:color w:val="auto"/>
              </w:rPr>
            </w:pPr>
            <w:r>
              <w:rPr>
                <w:rFonts w:ascii="Times New Roman" w:cs="Times New Roman" w:eastAsia="Times New Roman" w:hAnsi="Times New Roman"/>
                <w:sz w:val="13"/>
                <w:szCs w:val="13"/>
                <w:color w:val="auto"/>
              </w:rPr>
              <w:t>11/21/2025</w:t>
            </w:r>
          </w:p>
        </w:tc>
        <w:tc>
          <w:tcPr>
            <w:tcW w:w="1100" w:type="dxa"/>
            <w:vAlign w:val="bottom"/>
          </w:tcPr>
          <w:p>
            <w:pPr>
              <w:jc w:val="right"/>
              <w:ind w:right="217"/>
              <w:spacing w:after="0" w:line="117" w:lineRule="exact"/>
              <w:rPr>
                <w:sz w:val="20"/>
                <w:szCs w:val="20"/>
                <w:color w:val="auto"/>
              </w:rPr>
            </w:pPr>
            <w:r>
              <w:rPr>
                <w:rFonts w:ascii="Times New Roman" w:cs="Times New Roman" w:eastAsia="Times New Roman" w:hAnsi="Times New Roman"/>
                <w:sz w:val="13"/>
                <w:szCs w:val="13"/>
                <w:color w:val="auto"/>
              </w:rPr>
              <w:t>SOFR +</w:t>
            </w:r>
          </w:p>
        </w:tc>
        <w:tc>
          <w:tcPr>
            <w:tcW w:w="1480" w:type="dxa"/>
            <w:vAlign w:val="bottom"/>
          </w:tcPr>
          <w:p>
            <w:pPr>
              <w:jc w:val="right"/>
              <w:ind w:right="97"/>
              <w:spacing w:after="0" w:line="117" w:lineRule="exact"/>
              <w:rPr>
                <w:sz w:val="20"/>
                <w:szCs w:val="20"/>
                <w:color w:val="auto"/>
              </w:rPr>
            </w:pPr>
            <w:r>
              <w:rPr>
                <w:rFonts w:ascii="Times New Roman" w:cs="Times New Roman" w:eastAsia="Times New Roman" w:hAnsi="Times New Roman"/>
                <w:sz w:val="13"/>
                <w:szCs w:val="13"/>
                <w:color w:val="auto"/>
              </w:rPr>
              <w:t>9.54%</w:t>
            </w:r>
          </w:p>
        </w:tc>
        <w:tc>
          <w:tcPr>
            <w:tcW w:w="88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27,055</w:t>
            </w:r>
          </w:p>
        </w:tc>
        <w:tc>
          <w:tcPr>
            <w:tcW w:w="12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27,035</w:t>
            </w:r>
          </w:p>
        </w:tc>
        <w:tc>
          <w:tcPr>
            <w:tcW w:w="118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0.6%</w:t>
            </w:r>
          </w:p>
        </w:tc>
        <w:tc>
          <w:tcPr>
            <w:tcW w:w="0" w:type="dxa"/>
            <w:vAlign w:val="bottom"/>
          </w:tcPr>
          <w:p>
            <w:pPr>
              <w:spacing w:after="0"/>
              <w:rPr>
                <w:sz w:val="1"/>
                <w:szCs w:val="1"/>
                <w:color w:val="auto"/>
              </w:rPr>
            </w:pPr>
          </w:p>
        </w:tc>
      </w:tr>
      <w:tr>
        <w:trPr>
          <w:trHeight w:val="153"/>
        </w:trPr>
        <w:tc>
          <w:tcPr>
            <w:tcW w:w="1840" w:type="dxa"/>
            <w:vAlign w:val="bottom"/>
          </w:tcPr>
          <w:p>
            <w:pPr>
              <w:spacing w:after="0"/>
              <w:rPr>
                <w:sz w:val="13"/>
                <w:szCs w:val="13"/>
                <w:color w:val="auto"/>
              </w:rPr>
            </w:pPr>
          </w:p>
        </w:tc>
        <w:tc>
          <w:tcPr>
            <w:tcW w:w="26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11/2028)</w:t>
            </w:r>
          </w:p>
        </w:tc>
        <w:tc>
          <w:tcPr>
            <w:tcW w:w="920" w:type="dxa"/>
            <w:vAlign w:val="bottom"/>
          </w:tcPr>
          <w:p>
            <w:pPr>
              <w:spacing w:after="0"/>
              <w:rPr>
                <w:sz w:val="13"/>
                <w:szCs w:val="13"/>
                <w:color w:val="auto"/>
              </w:rPr>
            </w:pPr>
          </w:p>
        </w:tc>
        <w:tc>
          <w:tcPr>
            <w:tcW w:w="110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rPr>
              <w:t>5.75%</w:t>
            </w:r>
          </w:p>
        </w:tc>
        <w:tc>
          <w:tcPr>
            <w:tcW w:w="1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84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 xml:space="preserve">Eventus Buyer, LLC </w:t>
            </w:r>
            <w:r>
              <w:rPr>
                <w:rFonts w:ascii="Times New Roman" w:cs="Times New Roman" w:eastAsia="Times New Roman" w:hAnsi="Times New Roman"/>
                <w:sz w:val="15"/>
                <w:szCs w:val="15"/>
                <w:color w:val="auto"/>
                <w:vertAlign w:val="superscript"/>
              </w:rPr>
              <w:t>(3)</w:t>
            </w:r>
          </w:p>
        </w:tc>
        <w:tc>
          <w:tcPr>
            <w:tcW w:w="2620" w:type="dxa"/>
            <w:vAlign w:val="bottom"/>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color w:val="auto"/>
              </w:rPr>
              <w:t>First-lien loan ($48,106 par, due 11/2030)</w:t>
            </w:r>
          </w:p>
        </w:tc>
        <w:tc>
          <w:tcPr>
            <w:tcW w:w="92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11/1/2024</w:t>
            </w:r>
          </w:p>
        </w:tc>
        <w:tc>
          <w:tcPr>
            <w:tcW w:w="1100" w:type="dxa"/>
            <w:vAlign w:val="bottom"/>
            <w:shd w:val="clear" w:color="auto" w:fill="CFF0FC"/>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SOFR + 5.50%</w:t>
            </w:r>
          </w:p>
        </w:tc>
        <w:tc>
          <w:tcPr>
            <w:tcW w:w="1480" w:type="dxa"/>
            <w:vAlign w:val="bottom"/>
            <w:shd w:val="clear" w:color="auto" w:fill="CFF0FC"/>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9.17%</w:t>
            </w: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47,455</w:t>
            </w:r>
          </w:p>
        </w:tc>
        <w:tc>
          <w:tcPr>
            <w:tcW w:w="122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47,800</w:t>
            </w:r>
          </w:p>
        </w:tc>
        <w:tc>
          <w:tcPr>
            <w:tcW w:w="1180" w:type="dxa"/>
            <w:vAlign w:val="bottom"/>
            <w:gridSpan w:val="3"/>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17"/>
        </w:trPr>
        <w:tc>
          <w:tcPr>
            <w:tcW w:w="1840" w:type="dxa"/>
            <w:vAlign w:val="bottom"/>
          </w:tcPr>
          <w:p>
            <w:pPr>
              <w:spacing w:after="0"/>
              <w:rPr>
                <w:sz w:val="10"/>
                <w:szCs w:val="10"/>
                <w:color w:val="auto"/>
              </w:rPr>
            </w:pPr>
          </w:p>
        </w:tc>
        <w:tc>
          <w:tcPr>
            <w:tcW w:w="2620" w:type="dxa"/>
            <w:vAlign w:val="bottom"/>
          </w:tcPr>
          <w:p>
            <w:pPr>
              <w:ind w:left="100"/>
              <w:spacing w:after="0" w:line="117" w:lineRule="exact"/>
              <w:rPr>
                <w:sz w:val="20"/>
                <w:szCs w:val="20"/>
                <w:color w:val="auto"/>
              </w:rPr>
            </w:pPr>
            <w:r>
              <w:rPr>
                <w:rFonts w:ascii="Times New Roman" w:cs="Times New Roman" w:eastAsia="Times New Roman" w:hAnsi="Times New Roman"/>
                <w:sz w:val="13"/>
                <w:szCs w:val="13"/>
                <w:color w:val="auto"/>
              </w:rPr>
              <w:t>First-lien revolving loan ($3,493 par, due</w:t>
            </w:r>
          </w:p>
        </w:tc>
        <w:tc>
          <w:tcPr>
            <w:tcW w:w="920" w:type="dxa"/>
            <w:vAlign w:val="bottom"/>
          </w:tcPr>
          <w:p>
            <w:pPr>
              <w:jc w:val="right"/>
              <w:ind w:right="37"/>
              <w:spacing w:after="0" w:line="117" w:lineRule="exact"/>
              <w:rPr>
                <w:sz w:val="20"/>
                <w:szCs w:val="20"/>
                <w:color w:val="auto"/>
              </w:rPr>
            </w:pPr>
            <w:r>
              <w:rPr>
                <w:rFonts w:ascii="Times New Roman" w:cs="Times New Roman" w:eastAsia="Times New Roman" w:hAnsi="Times New Roman"/>
                <w:sz w:val="13"/>
                <w:szCs w:val="13"/>
                <w:color w:val="auto"/>
              </w:rPr>
              <w:t>11/1/2024</w:t>
            </w:r>
          </w:p>
        </w:tc>
        <w:tc>
          <w:tcPr>
            <w:tcW w:w="1100" w:type="dxa"/>
            <w:vAlign w:val="bottom"/>
          </w:tcPr>
          <w:p>
            <w:pPr>
              <w:jc w:val="right"/>
              <w:ind w:right="177"/>
              <w:spacing w:after="0" w:line="117" w:lineRule="exact"/>
              <w:rPr>
                <w:sz w:val="20"/>
                <w:szCs w:val="20"/>
                <w:color w:val="auto"/>
              </w:rPr>
            </w:pPr>
            <w:r>
              <w:rPr>
                <w:rFonts w:ascii="Times New Roman" w:cs="Times New Roman" w:eastAsia="Times New Roman" w:hAnsi="Times New Roman"/>
                <w:sz w:val="13"/>
                <w:szCs w:val="13"/>
                <w:color w:val="auto"/>
              </w:rPr>
              <w:t>SOFR + 5.50%</w:t>
            </w:r>
          </w:p>
        </w:tc>
        <w:tc>
          <w:tcPr>
            <w:tcW w:w="1480" w:type="dxa"/>
            <w:vAlign w:val="bottom"/>
          </w:tcPr>
          <w:p>
            <w:pPr>
              <w:jc w:val="right"/>
              <w:ind w:right="97"/>
              <w:spacing w:after="0" w:line="117" w:lineRule="exact"/>
              <w:rPr>
                <w:sz w:val="20"/>
                <w:szCs w:val="20"/>
                <w:color w:val="auto"/>
              </w:rPr>
            </w:pPr>
            <w:r>
              <w:rPr>
                <w:rFonts w:ascii="Times New Roman" w:cs="Times New Roman" w:eastAsia="Times New Roman" w:hAnsi="Times New Roman"/>
                <w:sz w:val="13"/>
                <w:szCs w:val="13"/>
                <w:color w:val="auto"/>
              </w:rPr>
              <w:t>9.17%</w:t>
            </w:r>
          </w:p>
        </w:tc>
        <w:tc>
          <w:tcPr>
            <w:tcW w:w="88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3,414</w:t>
            </w:r>
          </w:p>
        </w:tc>
        <w:tc>
          <w:tcPr>
            <w:tcW w:w="12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3,461</w:t>
            </w:r>
          </w:p>
        </w:tc>
        <w:tc>
          <w:tcPr>
            <w:tcW w:w="118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53"/>
        </w:trPr>
        <w:tc>
          <w:tcPr>
            <w:tcW w:w="1840" w:type="dxa"/>
            <w:vAlign w:val="bottom"/>
          </w:tcPr>
          <w:p>
            <w:pPr>
              <w:spacing w:after="0"/>
              <w:rPr>
                <w:sz w:val="13"/>
                <w:szCs w:val="13"/>
                <w:color w:val="auto"/>
              </w:rPr>
            </w:pPr>
          </w:p>
        </w:tc>
        <w:tc>
          <w:tcPr>
            <w:tcW w:w="26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11/2030)</w:t>
            </w:r>
          </w:p>
        </w:tc>
        <w:tc>
          <w:tcPr>
            <w:tcW w:w="9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84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0"/>
                <w:szCs w:val="10"/>
                <w:color w:val="auto"/>
              </w:rPr>
              <w:t xml:space="preserve">HMP Omnimedia, LLC </w:t>
            </w:r>
            <w:r>
              <w:rPr>
                <w:rFonts w:ascii="Times New Roman" w:cs="Times New Roman" w:eastAsia="Times New Roman" w:hAnsi="Times New Roman"/>
                <w:sz w:val="13"/>
                <w:szCs w:val="13"/>
                <w:color w:val="auto"/>
                <w:vertAlign w:val="superscript"/>
              </w:rPr>
              <w:t>(3)</w:t>
            </w:r>
          </w:p>
        </w:tc>
        <w:tc>
          <w:tcPr>
            <w:tcW w:w="2620" w:type="dxa"/>
            <w:vAlign w:val="bottom"/>
            <w:shd w:val="clear" w:color="auto" w:fill="CFF0FC"/>
          </w:tcPr>
          <w:p>
            <w:pPr>
              <w:ind w:left="100"/>
              <w:spacing w:after="0" w:line="117" w:lineRule="exact"/>
              <w:rPr>
                <w:sz w:val="20"/>
                <w:szCs w:val="20"/>
                <w:color w:val="auto"/>
              </w:rPr>
            </w:pPr>
            <w:r>
              <w:rPr>
                <w:rFonts w:ascii="Times New Roman" w:cs="Times New Roman" w:eastAsia="Times New Roman" w:hAnsi="Times New Roman"/>
                <w:sz w:val="13"/>
                <w:szCs w:val="13"/>
                <w:color w:val="auto"/>
              </w:rPr>
              <w:t>First-lien loan ($124,914 par, due 7/2032)</w:t>
            </w:r>
          </w:p>
        </w:tc>
        <w:tc>
          <w:tcPr>
            <w:tcW w:w="920" w:type="dxa"/>
            <w:vAlign w:val="bottom"/>
            <w:shd w:val="clear" w:color="auto" w:fill="CFF0FC"/>
          </w:tcPr>
          <w:p>
            <w:pPr>
              <w:jc w:val="right"/>
              <w:ind w:right="37"/>
              <w:spacing w:after="0" w:line="117" w:lineRule="exact"/>
              <w:rPr>
                <w:sz w:val="20"/>
                <w:szCs w:val="20"/>
                <w:color w:val="auto"/>
              </w:rPr>
            </w:pPr>
            <w:r>
              <w:rPr>
                <w:rFonts w:ascii="Times New Roman" w:cs="Times New Roman" w:eastAsia="Times New Roman" w:hAnsi="Times New Roman"/>
                <w:sz w:val="13"/>
                <w:szCs w:val="13"/>
                <w:color w:val="auto"/>
              </w:rPr>
              <w:t>7/31/2025</w:t>
            </w:r>
          </w:p>
        </w:tc>
        <w:tc>
          <w:tcPr>
            <w:tcW w:w="1100" w:type="dxa"/>
            <w:vAlign w:val="bottom"/>
            <w:shd w:val="clear" w:color="auto" w:fill="CFF0FC"/>
          </w:tcPr>
          <w:p>
            <w:pPr>
              <w:jc w:val="right"/>
              <w:ind w:right="217"/>
              <w:spacing w:after="0" w:line="117" w:lineRule="exact"/>
              <w:rPr>
                <w:sz w:val="20"/>
                <w:szCs w:val="20"/>
                <w:color w:val="auto"/>
              </w:rPr>
            </w:pPr>
            <w:r>
              <w:rPr>
                <w:rFonts w:ascii="Times New Roman" w:cs="Times New Roman" w:eastAsia="Times New Roman" w:hAnsi="Times New Roman"/>
                <w:sz w:val="13"/>
                <w:szCs w:val="13"/>
                <w:color w:val="auto"/>
              </w:rPr>
              <w:t>SOFR +</w:t>
            </w:r>
          </w:p>
        </w:tc>
        <w:tc>
          <w:tcPr>
            <w:tcW w:w="1480" w:type="dxa"/>
            <w:vAlign w:val="bottom"/>
            <w:shd w:val="clear" w:color="auto" w:fill="CFF0FC"/>
          </w:tcPr>
          <w:p>
            <w:pPr>
              <w:jc w:val="right"/>
              <w:ind w:right="97"/>
              <w:spacing w:after="0" w:line="117" w:lineRule="exact"/>
              <w:rPr>
                <w:sz w:val="20"/>
                <w:szCs w:val="20"/>
                <w:color w:val="auto"/>
              </w:rPr>
            </w:pPr>
            <w:r>
              <w:rPr>
                <w:rFonts w:ascii="Times New Roman" w:cs="Times New Roman" w:eastAsia="Times New Roman" w:hAnsi="Times New Roman"/>
                <w:sz w:val="13"/>
                <w:szCs w:val="13"/>
                <w:color w:val="auto"/>
              </w:rPr>
              <w:t>8.97%</w:t>
            </w:r>
          </w:p>
        </w:tc>
        <w:tc>
          <w:tcPr>
            <w:tcW w:w="88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122,665</w:t>
            </w:r>
          </w:p>
        </w:tc>
        <w:tc>
          <w:tcPr>
            <w:tcW w:w="122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123,734</w:t>
            </w:r>
          </w:p>
        </w:tc>
        <w:tc>
          <w:tcPr>
            <w:tcW w:w="1180" w:type="dxa"/>
            <w:vAlign w:val="bottom"/>
            <w:gridSpan w:val="3"/>
            <w:shd w:val="clear" w:color="auto" w:fill="CFF0FC"/>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3.0%</w:t>
            </w:r>
          </w:p>
        </w:tc>
        <w:tc>
          <w:tcPr>
            <w:tcW w:w="0" w:type="dxa"/>
            <w:vAlign w:val="bottom"/>
          </w:tcPr>
          <w:p>
            <w:pPr>
              <w:spacing w:after="0"/>
              <w:rPr>
                <w:sz w:val="1"/>
                <w:szCs w:val="1"/>
                <w:color w:val="auto"/>
              </w:rPr>
            </w:pPr>
          </w:p>
        </w:tc>
      </w:tr>
      <w:tr>
        <w:trPr>
          <w:trHeight w:val="153"/>
        </w:trPr>
        <w:tc>
          <w:tcPr>
            <w:tcW w:w="1840" w:type="dxa"/>
            <w:vAlign w:val="bottom"/>
            <w:shd w:val="clear" w:color="auto" w:fill="CFF0FC"/>
          </w:tcPr>
          <w:p>
            <w:pPr>
              <w:spacing w:after="0"/>
              <w:rPr>
                <w:sz w:val="13"/>
                <w:szCs w:val="13"/>
                <w:color w:val="auto"/>
              </w:rPr>
            </w:pPr>
          </w:p>
        </w:tc>
        <w:tc>
          <w:tcPr>
            <w:tcW w:w="26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100" w:type="dxa"/>
            <w:vAlign w:val="bottom"/>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5.25%</w:t>
            </w:r>
          </w:p>
        </w:tc>
        <w:tc>
          <w:tcPr>
            <w:tcW w:w="14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840" w:type="dxa"/>
            <w:vAlign w:val="bottom"/>
          </w:tcPr>
          <w:p>
            <w:pPr>
              <w:spacing w:after="0"/>
              <w:rPr>
                <w:sz w:val="10"/>
                <w:szCs w:val="10"/>
                <w:color w:val="auto"/>
              </w:rPr>
            </w:pPr>
          </w:p>
        </w:tc>
        <w:tc>
          <w:tcPr>
            <w:tcW w:w="2620" w:type="dxa"/>
            <w:vAlign w:val="bottom"/>
          </w:tcPr>
          <w:p>
            <w:pPr>
              <w:ind w:left="100"/>
              <w:spacing w:after="0" w:line="122" w:lineRule="exact"/>
              <w:rPr>
                <w:sz w:val="20"/>
                <w:szCs w:val="20"/>
                <w:color w:val="auto"/>
              </w:rPr>
            </w:pPr>
            <w:r>
              <w:rPr>
                <w:rFonts w:ascii="Times New Roman" w:cs="Times New Roman" w:eastAsia="Times New Roman" w:hAnsi="Times New Roman"/>
                <w:sz w:val="13"/>
                <w:szCs w:val="13"/>
                <w:color w:val="auto"/>
              </w:rPr>
              <w:t>First-lien revolving loan ($2,591 par, due</w:t>
            </w:r>
          </w:p>
        </w:tc>
        <w:tc>
          <w:tcPr>
            <w:tcW w:w="920" w:type="dxa"/>
            <w:vAlign w:val="bottom"/>
          </w:tcPr>
          <w:p>
            <w:pPr>
              <w:jc w:val="right"/>
              <w:ind w:right="37"/>
              <w:spacing w:after="0" w:line="122" w:lineRule="exact"/>
              <w:rPr>
                <w:sz w:val="20"/>
                <w:szCs w:val="20"/>
                <w:color w:val="auto"/>
              </w:rPr>
            </w:pPr>
            <w:r>
              <w:rPr>
                <w:rFonts w:ascii="Times New Roman" w:cs="Times New Roman" w:eastAsia="Times New Roman" w:hAnsi="Times New Roman"/>
                <w:sz w:val="13"/>
                <w:szCs w:val="13"/>
                <w:color w:val="auto"/>
              </w:rPr>
              <w:t>7/31/2025</w:t>
            </w:r>
          </w:p>
        </w:tc>
        <w:tc>
          <w:tcPr>
            <w:tcW w:w="1100" w:type="dxa"/>
            <w:vAlign w:val="bottom"/>
          </w:tcPr>
          <w:p>
            <w:pPr>
              <w:jc w:val="right"/>
              <w:ind w:right="177"/>
              <w:spacing w:after="0" w:line="122" w:lineRule="exact"/>
              <w:rPr>
                <w:sz w:val="20"/>
                <w:szCs w:val="20"/>
                <w:color w:val="auto"/>
              </w:rPr>
            </w:pPr>
            <w:r>
              <w:rPr>
                <w:rFonts w:ascii="Times New Roman" w:cs="Times New Roman" w:eastAsia="Times New Roman" w:hAnsi="Times New Roman"/>
                <w:sz w:val="13"/>
                <w:szCs w:val="13"/>
                <w:color w:val="auto"/>
              </w:rPr>
              <w:t>P + 4.25%</w:t>
            </w:r>
          </w:p>
        </w:tc>
        <w:tc>
          <w:tcPr>
            <w:tcW w:w="1480" w:type="dxa"/>
            <w:vAlign w:val="bottom"/>
          </w:tcPr>
          <w:p>
            <w:pPr>
              <w:jc w:val="right"/>
              <w:ind w:right="77"/>
              <w:spacing w:after="0" w:line="122" w:lineRule="exact"/>
              <w:rPr>
                <w:sz w:val="20"/>
                <w:szCs w:val="20"/>
                <w:color w:val="auto"/>
              </w:rPr>
            </w:pPr>
            <w:r>
              <w:rPr>
                <w:rFonts w:ascii="Times New Roman" w:cs="Times New Roman" w:eastAsia="Times New Roman" w:hAnsi="Times New Roman"/>
                <w:sz w:val="13"/>
                <w:szCs w:val="13"/>
                <w:color w:val="auto"/>
              </w:rPr>
              <w:t>11.00%</w:t>
            </w:r>
          </w:p>
        </w:tc>
        <w:tc>
          <w:tcPr>
            <w:tcW w:w="8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2,145</w:t>
            </w:r>
          </w:p>
        </w:tc>
        <w:tc>
          <w:tcPr>
            <w:tcW w:w="12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3"/>
                <w:szCs w:val="13"/>
                <w:color w:val="auto"/>
              </w:rPr>
              <w:t>2,348</w:t>
            </w:r>
          </w:p>
        </w:tc>
        <w:tc>
          <w:tcPr>
            <w:tcW w:w="1180" w:type="dxa"/>
            <w:vAlign w:val="bottom"/>
            <w:gridSpan w:val="3"/>
          </w:tcPr>
          <w:p>
            <w:pPr>
              <w:jc w:val="right"/>
              <w:ind w:right="20"/>
              <w:spacing w:after="0" w:line="122" w:lineRule="exact"/>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48"/>
        </w:trPr>
        <w:tc>
          <w:tcPr>
            <w:tcW w:w="1840" w:type="dxa"/>
            <w:vAlign w:val="bottom"/>
          </w:tcPr>
          <w:p>
            <w:pPr>
              <w:spacing w:after="0"/>
              <w:rPr>
                <w:sz w:val="12"/>
                <w:szCs w:val="12"/>
                <w:color w:val="auto"/>
              </w:rPr>
            </w:pPr>
          </w:p>
        </w:tc>
        <w:tc>
          <w:tcPr>
            <w:tcW w:w="26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7/2030)</w:t>
            </w:r>
          </w:p>
        </w:tc>
        <w:tc>
          <w:tcPr>
            <w:tcW w:w="9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84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0"/>
                <w:szCs w:val="10"/>
                <w:color w:val="auto"/>
              </w:rPr>
              <w:t xml:space="preserve">Ingenovis Health Finance, LLC </w:t>
            </w:r>
            <w:r>
              <w:rPr>
                <w:rFonts w:ascii="Times New Roman" w:cs="Times New Roman" w:eastAsia="Times New Roman" w:hAnsi="Times New Roman"/>
                <w:sz w:val="13"/>
                <w:szCs w:val="13"/>
                <w:color w:val="auto"/>
                <w:vertAlign w:val="superscript"/>
              </w:rPr>
              <w:t>(3)</w:t>
            </w:r>
          </w:p>
        </w:tc>
        <w:tc>
          <w:tcPr>
            <w:tcW w:w="2620" w:type="dxa"/>
            <w:vAlign w:val="bottom"/>
            <w:shd w:val="clear" w:color="auto" w:fill="CFF0FC"/>
          </w:tcPr>
          <w:p>
            <w:pPr>
              <w:ind w:left="100"/>
              <w:spacing w:after="0" w:line="117" w:lineRule="exact"/>
              <w:rPr>
                <w:sz w:val="20"/>
                <w:szCs w:val="20"/>
                <w:color w:val="auto"/>
              </w:rPr>
            </w:pPr>
            <w:r>
              <w:rPr>
                <w:rFonts w:ascii="Times New Roman" w:cs="Times New Roman" w:eastAsia="Times New Roman" w:hAnsi="Times New Roman"/>
                <w:sz w:val="13"/>
                <w:szCs w:val="13"/>
                <w:color w:val="auto"/>
              </w:rPr>
              <w:t>First-lien revolving loan ($10,000 par, due</w:t>
            </w:r>
          </w:p>
        </w:tc>
        <w:tc>
          <w:tcPr>
            <w:tcW w:w="920" w:type="dxa"/>
            <w:vAlign w:val="bottom"/>
            <w:shd w:val="clear" w:color="auto" w:fill="CFF0FC"/>
          </w:tcPr>
          <w:p>
            <w:pPr>
              <w:jc w:val="right"/>
              <w:ind w:right="37"/>
              <w:spacing w:after="0" w:line="117" w:lineRule="exact"/>
              <w:rPr>
                <w:sz w:val="20"/>
                <w:szCs w:val="20"/>
                <w:color w:val="auto"/>
              </w:rPr>
            </w:pPr>
            <w:r>
              <w:rPr>
                <w:rFonts w:ascii="Times New Roman" w:cs="Times New Roman" w:eastAsia="Times New Roman" w:hAnsi="Times New Roman"/>
                <w:sz w:val="13"/>
                <w:szCs w:val="13"/>
                <w:color w:val="auto"/>
              </w:rPr>
              <w:t>5/13/2025</w:t>
            </w:r>
          </w:p>
        </w:tc>
        <w:tc>
          <w:tcPr>
            <w:tcW w:w="1100" w:type="dxa"/>
            <w:vAlign w:val="bottom"/>
            <w:shd w:val="clear" w:color="auto" w:fill="CFF0FC"/>
          </w:tcPr>
          <w:p>
            <w:pPr>
              <w:jc w:val="right"/>
              <w:ind w:right="217"/>
              <w:spacing w:after="0" w:line="117" w:lineRule="exact"/>
              <w:rPr>
                <w:sz w:val="20"/>
                <w:szCs w:val="20"/>
                <w:color w:val="auto"/>
              </w:rPr>
            </w:pPr>
            <w:r>
              <w:rPr>
                <w:rFonts w:ascii="Times New Roman" w:cs="Times New Roman" w:eastAsia="Times New Roman" w:hAnsi="Times New Roman"/>
                <w:sz w:val="13"/>
                <w:szCs w:val="13"/>
                <w:color w:val="auto"/>
              </w:rPr>
              <w:t>SOFR +</w:t>
            </w:r>
          </w:p>
        </w:tc>
        <w:tc>
          <w:tcPr>
            <w:tcW w:w="1480" w:type="dxa"/>
            <w:vAlign w:val="bottom"/>
            <w:shd w:val="clear" w:color="auto" w:fill="CFF0FC"/>
          </w:tcPr>
          <w:p>
            <w:pPr>
              <w:jc w:val="right"/>
              <w:ind w:right="97"/>
              <w:spacing w:after="0" w:line="117" w:lineRule="exact"/>
              <w:rPr>
                <w:sz w:val="20"/>
                <w:szCs w:val="20"/>
                <w:color w:val="auto"/>
              </w:rPr>
            </w:pPr>
            <w:r>
              <w:rPr>
                <w:rFonts w:ascii="Times New Roman" w:cs="Times New Roman" w:eastAsia="Times New Roman" w:hAnsi="Times New Roman"/>
                <w:sz w:val="13"/>
                <w:szCs w:val="13"/>
                <w:color w:val="auto"/>
              </w:rPr>
              <w:t>9.82%</w:t>
            </w:r>
          </w:p>
        </w:tc>
        <w:tc>
          <w:tcPr>
            <w:tcW w:w="88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9,651</w:t>
            </w:r>
          </w:p>
        </w:tc>
        <w:tc>
          <w:tcPr>
            <w:tcW w:w="122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9,850</w:t>
            </w:r>
          </w:p>
        </w:tc>
        <w:tc>
          <w:tcPr>
            <w:tcW w:w="1180" w:type="dxa"/>
            <w:vAlign w:val="bottom"/>
            <w:gridSpan w:val="3"/>
            <w:shd w:val="clear" w:color="auto" w:fill="CFF0FC"/>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0.2%</w:t>
            </w:r>
          </w:p>
        </w:tc>
        <w:tc>
          <w:tcPr>
            <w:tcW w:w="0" w:type="dxa"/>
            <w:vAlign w:val="bottom"/>
          </w:tcPr>
          <w:p>
            <w:pPr>
              <w:spacing w:after="0"/>
              <w:rPr>
                <w:sz w:val="1"/>
                <w:szCs w:val="1"/>
                <w:color w:val="auto"/>
              </w:rPr>
            </w:pPr>
          </w:p>
        </w:tc>
      </w:tr>
      <w:tr>
        <w:trPr>
          <w:trHeight w:val="153"/>
        </w:trPr>
        <w:tc>
          <w:tcPr>
            <w:tcW w:w="1840" w:type="dxa"/>
            <w:vAlign w:val="bottom"/>
            <w:shd w:val="clear" w:color="auto" w:fill="CFF0FC"/>
          </w:tcPr>
          <w:p>
            <w:pPr>
              <w:spacing w:after="0"/>
              <w:rPr>
                <w:sz w:val="13"/>
                <w:szCs w:val="13"/>
                <w:color w:val="auto"/>
              </w:rPr>
            </w:pPr>
          </w:p>
        </w:tc>
        <w:tc>
          <w:tcPr>
            <w:tcW w:w="26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5/2030)</w:t>
            </w:r>
          </w:p>
        </w:tc>
        <w:tc>
          <w:tcPr>
            <w:tcW w:w="920" w:type="dxa"/>
            <w:vAlign w:val="bottom"/>
            <w:shd w:val="clear" w:color="auto" w:fill="CFF0FC"/>
          </w:tcPr>
          <w:p>
            <w:pPr>
              <w:spacing w:after="0"/>
              <w:rPr>
                <w:sz w:val="13"/>
                <w:szCs w:val="13"/>
                <w:color w:val="auto"/>
              </w:rPr>
            </w:pPr>
          </w:p>
        </w:tc>
        <w:tc>
          <w:tcPr>
            <w:tcW w:w="1100" w:type="dxa"/>
            <w:vAlign w:val="bottom"/>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6.00%</w:t>
            </w:r>
          </w:p>
        </w:tc>
        <w:tc>
          <w:tcPr>
            <w:tcW w:w="14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840" w:type="dxa"/>
            <w:vAlign w:val="bottom"/>
          </w:tcPr>
          <w:p>
            <w:pPr>
              <w:spacing w:after="0" w:line="117" w:lineRule="exact"/>
              <w:rPr>
                <w:sz w:val="20"/>
                <w:szCs w:val="20"/>
                <w:color w:val="auto"/>
              </w:rPr>
            </w:pPr>
            <w:r>
              <w:rPr>
                <w:rFonts w:ascii="Times New Roman" w:cs="Times New Roman" w:eastAsia="Times New Roman" w:hAnsi="Times New Roman"/>
                <w:sz w:val="10"/>
                <w:szCs w:val="10"/>
                <w:color w:val="auto"/>
              </w:rPr>
              <w:t xml:space="preserve">LIHA Holdco B.V </w:t>
            </w:r>
            <w:r>
              <w:rPr>
                <w:rFonts w:ascii="Times New Roman" w:cs="Times New Roman" w:eastAsia="Times New Roman" w:hAnsi="Times New Roman"/>
                <w:sz w:val="13"/>
                <w:szCs w:val="13"/>
                <w:color w:val="auto"/>
                <w:vertAlign w:val="superscript"/>
              </w:rPr>
              <w:t>(3)(4)(5)</w:t>
            </w:r>
          </w:p>
        </w:tc>
        <w:tc>
          <w:tcPr>
            <w:tcW w:w="2620" w:type="dxa"/>
            <w:vAlign w:val="bottom"/>
          </w:tcPr>
          <w:p>
            <w:pPr>
              <w:ind w:left="100"/>
              <w:spacing w:after="0" w:line="117" w:lineRule="exact"/>
              <w:rPr>
                <w:sz w:val="20"/>
                <w:szCs w:val="20"/>
                <w:color w:val="auto"/>
              </w:rPr>
            </w:pPr>
            <w:r>
              <w:rPr>
                <w:rFonts w:ascii="Times New Roman" w:cs="Times New Roman" w:eastAsia="Times New Roman" w:hAnsi="Times New Roman"/>
                <w:sz w:val="13"/>
                <w:szCs w:val="13"/>
                <w:color w:val="auto"/>
              </w:rPr>
              <w:t>First-lien loan (EUR 5,903 par, due 2/2029)</w:t>
            </w:r>
          </w:p>
        </w:tc>
        <w:tc>
          <w:tcPr>
            <w:tcW w:w="920" w:type="dxa"/>
            <w:vAlign w:val="bottom"/>
          </w:tcPr>
          <w:p>
            <w:pPr>
              <w:jc w:val="right"/>
              <w:ind w:right="37"/>
              <w:spacing w:after="0" w:line="117" w:lineRule="exact"/>
              <w:rPr>
                <w:sz w:val="20"/>
                <w:szCs w:val="20"/>
                <w:color w:val="auto"/>
              </w:rPr>
            </w:pPr>
            <w:r>
              <w:rPr>
                <w:rFonts w:ascii="Times New Roman" w:cs="Times New Roman" w:eastAsia="Times New Roman" w:hAnsi="Times New Roman"/>
                <w:sz w:val="13"/>
                <w:szCs w:val="13"/>
                <w:color w:val="auto"/>
              </w:rPr>
              <w:t>2/24/2023</w:t>
            </w:r>
          </w:p>
        </w:tc>
        <w:tc>
          <w:tcPr>
            <w:tcW w:w="1100" w:type="dxa"/>
            <w:vAlign w:val="bottom"/>
          </w:tcPr>
          <w:p>
            <w:pPr>
              <w:jc w:val="right"/>
              <w:ind w:right="177"/>
              <w:spacing w:after="0" w:line="117" w:lineRule="exact"/>
              <w:rPr>
                <w:sz w:val="20"/>
                <w:szCs w:val="20"/>
                <w:color w:val="auto"/>
              </w:rPr>
            </w:pPr>
            <w:r>
              <w:rPr>
                <w:rFonts w:ascii="Times New Roman" w:cs="Times New Roman" w:eastAsia="Times New Roman" w:hAnsi="Times New Roman"/>
                <w:sz w:val="13"/>
                <w:szCs w:val="13"/>
                <w:color w:val="auto"/>
              </w:rPr>
              <w:t>E + 6.50%</w:t>
            </w:r>
          </w:p>
        </w:tc>
        <w:tc>
          <w:tcPr>
            <w:tcW w:w="1480" w:type="dxa"/>
            <w:vAlign w:val="bottom"/>
          </w:tcPr>
          <w:p>
            <w:pPr>
              <w:jc w:val="right"/>
              <w:ind w:right="97"/>
              <w:spacing w:after="0" w:line="117" w:lineRule="exact"/>
              <w:rPr>
                <w:sz w:val="20"/>
                <w:szCs w:val="20"/>
                <w:color w:val="auto"/>
              </w:rPr>
            </w:pPr>
            <w:r>
              <w:rPr>
                <w:rFonts w:ascii="Times New Roman" w:cs="Times New Roman" w:eastAsia="Times New Roman" w:hAnsi="Times New Roman"/>
                <w:sz w:val="13"/>
                <w:szCs w:val="13"/>
                <w:color w:val="auto"/>
              </w:rPr>
              <w:t>8.52%</w:t>
            </w:r>
          </w:p>
        </w:tc>
        <w:tc>
          <w:tcPr>
            <w:tcW w:w="88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6,220</w:t>
            </w:r>
          </w:p>
        </w:tc>
        <w:tc>
          <w:tcPr>
            <w:tcW w:w="12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6,989</w:t>
            </w:r>
          </w:p>
        </w:tc>
        <w:tc>
          <w:tcPr>
            <w:tcW w:w="118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0.2%</w:t>
            </w:r>
          </w:p>
        </w:tc>
        <w:tc>
          <w:tcPr>
            <w:tcW w:w="0" w:type="dxa"/>
            <w:vAlign w:val="bottom"/>
          </w:tcPr>
          <w:p>
            <w:pPr>
              <w:spacing w:after="0"/>
              <w:rPr>
                <w:sz w:val="1"/>
                <w:szCs w:val="1"/>
                <w:color w:val="auto"/>
              </w:rPr>
            </w:pPr>
          </w:p>
        </w:tc>
      </w:tr>
      <w:tr>
        <w:trPr>
          <w:trHeight w:val="153"/>
        </w:trPr>
        <w:tc>
          <w:tcPr>
            <w:tcW w:w="184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(EUR 5,951)</w:t>
            </w: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840" w:type="dxa"/>
            <w:vAlign w:val="bottom"/>
            <w:shd w:val="clear" w:color="auto" w:fill="CFF0FC"/>
          </w:tcPr>
          <w:p>
            <w:pPr>
              <w:spacing w:after="0"/>
              <w:rPr>
                <w:sz w:val="10"/>
                <w:szCs w:val="10"/>
                <w:color w:val="auto"/>
              </w:rPr>
            </w:pPr>
          </w:p>
        </w:tc>
        <w:tc>
          <w:tcPr>
            <w:tcW w:w="2620" w:type="dxa"/>
            <w:vAlign w:val="bottom"/>
            <w:shd w:val="clear" w:color="auto" w:fill="CFF0FC"/>
          </w:tcPr>
          <w:p>
            <w:pPr>
              <w:ind w:left="100"/>
              <w:spacing w:after="0" w:line="117" w:lineRule="exact"/>
              <w:rPr>
                <w:sz w:val="20"/>
                <w:szCs w:val="20"/>
                <w:color w:val="auto"/>
              </w:rPr>
            </w:pPr>
            <w:r>
              <w:rPr>
                <w:rFonts w:ascii="Times New Roman" w:cs="Times New Roman" w:eastAsia="Times New Roman" w:hAnsi="Times New Roman"/>
                <w:sz w:val="13"/>
                <w:szCs w:val="13"/>
                <w:color w:val="auto"/>
              </w:rPr>
              <w:t>First-lien revolving loan (EUR 318 par, due</w:t>
            </w:r>
          </w:p>
        </w:tc>
        <w:tc>
          <w:tcPr>
            <w:tcW w:w="920" w:type="dxa"/>
            <w:vAlign w:val="bottom"/>
            <w:shd w:val="clear" w:color="auto" w:fill="CFF0FC"/>
          </w:tcPr>
          <w:p>
            <w:pPr>
              <w:jc w:val="right"/>
              <w:ind w:right="37"/>
              <w:spacing w:after="0" w:line="117" w:lineRule="exact"/>
              <w:rPr>
                <w:sz w:val="20"/>
                <w:szCs w:val="20"/>
                <w:color w:val="auto"/>
              </w:rPr>
            </w:pPr>
            <w:r>
              <w:rPr>
                <w:rFonts w:ascii="Times New Roman" w:cs="Times New Roman" w:eastAsia="Times New Roman" w:hAnsi="Times New Roman"/>
                <w:sz w:val="13"/>
                <w:szCs w:val="13"/>
                <w:color w:val="auto"/>
              </w:rPr>
              <w:t>2/24/2023</w:t>
            </w:r>
          </w:p>
        </w:tc>
        <w:tc>
          <w:tcPr>
            <w:tcW w:w="1100" w:type="dxa"/>
            <w:vAlign w:val="bottom"/>
            <w:shd w:val="clear" w:color="auto" w:fill="CFF0FC"/>
          </w:tcPr>
          <w:p>
            <w:pPr>
              <w:jc w:val="right"/>
              <w:ind w:right="177"/>
              <w:spacing w:after="0" w:line="117" w:lineRule="exact"/>
              <w:rPr>
                <w:sz w:val="20"/>
                <w:szCs w:val="20"/>
                <w:color w:val="auto"/>
              </w:rPr>
            </w:pPr>
            <w:r>
              <w:rPr>
                <w:rFonts w:ascii="Times New Roman" w:cs="Times New Roman" w:eastAsia="Times New Roman" w:hAnsi="Times New Roman"/>
                <w:sz w:val="13"/>
                <w:szCs w:val="13"/>
                <w:color w:val="auto"/>
              </w:rPr>
              <w:t>E + 6.50%</w:t>
            </w:r>
          </w:p>
        </w:tc>
        <w:tc>
          <w:tcPr>
            <w:tcW w:w="1480" w:type="dxa"/>
            <w:vAlign w:val="bottom"/>
            <w:shd w:val="clear" w:color="auto" w:fill="CFF0FC"/>
          </w:tcPr>
          <w:p>
            <w:pPr>
              <w:jc w:val="right"/>
              <w:ind w:right="97"/>
              <w:spacing w:after="0" w:line="117" w:lineRule="exact"/>
              <w:rPr>
                <w:sz w:val="20"/>
                <w:szCs w:val="20"/>
                <w:color w:val="auto"/>
              </w:rPr>
            </w:pPr>
            <w:r>
              <w:rPr>
                <w:rFonts w:ascii="Times New Roman" w:cs="Times New Roman" w:eastAsia="Times New Roman" w:hAnsi="Times New Roman"/>
                <w:sz w:val="13"/>
                <w:szCs w:val="13"/>
                <w:color w:val="auto"/>
              </w:rPr>
              <w:t>8.52%</w:t>
            </w:r>
          </w:p>
        </w:tc>
        <w:tc>
          <w:tcPr>
            <w:tcW w:w="88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363</w:t>
            </w:r>
          </w:p>
        </w:tc>
        <w:tc>
          <w:tcPr>
            <w:tcW w:w="122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377</w:t>
            </w:r>
          </w:p>
        </w:tc>
        <w:tc>
          <w:tcPr>
            <w:tcW w:w="1180" w:type="dxa"/>
            <w:vAlign w:val="bottom"/>
            <w:gridSpan w:val="3"/>
            <w:shd w:val="clear" w:color="auto" w:fill="CFF0FC"/>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0.0%</w:t>
            </w:r>
          </w:p>
        </w:tc>
        <w:tc>
          <w:tcPr>
            <w:tcW w:w="0" w:type="dxa"/>
            <w:vAlign w:val="bottom"/>
          </w:tcPr>
          <w:p>
            <w:pPr>
              <w:spacing w:after="0"/>
              <w:rPr>
                <w:sz w:val="1"/>
                <w:szCs w:val="1"/>
                <w:color w:val="auto"/>
              </w:rPr>
            </w:pPr>
          </w:p>
        </w:tc>
      </w:tr>
      <w:tr>
        <w:trPr>
          <w:trHeight w:val="153"/>
        </w:trPr>
        <w:tc>
          <w:tcPr>
            <w:tcW w:w="1840" w:type="dxa"/>
            <w:vAlign w:val="bottom"/>
            <w:shd w:val="clear" w:color="auto" w:fill="CFF0FC"/>
          </w:tcPr>
          <w:p>
            <w:pPr>
              <w:spacing w:after="0"/>
              <w:rPr>
                <w:sz w:val="13"/>
                <w:szCs w:val="13"/>
                <w:color w:val="auto"/>
              </w:rPr>
            </w:pPr>
          </w:p>
        </w:tc>
        <w:tc>
          <w:tcPr>
            <w:tcW w:w="26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2/2029)</w:t>
            </w:r>
          </w:p>
        </w:tc>
        <w:tc>
          <w:tcPr>
            <w:tcW w:w="92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14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(EUR 321)</w:t>
            </w:r>
          </w:p>
        </w:tc>
        <w:tc>
          <w:tcPr>
            <w:tcW w:w="2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840" w:type="dxa"/>
            <w:vAlign w:val="bottom"/>
          </w:tcPr>
          <w:p>
            <w:pPr>
              <w:spacing w:after="0" w:line="117" w:lineRule="exact"/>
              <w:rPr>
                <w:sz w:val="20"/>
                <w:szCs w:val="20"/>
                <w:color w:val="auto"/>
              </w:rPr>
            </w:pPr>
            <w:r>
              <w:rPr>
                <w:rFonts w:ascii="Times New Roman" w:cs="Times New Roman" w:eastAsia="Times New Roman" w:hAnsi="Times New Roman"/>
                <w:sz w:val="10"/>
                <w:szCs w:val="10"/>
                <w:color w:val="auto"/>
              </w:rPr>
              <w:t xml:space="preserve">Raptor US Buyer II Corp. </w:t>
            </w:r>
            <w:r>
              <w:rPr>
                <w:rFonts w:ascii="Times New Roman" w:cs="Times New Roman" w:eastAsia="Times New Roman" w:hAnsi="Times New Roman"/>
                <w:sz w:val="13"/>
                <w:szCs w:val="13"/>
                <w:color w:val="auto"/>
                <w:vertAlign w:val="superscript"/>
              </w:rPr>
              <w:t>(3)(5)</w:t>
            </w:r>
          </w:p>
        </w:tc>
        <w:tc>
          <w:tcPr>
            <w:tcW w:w="2620" w:type="dxa"/>
            <w:vAlign w:val="bottom"/>
          </w:tcPr>
          <w:p>
            <w:pPr>
              <w:ind w:left="100"/>
              <w:spacing w:after="0" w:line="117" w:lineRule="exact"/>
              <w:rPr>
                <w:sz w:val="20"/>
                <w:szCs w:val="20"/>
                <w:color w:val="auto"/>
              </w:rPr>
            </w:pPr>
            <w:r>
              <w:rPr>
                <w:rFonts w:ascii="Times New Roman" w:cs="Times New Roman" w:eastAsia="Times New Roman" w:hAnsi="Times New Roman"/>
                <w:sz w:val="13"/>
                <w:szCs w:val="13"/>
                <w:color w:val="auto"/>
              </w:rPr>
              <w:t>First-lien loan ($113,676 par, due 3/2029)</w:t>
            </w:r>
          </w:p>
        </w:tc>
        <w:tc>
          <w:tcPr>
            <w:tcW w:w="920" w:type="dxa"/>
            <w:vAlign w:val="bottom"/>
          </w:tcPr>
          <w:p>
            <w:pPr>
              <w:jc w:val="right"/>
              <w:ind w:right="37"/>
              <w:spacing w:after="0" w:line="117" w:lineRule="exact"/>
              <w:rPr>
                <w:sz w:val="20"/>
                <w:szCs w:val="20"/>
                <w:color w:val="auto"/>
              </w:rPr>
            </w:pPr>
            <w:r>
              <w:rPr>
                <w:rFonts w:ascii="Times New Roman" w:cs="Times New Roman" w:eastAsia="Times New Roman" w:hAnsi="Times New Roman"/>
                <w:sz w:val="13"/>
                <w:szCs w:val="13"/>
                <w:color w:val="auto"/>
              </w:rPr>
              <w:t>3/24/2023</w:t>
            </w:r>
          </w:p>
        </w:tc>
        <w:tc>
          <w:tcPr>
            <w:tcW w:w="1100" w:type="dxa"/>
            <w:vAlign w:val="bottom"/>
          </w:tcPr>
          <w:p>
            <w:pPr>
              <w:jc w:val="right"/>
              <w:ind w:right="177"/>
              <w:spacing w:after="0" w:line="117" w:lineRule="exact"/>
              <w:rPr>
                <w:sz w:val="20"/>
                <w:szCs w:val="20"/>
                <w:color w:val="auto"/>
              </w:rPr>
            </w:pPr>
            <w:r>
              <w:rPr>
                <w:rFonts w:ascii="Times New Roman" w:cs="Times New Roman" w:eastAsia="Times New Roman" w:hAnsi="Times New Roman"/>
                <w:sz w:val="13"/>
                <w:szCs w:val="13"/>
                <w:color w:val="auto"/>
              </w:rPr>
              <w:t>SOFR + 6.25%</w:t>
            </w:r>
          </w:p>
        </w:tc>
        <w:tc>
          <w:tcPr>
            <w:tcW w:w="1480" w:type="dxa"/>
            <w:vAlign w:val="bottom"/>
          </w:tcPr>
          <w:p>
            <w:pPr>
              <w:jc w:val="right"/>
              <w:ind w:right="97"/>
              <w:spacing w:after="0" w:line="117" w:lineRule="exact"/>
              <w:rPr>
                <w:sz w:val="20"/>
                <w:szCs w:val="20"/>
                <w:color w:val="auto"/>
              </w:rPr>
            </w:pPr>
            <w:r>
              <w:rPr>
                <w:rFonts w:ascii="Times New Roman" w:cs="Times New Roman" w:eastAsia="Times New Roman" w:hAnsi="Times New Roman"/>
                <w:sz w:val="13"/>
                <w:szCs w:val="13"/>
                <w:color w:val="auto"/>
              </w:rPr>
              <w:t>9.97%</w:t>
            </w:r>
          </w:p>
        </w:tc>
        <w:tc>
          <w:tcPr>
            <w:tcW w:w="88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111,605</w:t>
            </w:r>
          </w:p>
        </w:tc>
        <w:tc>
          <w:tcPr>
            <w:tcW w:w="12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114,529</w:t>
            </w:r>
          </w:p>
        </w:tc>
        <w:tc>
          <w:tcPr>
            <w:tcW w:w="118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2.7%</w:t>
            </w:r>
          </w:p>
        </w:tc>
        <w:tc>
          <w:tcPr>
            <w:tcW w:w="0" w:type="dxa"/>
            <w:vAlign w:val="bottom"/>
          </w:tcPr>
          <w:p>
            <w:pPr>
              <w:spacing w:after="0"/>
              <w:rPr>
                <w:sz w:val="1"/>
                <w:szCs w:val="1"/>
                <w:color w:val="auto"/>
              </w:rPr>
            </w:pPr>
          </w:p>
        </w:tc>
      </w:tr>
      <w:tr>
        <w:trPr>
          <w:trHeight w:val="135"/>
        </w:trPr>
        <w:tc>
          <w:tcPr>
            <w:tcW w:w="1840" w:type="dxa"/>
            <w:vAlign w:val="bottom"/>
          </w:tcPr>
          <w:p>
            <w:pPr>
              <w:spacing w:after="0"/>
              <w:rPr>
                <w:sz w:val="11"/>
                <w:szCs w:val="11"/>
                <w:color w:val="auto"/>
              </w:rPr>
            </w:pPr>
          </w:p>
        </w:tc>
        <w:tc>
          <w:tcPr>
            <w:tcW w:w="262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First-lien revolving loan ($518 par, due</w:t>
            </w:r>
          </w:p>
        </w:tc>
        <w:tc>
          <w:tcPr>
            <w:tcW w:w="92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3/24/2023</w:t>
            </w:r>
          </w:p>
        </w:tc>
        <w:tc>
          <w:tcPr>
            <w:tcW w:w="1100" w:type="dxa"/>
            <w:vAlign w:val="bottom"/>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SOFR + 6.25%</w:t>
            </w:r>
          </w:p>
        </w:tc>
        <w:tc>
          <w:tcPr>
            <w:tcW w:w="1480" w:type="dxa"/>
            <w:vAlign w:val="bottom"/>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9.97%</w:t>
            </w: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481</w:t>
            </w:r>
          </w:p>
        </w:tc>
        <w:tc>
          <w:tcPr>
            <w:tcW w:w="12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551</w:t>
            </w:r>
          </w:p>
        </w:tc>
        <w:tc>
          <w:tcPr>
            <w:tcW w:w="1180" w:type="dxa"/>
            <w:vAlign w:val="bottom"/>
            <w:gridSpan w:val="3"/>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0.0%</w:t>
            </w:r>
          </w:p>
        </w:tc>
        <w:tc>
          <w:tcPr>
            <w:tcW w:w="0" w:type="dxa"/>
            <w:vAlign w:val="bottom"/>
          </w:tcPr>
          <w:p>
            <w:pPr>
              <w:spacing w:after="0"/>
              <w:rPr>
                <w:sz w:val="1"/>
                <w:szCs w:val="1"/>
                <w:color w:val="auto"/>
              </w:rPr>
            </w:pPr>
          </w:p>
        </w:tc>
      </w:tr>
      <w:tr>
        <w:trPr>
          <w:trHeight w:val="135"/>
        </w:trPr>
        <w:tc>
          <w:tcPr>
            <w:tcW w:w="18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Symplr Software Inc. </w:t>
            </w:r>
            <w:r>
              <w:rPr>
                <w:rFonts w:ascii="Times New Roman" w:cs="Times New Roman" w:eastAsia="Times New Roman" w:hAnsi="Times New Roman"/>
                <w:sz w:val="18"/>
                <w:szCs w:val="18"/>
                <w:color w:val="auto"/>
                <w:vertAlign w:val="superscript"/>
              </w:rPr>
              <w:t>(3)(12)</w:t>
            </w:r>
          </w:p>
        </w:tc>
        <w:tc>
          <w:tcPr>
            <w:tcW w:w="262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3/2029)</w:t>
            </w:r>
          </w:p>
        </w:tc>
        <w:tc>
          <w:tcPr>
            <w:tcW w:w="9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840" w:type="dxa"/>
            <w:vAlign w:val="bottom"/>
            <w:vMerge w:val="continue"/>
          </w:tcPr>
          <w:p>
            <w:pPr>
              <w:spacing w:after="0"/>
              <w:rPr>
                <w:sz w:val="15"/>
                <w:szCs w:val="15"/>
                <w:color w:val="auto"/>
              </w:rPr>
            </w:pPr>
          </w:p>
        </w:tc>
        <w:tc>
          <w:tcPr>
            <w:tcW w:w="26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First-lien loan ($1,269 par, due 12/2027)</w:t>
            </w:r>
          </w:p>
        </w:tc>
        <w:tc>
          <w:tcPr>
            <w:tcW w:w="9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4/4/2025</w:t>
            </w:r>
          </w:p>
        </w:tc>
        <w:tc>
          <w:tcPr>
            <w:tcW w:w="110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rPr>
              <w:t>SOFR + 4.60%</w:t>
            </w:r>
          </w:p>
        </w:tc>
        <w:tc>
          <w:tcPr>
            <w:tcW w:w="148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8.44%</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1,075</w:t>
            </w:r>
          </w:p>
        </w:tc>
        <w:tc>
          <w:tcPr>
            <w:tcW w:w="118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22"/>
        </w:trPr>
        <w:tc>
          <w:tcPr>
            <w:tcW w:w="184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3"/>
                <w:szCs w:val="13"/>
                <w:color w:val="auto"/>
              </w:rPr>
              <w:t>Velocity Clinical Research, Inc.</w:t>
            </w:r>
          </w:p>
        </w:tc>
        <w:tc>
          <w:tcPr>
            <w:tcW w:w="2620" w:type="dxa"/>
            <w:vAlign w:val="bottom"/>
            <w:shd w:val="clear" w:color="auto" w:fill="CFF0FC"/>
          </w:tcPr>
          <w:p>
            <w:pPr>
              <w:ind w:left="100"/>
              <w:spacing w:after="0" w:line="122" w:lineRule="exact"/>
              <w:rPr>
                <w:sz w:val="20"/>
                <w:szCs w:val="20"/>
                <w:color w:val="auto"/>
              </w:rPr>
            </w:pPr>
            <w:r>
              <w:rPr>
                <w:rFonts w:ascii="Times New Roman" w:cs="Times New Roman" w:eastAsia="Times New Roman" w:hAnsi="Times New Roman"/>
                <w:sz w:val="13"/>
                <w:szCs w:val="13"/>
                <w:color w:val="auto"/>
              </w:rPr>
              <w:t>First-lien loan ($266,113 par, due 9/2031)</w:t>
            </w:r>
          </w:p>
        </w:tc>
        <w:tc>
          <w:tcPr>
            <w:tcW w:w="920" w:type="dxa"/>
            <w:vAlign w:val="bottom"/>
            <w:shd w:val="clear" w:color="auto" w:fill="CFF0FC"/>
          </w:tcPr>
          <w:p>
            <w:pPr>
              <w:jc w:val="right"/>
              <w:ind w:right="37"/>
              <w:spacing w:after="0" w:line="122" w:lineRule="exact"/>
              <w:rPr>
                <w:sz w:val="20"/>
                <w:szCs w:val="20"/>
                <w:color w:val="auto"/>
              </w:rPr>
            </w:pPr>
            <w:r>
              <w:rPr>
                <w:rFonts w:ascii="Times New Roman" w:cs="Times New Roman" w:eastAsia="Times New Roman" w:hAnsi="Times New Roman"/>
                <w:sz w:val="13"/>
                <w:szCs w:val="13"/>
                <w:color w:val="auto"/>
              </w:rPr>
              <w:t>9/9/2025</w:t>
            </w:r>
          </w:p>
        </w:tc>
        <w:tc>
          <w:tcPr>
            <w:tcW w:w="1100" w:type="dxa"/>
            <w:vAlign w:val="bottom"/>
            <w:shd w:val="clear" w:color="auto" w:fill="CFF0FC"/>
          </w:tcPr>
          <w:p>
            <w:pPr>
              <w:jc w:val="right"/>
              <w:ind w:right="177"/>
              <w:spacing w:after="0" w:line="122" w:lineRule="exact"/>
              <w:rPr>
                <w:sz w:val="20"/>
                <w:szCs w:val="20"/>
                <w:color w:val="auto"/>
              </w:rPr>
            </w:pPr>
            <w:r>
              <w:rPr>
                <w:rFonts w:ascii="Times New Roman" w:cs="Times New Roman" w:eastAsia="Times New Roman" w:hAnsi="Times New Roman"/>
                <w:sz w:val="13"/>
                <w:szCs w:val="13"/>
                <w:color w:val="auto"/>
              </w:rPr>
              <w:t>SOFR + 7.50%</w:t>
            </w:r>
          </w:p>
        </w:tc>
        <w:tc>
          <w:tcPr>
            <w:tcW w:w="1480" w:type="dxa"/>
            <w:vAlign w:val="bottom"/>
            <w:shd w:val="clear" w:color="auto" w:fill="CFF0FC"/>
          </w:tcPr>
          <w:p>
            <w:pPr>
              <w:jc w:val="right"/>
              <w:ind w:right="97"/>
              <w:spacing w:after="0" w:line="122" w:lineRule="exact"/>
              <w:rPr>
                <w:sz w:val="20"/>
                <w:szCs w:val="20"/>
                <w:color w:val="auto"/>
              </w:rPr>
            </w:pPr>
            <w:r>
              <w:rPr>
                <w:rFonts w:ascii="Times New Roman" w:cs="Times New Roman" w:eastAsia="Times New Roman" w:hAnsi="Times New Roman"/>
                <w:sz w:val="13"/>
                <w:szCs w:val="13"/>
                <w:color w:val="auto"/>
              </w:rPr>
              <w:t>11.17%</w:t>
            </w:r>
          </w:p>
        </w:tc>
        <w:tc>
          <w:tcPr>
            <w:tcW w:w="8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261,736</w:t>
            </w:r>
          </w:p>
        </w:tc>
        <w:tc>
          <w:tcPr>
            <w:tcW w:w="1220" w:type="dxa"/>
            <w:vAlign w:val="bottom"/>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264,783</w:t>
            </w:r>
          </w:p>
        </w:tc>
        <w:tc>
          <w:tcPr>
            <w:tcW w:w="1180" w:type="dxa"/>
            <w:vAlign w:val="bottom"/>
            <w:gridSpan w:val="3"/>
            <w:shd w:val="clear" w:color="auto" w:fill="CFF0FC"/>
          </w:tcPr>
          <w:p>
            <w:pPr>
              <w:jc w:val="right"/>
              <w:ind w:right="20"/>
              <w:spacing w:after="0" w:line="122" w:lineRule="exact"/>
              <w:rPr>
                <w:sz w:val="20"/>
                <w:szCs w:val="20"/>
                <w:color w:val="auto"/>
              </w:rPr>
            </w:pPr>
            <w:r>
              <w:rPr>
                <w:rFonts w:ascii="Times New Roman" w:cs="Times New Roman" w:eastAsia="Times New Roman" w:hAnsi="Times New Roman"/>
                <w:sz w:val="13"/>
                <w:szCs w:val="13"/>
                <w:color w:val="auto"/>
              </w:rPr>
              <w:t>6.3%</w:t>
            </w:r>
          </w:p>
        </w:tc>
        <w:tc>
          <w:tcPr>
            <w:tcW w:w="0" w:type="dxa"/>
            <w:vAlign w:val="bottom"/>
          </w:tcPr>
          <w:p>
            <w:pPr>
              <w:spacing w:after="0"/>
              <w:rPr>
                <w:sz w:val="1"/>
                <w:szCs w:val="1"/>
                <w:color w:val="auto"/>
              </w:rPr>
            </w:pPr>
          </w:p>
        </w:tc>
      </w:tr>
      <w:tr>
        <w:trPr>
          <w:trHeight w:val="142"/>
        </w:trPr>
        <w:tc>
          <w:tcPr>
            <w:tcW w:w="1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9"/>
                <w:szCs w:val="9"/>
                <w:color w:val="auto"/>
              </w:rPr>
              <w:t>(3)</w:t>
            </w:r>
          </w:p>
        </w:tc>
        <w:tc>
          <w:tcPr>
            <w:tcW w:w="2620" w:type="dxa"/>
            <w:vAlign w:val="bottom"/>
            <w:tcBorders>
              <w:bottom w:val="single" w:sz="8" w:color="CFF0FC"/>
            </w:tcBorders>
            <w:shd w:val="clear" w:color="auto" w:fill="CFF0FC"/>
          </w:tcPr>
          <w:p>
            <w:pPr>
              <w:spacing w:after="0"/>
              <w:rPr>
                <w:sz w:val="12"/>
                <w:szCs w:val="12"/>
                <w:color w:val="auto"/>
              </w:rPr>
            </w:pPr>
          </w:p>
        </w:tc>
        <w:tc>
          <w:tcPr>
            <w:tcW w:w="920" w:type="dxa"/>
            <w:vAlign w:val="bottom"/>
            <w:tcBorders>
              <w:bottom w:val="single" w:sz="8" w:color="CFF0FC"/>
            </w:tcBorders>
            <w:shd w:val="clear" w:color="auto" w:fill="CFF0FC"/>
          </w:tcPr>
          <w:p>
            <w:pPr>
              <w:spacing w:after="0"/>
              <w:rPr>
                <w:sz w:val="12"/>
                <w:szCs w:val="12"/>
                <w:color w:val="auto"/>
              </w:rPr>
            </w:pPr>
          </w:p>
        </w:tc>
        <w:tc>
          <w:tcPr>
            <w:tcW w:w="1100" w:type="dxa"/>
            <w:vAlign w:val="bottom"/>
            <w:tcBorders>
              <w:bottom w:val="single" w:sz="8" w:color="CFF0FC"/>
            </w:tcBorders>
            <w:shd w:val="clear" w:color="auto" w:fill="CFF0FC"/>
          </w:tcPr>
          <w:p>
            <w:pPr>
              <w:spacing w:after="0"/>
              <w:rPr>
                <w:sz w:val="12"/>
                <w:szCs w:val="12"/>
                <w:color w:val="auto"/>
              </w:rPr>
            </w:pPr>
          </w:p>
        </w:tc>
        <w:tc>
          <w:tcPr>
            <w:tcW w:w="1480" w:type="dxa"/>
            <w:vAlign w:val="bottom"/>
            <w:tcBorders>
              <w:bottom w:val="single" w:sz="8" w:color="CFF0FC"/>
            </w:tcBorders>
            <w:shd w:val="clear" w:color="auto" w:fill="CFF0FC"/>
          </w:tcPr>
          <w:p>
            <w:pPr>
              <w:spacing w:after="0"/>
              <w:rPr>
                <w:sz w:val="12"/>
                <w:szCs w:val="12"/>
                <w:color w:val="auto"/>
              </w:rPr>
            </w:pPr>
          </w:p>
        </w:tc>
        <w:tc>
          <w:tcPr>
            <w:tcW w:w="88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100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CFF0FC"/>
            </w:tcBorders>
            <w:shd w:val="clear" w:color="auto" w:fill="CFF0FC"/>
          </w:tcPr>
          <w:p>
            <w:pPr>
              <w:spacing w:after="0"/>
              <w:rPr>
                <w:sz w:val="12"/>
                <w:szCs w:val="12"/>
                <w:color w:val="auto"/>
              </w:rPr>
            </w:pPr>
          </w:p>
        </w:tc>
        <w:tc>
          <w:tcPr>
            <w:tcW w:w="8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840" w:type="dxa"/>
            <w:vAlign w:val="bottom"/>
          </w:tcPr>
          <w:p>
            <w:pPr>
              <w:spacing w:after="0"/>
              <w:rPr>
                <w:sz w:val="10"/>
                <w:szCs w:val="10"/>
                <w:color w:val="auto"/>
              </w:rPr>
            </w:pPr>
          </w:p>
        </w:tc>
        <w:tc>
          <w:tcPr>
            <w:tcW w:w="2620" w:type="dxa"/>
            <w:vAlign w:val="bottom"/>
          </w:tcPr>
          <w:p>
            <w:pPr>
              <w:ind w:left="100"/>
              <w:spacing w:after="0" w:line="117" w:lineRule="exact"/>
              <w:rPr>
                <w:sz w:val="20"/>
                <w:szCs w:val="20"/>
                <w:color w:val="auto"/>
              </w:rPr>
            </w:pPr>
            <w:r>
              <w:rPr>
                <w:rFonts w:ascii="Times New Roman" w:cs="Times New Roman" w:eastAsia="Times New Roman" w:hAnsi="Times New Roman"/>
                <w:sz w:val="13"/>
                <w:szCs w:val="13"/>
                <w:color w:val="auto"/>
              </w:rPr>
              <w:t>First-lien revolving loan ($2,236 par, due</w:t>
            </w:r>
          </w:p>
        </w:tc>
        <w:tc>
          <w:tcPr>
            <w:tcW w:w="920" w:type="dxa"/>
            <w:vAlign w:val="bottom"/>
          </w:tcPr>
          <w:p>
            <w:pPr>
              <w:jc w:val="right"/>
              <w:ind w:right="37"/>
              <w:spacing w:after="0" w:line="117" w:lineRule="exact"/>
              <w:rPr>
                <w:sz w:val="20"/>
                <w:szCs w:val="20"/>
                <w:color w:val="auto"/>
              </w:rPr>
            </w:pPr>
            <w:r>
              <w:rPr>
                <w:rFonts w:ascii="Times New Roman" w:cs="Times New Roman" w:eastAsia="Times New Roman" w:hAnsi="Times New Roman"/>
                <w:sz w:val="13"/>
                <w:szCs w:val="13"/>
                <w:color w:val="auto"/>
              </w:rPr>
              <w:t>9/9/2025</w:t>
            </w:r>
          </w:p>
        </w:tc>
        <w:tc>
          <w:tcPr>
            <w:tcW w:w="1100" w:type="dxa"/>
            <w:vAlign w:val="bottom"/>
          </w:tcPr>
          <w:p>
            <w:pPr>
              <w:jc w:val="right"/>
              <w:ind w:right="177"/>
              <w:spacing w:after="0" w:line="117" w:lineRule="exact"/>
              <w:rPr>
                <w:sz w:val="20"/>
                <w:szCs w:val="20"/>
                <w:color w:val="auto"/>
              </w:rPr>
            </w:pPr>
            <w:r>
              <w:rPr>
                <w:rFonts w:ascii="Times New Roman" w:cs="Times New Roman" w:eastAsia="Times New Roman" w:hAnsi="Times New Roman"/>
                <w:sz w:val="13"/>
                <w:szCs w:val="13"/>
                <w:color w:val="auto"/>
              </w:rPr>
              <w:t>SOFR + 7.50%</w:t>
            </w:r>
          </w:p>
        </w:tc>
        <w:tc>
          <w:tcPr>
            <w:tcW w:w="1480" w:type="dxa"/>
            <w:vAlign w:val="bottom"/>
          </w:tcPr>
          <w:p>
            <w:pPr>
              <w:jc w:val="right"/>
              <w:ind w:right="97"/>
              <w:spacing w:after="0" w:line="117" w:lineRule="exact"/>
              <w:rPr>
                <w:sz w:val="20"/>
                <w:szCs w:val="20"/>
                <w:color w:val="auto"/>
              </w:rPr>
            </w:pPr>
            <w:r>
              <w:rPr>
                <w:rFonts w:ascii="Times New Roman" w:cs="Times New Roman" w:eastAsia="Times New Roman" w:hAnsi="Times New Roman"/>
                <w:sz w:val="13"/>
                <w:szCs w:val="13"/>
                <w:color w:val="auto"/>
              </w:rPr>
              <w:t>11.17%</w:t>
            </w:r>
          </w:p>
        </w:tc>
        <w:tc>
          <w:tcPr>
            <w:tcW w:w="88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1,981</w:t>
            </w:r>
          </w:p>
        </w:tc>
        <w:tc>
          <w:tcPr>
            <w:tcW w:w="12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2,169</w:t>
            </w:r>
          </w:p>
        </w:tc>
        <w:tc>
          <w:tcPr>
            <w:tcW w:w="118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40"/>
        </w:trPr>
        <w:tc>
          <w:tcPr>
            <w:tcW w:w="1840" w:type="dxa"/>
            <w:vAlign w:val="bottom"/>
          </w:tcPr>
          <w:p>
            <w:pPr>
              <w:spacing w:after="0"/>
              <w:rPr>
                <w:sz w:val="12"/>
                <w:szCs w:val="12"/>
                <w:color w:val="auto"/>
              </w:rPr>
            </w:pPr>
          </w:p>
        </w:tc>
        <w:tc>
          <w:tcPr>
            <w:tcW w:w="2620" w:type="dxa"/>
            <w:vAlign w:val="bottom"/>
          </w:tcPr>
          <w:p>
            <w:pPr>
              <w:ind w:left="100"/>
              <w:spacing w:after="0" w:line="140" w:lineRule="exact"/>
              <w:rPr>
                <w:sz w:val="20"/>
                <w:szCs w:val="20"/>
                <w:color w:val="auto"/>
              </w:rPr>
            </w:pPr>
            <w:r>
              <w:rPr>
                <w:rFonts w:ascii="Times New Roman" w:cs="Times New Roman" w:eastAsia="Times New Roman" w:hAnsi="Times New Roman"/>
                <w:sz w:val="13"/>
                <w:szCs w:val="13"/>
                <w:color w:val="auto"/>
              </w:rPr>
              <w:t>9/2031)</w:t>
            </w:r>
          </w:p>
        </w:tc>
        <w:tc>
          <w:tcPr>
            <w:tcW w:w="9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840" w:type="dxa"/>
            <w:vAlign w:val="bottom"/>
            <w:shd w:val="clear" w:color="auto" w:fill="CFF0FC"/>
          </w:tcPr>
          <w:p>
            <w:pPr>
              <w:spacing w:after="0"/>
              <w:rPr>
                <w:sz w:val="11"/>
                <w:szCs w:val="11"/>
                <w:color w:val="auto"/>
              </w:rPr>
            </w:pPr>
          </w:p>
        </w:tc>
        <w:tc>
          <w:tcPr>
            <w:tcW w:w="26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48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595,873</w:t>
            </w:r>
          </w:p>
        </w:tc>
        <w:tc>
          <w:tcPr>
            <w:tcW w:w="122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604,701</w:t>
            </w:r>
          </w:p>
        </w:tc>
        <w:tc>
          <w:tcPr>
            <w:tcW w:w="1180" w:type="dxa"/>
            <w:vAlign w:val="bottom"/>
            <w:gridSpan w:val="3"/>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14.5%</w:t>
            </w:r>
          </w:p>
        </w:tc>
        <w:tc>
          <w:tcPr>
            <w:tcW w:w="0" w:type="dxa"/>
            <w:vAlign w:val="bottom"/>
          </w:tcPr>
          <w:p>
            <w:pPr>
              <w:spacing w:after="0"/>
              <w:rPr>
                <w:sz w:val="1"/>
                <w:szCs w:val="1"/>
                <w:color w:val="auto"/>
              </w:rPr>
            </w:pPr>
          </w:p>
        </w:tc>
      </w:tr>
      <w:tr>
        <w:trPr>
          <w:trHeight w:val="128"/>
        </w:trPr>
        <w:tc>
          <w:tcPr>
            <w:tcW w:w="184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Hotel, Gaming and Leisure</w:t>
            </w:r>
          </w:p>
        </w:tc>
        <w:tc>
          <w:tcPr>
            <w:tcW w:w="2620" w:type="dxa"/>
            <w:vAlign w:val="bottom"/>
            <w:tcBorders>
              <w:top w:val="single" w:sz="8" w:color="CFF0FC"/>
            </w:tcBorders>
          </w:tcPr>
          <w:p>
            <w:pPr>
              <w:spacing w:after="0"/>
              <w:rPr>
                <w:sz w:val="11"/>
                <w:szCs w:val="11"/>
                <w:color w:val="auto"/>
              </w:rPr>
            </w:pPr>
          </w:p>
        </w:tc>
        <w:tc>
          <w:tcPr>
            <w:tcW w:w="920" w:type="dxa"/>
            <w:vAlign w:val="bottom"/>
            <w:tcBorders>
              <w:top w:val="single" w:sz="8" w:color="CFF0FC"/>
            </w:tcBorders>
          </w:tcPr>
          <w:p>
            <w:pPr>
              <w:spacing w:after="0"/>
              <w:rPr>
                <w:sz w:val="11"/>
                <w:szCs w:val="11"/>
                <w:color w:val="auto"/>
              </w:rPr>
            </w:pPr>
          </w:p>
        </w:tc>
        <w:tc>
          <w:tcPr>
            <w:tcW w:w="1100" w:type="dxa"/>
            <w:vAlign w:val="bottom"/>
            <w:tcBorders>
              <w:top w:val="single" w:sz="8" w:color="CFF0FC"/>
            </w:tcBorders>
          </w:tcPr>
          <w:p>
            <w:pPr>
              <w:spacing w:after="0"/>
              <w:rPr>
                <w:sz w:val="11"/>
                <w:szCs w:val="11"/>
                <w:color w:val="auto"/>
              </w:rPr>
            </w:pPr>
          </w:p>
        </w:tc>
        <w:tc>
          <w:tcPr>
            <w:tcW w:w="1480" w:type="dxa"/>
            <w:vAlign w:val="bottom"/>
            <w:tcBorders>
              <w:top w:val="single" w:sz="8" w:color="CFF0FC"/>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84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0"/>
                <w:szCs w:val="10"/>
                <w:color w:val="auto"/>
              </w:rPr>
              <w:t xml:space="preserve">AVSC Holding Corp. </w:t>
            </w:r>
            <w:r>
              <w:rPr>
                <w:rFonts w:ascii="Times New Roman" w:cs="Times New Roman" w:eastAsia="Times New Roman" w:hAnsi="Times New Roman"/>
                <w:sz w:val="13"/>
                <w:szCs w:val="13"/>
                <w:color w:val="auto"/>
                <w:vertAlign w:val="superscript"/>
              </w:rPr>
              <w:t>(3)</w:t>
            </w:r>
          </w:p>
        </w:tc>
        <w:tc>
          <w:tcPr>
            <w:tcW w:w="2620" w:type="dxa"/>
            <w:vAlign w:val="bottom"/>
            <w:shd w:val="clear" w:color="auto" w:fill="CFF0FC"/>
          </w:tcPr>
          <w:p>
            <w:pPr>
              <w:ind w:left="100"/>
              <w:spacing w:after="0" w:line="117" w:lineRule="exact"/>
              <w:rPr>
                <w:sz w:val="20"/>
                <w:szCs w:val="20"/>
                <w:color w:val="auto"/>
              </w:rPr>
            </w:pPr>
            <w:r>
              <w:rPr>
                <w:rFonts w:ascii="Times New Roman" w:cs="Times New Roman" w:eastAsia="Times New Roman" w:hAnsi="Times New Roman"/>
                <w:sz w:val="13"/>
                <w:szCs w:val="13"/>
                <w:color w:val="auto"/>
              </w:rPr>
              <w:t>First-lien loan ($246,557 par, due 12/2031)</w:t>
            </w:r>
          </w:p>
        </w:tc>
        <w:tc>
          <w:tcPr>
            <w:tcW w:w="920" w:type="dxa"/>
            <w:vAlign w:val="bottom"/>
            <w:shd w:val="clear" w:color="auto" w:fill="CFF0FC"/>
          </w:tcPr>
          <w:p>
            <w:pPr>
              <w:jc w:val="right"/>
              <w:ind w:right="37"/>
              <w:spacing w:after="0" w:line="117" w:lineRule="exact"/>
              <w:rPr>
                <w:sz w:val="20"/>
                <w:szCs w:val="20"/>
                <w:color w:val="auto"/>
              </w:rPr>
            </w:pPr>
            <w:r>
              <w:rPr>
                <w:rFonts w:ascii="Times New Roman" w:cs="Times New Roman" w:eastAsia="Times New Roman" w:hAnsi="Times New Roman"/>
                <w:sz w:val="13"/>
                <w:szCs w:val="13"/>
                <w:color w:val="auto"/>
              </w:rPr>
              <w:t>12/5/2024</w:t>
            </w:r>
          </w:p>
        </w:tc>
        <w:tc>
          <w:tcPr>
            <w:tcW w:w="1100" w:type="dxa"/>
            <w:vAlign w:val="bottom"/>
            <w:shd w:val="clear" w:color="auto" w:fill="CFF0FC"/>
          </w:tcPr>
          <w:p>
            <w:pPr>
              <w:jc w:val="right"/>
              <w:ind w:right="217"/>
              <w:spacing w:after="0" w:line="117" w:lineRule="exact"/>
              <w:rPr>
                <w:sz w:val="20"/>
                <w:szCs w:val="20"/>
                <w:color w:val="auto"/>
              </w:rPr>
            </w:pPr>
            <w:r>
              <w:rPr>
                <w:rFonts w:ascii="Times New Roman" w:cs="Times New Roman" w:eastAsia="Times New Roman" w:hAnsi="Times New Roman"/>
                <w:sz w:val="13"/>
                <w:szCs w:val="13"/>
                <w:color w:val="auto"/>
              </w:rPr>
              <w:t>SOFR +</w:t>
            </w:r>
          </w:p>
        </w:tc>
        <w:tc>
          <w:tcPr>
            <w:tcW w:w="1480" w:type="dxa"/>
            <w:vAlign w:val="bottom"/>
            <w:shd w:val="clear" w:color="auto" w:fill="CFF0FC"/>
          </w:tcPr>
          <w:p>
            <w:pPr>
              <w:jc w:val="right"/>
              <w:ind w:right="97"/>
              <w:spacing w:after="0" w:line="117" w:lineRule="exact"/>
              <w:rPr>
                <w:sz w:val="20"/>
                <w:szCs w:val="20"/>
                <w:color w:val="auto"/>
              </w:rPr>
            </w:pPr>
            <w:r>
              <w:rPr>
                <w:rFonts w:ascii="Times New Roman" w:cs="Times New Roman" w:eastAsia="Times New Roman" w:hAnsi="Times New Roman"/>
                <w:sz w:val="13"/>
                <w:szCs w:val="13"/>
                <w:color w:val="auto"/>
              </w:rPr>
              <w:t>8.72%</w:t>
            </w:r>
          </w:p>
        </w:tc>
        <w:tc>
          <w:tcPr>
            <w:tcW w:w="88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241,780</w:t>
            </w:r>
          </w:p>
        </w:tc>
        <w:tc>
          <w:tcPr>
            <w:tcW w:w="122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245,874</w:t>
            </w:r>
          </w:p>
        </w:tc>
        <w:tc>
          <w:tcPr>
            <w:tcW w:w="1180" w:type="dxa"/>
            <w:vAlign w:val="bottom"/>
            <w:gridSpan w:val="3"/>
            <w:shd w:val="clear" w:color="auto" w:fill="CFF0FC"/>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5.9%</w:t>
            </w:r>
          </w:p>
        </w:tc>
        <w:tc>
          <w:tcPr>
            <w:tcW w:w="0" w:type="dxa"/>
            <w:vAlign w:val="bottom"/>
          </w:tcPr>
          <w:p>
            <w:pPr>
              <w:spacing w:after="0"/>
              <w:rPr>
                <w:sz w:val="1"/>
                <w:szCs w:val="1"/>
                <w:color w:val="auto"/>
              </w:rPr>
            </w:pPr>
          </w:p>
        </w:tc>
      </w:tr>
      <w:tr>
        <w:trPr>
          <w:trHeight w:val="153"/>
        </w:trPr>
        <w:tc>
          <w:tcPr>
            <w:tcW w:w="1840" w:type="dxa"/>
            <w:vAlign w:val="bottom"/>
            <w:shd w:val="clear" w:color="auto" w:fill="CFF0FC"/>
          </w:tcPr>
          <w:p>
            <w:pPr>
              <w:spacing w:after="0"/>
              <w:rPr>
                <w:sz w:val="13"/>
                <w:szCs w:val="13"/>
                <w:color w:val="auto"/>
              </w:rPr>
            </w:pPr>
          </w:p>
        </w:tc>
        <w:tc>
          <w:tcPr>
            <w:tcW w:w="26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100" w:type="dxa"/>
            <w:vAlign w:val="bottom"/>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5.00%</w:t>
            </w:r>
          </w:p>
        </w:tc>
        <w:tc>
          <w:tcPr>
            <w:tcW w:w="14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8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Equinox Holdings, Inc.</w:t>
            </w:r>
          </w:p>
        </w:tc>
        <w:tc>
          <w:tcPr>
            <w:tcW w:w="2620" w:type="dxa"/>
            <w:vAlign w:val="bottom"/>
          </w:tcPr>
          <w:p>
            <w:pPr>
              <w:ind w:left="100"/>
              <w:spacing w:after="0" w:line="117" w:lineRule="exact"/>
              <w:rPr>
                <w:sz w:val="20"/>
                <w:szCs w:val="20"/>
                <w:color w:val="auto"/>
              </w:rPr>
            </w:pPr>
            <w:r>
              <w:rPr>
                <w:rFonts w:ascii="Times New Roman" w:cs="Times New Roman" w:eastAsia="Times New Roman" w:hAnsi="Times New Roman"/>
                <w:sz w:val="10"/>
                <w:szCs w:val="10"/>
                <w:color w:val="auto"/>
              </w:rPr>
              <w:t xml:space="preserve">First-lien loan ($206,789 par, due 3/2029) </w:t>
            </w:r>
            <w:r>
              <w:rPr>
                <w:rFonts w:ascii="Times New Roman" w:cs="Times New Roman" w:eastAsia="Times New Roman" w:hAnsi="Times New Roman"/>
                <w:sz w:val="13"/>
                <w:szCs w:val="13"/>
                <w:color w:val="auto"/>
                <w:vertAlign w:val="superscript"/>
              </w:rPr>
              <w:t>(3)</w:t>
            </w:r>
          </w:p>
        </w:tc>
        <w:tc>
          <w:tcPr>
            <w:tcW w:w="920" w:type="dxa"/>
            <w:vAlign w:val="bottom"/>
          </w:tcPr>
          <w:p>
            <w:pPr>
              <w:jc w:val="right"/>
              <w:ind w:right="37"/>
              <w:spacing w:after="0" w:line="117" w:lineRule="exact"/>
              <w:rPr>
                <w:sz w:val="20"/>
                <w:szCs w:val="20"/>
                <w:color w:val="auto"/>
              </w:rPr>
            </w:pPr>
            <w:r>
              <w:rPr>
                <w:rFonts w:ascii="Times New Roman" w:cs="Times New Roman" w:eastAsia="Times New Roman" w:hAnsi="Times New Roman"/>
                <w:sz w:val="13"/>
                <w:szCs w:val="13"/>
                <w:color w:val="auto"/>
              </w:rPr>
              <w:t>3/8/2024</w:t>
            </w:r>
          </w:p>
        </w:tc>
        <w:tc>
          <w:tcPr>
            <w:tcW w:w="1100" w:type="dxa"/>
            <w:vAlign w:val="bottom"/>
          </w:tcPr>
          <w:p>
            <w:pPr>
              <w:jc w:val="right"/>
              <w:ind w:right="177"/>
              <w:spacing w:after="0" w:line="117" w:lineRule="exact"/>
              <w:rPr>
                <w:sz w:val="20"/>
                <w:szCs w:val="20"/>
                <w:color w:val="auto"/>
              </w:rPr>
            </w:pPr>
            <w:r>
              <w:rPr>
                <w:rFonts w:ascii="Times New Roman" w:cs="Times New Roman" w:eastAsia="Times New Roman" w:hAnsi="Times New Roman"/>
                <w:sz w:val="13"/>
                <w:szCs w:val="13"/>
                <w:color w:val="auto"/>
              </w:rPr>
              <w:t>SOFR + 8.25%</w:t>
            </w:r>
          </w:p>
        </w:tc>
        <w:tc>
          <w:tcPr>
            <w:tcW w:w="1480" w:type="dxa"/>
            <w:vAlign w:val="bottom"/>
          </w:tcPr>
          <w:p>
            <w:pPr>
              <w:jc w:val="right"/>
              <w:ind w:right="237"/>
              <w:spacing w:after="0" w:line="117" w:lineRule="exact"/>
              <w:rPr>
                <w:sz w:val="20"/>
                <w:szCs w:val="20"/>
                <w:color w:val="auto"/>
              </w:rPr>
            </w:pPr>
            <w:r>
              <w:rPr>
                <w:rFonts w:ascii="Times New Roman" w:cs="Times New Roman" w:eastAsia="Times New Roman" w:hAnsi="Times New Roman"/>
                <w:sz w:val="13"/>
                <w:szCs w:val="13"/>
                <w:color w:val="auto"/>
              </w:rPr>
              <w:t>11.92% (incl. 4.13%</w:t>
            </w:r>
          </w:p>
        </w:tc>
        <w:tc>
          <w:tcPr>
            <w:tcW w:w="88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204,506</w:t>
            </w:r>
          </w:p>
        </w:tc>
        <w:tc>
          <w:tcPr>
            <w:tcW w:w="12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213,509</w:t>
            </w:r>
          </w:p>
        </w:tc>
        <w:tc>
          <w:tcPr>
            <w:tcW w:w="118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5.1%</w:t>
            </w:r>
          </w:p>
        </w:tc>
        <w:tc>
          <w:tcPr>
            <w:tcW w:w="0" w:type="dxa"/>
            <w:vAlign w:val="bottom"/>
          </w:tcPr>
          <w:p>
            <w:pPr>
              <w:spacing w:after="0"/>
              <w:rPr>
                <w:sz w:val="1"/>
                <w:szCs w:val="1"/>
                <w:color w:val="auto"/>
              </w:rPr>
            </w:pPr>
          </w:p>
        </w:tc>
      </w:tr>
      <w:tr>
        <w:trPr>
          <w:trHeight w:val="153"/>
        </w:trPr>
        <w:tc>
          <w:tcPr>
            <w:tcW w:w="184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8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rPr>
              <w:t>PIK)</w:t>
            </w: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840" w:type="dxa"/>
            <w:vAlign w:val="bottom"/>
            <w:shd w:val="clear" w:color="auto" w:fill="CFF0FC"/>
          </w:tcPr>
          <w:p>
            <w:pPr>
              <w:spacing w:after="0"/>
              <w:rPr>
                <w:sz w:val="11"/>
                <w:szCs w:val="11"/>
                <w:color w:val="auto"/>
              </w:rPr>
            </w:pPr>
          </w:p>
        </w:tc>
        <w:tc>
          <w:tcPr>
            <w:tcW w:w="2620" w:type="dxa"/>
            <w:vAlign w:val="bottom"/>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color w:val="auto"/>
              </w:rPr>
              <w:t>Second-lien loan ($10,983 par, due 6/2027)</w:t>
            </w:r>
          </w:p>
        </w:tc>
        <w:tc>
          <w:tcPr>
            <w:tcW w:w="92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3/13/2024</w:t>
            </w:r>
          </w:p>
        </w:tc>
        <w:tc>
          <w:tcPr>
            <w:tcW w:w="11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16.00%</w:t>
            </w:r>
          </w:p>
        </w:tc>
        <w:tc>
          <w:tcPr>
            <w:tcW w:w="1480" w:type="dxa"/>
            <w:vAlign w:val="bottom"/>
            <w:shd w:val="clear" w:color="auto" w:fill="CFF0FC"/>
          </w:tcPr>
          <w:p>
            <w:pPr>
              <w:jc w:val="right"/>
              <w:ind w:right="197"/>
              <w:spacing w:after="0" w:line="135" w:lineRule="exact"/>
              <w:rPr>
                <w:sz w:val="20"/>
                <w:szCs w:val="20"/>
                <w:color w:val="auto"/>
              </w:rPr>
            </w:pPr>
            <w:r>
              <w:rPr>
                <w:rFonts w:ascii="Times New Roman" w:cs="Times New Roman" w:eastAsia="Times New Roman" w:hAnsi="Times New Roman"/>
                <w:sz w:val="13"/>
                <w:szCs w:val="13"/>
                <w:color w:val="auto"/>
              </w:rPr>
              <w:t>16.00% PIK</w:t>
            </w: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10,855</w:t>
            </w:r>
          </w:p>
        </w:tc>
        <w:tc>
          <w:tcPr>
            <w:tcW w:w="122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12,960</w:t>
            </w:r>
          </w:p>
        </w:tc>
        <w:tc>
          <w:tcPr>
            <w:tcW w:w="1180" w:type="dxa"/>
            <w:vAlign w:val="bottom"/>
            <w:gridSpan w:val="3"/>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0.3%</w:t>
            </w:r>
          </w:p>
        </w:tc>
        <w:tc>
          <w:tcPr>
            <w:tcW w:w="0" w:type="dxa"/>
            <w:vAlign w:val="bottom"/>
          </w:tcPr>
          <w:p>
            <w:pPr>
              <w:spacing w:after="0"/>
              <w:rPr>
                <w:sz w:val="1"/>
                <w:szCs w:val="1"/>
                <w:color w:val="auto"/>
              </w:rPr>
            </w:pPr>
          </w:p>
        </w:tc>
      </w:tr>
      <w:tr>
        <w:trPr>
          <w:trHeight w:val="117"/>
        </w:trPr>
        <w:tc>
          <w:tcPr>
            <w:tcW w:w="1840" w:type="dxa"/>
            <w:vAlign w:val="bottom"/>
          </w:tcPr>
          <w:p>
            <w:pPr>
              <w:spacing w:after="0" w:line="117" w:lineRule="exact"/>
              <w:rPr>
                <w:sz w:val="20"/>
                <w:szCs w:val="20"/>
                <w:color w:val="auto"/>
              </w:rPr>
            </w:pPr>
            <w:r>
              <w:rPr>
                <w:rFonts w:ascii="Times New Roman" w:cs="Times New Roman" w:eastAsia="Times New Roman" w:hAnsi="Times New Roman"/>
                <w:sz w:val="10"/>
                <w:szCs w:val="10"/>
                <w:color w:val="auto"/>
              </w:rPr>
              <w:t xml:space="preserve">Sport Alliance GmbH </w:t>
            </w:r>
            <w:r>
              <w:rPr>
                <w:rFonts w:ascii="Times New Roman" w:cs="Times New Roman" w:eastAsia="Times New Roman" w:hAnsi="Times New Roman"/>
                <w:sz w:val="13"/>
                <w:szCs w:val="13"/>
                <w:color w:val="auto"/>
                <w:vertAlign w:val="superscript"/>
              </w:rPr>
              <w:t>(3)(4)</w:t>
            </w:r>
          </w:p>
        </w:tc>
        <w:tc>
          <w:tcPr>
            <w:tcW w:w="2620" w:type="dxa"/>
            <w:vAlign w:val="bottom"/>
          </w:tcPr>
          <w:p>
            <w:pPr>
              <w:ind w:left="100"/>
              <w:spacing w:after="0" w:line="117" w:lineRule="exact"/>
              <w:rPr>
                <w:sz w:val="20"/>
                <w:szCs w:val="20"/>
                <w:color w:val="auto"/>
              </w:rPr>
            </w:pPr>
            <w:r>
              <w:rPr>
                <w:rFonts w:ascii="Times New Roman" w:cs="Times New Roman" w:eastAsia="Times New Roman" w:hAnsi="Times New Roman"/>
                <w:sz w:val="13"/>
                <w:szCs w:val="13"/>
                <w:color w:val="auto"/>
              </w:rPr>
              <w:t>First-lien loan (EUR 37,133 par, due 4/2030)</w:t>
            </w:r>
          </w:p>
        </w:tc>
        <w:tc>
          <w:tcPr>
            <w:tcW w:w="920" w:type="dxa"/>
            <w:vAlign w:val="bottom"/>
          </w:tcPr>
          <w:p>
            <w:pPr>
              <w:jc w:val="right"/>
              <w:ind w:right="37"/>
              <w:spacing w:after="0" w:line="117" w:lineRule="exact"/>
              <w:rPr>
                <w:sz w:val="20"/>
                <w:szCs w:val="20"/>
                <w:color w:val="auto"/>
              </w:rPr>
            </w:pPr>
            <w:r>
              <w:rPr>
                <w:rFonts w:ascii="Times New Roman" w:cs="Times New Roman" w:eastAsia="Times New Roman" w:hAnsi="Times New Roman"/>
                <w:sz w:val="13"/>
                <w:szCs w:val="13"/>
                <w:color w:val="auto"/>
              </w:rPr>
              <w:t>4/10/2024</w:t>
            </w:r>
          </w:p>
        </w:tc>
        <w:tc>
          <w:tcPr>
            <w:tcW w:w="1100" w:type="dxa"/>
            <w:vAlign w:val="bottom"/>
          </w:tcPr>
          <w:p>
            <w:pPr>
              <w:jc w:val="right"/>
              <w:ind w:right="177"/>
              <w:spacing w:after="0" w:line="117" w:lineRule="exact"/>
              <w:rPr>
                <w:sz w:val="20"/>
                <w:szCs w:val="20"/>
                <w:color w:val="auto"/>
              </w:rPr>
            </w:pPr>
            <w:r>
              <w:rPr>
                <w:rFonts w:ascii="Times New Roman" w:cs="Times New Roman" w:eastAsia="Times New Roman" w:hAnsi="Times New Roman"/>
                <w:sz w:val="13"/>
                <w:szCs w:val="13"/>
                <w:color w:val="auto"/>
              </w:rPr>
              <w:t>E + 7.75%</w:t>
            </w:r>
          </w:p>
        </w:tc>
        <w:tc>
          <w:tcPr>
            <w:tcW w:w="1480" w:type="dxa"/>
            <w:vAlign w:val="bottom"/>
          </w:tcPr>
          <w:p>
            <w:pPr>
              <w:jc w:val="right"/>
              <w:ind w:right="237"/>
              <w:spacing w:after="0" w:line="117" w:lineRule="exact"/>
              <w:rPr>
                <w:sz w:val="20"/>
                <w:szCs w:val="20"/>
                <w:color w:val="auto"/>
              </w:rPr>
            </w:pPr>
            <w:r>
              <w:rPr>
                <w:rFonts w:ascii="Times New Roman" w:cs="Times New Roman" w:eastAsia="Times New Roman" w:hAnsi="Times New Roman"/>
                <w:sz w:val="13"/>
                <w:szCs w:val="13"/>
                <w:color w:val="auto"/>
              </w:rPr>
              <w:t>9.77% (incl. 4.13%</w:t>
            </w:r>
          </w:p>
        </w:tc>
        <w:tc>
          <w:tcPr>
            <w:tcW w:w="88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42,004</w:t>
            </w:r>
          </w:p>
        </w:tc>
        <w:tc>
          <w:tcPr>
            <w:tcW w:w="12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43,502</w:t>
            </w:r>
          </w:p>
        </w:tc>
        <w:tc>
          <w:tcPr>
            <w:tcW w:w="118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53"/>
        </w:trPr>
        <w:tc>
          <w:tcPr>
            <w:tcW w:w="184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8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rPr>
              <w:t>PIK)</w:t>
            </w: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(EUR 37,041)</w:t>
            </w: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840" w:type="dxa"/>
            <w:vAlign w:val="bottom"/>
            <w:shd w:val="clear" w:color="auto" w:fill="CFF0FC"/>
          </w:tcPr>
          <w:p>
            <w:pPr>
              <w:spacing w:after="0"/>
              <w:rPr>
                <w:sz w:val="10"/>
                <w:szCs w:val="10"/>
                <w:color w:val="auto"/>
              </w:rPr>
            </w:pPr>
          </w:p>
        </w:tc>
        <w:tc>
          <w:tcPr>
            <w:tcW w:w="2620" w:type="dxa"/>
            <w:vAlign w:val="bottom"/>
            <w:shd w:val="clear" w:color="auto" w:fill="CFF0FC"/>
          </w:tcPr>
          <w:p>
            <w:pPr>
              <w:ind w:left="100"/>
              <w:spacing w:after="0" w:line="117" w:lineRule="exact"/>
              <w:rPr>
                <w:sz w:val="20"/>
                <w:szCs w:val="20"/>
                <w:color w:val="auto"/>
              </w:rPr>
            </w:pPr>
            <w:r>
              <w:rPr>
                <w:rFonts w:ascii="Times New Roman" w:cs="Times New Roman" w:eastAsia="Times New Roman" w:hAnsi="Times New Roman"/>
                <w:sz w:val="13"/>
                <w:szCs w:val="13"/>
                <w:color w:val="auto"/>
              </w:rPr>
              <w:t>First-lien revolving loan (EUR 208 par, due</w:t>
            </w:r>
          </w:p>
        </w:tc>
        <w:tc>
          <w:tcPr>
            <w:tcW w:w="920" w:type="dxa"/>
            <w:vAlign w:val="bottom"/>
            <w:shd w:val="clear" w:color="auto" w:fill="CFF0FC"/>
          </w:tcPr>
          <w:p>
            <w:pPr>
              <w:jc w:val="right"/>
              <w:ind w:right="37"/>
              <w:spacing w:after="0" w:line="117" w:lineRule="exact"/>
              <w:rPr>
                <w:sz w:val="20"/>
                <w:szCs w:val="20"/>
                <w:color w:val="auto"/>
              </w:rPr>
            </w:pPr>
            <w:r>
              <w:rPr>
                <w:rFonts w:ascii="Times New Roman" w:cs="Times New Roman" w:eastAsia="Times New Roman" w:hAnsi="Times New Roman"/>
                <w:sz w:val="13"/>
                <w:szCs w:val="13"/>
                <w:color w:val="auto"/>
              </w:rPr>
              <w:t>4/10/2024</w:t>
            </w:r>
          </w:p>
        </w:tc>
        <w:tc>
          <w:tcPr>
            <w:tcW w:w="1100" w:type="dxa"/>
            <w:vAlign w:val="bottom"/>
            <w:shd w:val="clear" w:color="auto" w:fill="CFF0FC"/>
          </w:tcPr>
          <w:p>
            <w:pPr>
              <w:jc w:val="right"/>
              <w:ind w:right="177"/>
              <w:spacing w:after="0" w:line="117" w:lineRule="exact"/>
              <w:rPr>
                <w:sz w:val="20"/>
                <w:szCs w:val="20"/>
                <w:color w:val="auto"/>
              </w:rPr>
            </w:pPr>
            <w:r>
              <w:rPr>
                <w:rFonts w:ascii="Times New Roman" w:cs="Times New Roman" w:eastAsia="Times New Roman" w:hAnsi="Times New Roman"/>
                <w:sz w:val="13"/>
                <w:szCs w:val="13"/>
                <w:color w:val="auto"/>
              </w:rPr>
              <w:t>E + 7.25%</w:t>
            </w:r>
          </w:p>
        </w:tc>
        <w:tc>
          <w:tcPr>
            <w:tcW w:w="1480" w:type="dxa"/>
            <w:vAlign w:val="bottom"/>
            <w:shd w:val="clear" w:color="auto" w:fill="CFF0FC"/>
          </w:tcPr>
          <w:p>
            <w:pPr>
              <w:jc w:val="right"/>
              <w:ind w:right="97"/>
              <w:spacing w:after="0" w:line="117" w:lineRule="exact"/>
              <w:rPr>
                <w:sz w:val="20"/>
                <w:szCs w:val="20"/>
                <w:color w:val="auto"/>
              </w:rPr>
            </w:pPr>
            <w:r>
              <w:rPr>
                <w:rFonts w:ascii="Times New Roman" w:cs="Times New Roman" w:eastAsia="Times New Roman" w:hAnsi="Times New Roman"/>
                <w:sz w:val="13"/>
                <w:szCs w:val="13"/>
                <w:color w:val="auto"/>
              </w:rPr>
              <w:t>9.27%</w:t>
            </w:r>
          </w:p>
        </w:tc>
        <w:tc>
          <w:tcPr>
            <w:tcW w:w="88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212</w:t>
            </w:r>
          </w:p>
        </w:tc>
        <w:tc>
          <w:tcPr>
            <w:tcW w:w="122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256</w:t>
            </w:r>
          </w:p>
        </w:tc>
        <w:tc>
          <w:tcPr>
            <w:tcW w:w="1180" w:type="dxa"/>
            <w:vAlign w:val="bottom"/>
            <w:gridSpan w:val="3"/>
            <w:shd w:val="clear" w:color="auto" w:fill="CFF0FC"/>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53"/>
        </w:trPr>
        <w:tc>
          <w:tcPr>
            <w:tcW w:w="1840" w:type="dxa"/>
            <w:vAlign w:val="bottom"/>
            <w:tcBorders>
              <w:bottom w:val="single" w:sz="8" w:color="CFF0FC"/>
            </w:tcBorders>
            <w:shd w:val="clear" w:color="auto" w:fill="CFF0FC"/>
          </w:tcPr>
          <w:p>
            <w:pPr>
              <w:spacing w:after="0"/>
              <w:rPr>
                <w:sz w:val="13"/>
                <w:szCs w:val="13"/>
                <w:color w:val="auto"/>
              </w:rPr>
            </w:pPr>
          </w:p>
        </w:tc>
        <w:tc>
          <w:tcPr>
            <w:tcW w:w="26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4/2030)</w:t>
            </w:r>
          </w:p>
        </w:tc>
        <w:tc>
          <w:tcPr>
            <w:tcW w:w="920" w:type="dxa"/>
            <w:vAlign w:val="bottom"/>
            <w:tcBorders>
              <w:bottom w:val="single" w:sz="8" w:color="CFF0FC"/>
            </w:tcBorders>
            <w:shd w:val="clear" w:color="auto" w:fill="CFF0FC"/>
          </w:tcPr>
          <w:p>
            <w:pPr>
              <w:spacing w:after="0"/>
              <w:rPr>
                <w:sz w:val="13"/>
                <w:szCs w:val="13"/>
                <w:color w:val="auto"/>
              </w:rPr>
            </w:pPr>
          </w:p>
        </w:tc>
        <w:tc>
          <w:tcPr>
            <w:tcW w:w="1100" w:type="dxa"/>
            <w:vAlign w:val="bottom"/>
            <w:tcBorders>
              <w:bottom w:val="single" w:sz="8" w:color="CFF0FC"/>
            </w:tcBorders>
            <w:shd w:val="clear" w:color="auto" w:fill="CFF0FC"/>
          </w:tcPr>
          <w:p>
            <w:pPr>
              <w:spacing w:after="0"/>
              <w:rPr>
                <w:sz w:val="13"/>
                <w:szCs w:val="13"/>
                <w:color w:val="auto"/>
              </w:rPr>
            </w:pPr>
          </w:p>
        </w:tc>
        <w:tc>
          <w:tcPr>
            <w:tcW w:w="1480" w:type="dxa"/>
            <w:vAlign w:val="bottom"/>
            <w:tcBorders>
              <w:bottom w:val="single" w:sz="8" w:color="CFF0FC"/>
            </w:tcBorders>
            <w:shd w:val="clear" w:color="auto" w:fill="CFF0FC"/>
          </w:tcPr>
          <w:p>
            <w:pPr>
              <w:spacing w:after="0"/>
              <w:rPr>
                <w:sz w:val="13"/>
                <w:szCs w:val="13"/>
                <w:color w:val="auto"/>
              </w:rPr>
            </w:pPr>
          </w:p>
        </w:tc>
        <w:tc>
          <w:tcPr>
            <w:tcW w:w="880" w:type="dxa"/>
            <w:vAlign w:val="bottom"/>
            <w:tcBorders>
              <w:bottom w:val="single" w:sz="8" w:color="auto"/>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(EUR 218)</w:t>
            </w:r>
          </w:p>
        </w:tc>
        <w:tc>
          <w:tcPr>
            <w:tcW w:w="20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auto"/>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8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88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499,357</w:t>
            </w:r>
          </w:p>
        </w:tc>
        <w:tc>
          <w:tcPr>
            <w:tcW w:w="122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3"/>
                <w:szCs w:val="13"/>
                <w:color w:val="auto"/>
              </w:rPr>
              <w:t>516,101</w:t>
            </w:r>
          </w:p>
        </w:tc>
        <w:tc>
          <w:tcPr>
            <w:tcW w:w="1180" w:type="dxa"/>
            <w:vAlign w:val="bottom"/>
            <w:gridSpan w:val="3"/>
          </w:tcPr>
          <w:p>
            <w:pPr>
              <w:jc w:val="right"/>
              <w:ind w:right="20"/>
              <w:spacing w:after="0" w:line="138" w:lineRule="exact"/>
              <w:rPr>
                <w:sz w:val="20"/>
                <w:szCs w:val="20"/>
                <w:color w:val="auto"/>
              </w:rPr>
            </w:pPr>
            <w:r>
              <w:rPr>
                <w:rFonts w:ascii="Times New Roman" w:cs="Times New Roman" w:eastAsia="Times New Roman" w:hAnsi="Times New Roman"/>
                <w:sz w:val="13"/>
                <w:szCs w:val="13"/>
                <w:color w:val="auto"/>
              </w:rPr>
              <w:t>12.4%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-1677035</wp:posOffset>
            </wp:positionV>
            <wp:extent cx="7132320" cy="1714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-3237230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-3237230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-3237230</wp:posOffset>
            </wp:positionV>
            <wp:extent cx="7747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-965200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-965200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-965200</wp:posOffset>
            </wp:positionV>
            <wp:extent cx="7747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-99695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-99695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-99695</wp:posOffset>
            </wp:positionV>
            <wp:extent cx="7747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-5080</wp:posOffset>
            </wp:positionV>
            <wp:extent cx="200596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ectPr>
          <w:pgSz w:w="11900" w:h="16838" w:orient="portrait"/>
          <w:cols w:equalWidth="0" w:num="1">
            <w:col w:w="11240"/>
          </w:cols>
          <w:pgMar w:left="320" w:top="1009" w:right="339" w:bottom="1440" w:gutter="0" w:footer="0" w:header="0"/>
        </w:sectPr>
      </w:pPr>
    </w:p>
    <w:tbl>
      <w:tblPr>
        <w:tblLayout w:type="fixed"/>
        <w:tblInd w:w="0" w:type="dxa"/>
        <w:tblCellMar>
          <w:top w:w="0" w:type="dxa"/>
          <w:left w:w="0" w:type="dxa"/>
          <w:bottom w:w="0" w:type="dxa"/>
          <w:right w:w="0" w:type="dxa"/>
        </w:tblCellMar>
      </w:tblPr>
      <w:tr>
        <w:trPr>
          <w:trHeight w:val="119"/>
        </w:trPr>
        <w:tc>
          <w:tcPr>
            <w:tcW w:w="1800" w:type="dxa"/>
            <w:vAlign w:val="bottom"/>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Human Resource Support</w:t>
            </w:r>
          </w:p>
        </w:tc>
        <w:tc>
          <w:tcPr>
            <w:tcW w:w="2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1800" w:type="dxa"/>
            <w:vAlign w:val="bottom"/>
          </w:tcPr>
          <w:p>
            <w:pPr>
              <w:spacing w:after="0" w:line="128" w:lineRule="exact"/>
              <w:rPr>
                <w:sz w:val="20"/>
                <w:szCs w:val="20"/>
                <w:color w:val="auto"/>
              </w:rPr>
            </w:pPr>
            <w:r>
              <w:rPr>
                <w:rFonts w:ascii="Times New Roman" w:cs="Times New Roman" w:eastAsia="Times New Roman" w:hAnsi="Times New Roman"/>
                <w:sz w:val="13"/>
                <w:szCs w:val="13"/>
                <w:b w:val="1"/>
                <w:bCs w:val="1"/>
                <w:color w:val="auto"/>
              </w:rPr>
              <w:t>Services</w:t>
            </w:r>
          </w:p>
        </w:tc>
        <w:tc>
          <w:tcPr>
            <w:tcW w:w="2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 xml:space="preserve">bswift, LLC </w:t>
            </w:r>
            <w:r>
              <w:rPr>
                <w:rFonts w:ascii="Times New Roman" w:cs="Times New Roman" w:eastAsia="Times New Roman" w:hAnsi="Times New Roman"/>
                <w:sz w:val="15"/>
                <w:szCs w:val="15"/>
                <w:color w:val="auto"/>
                <w:vertAlign w:val="superscript"/>
              </w:rPr>
              <w:t>(3)(5)</w:t>
            </w:r>
          </w:p>
        </w:tc>
        <w:tc>
          <w:tcPr>
            <w:tcW w:w="246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First-lien loan ($211,448 par, due 11/2028)</w:t>
            </w:r>
          </w:p>
        </w:tc>
        <w:tc>
          <w:tcPr>
            <w:tcW w:w="0" w:type="dxa"/>
            <w:vAlign w:val="bottom"/>
          </w:tcPr>
          <w:p>
            <w:pPr>
              <w:spacing w:after="0"/>
              <w:rPr>
                <w:sz w:val="1"/>
                <w:szCs w:val="1"/>
                <w:color w:val="auto"/>
              </w:rPr>
            </w:pPr>
          </w:p>
        </w:tc>
      </w:tr>
      <w:tr>
        <w:trPr>
          <w:trHeight w:val="144"/>
        </w:trPr>
        <w:tc>
          <w:tcPr>
            <w:tcW w:w="180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 xml:space="preserve">HireVue, Inc. </w:t>
            </w:r>
            <w:r>
              <w:rPr>
                <w:rFonts w:ascii="Times New Roman" w:cs="Times New Roman" w:eastAsia="Times New Roman" w:hAnsi="Times New Roman"/>
                <w:sz w:val="16"/>
                <w:szCs w:val="16"/>
                <w:color w:val="auto"/>
                <w:vertAlign w:val="superscript"/>
              </w:rPr>
              <w:t>(3)</w:t>
            </w:r>
          </w:p>
        </w:tc>
        <w:tc>
          <w:tcPr>
            <w:tcW w:w="2460" w:type="dxa"/>
            <w:vAlign w:val="bottom"/>
          </w:tcPr>
          <w:p>
            <w:pPr>
              <w:ind w:left="140"/>
              <w:spacing w:after="0" w:line="144" w:lineRule="exact"/>
              <w:rPr>
                <w:sz w:val="20"/>
                <w:szCs w:val="20"/>
                <w:color w:val="auto"/>
              </w:rPr>
            </w:pPr>
            <w:r>
              <w:rPr>
                <w:rFonts w:ascii="Times New Roman" w:cs="Times New Roman" w:eastAsia="Times New Roman" w:hAnsi="Times New Roman"/>
                <w:sz w:val="13"/>
                <w:szCs w:val="13"/>
                <w:color w:val="auto"/>
              </w:rPr>
              <w:t>First-lien loan ($108,669 par, due 5/2029)</w:t>
            </w:r>
          </w:p>
        </w:tc>
        <w:tc>
          <w:tcPr>
            <w:tcW w:w="0" w:type="dxa"/>
            <w:vAlign w:val="bottom"/>
          </w:tcPr>
          <w:p>
            <w:pPr>
              <w:spacing w:after="0"/>
              <w:rPr>
                <w:sz w:val="1"/>
                <w:szCs w:val="1"/>
                <w:color w:val="auto"/>
              </w:rPr>
            </w:pPr>
          </w:p>
        </w:tc>
      </w:tr>
      <w:tr>
        <w:trPr>
          <w:trHeight w:val="135"/>
        </w:trPr>
        <w:tc>
          <w:tcPr>
            <w:tcW w:w="1800" w:type="dxa"/>
            <w:vAlign w:val="bottom"/>
          </w:tcPr>
          <w:p>
            <w:pPr>
              <w:spacing w:after="0"/>
              <w:rPr>
                <w:sz w:val="11"/>
                <w:szCs w:val="11"/>
                <w:color w:val="auto"/>
              </w:rPr>
            </w:pPr>
          </w:p>
        </w:tc>
        <w:tc>
          <w:tcPr>
            <w:tcW w:w="246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First-lien revolving loan ($14,113 par, due</w:t>
            </w:r>
          </w:p>
        </w:tc>
        <w:tc>
          <w:tcPr>
            <w:tcW w:w="0" w:type="dxa"/>
            <w:vAlign w:val="bottom"/>
          </w:tcPr>
          <w:p>
            <w:pPr>
              <w:spacing w:after="0"/>
              <w:rPr>
                <w:sz w:val="1"/>
                <w:szCs w:val="1"/>
                <w:color w:val="auto"/>
              </w:rPr>
            </w:pPr>
          </w:p>
        </w:tc>
      </w:tr>
      <w:tr>
        <w:trPr>
          <w:trHeight w:val="135"/>
        </w:trPr>
        <w:tc>
          <w:tcPr>
            <w:tcW w:w="18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MadCap Software, Inc. </w:t>
            </w:r>
            <w:r>
              <w:rPr>
                <w:rFonts w:ascii="Times New Roman" w:cs="Times New Roman" w:eastAsia="Times New Roman" w:hAnsi="Times New Roman"/>
                <w:sz w:val="16"/>
                <w:szCs w:val="16"/>
                <w:color w:val="auto"/>
                <w:vertAlign w:val="superscript"/>
              </w:rPr>
              <w:t>(3)(5)</w:t>
            </w:r>
          </w:p>
        </w:tc>
        <w:tc>
          <w:tcPr>
            <w:tcW w:w="246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5/2029)</w:t>
            </w:r>
          </w:p>
        </w:tc>
        <w:tc>
          <w:tcPr>
            <w:tcW w:w="0" w:type="dxa"/>
            <w:vAlign w:val="bottom"/>
          </w:tcPr>
          <w:p>
            <w:pPr>
              <w:spacing w:after="0"/>
              <w:rPr>
                <w:sz w:val="1"/>
                <w:szCs w:val="1"/>
                <w:color w:val="auto"/>
              </w:rPr>
            </w:pPr>
          </w:p>
        </w:tc>
      </w:tr>
      <w:tr>
        <w:trPr>
          <w:trHeight w:val="126"/>
        </w:trPr>
        <w:tc>
          <w:tcPr>
            <w:tcW w:w="1800" w:type="dxa"/>
            <w:vAlign w:val="bottom"/>
            <w:vMerge w:val="continue"/>
          </w:tcPr>
          <w:p>
            <w:pPr>
              <w:spacing w:after="0"/>
              <w:rPr>
                <w:sz w:val="10"/>
                <w:szCs w:val="10"/>
                <w:color w:val="auto"/>
              </w:rPr>
            </w:pPr>
          </w:p>
        </w:tc>
        <w:tc>
          <w:tcPr>
            <w:tcW w:w="2460" w:type="dxa"/>
            <w:vAlign w:val="bottom"/>
          </w:tcPr>
          <w:p>
            <w:pPr>
              <w:ind w:left="140"/>
              <w:spacing w:after="0" w:line="126" w:lineRule="exact"/>
              <w:rPr>
                <w:sz w:val="20"/>
                <w:szCs w:val="20"/>
                <w:color w:val="auto"/>
              </w:rPr>
            </w:pPr>
            <w:r>
              <w:rPr>
                <w:rFonts w:ascii="Times New Roman" w:cs="Times New Roman" w:eastAsia="Times New Roman" w:hAnsi="Times New Roman"/>
                <w:sz w:val="13"/>
                <w:szCs w:val="13"/>
                <w:color w:val="auto"/>
              </w:rPr>
              <w:t>First-lien loan ($2,450 par, due 12/2026)</w:t>
            </w:r>
          </w:p>
        </w:tc>
        <w:tc>
          <w:tcPr>
            <w:tcW w:w="0" w:type="dxa"/>
            <w:vAlign w:val="bottom"/>
          </w:tcPr>
          <w:p>
            <w:pPr>
              <w:spacing w:after="0"/>
              <w:rPr>
                <w:sz w:val="1"/>
                <w:szCs w:val="1"/>
                <w:color w:val="auto"/>
              </w:rPr>
            </w:pPr>
          </w:p>
        </w:tc>
      </w:tr>
      <w:tr>
        <w:trPr>
          <w:trHeight w:val="220"/>
        </w:trPr>
        <w:tc>
          <w:tcPr>
            <w:tcW w:w="180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PayScale Holdings, Inc. </w:t>
            </w:r>
            <w:r>
              <w:rPr>
                <w:rFonts w:ascii="Times New Roman" w:cs="Times New Roman" w:eastAsia="Times New Roman" w:hAnsi="Times New Roman"/>
                <w:sz w:val="16"/>
                <w:szCs w:val="16"/>
                <w:color w:val="auto"/>
                <w:vertAlign w:val="superscript"/>
              </w:rPr>
              <w:t>(3)(5)</w:t>
            </w:r>
          </w:p>
        </w:tc>
        <w:tc>
          <w:tcPr>
            <w:tcW w:w="24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First-lien loan ($72,084 par, due 10/2029)</w:t>
            </w:r>
          </w:p>
        </w:tc>
        <w:tc>
          <w:tcPr>
            <w:tcW w:w="0" w:type="dxa"/>
            <w:vAlign w:val="bottom"/>
          </w:tcPr>
          <w:p>
            <w:pPr>
              <w:spacing w:after="0"/>
              <w:rPr>
                <w:sz w:val="1"/>
                <w:szCs w:val="1"/>
                <w:color w:val="auto"/>
              </w:rPr>
            </w:pPr>
          </w:p>
        </w:tc>
      </w:tr>
      <w:tr>
        <w:trPr>
          <w:trHeight w:val="212"/>
        </w:trPr>
        <w:tc>
          <w:tcPr>
            <w:tcW w:w="18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Internet Services</w:t>
            </w:r>
          </w:p>
        </w:tc>
        <w:tc>
          <w:tcPr>
            <w:tcW w:w="2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180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 xml:space="preserve">Arrow Buyer, Inc. </w:t>
            </w:r>
            <w:r>
              <w:rPr>
                <w:rFonts w:ascii="Times New Roman" w:cs="Times New Roman" w:eastAsia="Times New Roman" w:hAnsi="Times New Roman"/>
                <w:sz w:val="15"/>
                <w:szCs w:val="15"/>
                <w:color w:val="auto"/>
                <w:vertAlign w:val="superscript"/>
              </w:rPr>
              <w:t>(3)</w:t>
            </w:r>
          </w:p>
        </w:tc>
        <w:tc>
          <w:tcPr>
            <w:tcW w:w="246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First-lien loan ($134,846 par, due 7/2030)</w:t>
            </w:r>
          </w:p>
        </w:tc>
        <w:tc>
          <w:tcPr>
            <w:tcW w:w="0" w:type="dxa"/>
            <w:vAlign w:val="bottom"/>
          </w:tcPr>
          <w:p>
            <w:pPr>
              <w:spacing w:after="0"/>
              <w:rPr>
                <w:sz w:val="1"/>
                <w:szCs w:val="1"/>
                <w:color w:val="auto"/>
              </w:rPr>
            </w:pPr>
          </w:p>
        </w:tc>
      </w:tr>
      <w:tr>
        <w:trPr>
          <w:trHeight w:val="220"/>
        </w:trPr>
        <w:tc>
          <w:tcPr>
            <w:tcW w:w="180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Big Wombat Holdings, Inc. </w:t>
            </w:r>
            <w:r>
              <w:rPr>
                <w:rFonts w:ascii="Times New Roman" w:cs="Times New Roman" w:eastAsia="Times New Roman" w:hAnsi="Times New Roman"/>
                <w:sz w:val="16"/>
                <w:szCs w:val="16"/>
                <w:color w:val="auto"/>
                <w:vertAlign w:val="superscript"/>
              </w:rPr>
              <w:t>(3)(5)</w:t>
            </w:r>
          </w:p>
        </w:tc>
        <w:tc>
          <w:tcPr>
            <w:tcW w:w="24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First-lien loan ($25,962 par, due 4/2031)</w:t>
            </w:r>
          </w:p>
        </w:tc>
        <w:tc>
          <w:tcPr>
            <w:tcW w:w="0" w:type="dxa"/>
            <w:vAlign w:val="bottom"/>
          </w:tcPr>
          <w:p>
            <w:pPr>
              <w:spacing w:after="0"/>
              <w:rPr>
                <w:sz w:val="1"/>
                <w:szCs w:val="1"/>
                <w:color w:val="auto"/>
              </w:rPr>
            </w:pPr>
          </w:p>
        </w:tc>
      </w:tr>
      <w:tr>
        <w:trPr>
          <w:trHeight w:val="185"/>
        </w:trPr>
        <w:tc>
          <w:tcPr>
            <w:tcW w:w="180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Coupa Holdings, LLC </w:t>
            </w:r>
            <w:r>
              <w:rPr>
                <w:rFonts w:ascii="Times New Roman" w:cs="Times New Roman" w:eastAsia="Times New Roman" w:hAnsi="Times New Roman"/>
                <w:sz w:val="16"/>
                <w:szCs w:val="16"/>
                <w:color w:val="auto"/>
                <w:vertAlign w:val="superscript"/>
              </w:rPr>
              <w:t>(3)</w:t>
            </w:r>
          </w:p>
        </w:tc>
        <w:tc>
          <w:tcPr>
            <w:tcW w:w="24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First-lien loan ($127,629 par, due 2/2030)</w:t>
            </w:r>
          </w:p>
        </w:tc>
        <w:tc>
          <w:tcPr>
            <w:tcW w:w="0" w:type="dxa"/>
            <w:vAlign w:val="bottom"/>
          </w:tcPr>
          <w:p>
            <w:pPr>
              <w:spacing w:after="0"/>
              <w:rPr>
                <w:sz w:val="1"/>
                <w:szCs w:val="1"/>
                <w:color w:val="auto"/>
              </w:rPr>
            </w:pPr>
          </w:p>
        </w:tc>
      </w:tr>
      <w:tr>
        <w:trPr>
          <w:trHeight w:val="220"/>
        </w:trPr>
        <w:tc>
          <w:tcPr>
            <w:tcW w:w="180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EDB Parent, LLC </w:t>
            </w:r>
            <w:r>
              <w:rPr>
                <w:rFonts w:ascii="Times New Roman" w:cs="Times New Roman" w:eastAsia="Times New Roman" w:hAnsi="Times New Roman"/>
                <w:sz w:val="16"/>
                <w:szCs w:val="16"/>
                <w:color w:val="auto"/>
                <w:vertAlign w:val="superscript"/>
              </w:rPr>
              <w:t>(3)(5)</w:t>
            </w:r>
          </w:p>
        </w:tc>
        <w:tc>
          <w:tcPr>
            <w:tcW w:w="24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First-lien loan ($17,830 par, due 7/2028)</w:t>
            </w:r>
          </w:p>
        </w:tc>
        <w:tc>
          <w:tcPr>
            <w:tcW w:w="0" w:type="dxa"/>
            <w:vAlign w:val="bottom"/>
          </w:tcPr>
          <w:p>
            <w:pPr>
              <w:spacing w:after="0"/>
              <w:rPr>
                <w:sz w:val="1"/>
                <w:szCs w:val="1"/>
                <w:color w:val="auto"/>
              </w:rPr>
            </w:pPr>
          </w:p>
        </w:tc>
      </w:tr>
      <w:tr>
        <w:trPr>
          <w:trHeight w:val="185"/>
        </w:trPr>
        <w:tc>
          <w:tcPr>
            <w:tcW w:w="1800" w:type="dxa"/>
            <w:vAlign w:val="bottom"/>
          </w:tcPr>
          <w:p>
            <w:pPr>
              <w:spacing w:after="0"/>
              <w:rPr>
                <w:sz w:val="20"/>
                <w:szCs w:val="20"/>
                <w:color w:val="auto"/>
              </w:rPr>
            </w:pPr>
            <w:r>
              <w:rPr>
                <w:rFonts w:ascii="Times New Roman" w:cs="Times New Roman" w:eastAsia="Times New Roman" w:hAnsi="Times New Roman"/>
                <w:sz w:val="13"/>
                <w:szCs w:val="13"/>
                <w:color w:val="auto"/>
              </w:rPr>
              <w:t>Flight Intermediate HoldCo, Inc.</w:t>
            </w:r>
          </w:p>
        </w:tc>
        <w:tc>
          <w:tcPr>
            <w:tcW w:w="24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First-lien loan ($46,500 par, due 4/2030)</w:t>
            </w:r>
          </w:p>
        </w:tc>
        <w:tc>
          <w:tcPr>
            <w:tcW w:w="0" w:type="dxa"/>
            <w:vAlign w:val="bottom"/>
          </w:tcPr>
          <w:p>
            <w:pPr>
              <w:spacing w:after="0"/>
              <w:rPr>
                <w:sz w:val="1"/>
                <w:szCs w:val="1"/>
                <w:color w:val="auto"/>
              </w:rPr>
            </w:pPr>
          </w:p>
        </w:tc>
      </w:tr>
      <w:tr>
        <w:trPr>
          <w:trHeight w:val="220"/>
        </w:trPr>
        <w:tc>
          <w:tcPr>
            <w:tcW w:w="180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Hippo XPA Bidco AB </w:t>
            </w:r>
            <w:r>
              <w:rPr>
                <w:rFonts w:ascii="Times New Roman" w:cs="Times New Roman" w:eastAsia="Times New Roman" w:hAnsi="Times New Roman"/>
                <w:sz w:val="16"/>
                <w:szCs w:val="16"/>
                <w:color w:val="auto"/>
                <w:vertAlign w:val="superscript"/>
              </w:rPr>
              <w:t>(3)(4)</w:t>
            </w:r>
          </w:p>
        </w:tc>
        <w:tc>
          <w:tcPr>
            <w:tcW w:w="2460" w:type="dxa"/>
            <w:vAlign w:val="bottom"/>
          </w:tcPr>
          <w:p>
            <w:pPr>
              <w:ind w:left="140"/>
              <w:spacing w:after="0"/>
              <w:rPr>
                <w:sz w:val="20"/>
                <w:szCs w:val="20"/>
                <w:color w:val="auto"/>
              </w:rPr>
            </w:pPr>
            <w:r>
              <w:rPr>
                <w:rFonts w:ascii="Times New Roman" w:cs="Times New Roman" w:eastAsia="Times New Roman" w:hAnsi="Times New Roman"/>
                <w:sz w:val="13"/>
                <w:szCs w:val="13"/>
                <w:color w:val="auto"/>
                <w:w w:val="95"/>
              </w:rPr>
              <w:t>First-lien loan (SEK 214,115 par, due 2/2031)</w:t>
            </w:r>
          </w:p>
        </w:tc>
        <w:tc>
          <w:tcPr>
            <w:tcW w:w="0" w:type="dxa"/>
            <w:vAlign w:val="bottom"/>
          </w:tcPr>
          <w:p>
            <w:pPr>
              <w:spacing w:after="0"/>
              <w:rPr>
                <w:sz w:val="1"/>
                <w:szCs w:val="1"/>
                <w:color w:val="auto"/>
              </w:rPr>
            </w:pPr>
          </w:p>
        </w:tc>
      </w:tr>
      <w:tr>
        <w:trPr>
          <w:trHeight w:val="223"/>
        </w:trPr>
        <w:tc>
          <w:tcPr>
            <w:tcW w:w="1800" w:type="dxa"/>
            <w:vAlign w:val="bottom"/>
          </w:tcPr>
          <w:p>
            <w:pPr>
              <w:spacing w:after="0"/>
              <w:rPr>
                <w:sz w:val="19"/>
                <w:szCs w:val="19"/>
                <w:color w:val="auto"/>
              </w:rPr>
            </w:pPr>
          </w:p>
        </w:tc>
        <w:tc>
          <w:tcPr>
            <w:tcW w:w="24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First-lien loan (EUR 2,571 par, due 2/2031)</w:t>
            </w:r>
          </w:p>
        </w:tc>
        <w:tc>
          <w:tcPr>
            <w:tcW w:w="0" w:type="dxa"/>
            <w:vAlign w:val="bottom"/>
          </w:tcPr>
          <w:p>
            <w:pPr>
              <w:spacing w:after="0"/>
              <w:rPr>
                <w:sz w:val="1"/>
                <w:szCs w:val="1"/>
                <w:color w:val="auto"/>
              </w:rPr>
            </w:pPr>
          </w:p>
        </w:tc>
      </w:tr>
      <w:tr>
        <w:trPr>
          <w:trHeight w:val="241"/>
        </w:trPr>
        <w:tc>
          <w:tcPr>
            <w:tcW w:w="1800" w:type="dxa"/>
            <w:vAlign w:val="bottom"/>
          </w:tcPr>
          <w:p>
            <w:pPr>
              <w:spacing w:after="0"/>
              <w:rPr>
                <w:sz w:val="20"/>
                <w:szCs w:val="20"/>
                <w:color w:val="auto"/>
              </w:rPr>
            </w:pPr>
          </w:p>
        </w:tc>
        <w:tc>
          <w:tcPr>
            <w:tcW w:w="2460" w:type="dxa"/>
            <w:vAlign w:val="bottom"/>
          </w:tcPr>
          <w:p>
            <w:pPr>
              <w:ind w:left="140"/>
              <w:spacing w:after="0"/>
              <w:rPr>
                <w:sz w:val="20"/>
                <w:szCs w:val="20"/>
                <w:color w:val="auto"/>
              </w:rPr>
            </w:pPr>
            <w:r>
              <w:rPr>
                <w:rFonts w:ascii="Times New Roman" w:cs="Times New Roman" w:eastAsia="Times New Roman" w:hAnsi="Times New Roman"/>
                <w:sz w:val="13"/>
                <w:szCs w:val="13"/>
                <w:color w:val="auto"/>
                <w:w w:val="97"/>
              </w:rPr>
              <w:t>First-lien revolving loan (SEK 3,906 par, due</w:t>
            </w:r>
          </w:p>
        </w:tc>
        <w:tc>
          <w:tcPr>
            <w:tcW w:w="0" w:type="dxa"/>
            <w:vAlign w:val="bottom"/>
          </w:tcPr>
          <w:p>
            <w:pPr>
              <w:spacing w:after="0"/>
              <w:rPr>
                <w:sz w:val="1"/>
                <w:szCs w:val="1"/>
                <w:color w:val="auto"/>
              </w:rPr>
            </w:pPr>
          </w:p>
        </w:tc>
      </w:tr>
      <w:tr>
        <w:trPr>
          <w:trHeight w:val="135"/>
        </w:trPr>
        <w:tc>
          <w:tcPr>
            <w:tcW w:w="1800" w:type="dxa"/>
            <w:vAlign w:val="bottom"/>
          </w:tcPr>
          <w:p>
            <w:pPr>
              <w:spacing w:after="0"/>
              <w:rPr>
                <w:sz w:val="11"/>
                <w:szCs w:val="11"/>
                <w:color w:val="auto"/>
              </w:rPr>
            </w:pPr>
          </w:p>
        </w:tc>
        <w:tc>
          <w:tcPr>
            <w:tcW w:w="246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2/2031)</w:t>
            </w:r>
          </w:p>
        </w:tc>
        <w:tc>
          <w:tcPr>
            <w:tcW w:w="0" w:type="dxa"/>
            <w:vAlign w:val="bottom"/>
          </w:tcPr>
          <w:p>
            <w:pPr>
              <w:spacing w:after="0"/>
              <w:rPr>
                <w:sz w:val="1"/>
                <w:szCs w:val="1"/>
                <w:color w:val="auto"/>
              </w:rPr>
            </w:pPr>
          </w:p>
        </w:tc>
      </w:tr>
      <w:tr>
        <w:trPr>
          <w:trHeight w:val="126"/>
        </w:trPr>
        <w:tc>
          <w:tcPr>
            <w:tcW w:w="1800" w:type="dxa"/>
            <w:vAlign w:val="bottom"/>
          </w:tcPr>
          <w:p>
            <w:pPr>
              <w:spacing w:after="0" w:line="126" w:lineRule="exact"/>
              <w:rPr>
                <w:sz w:val="20"/>
                <w:szCs w:val="20"/>
                <w:color w:val="auto"/>
              </w:rPr>
            </w:pPr>
            <w:r>
              <w:rPr>
                <w:rFonts w:ascii="Times New Roman" w:cs="Times New Roman" w:eastAsia="Times New Roman" w:hAnsi="Times New Roman"/>
                <w:sz w:val="13"/>
                <w:szCs w:val="13"/>
                <w:color w:val="auto"/>
              </w:rPr>
              <w:t>Kaseware Intermediate Holding</w:t>
            </w:r>
          </w:p>
        </w:tc>
        <w:tc>
          <w:tcPr>
            <w:tcW w:w="2460" w:type="dxa"/>
            <w:vAlign w:val="bottom"/>
          </w:tcPr>
          <w:p>
            <w:pPr>
              <w:ind w:left="140"/>
              <w:spacing w:after="0" w:line="126" w:lineRule="exact"/>
              <w:rPr>
                <w:sz w:val="20"/>
                <w:szCs w:val="20"/>
                <w:color w:val="auto"/>
              </w:rPr>
            </w:pPr>
            <w:r>
              <w:rPr>
                <w:rFonts w:ascii="Times New Roman" w:cs="Times New Roman" w:eastAsia="Times New Roman" w:hAnsi="Times New Roman"/>
                <w:sz w:val="13"/>
                <w:szCs w:val="13"/>
                <w:color w:val="auto"/>
              </w:rPr>
              <w:t>First-lien loan ($30,276 par, due 10/2031)</w:t>
            </w:r>
          </w:p>
        </w:tc>
        <w:tc>
          <w:tcPr>
            <w:tcW w:w="0" w:type="dxa"/>
            <w:vAlign w:val="bottom"/>
          </w:tcPr>
          <w:p>
            <w:pPr>
              <w:spacing w:after="0"/>
              <w:rPr>
                <w:sz w:val="1"/>
                <w:szCs w:val="1"/>
                <w:color w:val="auto"/>
              </w:rPr>
            </w:pPr>
          </w:p>
        </w:tc>
      </w:tr>
      <w:tr>
        <w:trPr>
          <w:trHeight w:val="135"/>
        </w:trPr>
        <w:tc>
          <w:tcPr>
            <w:tcW w:w="180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 xml:space="preserve">Company </w:t>
            </w:r>
            <w:r>
              <w:rPr>
                <w:rFonts w:ascii="Times New Roman" w:cs="Times New Roman" w:eastAsia="Times New Roman" w:hAnsi="Times New Roman"/>
                <w:sz w:val="15"/>
                <w:szCs w:val="15"/>
                <w:color w:val="auto"/>
                <w:vertAlign w:val="superscript"/>
              </w:rPr>
              <w:t>(3)(5)</w:t>
            </w:r>
          </w:p>
        </w:tc>
        <w:tc>
          <w:tcPr>
            <w:tcW w:w="2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0"/>
        </w:trPr>
        <w:tc>
          <w:tcPr>
            <w:tcW w:w="180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Kryptona BidCo US, LLC </w:t>
            </w:r>
            <w:r>
              <w:rPr>
                <w:rFonts w:ascii="Times New Roman" w:cs="Times New Roman" w:eastAsia="Times New Roman" w:hAnsi="Times New Roman"/>
                <w:sz w:val="16"/>
                <w:szCs w:val="16"/>
                <w:color w:val="auto"/>
                <w:vertAlign w:val="superscript"/>
              </w:rPr>
              <w:t>(3)</w:t>
            </w:r>
          </w:p>
        </w:tc>
        <w:tc>
          <w:tcPr>
            <w:tcW w:w="24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First-lien loan ($139,587 par, due 12/2031)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6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11/7/2022</w:t>
            </w:r>
          </w:p>
        </w:tc>
        <w:tc>
          <w:tcPr>
            <w:tcW w:w="114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rPr>
              <w:t>SOFR + 4.75%</w:t>
            </w:r>
          </w:p>
        </w:tc>
        <w:tc>
          <w:tcPr>
            <w:tcW w:w="14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8.64%</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208,696</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211,977</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0" w:type="dxa"/>
            <w:vAlign w:val="bottom"/>
          </w:tcPr>
          <w:p>
            <w:pPr>
              <w:spacing w:after="0"/>
              <w:rPr>
                <w:sz w:val="1"/>
                <w:szCs w:val="1"/>
                <w:color w:val="auto"/>
              </w:rPr>
            </w:pPr>
          </w:p>
        </w:tc>
      </w:tr>
      <w:tr>
        <w:trPr>
          <w:trHeight w:val="135"/>
        </w:trPr>
        <w:tc>
          <w:tcPr>
            <w:tcW w:w="66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5/3/2023</w:t>
            </w:r>
          </w:p>
        </w:tc>
        <w:tc>
          <w:tcPr>
            <w:tcW w:w="1140" w:type="dxa"/>
            <w:vAlign w:val="bottom"/>
          </w:tcPr>
          <w:p>
            <w:pPr>
              <w:jc w:val="right"/>
              <w:ind w:right="217"/>
              <w:spacing w:after="0" w:line="135" w:lineRule="exact"/>
              <w:rPr>
                <w:sz w:val="20"/>
                <w:szCs w:val="20"/>
                <w:color w:val="auto"/>
              </w:rPr>
            </w:pPr>
            <w:r>
              <w:rPr>
                <w:rFonts w:ascii="Times New Roman" w:cs="Times New Roman" w:eastAsia="Times New Roman" w:hAnsi="Times New Roman"/>
                <w:sz w:val="13"/>
                <w:szCs w:val="13"/>
                <w:color w:val="auto"/>
              </w:rPr>
              <w:t>SOFR + 6.75%</w:t>
            </w:r>
          </w:p>
        </w:tc>
        <w:tc>
          <w:tcPr>
            <w:tcW w:w="1440" w:type="dxa"/>
            <w:vAlign w:val="bottom"/>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10.59%</w:t>
            </w: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106,908</w:t>
            </w:r>
          </w:p>
        </w:tc>
        <w:tc>
          <w:tcPr>
            <w:tcW w:w="12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104,323</w:t>
            </w:r>
          </w:p>
        </w:tc>
        <w:tc>
          <w:tcPr>
            <w:tcW w:w="116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2.5%</w:t>
            </w:r>
          </w:p>
        </w:tc>
        <w:tc>
          <w:tcPr>
            <w:tcW w:w="0" w:type="dxa"/>
            <w:vAlign w:val="bottom"/>
          </w:tcPr>
          <w:p>
            <w:pPr>
              <w:spacing w:after="0"/>
              <w:rPr>
                <w:sz w:val="1"/>
                <w:szCs w:val="1"/>
                <w:color w:val="auto"/>
              </w:rPr>
            </w:pPr>
          </w:p>
        </w:tc>
      </w:tr>
      <w:tr>
        <w:trPr>
          <w:trHeight w:val="164"/>
        </w:trPr>
        <w:tc>
          <w:tcPr>
            <w:tcW w:w="6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5/3/2023</w:t>
            </w:r>
          </w:p>
        </w:tc>
        <w:tc>
          <w:tcPr>
            <w:tcW w:w="114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rPr>
              <w:t>SOFR + 6.75%</w:t>
            </w:r>
          </w:p>
        </w:tc>
        <w:tc>
          <w:tcPr>
            <w:tcW w:w="14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10.57%</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13,884</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13,548</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0" w:type="dxa"/>
            <w:vAlign w:val="bottom"/>
          </w:tcPr>
          <w:p>
            <w:pPr>
              <w:spacing w:after="0"/>
              <w:rPr>
                <w:sz w:val="1"/>
                <w:szCs w:val="1"/>
                <w:color w:val="auto"/>
              </w:rPr>
            </w:pPr>
          </w:p>
        </w:tc>
      </w:tr>
      <w:tr>
        <w:trPr>
          <w:trHeight w:val="241"/>
        </w:trPr>
        <w:tc>
          <w:tcPr>
            <w:tcW w:w="6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12/15/2023</w:t>
            </w:r>
          </w:p>
        </w:tc>
        <w:tc>
          <w:tcPr>
            <w:tcW w:w="114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rPr>
              <w:t>SOFR + 6.10%</w:t>
            </w:r>
          </w:p>
        </w:tc>
        <w:tc>
          <w:tcPr>
            <w:tcW w:w="14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9.77%</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2,429</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2,450</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53"/>
        </w:trPr>
        <w:tc>
          <w:tcPr>
            <w:tcW w:w="6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10/31/2025</w:t>
            </w:r>
          </w:p>
        </w:tc>
        <w:tc>
          <w:tcPr>
            <w:tcW w:w="114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rPr>
              <w:t>SOFR + 5.25%</w:t>
            </w:r>
          </w:p>
        </w:tc>
        <w:tc>
          <w:tcPr>
            <w:tcW w:w="14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8.92%</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71,556</w:t>
            </w:r>
          </w:p>
        </w:tc>
        <w:tc>
          <w:tcPr>
            <w:tcW w:w="2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71,543</w:t>
            </w:r>
          </w:p>
        </w:tc>
        <w:tc>
          <w:tcPr>
            <w:tcW w:w="200" w:type="dxa"/>
            <w:vAlign w:val="bottom"/>
          </w:tcPr>
          <w:p>
            <w:pPr>
              <w:spacing w:after="0"/>
              <w:rPr>
                <w:sz w:val="13"/>
                <w:szCs w:val="13"/>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403,473</w:t>
            </w:r>
          </w:p>
        </w:tc>
        <w:tc>
          <w:tcPr>
            <w:tcW w:w="220" w:type="dxa"/>
            <w:vAlign w:val="bottom"/>
            <w:vMerge w:val="continue"/>
          </w:tcPr>
          <w:p>
            <w:pPr>
              <w:spacing w:after="0"/>
              <w:rPr>
                <w:sz w:val="11"/>
                <w:szCs w:val="11"/>
                <w:color w:val="auto"/>
              </w:rPr>
            </w:pPr>
          </w:p>
        </w:tc>
        <w:tc>
          <w:tcPr>
            <w:tcW w:w="10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403,841</w:t>
            </w:r>
          </w:p>
        </w:tc>
        <w:tc>
          <w:tcPr>
            <w:tcW w:w="200" w:type="dxa"/>
            <w:vAlign w:val="bottom"/>
            <w:vMerge w:val="continue"/>
          </w:tcPr>
          <w:p>
            <w:pPr>
              <w:spacing w:after="0"/>
              <w:rPr>
                <w:sz w:val="11"/>
                <w:szCs w:val="11"/>
                <w:color w:val="auto"/>
              </w:rPr>
            </w:pPr>
          </w:p>
        </w:tc>
        <w:tc>
          <w:tcPr>
            <w:tcW w:w="96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9.7%</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6/30/2023</w:t>
            </w:r>
          </w:p>
        </w:tc>
        <w:tc>
          <w:tcPr>
            <w:tcW w:w="114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rPr>
              <w:t>SOFR + 5.00%</w:t>
            </w:r>
          </w:p>
        </w:tc>
        <w:tc>
          <w:tcPr>
            <w:tcW w:w="14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8.67%</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132,407</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135,520</w:t>
            </w:r>
          </w:p>
        </w:tc>
        <w:tc>
          <w:tcPr>
            <w:tcW w:w="20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0" w:type="dxa"/>
            <w:vAlign w:val="bottom"/>
          </w:tcPr>
          <w:p>
            <w:pPr>
              <w:spacing w:after="0"/>
              <w:rPr>
                <w:sz w:val="1"/>
                <w:szCs w:val="1"/>
                <w:color w:val="auto"/>
              </w:rPr>
            </w:pPr>
          </w:p>
        </w:tc>
      </w:tr>
      <w:tr>
        <w:trPr>
          <w:trHeight w:val="135"/>
        </w:trPr>
        <w:tc>
          <w:tcPr>
            <w:tcW w:w="66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w w:val="91"/>
              </w:rPr>
              <w:t>10/20/2025</w:t>
            </w:r>
          </w:p>
        </w:tc>
        <w:tc>
          <w:tcPr>
            <w:tcW w:w="1140" w:type="dxa"/>
            <w:vAlign w:val="bottom"/>
          </w:tcPr>
          <w:p>
            <w:pPr>
              <w:jc w:val="right"/>
              <w:ind w:right="257"/>
              <w:spacing w:after="0" w:line="135" w:lineRule="exact"/>
              <w:rPr>
                <w:sz w:val="20"/>
                <w:szCs w:val="20"/>
                <w:color w:val="auto"/>
              </w:rPr>
            </w:pPr>
            <w:r>
              <w:rPr>
                <w:rFonts w:ascii="Times New Roman" w:cs="Times New Roman" w:eastAsia="Times New Roman" w:hAnsi="Times New Roman"/>
                <w:sz w:val="13"/>
                <w:szCs w:val="13"/>
                <w:color w:val="auto"/>
              </w:rPr>
              <w:t>SOFR +</w:t>
            </w:r>
          </w:p>
        </w:tc>
        <w:tc>
          <w:tcPr>
            <w:tcW w:w="1440" w:type="dxa"/>
            <w:vAlign w:val="bottom"/>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10.88%</w:t>
            </w: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25,409</w:t>
            </w:r>
          </w:p>
        </w:tc>
        <w:tc>
          <w:tcPr>
            <w:tcW w:w="12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25,637</w:t>
            </w:r>
          </w:p>
        </w:tc>
        <w:tc>
          <w:tcPr>
            <w:tcW w:w="116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0.6%</w:t>
            </w: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1140" w:type="dxa"/>
            <w:vAlign w:val="bottom"/>
          </w:tcPr>
          <w:p>
            <w:pPr>
              <w:jc w:val="right"/>
              <w:ind w:right="217"/>
              <w:spacing w:after="0" w:line="135" w:lineRule="exact"/>
              <w:rPr>
                <w:sz w:val="20"/>
                <w:szCs w:val="20"/>
                <w:color w:val="auto"/>
              </w:rPr>
            </w:pPr>
            <w:r>
              <w:rPr>
                <w:rFonts w:ascii="Times New Roman" w:cs="Times New Roman" w:eastAsia="Times New Roman" w:hAnsi="Times New Roman"/>
                <w:sz w:val="13"/>
                <w:szCs w:val="13"/>
                <w:color w:val="auto"/>
              </w:rPr>
              <w:t>7.00%</w:t>
            </w:r>
          </w:p>
        </w:tc>
        <w:tc>
          <w:tcPr>
            <w:tcW w:w="14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2/27/2023</w:t>
            </w:r>
          </w:p>
        </w:tc>
        <w:tc>
          <w:tcPr>
            <w:tcW w:w="1140" w:type="dxa"/>
            <w:vAlign w:val="bottom"/>
          </w:tcPr>
          <w:p>
            <w:pPr>
              <w:jc w:val="right"/>
              <w:ind w:right="217"/>
              <w:spacing w:after="0" w:line="135" w:lineRule="exact"/>
              <w:rPr>
                <w:sz w:val="20"/>
                <w:szCs w:val="20"/>
                <w:color w:val="auto"/>
              </w:rPr>
            </w:pPr>
            <w:r>
              <w:rPr>
                <w:rFonts w:ascii="Times New Roman" w:cs="Times New Roman" w:eastAsia="Times New Roman" w:hAnsi="Times New Roman"/>
                <w:sz w:val="13"/>
                <w:szCs w:val="13"/>
                <w:color w:val="auto"/>
              </w:rPr>
              <w:t>SOFR + 5.25%</w:t>
            </w:r>
          </w:p>
        </w:tc>
        <w:tc>
          <w:tcPr>
            <w:tcW w:w="1440" w:type="dxa"/>
            <w:vAlign w:val="bottom"/>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9.09%</w:t>
            </w: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125,533</w:t>
            </w:r>
          </w:p>
        </w:tc>
        <w:tc>
          <w:tcPr>
            <w:tcW w:w="12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128,740</w:t>
            </w:r>
          </w:p>
        </w:tc>
        <w:tc>
          <w:tcPr>
            <w:tcW w:w="116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3.1%</w:t>
            </w:r>
          </w:p>
        </w:tc>
        <w:tc>
          <w:tcPr>
            <w:tcW w:w="0" w:type="dxa"/>
            <w:vAlign w:val="bottom"/>
          </w:tcPr>
          <w:p>
            <w:pPr>
              <w:spacing w:after="0"/>
              <w:rPr>
                <w:sz w:val="1"/>
                <w:szCs w:val="1"/>
                <w:color w:val="auto"/>
              </w:rPr>
            </w:pPr>
          </w:p>
        </w:tc>
      </w:tr>
      <w:tr>
        <w:trPr>
          <w:trHeight w:val="135"/>
        </w:trPr>
        <w:tc>
          <w:tcPr>
            <w:tcW w:w="66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8/6/2025</w:t>
            </w:r>
          </w:p>
        </w:tc>
        <w:tc>
          <w:tcPr>
            <w:tcW w:w="1140" w:type="dxa"/>
            <w:vAlign w:val="bottom"/>
          </w:tcPr>
          <w:p>
            <w:pPr>
              <w:jc w:val="right"/>
              <w:ind w:right="257"/>
              <w:spacing w:after="0" w:line="135" w:lineRule="exact"/>
              <w:rPr>
                <w:sz w:val="20"/>
                <w:szCs w:val="20"/>
                <w:color w:val="auto"/>
              </w:rPr>
            </w:pPr>
            <w:r>
              <w:rPr>
                <w:rFonts w:ascii="Times New Roman" w:cs="Times New Roman" w:eastAsia="Times New Roman" w:hAnsi="Times New Roman"/>
                <w:sz w:val="13"/>
                <w:szCs w:val="13"/>
                <w:color w:val="auto"/>
              </w:rPr>
              <w:t>SOFR +</w:t>
            </w:r>
          </w:p>
        </w:tc>
        <w:tc>
          <w:tcPr>
            <w:tcW w:w="1440" w:type="dxa"/>
            <w:vAlign w:val="bottom"/>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10.84%</w:t>
            </w: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17,648</w:t>
            </w:r>
          </w:p>
        </w:tc>
        <w:tc>
          <w:tcPr>
            <w:tcW w:w="12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17,830</w:t>
            </w:r>
          </w:p>
        </w:tc>
        <w:tc>
          <w:tcPr>
            <w:tcW w:w="116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0.4%</w:t>
            </w: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1140" w:type="dxa"/>
            <w:vAlign w:val="bottom"/>
          </w:tcPr>
          <w:p>
            <w:pPr>
              <w:jc w:val="right"/>
              <w:ind w:right="217"/>
              <w:spacing w:after="0" w:line="135" w:lineRule="exact"/>
              <w:rPr>
                <w:sz w:val="20"/>
                <w:szCs w:val="20"/>
                <w:color w:val="auto"/>
              </w:rPr>
            </w:pPr>
            <w:r>
              <w:rPr>
                <w:rFonts w:ascii="Times New Roman" w:cs="Times New Roman" w:eastAsia="Times New Roman" w:hAnsi="Times New Roman"/>
                <w:sz w:val="13"/>
                <w:szCs w:val="13"/>
                <w:color w:val="auto"/>
              </w:rPr>
              <w:t>7.00%</w:t>
            </w:r>
          </w:p>
        </w:tc>
        <w:tc>
          <w:tcPr>
            <w:tcW w:w="14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10/3/2024</w:t>
            </w:r>
          </w:p>
        </w:tc>
        <w:tc>
          <w:tcPr>
            <w:tcW w:w="1140" w:type="dxa"/>
            <w:vAlign w:val="bottom"/>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11.50%</w:t>
            </w:r>
          </w:p>
        </w:tc>
        <w:tc>
          <w:tcPr>
            <w:tcW w:w="1440" w:type="dxa"/>
            <w:vAlign w:val="bottom"/>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11.50%</w:t>
            </w: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45,517</w:t>
            </w:r>
          </w:p>
        </w:tc>
        <w:tc>
          <w:tcPr>
            <w:tcW w:w="12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46,849</w:t>
            </w:r>
          </w:p>
        </w:tc>
        <w:tc>
          <w:tcPr>
            <w:tcW w:w="116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35"/>
        </w:trPr>
        <w:tc>
          <w:tcPr>
            <w:tcW w:w="66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2/20/2024</w:t>
            </w:r>
          </w:p>
        </w:tc>
        <w:tc>
          <w:tcPr>
            <w:tcW w:w="1140" w:type="dxa"/>
            <w:vAlign w:val="bottom"/>
          </w:tcPr>
          <w:p>
            <w:pPr>
              <w:jc w:val="right"/>
              <w:ind w:right="257"/>
              <w:spacing w:after="0" w:line="135" w:lineRule="exact"/>
              <w:rPr>
                <w:sz w:val="20"/>
                <w:szCs w:val="20"/>
                <w:color w:val="auto"/>
              </w:rPr>
            </w:pPr>
            <w:r>
              <w:rPr>
                <w:rFonts w:ascii="Times New Roman" w:cs="Times New Roman" w:eastAsia="Times New Roman" w:hAnsi="Times New Roman"/>
                <w:sz w:val="13"/>
                <w:szCs w:val="13"/>
                <w:color w:val="auto"/>
              </w:rPr>
              <w:t>STIBOR +</w:t>
            </w:r>
          </w:p>
        </w:tc>
        <w:tc>
          <w:tcPr>
            <w:tcW w:w="1440" w:type="dxa"/>
            <w:vAlign w:val="bottom"/>
          </w:tcPr>
          <w:p>
            <w:pPr>
              <w:jc w:val="right"/>
              <w:ind w:right="237"/>
              <w:spacing w:after="0" w:line="135" w:lineRule="exact"/>
              <w:rPr>
                <w:sz w:val="20"/>
                <w:szCs w:val="20"/>
                <w:color w:val="auto"/>
              </w:rPr>
            </w:pPr>
            <w:r>
              <w:rPr>
                <w:rFonts w:ascii="Times New Roman" w:cs="Times New Roman" w:eastAsia="Times New Roman" w:hAnsi="Times New Roman"/>
                <w:sz w:val="13"/>
                <w:szCs w:val="13"/>
                <w:color w:val="auto"/>
              </w:rPr>
              <w:t>8.60% (incl. 3.63%</w:t>
            </w: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21,310</w:t>
            </w:r>
          </w:p>
        </w:tc>
        <w:tc>
          <w:tcPr>
            <w:tcW w:w="12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23,226</w:t>
            </w:r>
          </w:p>
        </w:tc>
        <w:tc>
          <w:tcPr>
            <w:tcW w:w="116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0.6%</w:t>
            </w: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1140" w:type="dxa"/>
            <w:vAlign w:val="bottom"/>
          </w:tcPr>
          <w:p>
            <w:pPr>
              <w:jc w:val="right"/>
              <w:ind w:right="217"/>
              <w:spacing w:after="0" w:line="135" w:lineRule="exact"/>
              <w:rPr>
                <w:sz w:val="20"/>
                <w:szCs w:val="20"/>
                <w:color w:val="auto"/>
              </w:rPr>
            </w:pPr>
            <w:r>
              <w:rPr>
                <w:rFonts w:ascii="Times New Roman" w:cs="Times New Roman" w:eastAsia="Times New Roman" w:hAnsi="Times New Roman"/>
                <w:sz w:val="13"/>
                <w:szCs w:val="13"/>
                <w:color w:val="auto"/>
              </w:rPr>
              <w:t>6.75%</w:t>
            </w:r>
          </w:p>
        </w:tc>
        <w:tc>
          <w:tcPr>
            <w:tcW w:w="1440" w:type="dxa"/>
            <w:vAlign w:val="bottom"/>
          </w:tcPr>
          <w:p>
            <w:pPr>
              <w:jc w:val="right"/>
              <w:ind w:right="197"/>
              <w:spacing w:after="0" w:line="135" w:lineRule="exact"/>
              <w:rPr>
                <w:sz w:val="20"/>
                <w:szCs w:val="20"/>
                <w:color w:val="auto"/>
              </w:rPr>
            </w:pPr>
            <w:r>
              <w:rPr>
                <w:rFonts w:ascii="Times New Roman" w:cs="Times New Roman" w:eastAsia="Times New Roman" w:hAnsi="Times New Roman"/>
                <w:sz w:val="13"/>
                <w:szCs w:val="13"/>
                <w:color w:val="auto"/>
              </w:rPr>
              <w:t>PIK)</w:t>
            </w: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(SEK 214,115)</w:t>
            </w: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2/20/2024</w:t>
            </w:r>
          </w:p>
        </w:tc>
        <w:tc>
          <w:tcPr>
            <w:tcW w:w="1140" w:type="dxa"/>
            <w:vAlign w:val="bottom"/>
          </w:tcPr>
          <w:p>
            <w:pPr>
              <w:jc w:val="right"/>
              <w:ind w:right="217"/>
              <w:spacing w:after="0" w:line="135" w:lineRule="exact"/>
              <w:rPr>
                <w:sz w:val="20"/>
                <w:szCs w:val="20"/>
                <w:color w:val="auto"/>
              </w:rPr>
            </w:pPr>
            <w:r>
              <w:rPr>
                <w:rFonts w:ascii="Times New Roman" w:cs="Times New Roman" w:eastAsia="Times New Roman" w:hAnsi="Times New Roman"/>
                <w:sz w:val="13"/>
                <w:szCs w:val="13"/>
                <w:color w:val="auto"/>
              </w:rPr>
              <w:t>E + 6.75%</w:t>
            </w:r>
          </w:p>
        </w:tc>
        <w:tc>
          <w:tcPr>
            <w:tcW w:w="1440" w:type="dxa"/>
            <w:vAlign w:val="bottom"/>
          </w:tcPr>
          <w:p>
            <w:pPr>
              <w:jc w:val="right"/>
              <w:ind w:right="237"/>
              <w:spacing w:after="0" w:line="135" w:lineRule="exact"/>
              <w:rPr>
                <w:sz w:val="20"/>
                <w:szCs w:val="20"/>
                <w:color w:val="auto"/>
              </w:rPr>
            </w:pPr>
            <w:r>
              <w:rPr>
                <w:rFonts w:ascii="Times New Roman" w:cs="Times New Roman" w:eastAsia="Times New Roman" w:hAnsi="Times New Roman"/>
                <w:sz w:val="13"/>
                <w:szCs w:val="13"/>
                <w:color w:val="auto"/>
              </w:rPr>
              <w:t>8.77% (incl. 3.63%</w:t>
            </w: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2,756</w:t>
            </w:r>
          </w:p>
        </w:tc>
        <w:tc>
          <w:tcPr>
            <w:tcW w:w="12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3,019</w:t>
            </w:r>
          </w:p>
        </w:tc>
        <w:tc>
          <w:tcPr>
            <w:tcW w:w="116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40" w:type="dxa"/>
            <w:vAlign w:val="bottom"/>
          </w:tcPr>
          <w:p>
            <w:pPr>
              <w:jc w:val="right"/>
              <w:ind w:right="197"/>
              <w:spacing w:after="0" w:line="135" w:lineRule="exact"/>
              <w:rPr>
                <w:sz w:val="20"/>
                <w:szCs w:val="20"/>
                <w:color w:val="auto"/>
              </w:rPr>
            </w:pPr>
            <w:r>
              <w:rPr>
                <w:rFonts w:ascii="Times New Roman" w:cs="Times New Roman" w:eastAsia="Times New Roman" w:hAnsi="Times New Roman"/>
                <w:sz w:val="13"/>
                <w:szCs w:val="13"/>
                <w:color w:val="auto"/>
              </w:rPr>
              <w:t>PIK)</w:t>
            </w: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(EUR 2,571)</w:t>
            </w: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2/20/2024</w:t>
            </w:r>
          </w:p>
        </w:tc>
        <w:tc>
          <w:tcPr>
            <w:tcW w:w="1140" w:type="dxa"/>
            <w:vAlign w:val="bottom"/>
          </w:tcPr>
          <w:p>
            <w:pPr>
              <w:jc w:val="right"/>
              <w:ind w:right="257"/>
              <w:spacing w:after="0" w:line="135" w:lineRule="exact"/>
              <w:rPr>
                <w:sz w:val="20"/>
                <w:szCs w:val="20"/>
                <w:color w:val="auto"/>
              </w:rPr>
            </w:pPr>
            <w:r>
              <w:rPr>
                <w:rFonts w:ascii="Times New Roman" w:cs="Times New Roman" w:eastAsia="Times New Roman" w:hAnsi="Times New Roman"/>
                <w:sz w:val="13"/>
                <w:szCs w:val="13"/>
                <w:color w:val="auto"/>
              </w:rPr>
              <w:t>STIBOR +</w:t>
            </w:r>
          </w:p>
        </w:tc>
        <w:tc>
          <w:tcPr>
            <w:tcW w:w="1440" w:type="dxa"/>
            <w:vAlign w:val="bottom"/>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8.00%</w:t>
            </w: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384</w:t>
            </w:r>
          </w:p>
        </w:tc>
        <w:tc>
          <w:tcPr>
            <w:tcW w:w="12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424</w:t>
            </w:r>
          </w:p>
        </w:tc>
        <w:tc>
          <w:tcPr>
            <w:tcW w:w="116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0.0%</w:t>
            </w: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1140" w:type="dxa"/>
            <w:vAlign w:val="bottom"/>
          </w:tcPr>
          <w:p>
            <w:pPr>
              <w:jc w:val="right"/>
              <w:ind w:right="217"/>
              <w:spacing w:after="0" w:line="135" w:lineRule="exact"/>
              <w:rPr>
                <w:sz w:val="20"/>
                <w:szCs w:val="20"/>
                <w:color w:val="auto"/>
              </w:rPr>
            </w:pPr>
            <w:r>
              <w:rPr>
                <w:rFonts w:ascii="Times New Roman" w:cs="Times New Roman" w:eastAsia="Times New Roman" w:hAnsi="Times New Roman"/>
                <w:sz w:val="13"/>
                <w:szCs w:val="13"/>
                <w:color w:val="auto"/>
              </w:rPr>
              <w:t>6.25%</w:t>
            </w:r>
          </w:p>
        </w:tc>
        <w:tc>
          <w:tcPr>
            <w:tcW w:w="14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(SEK 3,906)</w:t>
            </w: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6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10/20/2025</w:t>
            </w:r>
          </w:p>
        </w:tc>
        <w:tc>
          <w:tcPr>
            <w:tcW w:w="114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rPr>
              <w:t>SOFR + 5.50%</w:t>
            </w:r>
          </w:p>
        </w:tc>
        <w:tc>
          <w:tcPr>
            <w:tcW w:w="14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9.23%</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29,638</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29,751</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0" w:type="dxa"/>
            <w:vAlign w:val="bottom"/>
          </w:tcPr>
          <w:p>
            <w:pPr>
              <w:spacing w:after="0"/>
              <w:rPr>
                <w:sz w:val="1"/>
                <w:szCs w:val="1"/>
                <w:color w:val="auto"/>
              </w:rPr>
            </w:pPr>
          </w:p>
        </w:tc>
      </w:tr>
      <w:tr>
        <w:trPr>
          <w:trHeight w:val="241"/>
        </w:trPr>
        <w:tc>
          <w:tcPr>
            <w:tcW w:w="6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12/18/2024</w:t>
            </w:r>
          </w:p>
        </w:tc>
        <w:tc>
          <w:tcPr>
            <w:tcW w:w="114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rPr>
              <w:t>SOFR + 6.00%</w:t>
            </w:r>
          </w:p>
        </w:tc>
        <w:tc>
          <w:tcPr>
            <w:tcW w:w="1440" w:type="dxa"/>
            <w:vAlign w:val="bottom"/>
          </w:tcPr>
          <w:p>
            <w:pPr>
              <w:jc w:val="right"/>
              <w:ind w:right="237"/>
              <w:spacing w:after="0"/>
              <w:rPr>
                <w:sz w:val="20"/>
                <w:szCs w:val="20"/>
                <w:color w:val="auto"/>
              </w:rPr>
            </w:pPr>
            <w:r>
              <w:rPr>
                <w:rFonts w:ascii="Times New Roman" w:cs="Times New Roman" w:eastAsia="Times New Roman" w:hAnsi="Times New Roman"/>
                <w:sz w:val="13"/>
                <w:szCs w:val="13"/>
                <w:color w:val="auto"/>
              </w:rPr>
              <w:t>9.70% (incl. 3.25%</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136,982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140,744</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0" w:type="dxa"/>
            <w:vAlign w:val="bottom"/>
          </w:tcPr>
          <w:p>
            <w:pPr>
              <w:spacing w:after="0"/>
              <w:rPr>
                <w:sz w:val="1"/>
                <w:szCs w:val="1"/>
                <w:color w:val="auto"/>
              </w:rPr>
            </w:pPr>
          </w:p>
        </w:tc>
      </w:tr>
      <w:tr>
        <w:trPr>
          <w:trHeight w:val="164"/>
        </w:trPr>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rPr>
              <w:t>PIK)</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-2991485</wp:posOffset>
            </wp:positionH>
            <wp:positionV relativeFrom="paragraph">
              <wp:posOffset>-2338070</wp:posOffset>
            </wp:positionV>
            <wp:extent cx="7132320" cy="1714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-2991485</wp:posOffset>
            </wp:positionH>
            <wp:positionV relativeFrom="paragraph">
              <wp:posOffset>-2080895</wp:posOffset>
            </wp:positionV>
            <wp:extent cx="7132320" cy="8572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-2991485</wp:posOffset>
            </wp:positionH>
            <wp:positionV relativeFrom="paragraph">
              <wp:posOffset>-1823720</wp:posOffset>
            </wp:positionV>
            <wp:extent cx="7132320" cy="8572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-2991485</wp:posOffset>
            </wp:positionH>
            <wp:positionV relativeFrom="paragraph">
              <wp:posOffset>-1463675</wp:posOffset>
            </wp:positionV>
            <wp:extent cx="7132320" cy="8572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-2991485</wp:posOffset>
            </wp:positionH>
            <wp:positionV relativeFrom="paragraph">
              <wp:posOffset>-1206500</wp:posOffset>
            </wp:positionV>
            <wp:extent cx="7132320" cy="8572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-2991485</wp:posOffset>
            </wp:positionH>
            <wp:positionV relativeFrom="paragraph">
              <wp:posOffset>-949325</wp:posOffset>
            </wp:positionV>
            <wp:extent cx="7132320" cy="8572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-2991485</wp:posOffset>
            </wp:positionH>
            <wp:positionV relativeFrom="paragraph">
              <wp:posOffset>-692150</wp:posOffset>
            </wp:positionV>
            <wp:extent cx="7132320" cy="1714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-2991485</wp:posOffset>
            </wp:positionH>
            <wp:positionV relativeFrom="paragraph">
              <wp:posOffset>-349250</wp:posOffset>
            </wp:positionV>
            <wp:extent cx="7132320" cy="1714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-2991485</wp:posOffset>
            </wp:positionH>
            <wp:positionV relativeFrom="paragraph">
              <wp:posOffset>-1643380</wp:posOffset>
            </wp:positionV>
            <wp:extent cx="7132320" cy="9398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spacing w:after="0" w:line="187" w:lineRule="exact"/>
        <w:rPr>
          <w:sz w:val="20"/>
          <w:szCs w:val="20"/>
          <w:color w:val="auto"/>
        </w:rPr>
      </w:pPr>
    </w:p>
    <w:p>
      <w:pPr>
        <w:sectPr>
          <w:pgSz w:w="11900" w:h="16838" w:orient="portrait"/>
          <w:cols w:equalWidth="0" w:num="2">
            <w:col w:w="4260" w:space="460"/>
            <w:col w:w="6520"/>
          </w:cols>
          <w:pgMar w:left="320" w:top="1009"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9" w:right="339"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149"/>
        </w:trPr>
        <w:tc>
          <w:tcPr>
            <w:tcW w:w="1860" w:type="dxa"/>
            <w:vAlign w:val="bottom"/>
            <w:shd w:val="clear" w:color="auto" w:fill="CFF0FC"/>
          </w:tcPr>
          <w:p>
            <w:pPr>
              <w:spacing w:after="0"/>
              <w:rPr>
                <w:sz w:val="12"/>
                <w:szCs w:val="12"/>
                <w:color w:val="auto"/>
              </w:rPr>
            </w:pPr>
          </w:p>
        </w:tc>
        <w:tc>
          <w:tcPr>
            <w:tcW w:w="26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First-lien loan (EUR 32,304 par, due 12/2031)</w:t>
            </w:r>
          </w:p>
        </w:tc>
        <w:tc>
          <w:tcPr>
            <w:tcW w:w="88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13"/>
                <w:szCs w:val="13"/>
                <w:color w:val="auto"/>
              </w:rPr>
              <w:t>12/18/2024</w:t>
            </w:r>
          </w:p>
        </w:tc>
        <w:tc>
          <w:tcPr>
            <w:tcW w:w="112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13"/>
                <w:szCs w:val="13"/>
                <w:color w:val="auto"/>
              </w:rPr>
              <w:t>E + 6.00%</w:t>
            </w:r>
          </w:p>
        </w:tc>
        <w:tc>
          <w:tcPr>
            <w:tcW w:w="1460" w:type="dxa"/>
            <w:vAlign w:val="bottom"/>
            <w:shd w:val="clear" w:color="auto" w:fill="CFF0FC"/>
          </w:tcPr>
          <w:p>
            <w:pPr>
              <w:jc w:val="right"/>
              <w:ind w:right="218"/>
              <w:spacing w:after="0"/>
              <w:rPr>
                <w:sz w:val="20"/>
                <w:szCs w:val="20"/>
                <w:color w:val="auto"/>
              </w:rPr>
            </w:pPr>
            <w:r>
              <w:rPr>
                <w:rFonts w:ascii="Times New Roman" w:cs="Times New Roman" w:eastAsia="Times New Roman" w:hAnsi="Times New Roman"/>
                <w:sz w:val="13"/>
                <w:szCs w:val="13"/>
                <w:color w:val="auto"/>
              </w:rPr>
              <w:t>8.06% (incl. 3.25%</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33,371</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38,224</w:t>
            </w:r>
          </w:p>
        </w:tc>
        <w:tc>
          <w:tcPr>
            <w:tcW w:w="11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0.9%</w:t>
            </w:r>
          </w:p>
        </w:tc>
        <w:tc>
          <w:tcPr>
            <w:tcW w:w="0" w:type="dxa"/>
            <w:vAlign w:val="bottom"/>
          </w:tcPr>
          <w:p>
            <w:pPr>
              <w:spacing w:after="0"/>
              <w:rPr>
                <w:sz w:val="1"/>
                <w:szCs w:val="1"/>
                <w:color w:val="auto"/>
              </w:rPr>
            </w:pPr>
          </w:p>
        </w:tc>
      </w:tr>
      <w:tr>
        <w:trPr>
          <w:trHeight w:val="153"/>
        </w:trPr>
        <w:tc>
          <w:tcPr>
            <w:tcW w:w="1860" w:type="dxa"/>
            <w:vAlign w:val="bottom"/>
            <w:shd w:val="clear" w:color="auto" w:fill="CFF0FC"/>
          </w:tcPr>
          <w:p>
            <w:pPr>
              <w:spacing w:after="0"/>
              <w:rPr>
                <w:sz w:val="13"/>
                <w:szCs w:val="13"/>
                <w:color w:val="auto"/>
              </w:rPr>
            </w:pPr>
          </w:p>
        </w:tc>
        <w:tc>
          <w:tcPr>
            <w:tcW w:w="26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46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13"/>
                <w:szCs w:val="13"/>
                <w:color w:val="auto"/>
              </w:rPr>
              <w:t>PIK)</w:t>
            </w: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(EUR 32,546)</w:t>
            </w:r>
          </w:p>
        </w:tc>
        <w:tc>
          <w:tcPr>
            <w:tcW w:w="2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8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 xml:space="preserve">Rainfocus, LLC </w:t>
            </w:r>
            <w:r>
              <w:rPr>
                <w:rFonts w:ascii="Times New Roman" w:cs="Times New Roman" w:eastAsia="Times New Roman" w:hAnsi="Times New Roman"/>
                <w:sz w:val="15"/>
                <w:szCs w:val="15"/>
                <w:color w:val="auto"/>
                <w:vertAlign w:val="superscript"/>
              </w:rPr>
              <w:t>(3)(5)</w:t>
            </w:r>
          </w:p>
        </w:tc>
        <w:tc>
          <w:tcPr>
            <w:tcW w:w="264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First-lien loan ($10,709 par, due 4/2031)</w:t>
            </w:r>
          </w:p>
        </w:tc>
        <w:tc>
          <w:tcPr>
            <w:tcW w:w="880" w:type="dxa"/>
            <w:vAlign w:val="bottom"/>
          </w:tcPr>
          <w:p>
            <w:pPr>
              <w:jc w:val="right"/>
              <w:ind w:right="18"/>
              <w:spacing w:after="0" w:line="135" w:lineRule="exact"/>
              <w:rPr>
                <w:sz w:val="20"/>
                <w:szCs w:val="20"/>
                <w:color w:val="auto"/>
              </w:rPr>
            </w:pPr>
            <w:r>
              <w:rPr>
                <w:rFonts w:ascii="Times New Roman" w:cs="Times New Roman" w:eastAsia="Times New Roman" w:hAnsi="Times New Roman"/>
                <w:sz w:val="13"/>
                <w:szCs w:val="13"/>
                <w:color w:val="auto"/>
              </w:rPr>
              <w:t>4/25/2025</w:t>
            </w:r>
          </w:p>
        </w:tc>
        <w:tc>
          <w:tcPr>
            <w:tcW w:w="1120" w:type="dxa"/>
            <w:vAlign w:val="bottom"/>
          </w:tcPr>
          <w:p>
            <w:pPr>
              <w:jc w:val="right"/>
              <w:ind w:right="198"/>
              <w:spacing w:after="0" w:line="135" w:lineRule="exact"/>
              <w:rPr>
                <w:sz w:val="20"/>
                <w:szCs w:val="20"/>
                <w:color w:val="auto"/>
              </w:rPr>
            </w:pPr>
            <w:r>
              <w:rPr>
                <w:rFonts w:ascii="Times New Roman" w:cs="Times New Roman" w:eastAsia="Times New Roman" w:hAnsi="Times New Roman"/>
                <w:sz w:val="13"/>
                <w:szCs w:val="13"/>
                <w:color w:val="auto"/>
              </w:rPr>
              <w:t>SOFR + 6.38%</w:t>
            </w:r>
          </w:p>
        </w:tc>
        <w:tc>
          <w:tcPr>
            <w:tcW w:w="1460" w:type="dxa"/>
            <w:vAlign w:val="bottom"/>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10.24%</w:t>
            </w: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10,621</w:t>
            </w:r>
          </w:p>
        </w:tc>
        <w:tc>
          <w:tcPr>
            <w:tcW w:w="12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10,682</w:t>
            </w:r>
          </w:p>
        </w:tc>
        <w:tc>
          <w:tcPr>
            <w:tcW w:w="1180" w:type="dxa"/>
            <w:vAlign w:val="bottom"/>
            <w:gridSpan w:val="3"/>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0.3%</w:t>
            </w:r>
          </w:p>
        </w:tc>
        <w:tc>
          <w:tcPr>
            <w:tcW w:w="0" w:type="dxa"/>
            <w:vAlign w:val="bottom"/>
          </w:tcPr>
          <w:p>
            <w:pPr>
              <w:spacing w:after="0"/>
              <w:rPr>
                <w:sz w:val="1"/>
                <w:szCs w:val="1"/>
                <w:color w:val="auto"/>
              </w:rPr>
            </w:pPr>
          </w:p>
        </w:tc>
      </w:tr>
      <w:tr>
        <w:trPr>
          <w:trHeight w:val="108"/>
        </w:trPr>
        <w:tc>
          <w:tcPr>
            <w:tcW w:w="186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2"/>
                <w:szCs w:val="12"/>
                <w:color w:val="auto"/>
              </w:rPr>
              <w:t>SMA Technologies Holdings, LLC</w:t>
            </w:r>
          </w:p>
        </w:tc>
        <w:tc>
          <w:tcPr>
            <w:tcW w:w="2640" w:type="dxa"/>
            <w:vAlign w:val="bottom"/>
            <w:shd w:val="clear" w:color="auto" w:fill="CFF0FC"/>
          </w:tcPr>
          <w:p>
            <w:pPr>
              <w:ind w:left="80"/>
              <w:spacing w:after="0" w:line="108" w:lineRule="exact"/>
              <w:rPr>
                <w:sz w:val="20"/>
                <w:szCs w:val="20"/>
                <w:color w:val="auto"/>
              </w:rPr>
            </w:pPr>
            <w:r>
              <w:rPr>
                <w:rFonts w:ascii="Times New Roman" w:cs="Times New Roman" w:eastAsia="Times New Roman" w:hAnsi="Times New Roman"/>
                <w:sz w:val="12"/>
                <w:szCs w:val="12"/>
                <w:color w:val="auto"/>
              </w:rPr>
              <w:t>First-lien loan ($31,921 par, due 10/2028)</w:t>
            </w:r>
          </w:p>
        </w:tc>
        <w:tc>
          <w:tcPr>
            <w:tcW w:w="880" w:type="dxa"/>
            <w:vAlign w:val="bottom"/>
            <w:shd w:val="clear" w:color="auto" w:fill="CFF0FC"/>
          </w:tcPr>
          <w:p>
            <w:pPr>
              <w:jc w:val="right"/>
              <w:ind w:right="18"/>
              <w:spacing w:after="0" w:line="108" w:lineRule="exact"/>
              <w:rPr>
                <w:sz w:val="20"/>
                <w:szCs w:val="20"/>
                <w:color w:val="auto"/>
              </w:rPr>
            </w:pPr>
            <w:r>
              <w:rPr>
                <w:rFonts w:ascii="Times New Roman" w:cs="Times New Roman" w:eastAsia="Times New Roman" w:hAnsi="Times New Roman"/>
                <w:sz w:val="12"/>
                <w:szCs w:val="12"/>
                <w:color w:val="auto"/>
              </w:rPr>
              <w:t>10/31/2022</w:t>
            </w:r>
          </w:p>
        </w:tc>
        <w:tc>
          <w:tcPr>
            <w:tcW w:w="1120" w:type="dxa"/>
            <w:vAlign w:val="bottom"/>
            <w:shd w:val="clear" w:color="auto" w:fill="CFF0FC"/>
          </w:tcPr>
          <w:p>
            <w:pPr>
              <w:jc w:val="right"/>
              <w:ind w:right="198"/>
              <w:spacing w:after="0" w:line="108" w:lineRule="exact"/>
              <w:rPr>
                <w:sz w:val="20"/>
                <w:szCs w:val="20"/>
                <w:color w:val="auto"/>
              </w:rPr>
            </w:pPr>
            <w:r>
              <w:rPr>
                <w:rFonts w:ascii="Times New Roman" w:cs="Times New Roman" w:eastAsia="Times New Roman" w:hAnsi="Times New Roman"/>
                <w:sz w:val="12"/>
                <w:szCs w:val="12"/>
                <w:color w:val="auto"/>
              </w:rPr>
              <w:t>SOFR + 6.50%</w:t>
            </w:r>
          </w:p>
        </w:tc>
        <w:tc>
          <w:tcPr>
            <w:tcW w:w="1460" w:type="dxa"/>
            <w:vAlign w:val="bottom"/>
            <w:shd w:val="clear" w:color="auto" w:fill="CFF0FC"/>
          </w:tcPr>
          <w:p>
            <w:pPr>
              <w:jc w:val="right"/>
              <w:ind w:right="78"/>
              <w:spacing w:after="0" w:line="108" w:lineRule="exact"/>
              <w:rPr>
                <w:sz w:val="20"/>
                <w:szCs w:val="20"/>
                <w:color w:val="auto"/>
              </w:rPr>
            </w:pPr>
            <w:r>
              <w:rPr>
                <w:rFonts w:ascii="Times New Roman" w:cs="Times New Roman" w:eastAsia="Times New Roman" w:hAnsi="Times New Roman"/>
                <w:sz w:val="12"/>
                <w:szCs w:val="12"/>
                <w:color w:val="auto"/>
              </w:rPr>
              <w:t>10.32%</w:t>
            </w:r>
          </w:p>
        </w:tc>
        <w:tc>
          <w:tcPr>
            <w:tcW w:w="88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color w:val="auto"/>
              </w:rPr>
              <w:t>31,423</w:t>
            </w:r>
          </w:p>
        </w:tc>
        <w:tc>
          <w:tcPr>
            <w:tcW w:w="1220" w:type="dxa"/>
            <w:vAlign w:val="bottom"/>
            <w:gridSpan w:val="2"/>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color w:val="auto"/>
              </w:rPr>
              <w:t>32,640</w:t>
            </w:r>
          </w:p>
        </w:tc>
        <w:tc>
          <w:tcPr>
            <w:tcW w:w="1180" w:type="dxa"/>
            <w:vAlign w:val="bottom"/>
            <w:gridSpan w:val="3"/>
            <w:shd w:val="clear" w:color="auto" w:fill="CFF0FC"/>
          </w:tcPr>
          <w:p>
            <w:pPr>
              <w:jc w:val="right"/>
              <w:ind w:right="20"/>
              <w:spacing w:after="0" w:line="108" w:lineRule="exact"/>
              <w:rPr>
                <w:sz w:val="20"/>
                <w:szCs w:val="20"/>
                <w:color w:val="auto"/>
              </w:rPr>
            </w:pPr>
            <w:r>
              <w:rPr>
                <w:rFonts w:ascii="Times New Roman" w:cs="Times New Roman" w:eastAsia="Times New Roman" w:hAnsi="Times New Roman"/>
                <w:sz w:val="12"/>
                <w:szCs w:val="12"/>
                <w:color w:val="auto"/>
              </w:rPr>
              <w:t>0.8%</w:t>
            </w:r>
          </w:p>
        </w:tc>
        <w:tc>
          <w:tcPr>
            <w:tcW w:w="0" w:type="dxa"/>
            <w:vAlign w:val="bottom"/>
          </w:tcPr>
          <w:p>
            <w:pPr>
              <w:spacing w:after="0"/>
              <w:rPr>
                <w:sz w:val="1"/>
                <w:szCs w:val="1"/>
                <w:color w:val="auto"/>
              </w:rPr>
            </w:pPr>
          </w:p>
        </w:tc>
      </w:tr>
      <w:tr>
        <w:trPr>
          <w:trHeight w:val="115"/>
        </w:trPr>
        <w:tc>
          <w:tcPr>
            <w:tcW w:w="1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8"/>
                <w:szCs w:val="8"/>
                <w:color w:val="auto"/>
              </w:rPr>
              <w:t>(3)(5)</w:t>
            </w:r>
          </w:p>
        </w:tc>
        <w:tc>
          <w:tcPr>
            <w:tcW w:w="2640" w:type="dxa"/>
            <w:vAlign w:val="bottom"/>
            <w:tcBorders>
              <w:bottom w:val="single" w:sz="8" w:color="CFF0FC"/>
            </w:tcBorders>
            <w:shd w:val="clear" w:color="auto" w:fill="CFF0FC"/>
          </w:tcPr>
          <w:p>
            <w:pPr>
              <w:spacing w:after="0"/>
              <w:rPr>
                <w:sz w:val="10"/>
                <w:szCs w:val="10"/>
                <w:color w:val="auto"/>
              </w:rPr>
            </w:pPr>
          </w:p>
        </w:tc>
        <w:tc>
          <w:tcPr>
            <w:tcW w:w="880" w:type="dxa"/>
            <w:vAlign w:val="bottom"/>
            <w:tcBorders>
              <w:bottom w:val="single" w:sz="8" w:color="CFF0FC"/>
            </w:tcBorders>
            <w:shd w:val="clear" w:color="auto" w:fill="CFF0FC"/>
          </w:tcPr>
          <w:p>
            <w:pPr>
              <w:spacing w:after="0"/>
              <w:rPr>
                <w:sz w:val="10"/>
                <w:szCs w:val="10"/>
                <w:color w:val="auto"/>
              </w:rPr>
            </w:pPr>
          </w:p>
        </w:tc>
        <w:tc>
          <w:tcPr>
            <w:tcW w:w="1120" w:type="dxa"/>
            <w:vAlign w:val="bottom"/>
            <w:tcBorders>
              <w:bottom w:val="single" w:sz="8" w:color="CFF0FC"/>
            </w:tcBorders>
            <w:shd w:val="clear" w:color="auto" w:fill="CFF0FC"/>
          </w:tcPr>
          <w:p>
            <w:pPr>
              <w:spacing w:after="0"/>
              <w:rPr>
                <w:sz w:val="10"/>
                <w:szCs w:val="10"/>
                <w:color w:val="auto"/>
              </w:rPr>
            </w:pPr>
          </w:p>
        </w:tc>
        <w:tc>
          <w:tcPr>
            <w:tcW w:w="1460" w:type="dxa"/>
            <w:vAlign w:val="bottom"/>
            <w:tcBorders>
              <w:bottom w:val="single" w:sz="8" w:color="CFF0FC"/>
            </w:tcBorders>
            <w:shd w:val="clear" w:color="auto" w:fill="CFF0FC"/>
          </w:tcPr>
          <w:p>
            <w:pPr>
              <w:spacing w:after="0"/>
              <w:rPr>
                <w:sz w:val="10"/>
                <w:szCs w:val="10"/>
                <w:color w:val="auto"/>
              </w:rPr>
            </w:pPr>
          </w:p>
        </w:tc>
        <w:tc>
          <w:tcPr>
            <w:tcW w:w="88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1000" w:type="dxa"/>
            <w:vAlign w:val="bottom"/>
            <w:tcBorders>
              <w:bottom w:val="single" w:sz="8" w:color="CFF0FC"/>
            </w:tcBorders>
            <w:shd w:val="clear" w:color="auto" w:fill="CFF0FC"/>
          </w:tcPr>
          <w:p>
            <w:pPr>
              <w:spacing w:after="0"/>
              <w:rPr>
                <w:sz w:val="10"/>
                <w:szCs w:val="10"/>
                <w:color w:val="auto"/>
              </w:rPr>
            </w:pPr>
          </w:p>
        </w:tc>
        <w:tc>
          <w:tcPr>
            <w:tcW w:w="200" w:type="dxa"/>
            <w:vAlign w:val="bottom"/>
            <w:tcBorders>
              <w:bottom w:val="single" w:sz="8" w:color="CFF0FC"/>
            </w:tcBorders>
            <w:shd w:val="clear" w:color="auto" w:fill="CFF0FC"/>
          </w:tcPr>
          <w:p>
            <w:pPr>
              <w:spacing w:after="0"/>
              <w:rPr>
                <w:sz w:val="10"/>
                <w:szCs w:val="10"/>
                <w:color w:val="auto"/>
              </w:rPr>
            </w:pPr>
          </w:p>
        </w:tc>
        <w:tc>
          <w:tcPr>
            <w:tcW w:w="86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860" w:type="dxa"/>
            <w:vAlign w:val="bottom"/>
            <w:shd w:val="clear" w:color="auto" w:fill="CFF0FC"/>
          </w:tcPr>
          <w:p>
            <w:pPr>
              <w:spacing w:after="0" w:line="20" w:lineRule="exact"/>
              <w:rPr>
                <w:sz w:val="1"/>
                <w:szCs w:val="1"/>
                <w:color w:val="auto"/>
              </w:rPr>
            </w:pPr>
          </w:p>
        </w:tc>
        <w:tc>
          <w:tcPr>
            <w:tcW w:w="2640" w:type="dxa"/>
            <w:vAlign w:val="bottom"/>
            <w:shd w:val="clear" w:color="auto" w:fill="CFF0FC"/>
          </w:tcPr>
          <w:p>
            <w:pPr>
              <w:spacing w:after="0" w:line="20" w:lineRule="exact"/>
              <w:rPr>
                <w:sz w:val="1"/>
                <w:szCs w:val="1"/>
                <w:color w:val="auto"/>
              </w:rPr>
            </w:pPr>
          </w:p>
        </w:tc>
        <w:tc>
          <w:tcPr>
            <w:tcW w:w="88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146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186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612,999</w:t>
            </w:r>
          </w:p>
        </w:tc>
        <w:tc>
          <w:tcPr>
            <w:tcW w:w="220" w:type="dxa"/>
            <w:vAlign w:val="bottom"/>
          </w:tcPr>
          <w:p>
            <w:pPr>
              <w:spacing w:after="0"/>
              <w:rPr>
                <w:sz w:val="11"/>
                <w:szCs w:val="11"/>
                <w:color w:val="auto"/>
              </w:rPr>
            </w:pPr>
          </w:p>
        </w:tc>
        <w:tc>
          <w:tcPr>
            <w:tcW w:w="10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633,286</w:t>
            </w:r>
          </w:p>
        </w:tc>
        <w:tc>
          <w:tcPr>
            <w:tcW w:w="200" w:type="dxa"/>
            <w:vAlign w:val="bottom"/>
          </w:tcPr>
          <w:p>
            <w:pPr>
              <w:spacing w:after="0"/>
              <w:rPr>
                <w:sz w:val="11"/>
                <w:szCs w:val="11"/>
                <w:color w:val="auto"/>
              </w:rPr>
            </w:pPr>
          </w:p>
        </w:tc>
        <w:tc>
          <w:tcPr>
            <w:tcW w:w="98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15.2%</w:t>
            </w:r>
          </w:p>
        </w:tc>
        <w:tc>
          <w:tcPr>
            <w:tcW w:w="0" w:type="dxa"/>
            <w:vAlign w:val="bottom"/>
          </w:tcPr>
          <w:p>
            <w:pPr>
              <w:spacing w:after="0"/>
              <w:rPr>
                <w:sz w:val="1"/>
                <w:szCs w:val="1"/>
                <w:color w:val="auto"/>
              </w:rPr>
            </w:pPr>
          </w:p>
        </w:tc>
      </w:tr>
      <w:tr>
        <w:trPr>
          <w:trHeight w:val="129"/>
        </w:trPr>
        <w:tc>
          <w:tcPr>
            <w:tcW w:w="186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Manufacturing</w:t>
            </w:r>
          </w:p>
        </w:tc>
        <w:tc>
          <w:tcPr>
            <w:tcW w:w="26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460" w:type="dxa"/>
            <w:vAlign w:val="bottom"/>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6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860" w:type="dxa"/>
            <w:vAlign w:val="bottom"/>
          </w:tcPr>
          <w:p>
            <w:pPr>
              <w:spacing w:after="0" w:line="117" w:lineRule="exact"/>
              <w:rPr>
                <w:sz w:val="20"/>
                <w:szCs w:val="20"/>
                <w:color w:val="auto"/>
              </w:rPr>
            </w:pPr>
            <w:r>
              <w:rPr>
                <w:rFonts w:ascii="Times New Roman" w:cs="Times New Roman" w:eastAsia="Times New Roman" w:hAnsi="Times New Roman"/>
                <w:sz w:val="10"/>
                <w:szCs w:val="10"/>
                <w:color w:val="auto"/>
              </w:rPr>
              <w:t xml:space="preserve">Arcwood Environmental, Inc. </w:t>
            </w:r>
            <w:r>
              <w:rPr>
                <w:rFonts w:ascii="Times New Roman" w:cs="Times New Roman" w:eastAsia="Times New Roman" w:hAnsi="Times New Roman"/>
                <w:sz w:val="13"/>
                <w:szCs w:val="13"/>
                <w:color w:val="auto"/>
                <w:vertAlign w:val="superscript"/>
              </w:rPr>
              <w:t>(3)</w:t>
            </w:r>
          </w:p>
        </w:tc>
        <w:tc>
          <w:tcPr>
            <w:tcW w:w="2640" w:type="dxa"/>
            <w:vAlign w:val="bottom"/>
          </w:tcPr>
          <w:p>
            <w:pPr>
              <w:ind w:left="80"/>
              <w:spacing w:after="0" w:line="117" w:lineRule="exact"/>
              <w:rPr>
                <w:sz w:val="20"/>
                <w:szCs w:val="20"/>
                <w:color w:val="auto"/>
              </w:rPr>
            </w:pPr>
            <w:r>
              <w:rPr>
                <w:rFonts w:ascii="Times New Roman" w:cs="Times New Roman" w:eastAsia="Times New Roman" w:hAnsi="Times New Roman"/>
                <w:sz w:val="13"/>
                <w:szCs w:val="13"/>
                <w:color w:val="auto"/>
              </w:rPr>
              <w:t>First-lien loan ($130,358 par, due 1/2031)</w:t>
            </w:r>
          </w:p>
        </w:tc>
        <w:tc>
          <w:tcPr>
            <w:tcW w:w="880" w:type="dxa"/>
            <w:vAlign w:val="bottom"/>
          </w:tcPr>
          <w:p>
            <w:pPr>
              <w:jc w:val="right"/>
              <w:ind w:right="18"/>
              <w:spacing w:after="0" w:line="117" w:lineRule="exact"/>
              <w:rPr>
                <w:sz w:val="20"/>
                <w:szCs w:val="20"/>
                <w:color w:val="auto"/>
              </w:rPr>
            </w:pPr>
            <w:r>
              <w:rPr>
                <w:rFonts w:ascii="Times New Roman" w:cs="Times New Roman" w:eastAsia="Times New Roman" w:hAnsi="Times New Roman"/>
                <w:sz w:val="13"/>
                <w:szCs w:val="13"/>
                <w:color w:val="auto"/>
              </w:rPr>
              <w:t>1/31/2024</w:t>
            </w:r>
          </w:p>
        </w:tc>
        <w:tc>
          <w:tcPr>
            <w:tcW w:w="1120" w:type="dxa"/>
            <w:vAlign w:val="bottom"/>
          </w:tcPr>
          <w:p>
            <w:pPr>
              <w:jc w:val="right"/>
              <w:ind w:right="218"/>
              <w:spacing w:after="0" w:line="117" w:lineRule="exact"/>
              <w:rPr>
                <w:sz w:val="20"/>
                <w:szCs w:val="20"/>
                <w:color w:val="auto"/>
              </w:rPr>
            </w:pPr>
            <w:r>
              <w:rPr>
                <w:rFonts w:ascii="Times New Roman" w:cs="Times New Roman" w:eastAsia="Times New Roman" w:hAnsi="Times New Roman"/>
                <w:sz w:val="13"/>
                <w:szCs w:val="13"/>
                <w:color w:val="auto"/>
              </w:rPr>
              <w:t>SOFR +</w:t>
            </w:r>
          </w:p>
        </w:tc>
        <w:tc>
          <w:tcPr>
            <w:tcW w:w="1460" w:type="dxa"/>
            <w:vAlign w:val="bottom"/>
          </w:tcPr>
          <w:p>
            <w:pPr>
              <w:jc w:val="right"/>
              <w:ind w:right="78"/>
              <w:spacing w:after="0" w:line="117" w:lineRule="exact"/>
              <w:rPr>
                <w:sz w:val="20"/>
                <w:szCs w:val="20"/>
                <w:color w:val="auto"/>
              </w:rPr>
            </w:pPr>
            <w:r>
              <w:rPr>
                <w:rFonts w:ascii="Times New Roman" w:cs="Times New Roman" w:eastAsia="Times New Roman" w:hAnsi="Times New Roman"/>
                <w:sz w:val="13"/>
                <w:szCs w:val="13"/>
                <w:color w:val="auto"/>
              </w:rPr>
              <w:t>9.09%</w:t>
            </w:r>
          </w:p>
        </w:tc>
        <w:tc>
          <w:tcPr>
            <w:tcW w:w="88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129,788</w:t>
            </w:r>
          </w:p>
        </w:tc>
        <w:tc>
          <w:tcPr>
            <w:tcW w:w="12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131,107</w:t>
            </w:r>
          </w:p>
        </w:tc>
        <w:tc>
          <w:tcPr>
            <w:tcW w:w="118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3.1%</w:t>
            </w:r>
          </w:p>
        </w:tc>
        <w:tc>
          <w:tcPr>
            <w:tcW w:w="0" w:type="dxa"/>
            <w:vAlign w:val="bottom"/>
          </w:tcPr>
          <w:p>
            <w:pPr>
              <w:spacing w:after="0"/>
              <w:rPr>
                <w:sz w:val="1"/>
                <w:szCs w:val="1"/>
                <w:color w:val="auto"/>
              </w:rPr>
            </w:pPr>
          </w:p>
        </w:tc>
      </w:tr>
      <w:tr>
        <w:trPr>
          <w:trHeight w:val="153"/>
        </w:trPr>
        <w:tc>
          <w:tcPr>
            <w:tcW w:w="186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20" w:type="dxa"/>
            <w:vAlign w:val="bottom"/>
          </w:tcPr>
          <w:p>
            <w:pPr>
              <w:jc w:val="right"/>
              <w:ind w:right="198"/>
              <w:spacing w:after="0"/>
              <w:rPr>
                <w:sz w:val="20"/>
                <w:szCs w:val="20"/>
                <w:color w:val="auto"/>
              </w:rPr>
            </w:pPr>
            <w:r>
              <w:rPr>
                <w:rFonts w:ascii="Times New Roman" w:cs="Times New Roman" w:eastAsia="Times New Roman" w:hAnsi="Times New Roman"/>
                <w:sz w:val="13"/>
                <w:szCs w:val="13"/>
                <w:color w:val="auto"/>
              </w:rPr>
              <w:t>5.25%</w:t>
            </w:r>
          </w:p>
        </w:tc>
        <w:tc>
          <w:tcPr>
            <w:tcW w:w="14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860" w:type="dxa"/>
            <w:vAlign w:val="bottom"/>
            <w:shd w:val="clear" w:color="auto" w:fill="CFF0FC"/>
          </w:tcPr>
          <w:p>
            <w:pPr>
              <w:spacing w:after="0"/>
              <w:rPr>
                <w:sz w:val="11"/>
                <w:szCs w:val="11"/>
                <w:color w:val="auto"/>
              </w:rPr>
            </w:pPr>
          </w:p>
        </w:tc>
        <w:tc>
          <w:tcPr>
            <w:tcW w:w="2640" w:type="dxa"/>
            <w:vAlign w:val="bottom"/>
            <w:shd w:val="clear" w:color="auto" w:fill="CFF0FC"/>
          </w:tcPr>
          <w:p>
            <w:pPr>
              <w:ind w:left="80"/>
              <w:spacing w:after="0" w:line="135" w:lineRule="exact"/>
              <w:rPr>
                <w:sz w:val="20"/>
                <w:szCs w:val="20"/>
                <w:color w:val="auto"/>
              </w:rPr>
            </w:pPr>
            <w:r>
              <w:rPr>
                <w:rFonts w:ascii="Times New Roman" w:cs="Times New Roman" w:eastAsia="Times New Roman" w:hAnsi="Times New Roman"/>
                <w:sz w:val="13"/>
                <w:szCs w:val="13"/>
                <w:color w:val="auto"/>
              </w:rPr>
              <w:t>First-lien loan ($43,450 par, due 1/2031)</w:t>
            </w:r>
          </w:p>
        </w:tc>
        <w:tc>
          <w:tcPr>
            <w:tcW w:w="880" w:type="dxa"/>
            <w:vAlign w:val="bottom"/>
            <w:shd w:val="clear" w:color="auto" w:fill="CFF0FC"/>
          </w:tcPr>
          <w:p>
            <w:pPr>
              <w:jc w:val="right"/>
              <w:ind w:right="18"/>
              <w:spacing w:after="0" w:line="135" w:lineRule="exact"/>
              <w:rPr>
                <w:sz w:val="20"/>
                <w:szCs w:val="20"/>
                <w:color w:val="auto"/>
              </w:rPr>
            </w:pPr>
            <w:r>
              <w:rPr>
                <w:rFonts w:ascii="Times New Roman" w:cs="Times New Roman" w:eastAsia="Times New Roman" w:hAnsi="Times New Roman"/>
                <w:sz w:val="13"/>
                <w:szCs w:val="13"/>
                <w:color w:val="auto"/>
              </w:rPr>
              <w:t>9/27/2024</w:t>
            </w:r>
          </w:p>
        </w:tc>
        <w:tc>
          <w:tcPr>
            <w:tcW w:w="1120" w:type="dxa"/>
            <w:vAlign w:val="bottom"/>
            <w:shd w:val="clear" w:color="auto" w:fill="CFF0FC"/>
          </w:tcPr>
          <w:p>
            <w:pPr>
              <w:jc w:val="right"/>
              <w:ind w:right="198"/>
              <w:spacing w:after="0" w:line="135" w:lineRule="exact"/>
              <w:rPr>
                <w:sz w:val="20"/>
                <w:szCs w:val="20"/>
                <w:color w:val="auto"/>
              </w:rPr>
            </w:pPr>
            <w:r>
              <w:rPr>
                <w:rFonts w:ascii="Times New Roman" w:cs="Times New Roman" w:eastAsia="Times New Roman" w:hAnsi="Times New Roman"/>
                <w:sz w:val="13"/>
                <w:szCs w:val="13"/>
                <w:color w:val="auto"/>
              </w:rPr>
              <w:t>SOFR + 5.00%</w:t>
            </w:r>
          </w:p>
        </w:tc>
        <w:tc>
          <w:tcPr>
            <w:tcW w:w="1460" w:type="dxa"/>
            <w:vAlign w:val="bottom"/>
            <w:shd w:val="clear" w:color="auto" w:fill="CFF0FC"/>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8.71%</w:t>
            </w: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43,235</w:t>
            </w:r>
          </w:p>
        </w:tc>
        <w:tc>
          <w:tcPr>
            <w:tcW w:w="122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43,450</w:t>
            </w:r>
          </w:p>
        </w:tc>
        <w:tc>
          <w:tcPr>
            <w:tcW w:w="1180" w:type="dxa"/>
            <w:vAlign w:val="bottom"/>
            <w:gridSpan w:val="3"/>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17"/>
        </w:trPr>
        <w:tc>
          <w:tcPr>
            <w:tcW w:w="1860" w:type="dxa"/>
            <w:vAlign w:val="bottom"/>
          </w:tcPr>
          <w:p>
            <w:pPr>
              <w:spacing w:after="0" w:line="117" w:lineRule="exact"/>
              <w:rPr>
                <w:sz w:val="20"/>
                <w:szCs w:val="20"/>
                <w:color w:val="auto"/>
              </w:rPr>
            </w:pPr>
            <w:r>
              <w:rPr>
                <w:rFonts w:ascii="Times New Roman" w:cs="Times New Roman" w:eastAsia="Times New Roman" w:hAnsi="Times New Roman"/>
                <w:sz w:val="10"/>
                <w:szCs w:val="10"/>
                <w:color w:val="auto"/>
              </w:rPr>
              <w:t xml:space="preserve">ASP Unifrax Holdings, Inc. </w:t>
            </w:r>
            <w:r>
              <w:rPr>
                <w:rFonts w:ascii="Times New Roman" w:cs="Times New Roman" w:eastAsia="Times New Roman" w:hAnsi="Times New Roman"/>
                <w:sz w:val="13"/>
                <w:szCs w:val="13"/>
                <w:color w:val="auto"/>
                <w:vertAlign w:val="superscript"/>
              </w:rPr>
              <w:t>(12)</w:t>
            </w:r>
          </w:p>
        </w:tc>
        <w:tc>
          <w:tcPr>
            <w:tcW w:w="2640" w:type="dxa"/>
            <w:vAlign w:val="bottom"/>
          </w:tcPr>
          <w:p>
            <w:pPr>
              <w:ind w:left="80"/>
              <w:spacing w:after="0" w:line="117" w:lineRule="exact"/>
              <w:rPr>
                <w:sz w:val="20"/>
                <w:szCs w:val="20"/>
                <w:color w:val="auto"/>
              </w:rPr>
            </w:pPr>
            <w:r>
              <w:rPr>
                <w:rFonts w:ascii="Times New Roman" w:cs="Times New Roman" w:eastAsia="Times New Roman" w:hAnsi="Times New Roman"/>
                <w:sz w:val="10"/>
                <w:szCs w:val="10"/>
                <w:color w:val="auto"/>
              </w:rPr>
              <w:t xml:space="preserve">First-lien loan ($3,619 par, due 9/2029) </w:t>
            </w:r>
            <w:r>
              <w:rPr>
                <w:rFonts w:ascii="Times New Roman" w:cs="Times New Roman" w:eastAsia="Times New Roman" w:hAnsi="Times New Roman"/>
                <w:sz w:val="13"/>
                <w:szCs w:val="13"/>
                <w:color w:val="auto"/>
                <w:vertAlign w:val="superscript"/>
              </w:rPr>
              <w:t>(3)</w:t>
            </w:r>
          </w:p>
        </w:tc>
        <w:tc>
          <w:tcPr>
            <w:tcW w:w="880" w:type="dxa"/>
            <w:vAlign w:val="bottom"/>
          </w:tcPr>
          <w:p>
            <w:pPr>
              <w:jc w:val="right"/>
              <w:ind w:right="18"/>
              <w:spacing w:after="0" w:line="117" w:lineRule="exact"/>
              <w:rPr>
                <w:sz w:val="20"/>
                <w:szCs w:val="20"/>
                <w:color w:val="auto"/>
              </w:rPr>
            </w:pPr>
            <w:r>
              <w:rPr>
                <w:rFonts w:ascii="Times New Roman" w:cs="Times New Roman" w:eastAsia="Times New Roman" w:hAnsi="Times New Roman"/>
                <w:sz w:val="13"/>
                <w:szCs w:val="13"/>
                <w:color w:val="auto"/>
              </w:rPr>
              <w:t>9/30/2024</w:t>
            </w:r>
          </w:p>
        </w:tc>
        <w:tc>
          <w:tcPr>
            <w:tcW w:w="1120" w:type="dxa"/>
            <w:vAlign w:val="bottom"/>
          </w:tcPr>
          <w:p>
            <w:pPr>
              <w:jc w:val="right"/>
              <w:ind w:right="198"/>
              <w:spacing w:after="0" w:line="117" w:lineRule="exact"/>
              <w:rPr>
                <w:sz w:val="20"/>
                <w:szCs w:val="20"/>
                <w:color w:val="auto"/>
              </w:rPr>
            </w:pPr>
            <w:r>
              <w:rPr>
                <w:rFonts w:ascii="Times New Roman" w:cs="Times New Roman" w:eastAsia="Times New Roman" w:hAnsi="Times New Roman"/>
                <w:sz w:val="13"/>
                <w:szCs w:val="13"/>
                <w:color w:val="auto"/>
              </w:rPr>
              <w:t>SOFR + 7.75%</w:t>
            </w:r>
          </w:p>
        </w:tc>
        <w:tc>
          <w:tcPr>
            <w:tcW w:w="1460" w:type="dxa"/>
            <w:vAlign w:val="bottom"/>
          </w:tcPr>
          <w:p>
            <w:pPr>
              <w:jc w:val="right"/>
              <w:ind w:right="218"/>
              <w:spacing w:after="0" w:line="117" w:lineRule="exact"/>
              <w:rPr>
                <w:sz w:val="20"/>
                <w:szCs w:val="20"/>
                <w:color w:val="auto"/>
              </w:rPr>
            </w:pPr>
            <w:r>
              <w:rPr>
                <w:rFonts w:ascii="Times New Roman" w:cs="Times New Roman" w:eastAsia="Times New Roman" w:hAnsi="Times New Roman"/>
                <w:sz w:val="13"/>
                <w:szCs w:val="13"/>
                <w:color w:val="auto"/>
              </w:rPr>
              <w:t>11.75% (incl. 4.75%</w:t>
            </w:r>
          </w:p>
        </w:tc>
        <w:tc>
          <w:tcPr>
            <w:tcW w:w="88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3,558</w:t>
            </w:r>
          </w:p>
        </w:tc>
        <w:tc>
          <w:tcPr>
            <w:tcW w:w="12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2,877</w:t>
            </w:r>
          </w:p>
        </w:tc>
        <w:tc>
          <w:tcPr>
            <w:tcW w:w="118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53"/>
        </w:trPr>
        <w:tc>
          <w:tcPr>
            <w:tcW w:w="186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60" w:type="dxa"/>
            <w:vAlign w:val="bottom"/>
          </w:tcPr>
          <w:p>
            <w:pPr>
              <w:jc w:val="right"/>
              <w:ind w:right="198"/>
              <w:spacing w:after="0"/>
              <w:rPr>
                <w:sz w:val="20"/>
                <w:szCs w:val="20"/>
                <w:color w:val="auto"/>
              </w:rPr>
            </w:pPr>
            <w:r>
              <w:rPr>
                <w:rFonts w:ascii="Times New Roman" w:cs="Times New Roman" w:eastAsia="Times New Roman" w:hAnsi="Times New Roman"/>
                <w:sz w:val="13"/>
                <w:szCs w:val="13"/>
                <w:color w:val="auto"/>
              </w:rPr>
              <w:t>PIK)</w:t>
            </w: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860" w:type="dxa"/>
            <w:vAlign w:val="bottom"/>
            <w:shd w:val="clear" w:color="auto" w:fill="CFF0FC"/>
          </w:tcPr>
          <w:p>
            <w:pPr>
              <w:spacing w:after="0"/>
              <w:rPr>
                <w:sz w:val="10"/>
                <w:szCs w:val="10"/>
                <w:color w:val="auto"/>
              </w:rPr>
            </w:pPr>
          </w:p>
        </w:tc>
        <w:tc>
          <w:tcPr>
            <w:tcW w:w="2640" w:type="dxa"/>
            <w:vAlign w:val="bottom"/>
            <w:shd w:val="clear" w:color="auto" w:fill="CFF0FC"/>
          </w:tcPr>
          <w:p>
            <w:pPr>
              <w:ind w:left="80"/>
              <w:spacing w:after="0" w:line="117" w:lineRule="exact"/>
              <w:rPr>
                <w:sz w:val="20"/>
                <w:szCs w:val="20"/>
                <w:color w:val="auto"/>
              </w:rPr>
            </w:pPr>
            <w:r>
              <w:rPr>
                <w:rFonts w:ascii="Times New Roman" w:cs="Times New Roman" w:eastAsia="Times New Roman" w:hAnsi="Times New Roman"/>
                <w:sz w:val="10"/>
                <w:szCs w:val="10"/>
                <w:color w:val="auto"/>
              </w:rPr>
              <w:t xml:space="preserve">Second-lien note ($2,024 par, due 9/2029) </w:t>
            </w:r>
            <w:r>
              <w:rPr>
                <w:rFonts w:ascii="Times New Roman" w:cs="Times New Roman" w:eastAsia="Times New Roman" w:hAnsi="Times New Roman"/>
                <w:sz w:val="13"/>
                <w:szCs w:val="13"/>
                <w:color w:val="auto"/>
                <w:vertAlign w:val="superscript"/>
              </w:rPr>
              <w:t>(13)</w:t>
            </w:r>
          </w:p>
        </w:tc>
        <w:tc>
          <w:tcPr>
            <w:tcW w:w="880" w:type="dxa"/>
            <w:vAlign w:val="bottom"/>
            <w:shd w:val="clear" w:color="auto" w:fill="CFF0FC"/>
          </w:tcPr>
          <w:p>
            <w:pPr>
              <w:jc w:val="right"/>
              <w:ind w:right="18"/>
              <w:spacing w:after="0" w:line="117" w:lineRule="exact"/>
              <w:rPr>
                <w:sz w:val="20"/>
                <w:szCs w:val="20"/>
                <w:color w:val="auto"/>
              </w:rPr>
            </w:pPr>
            <w:r>
              <w:rPr>
                <w:rFonts w:ascii="Times New Roman" w:cs="Times New Roman" w:eastAsia="Times New Roman" w:hAnsi="Times New Roman"/>
                <w:sz w:val="13"/>
                <w:szCs w:val="13"/>
                <w:color w:val="auto"/>
              </w:rPr>
              <w:t>8/31/2023</w:t>
            </w:r>
          </w:p>
        </w:tc>
        <w:tc>
          <w:tcPr>
            <w:tcW w:w="1120" w:type="dxa"/>
            <w:vAlign w:val="bottom"/>
            <w:shd w:val="clear" w:color="auto" w:fill="CFF0FC"/>
          </w:tcPr>
          <w:p>
            <w:pPr>
              <w:jc w:val="right"/>
              <w:ind w:right="78"/>
              <w:spacing w:after="0" w:line="117" w:lineRule="exact"/>
              <w:rPr>
                <w:sz w:val="20"/>
                <w:szCs w:val="20"/>
                <w:color w:val="auto"/>
              </w:rPr>
            </w:pPr>
            <w:r>
              <w:rPr>
                <w:rFonts w:ascii="Times New Roman" w:cs="Times New Roman" w:eastAsia="Times New Roman" w:hAnsi="Times New Roman"/>
                <w:sz w:val="13"/>
                <w:szCs w:val="13"/>
                <w:color w:val="auto"/>
              </w:rPr>
              <w:t>7.10%</w:t>
            </w:r>
          </w:p>
        </w:tc>
        <w:tc>
          <w:tcPr>
            <w:tcW w:w="1460" w:type="dxa"/>
            <w:vAlign w:val="bottom"/>
            <w:shd w:val="clear" w:color="auto" w:fill="CFF0FC"/>
          </w:tcPr>
          <w:p>
            <w:pPr>
              <w:jc w:val="right"/>
              <w:ind w:right="218"/>
              <w:spacing w:after="0" w:line="117" w:lineRule="exact"/>
              <w:rPr>
                <w:sz w:val="20"/>
                <w:szCs w:val="20"/>
                <w:color w:val="auto"/>
              </w:rPr>
            </w:pPr>
            <w:r>
              <w:rPr>
                <w:rFonts w:ascii="Times New Roman" w:cs="Times New Roman" w:eastAsia="Times New Roman" w:hAnsi="Times New Roman"/>
                <w:sz w:val="13"/>
                <w:szCs w:val="13"/>
                <w:color w:val="auto"/>
              </w:rPr>
              <w:t>7.10% (incl. 1.25%</w:t>
            </w:r>
          </w:p>
        </w:tc>
        <w:tc>
          <w:tcPr>
            <w:tcW w:w="88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1,559</w:t>
            </w:r>
          </w:p>
        </w:tc>
        <w:tc>
          <w:tcPr>
            <w:tcW w:w="122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223</w:t>
            </w:r>
          </w:p>
        </w:tc>
        <w:tc>
          <w:tcPr>
            <w:tcW w:w="1180" w:type="dxa"/>
            <w:vAlign w:val="bottom"/>
            <w:gridSpan w:val="3"/>
            <w:shd w:val="clear" w:color="auto" w:fill="CFF0FC"/>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0.0%</w:t>
            </w:r>
          </w:p>
        </w:tc>
        <w:tc>
          <w:tcPr>
            <w:tcW w:w="0" w:type="dxa"/>
            <w:vAlign w:val="bottom"/>
          </w:tcPr>
          <w:p>
            <w:pPr>
              <w:spacing w:after="0"/>
              <w:rPr>
                <w:sz w:val="1"/>
                <w:szCs w:val="1"/>
                <w:color w:val="auto"/>
              </w:rPr>
            </w:pPr>
          </w:p>
        </w:tc>
      </w:tr>
      <w:tr>
        <w:trPr>
          <w:trHeight w:val="153"/>
        </w:trPr>
        <w:tc>
          <w:tcPr>
            <w:tcW w:w="1860" w:type="dxa"/>
            <w:vAlign w:val="bottom"/>
            <w:shd w:val="clear" w:color="auto" w:fill="CFF0FC"/>
          </w:tcPr>
          <w:p>
            <w:pPr>
              <w:spacing w:after="0"/>
              <w:rPr>
                <w:sz w:val="13"/>
                <w:szCs w:val="13"/>
                <w:color w:val="auto"/>
              </w:rPr>
            </w:pPr>
          </w:p>
        </w:tc>
        <w:tc>
          <w:tcPr>
            <w:tcW w:w="26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46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13"/>
                <w:szCs w:val="13"/>
                <w:color w:val="auto"/>
              </w:rPr>
              <w:t>PIK)</w:t>
            </w: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86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 xml:space="preserve">Varinem German BidCo GmbH </w:t>
            </w:r>
            <w:r>
              <w:rPr>
                <w:rFonts w:ascii="Times New Roman" w:cs="Times New Roman" w:eastAsia="Times New Roman" w:hAnsi="Times New Roman"/>
                <w:sz w:val="12"/>
                <w:szCs w:val="12"/>
                <w:color w:val="auto"/>
                <w:vertAlign w:val="superscript"/>
              </w:rPr>
              <w:t>(3)</w:t>
            </w:r>
          </w:p>
        </w:tc>
        <w:tc>
          <w:tcPr>
            <w:tcW w:w="2640" w:type="dxa"/>
            <w:vAlign w:val="bottom"/>
          </w:tcPr>
          <w:p>
            <w:pPr>
              <w:ind w:left="80"/>
              <w:spacing w:after="0" w:line="108" w:lineRule="exact"/>
              <w:rPr>
                <w:sz w:val="20"/>
                <w:szCs w:val="20"/>
                <w:color w:val="auto"/>
              </w:rPr>
            </w:pPr>
            <w:r>
              <w:rPr>
                <w:rFonts w:ascii="Times New Roman" w:cs="Times New Roman" w:eastAsia="Times New Roman" w:hAnsi="Times New Roman"/>
                <w:sz w:val="12"/>
                <w:szCs w:val="12"/>
                <w:color w:val="auto"/>
              </w:rPr>
              <w:t>First-lien loan (EUR 12,696 par, due 7/2031)</w:t>
            </w:r>
          </w:p>
        </w:tc>
        <w:tc>
          <w:tcPr>
            <w:tcW w:w="880" w:type="dxa"/>
            <w:vAlign w:val="bottom"/>
          </w:tcPr>
          <w:p>
            <w:pPr>
              <w:jc w:val="right"/>
              <w:ind w:right="18"/>
              <w:spacing w:after="0" w:line="108" w:lineRule="exact"/>
              <w:rPr>
                <w:sz w:val="20"/>
                <w:szCs w:val="20"/>
                <w:color w:val="auto"/>
              </w:rPr>
            </w:pPr>
            <w:r>
              <w:rPr>
                <w:rFonts w:ascii="Times New Roman" w:cs="Times New Roman" w:eastAsia="Times New Roman" w:hAnsi="Times New Roman"/>
                <w:sz w:val="12"/>
                <w:szCs w:val="12"/>
                <w:color w:val="auto"/>
              </w:rPr>
              <w:t>7/11/2024</w:t>
            </w:r>
          </w:p>
        </w:tc>
        <w:tc>
          <w:tcPr>
            <w:tcW w:w="1120" w:type="dxa"/>
            <w:vAlign w:val="bottom"/>
          </w:tcPr>
          <w:p>
            <w:pPr>
              <w:jc w:val="right"/>
              <w:ind w:right="198"/>
              <w:spacing w:after="0" w:line="108" w:lineRule="exact"/>
              <w:rPr>
                <w:sz w:val="20"/>
                <w:szCs w:val="20"/>
                <w:color w:val="auto"/>
              </w:rPr>
            </w:pPr>
            <w:r>
              <w:rPr>
                <w:rFonts w:ascii="Times New Roman" w:cs="Times New Roman" w:eastAsia="Times New Roman" w:hAnsi="Times New Roman"/>
                <w:sz w:val="12"/>
                <w:szCs w:val="12"/>
                <w:color w:val="auto"/>
              </w:rPr>
              <w:t>E + 5.50%</w:t>
            </w:r>
          </w:p>
        </w:tc>
        <w:tc>
          <w:tcPr>
            <w:tcW w:w="1460" w:type="dxa"/>
            <w:vAlign w:val="bottom"/>
          </w:tcPr>
          <w:p>
            <w:pPr>
              <w:jc w:val="right"/>
              <w:ind w:right="78"/>
              <w:spacing w:after="0" w:line="108" w:lineRule="exact"/>
              <w:rPr>
                <w:sz w:val="20"/>
                <w:szCs w:val="20"/>
                <w:color w:val="auto"/>
              </w:rPr>
            </w:pPr>
            <w:r>
              <w:rPr>
                <w:rFonts w:ascii="Times New Roman" w:cs="Times New Roman" w:eastAsia="Times New Roman" w:hAnsi="Times New Roman"/>
                <w:sz w:val="12"/>
                <w:szCs w:val="12"/>
                <w:color w:val="auto"/>
              </w:rPr>
              <w:t>7.57%</w:t>
            </w:r>
          </w:p>
        </w:tc>
        <w:tc>
          <w:tcPr>
            <w:tcW w:w="88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auto"/>
              </w:rPr>
              <w:t>13,699</w:t>
            </w:r>
          </w:p>
        </w:tc>
        <w:tc>
          <w:tcPr>
            <w:tcW w:w="122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2"/>
                <w:szCs w:val="12"/>
                <w:color w:val="auto"/>
              </w:rPr>
              <w:t>15,097</w:t>
            </w:r>
          </w:p>
        </w:tc>
        <w:tc>
          <w:tcPr>
            <w:tcW w:w="1180" w:type="dxa"/>
            <w:vAlign w:val="bottom"/>
            <w:gridSpan w:val="3"/>
          </w:tcPr>
          <w:p>
            <w:pPr>
              <w:jc w:val="right"/>
              <w:ind w:right="20"/>
              <w:spacing w:after="0" w:line="108" w:lineRule="exact"/>
              <w:rPr>
                <w:sz w:val="20"/>
                <w:szCs w:val="20"/>
                <w:color w:val="auto"/>
              </w:rPr>
            </w:pPr>
            <w:r>
              <w:rPr>
                <w:rFonts w:ascii="Times New Roman" w:cs="Times New Roman" w:eastAsia="Times New Roman" w:hAnsi="Times New Roman"/>
                <w:sz w:val="12"/>
                <w:szCs w:val="12"/>
                <w:color w:val="auto"/>
              </w:rPr>
              <w:t>0.4%</w:t>
            </w:r>
          </w:p>
        </w:tc>
        <w:tc>
          <w:tcPr>
            <w:tcW w:w="0" w:type="dxa"/>
            <w:vAlign w:val="bottom"/>
          </w:tcPr>
          <w:p>
            <w:pPr>
              <w:spacing w:after="0"/>
              <w:rPr>
                <w:sz w:val="1"/>
                <w:szCs w:val="1"/>
                <w:color w:val="auto"/>
              </w:rPr>
            </w:pPr>
          </w:p>
        </w:tc>
      </w:tr>
      <w:tr>
        <w:trPr>
          <w:trHeight w:val="107"/>
        </w:trPr>
        <w:tc>
          <w:tcPr>
            <w:tcW w:w="1860" w:type="dxa"/>
            <w:vAlign w:val="bottom"/>
          </w:tcPr>
          <w:p>
            <w:pPr>
              <w:spacing w:after="0"/>
              <w:rPr>
                <w:sz w:val="20"/>
                <w:szCs w:val="20"/>
                <w:color w:val="auto"/>
              </w:rPr>
            </w:pPr>
            <w:r>
              <w:rPr>
                <w:rFonts w:ascii="Times New Roman" w:cs="Times New Roman" w:eastAsia="Times New Roman" w:hAnsi="Times New Roman"/>
                <w:sz w:val="8"/>
                <w:szCs w:val="8"/>
                <w:color w:val="auto"/>
              </w:rPr>
              <w:t>(4)</w:t>
            </w:r>
          </w:p>
        </w:tc>
        <w:tc>
          <w:tcPr>
            <w:tcW w:w="26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(EUR 12,855)</w:t>
            </w: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1860" w:type="dxa"/>
            <w:vAlign w:val="bottom"/>
          </w:tcPr>
          <w:p>
            <w:pPr>
              <w:spacing w:after="0"/>
              <w:rPr>
                <w:sz w:val="4"/>
                <w:szCs w:val="4"/>
                <w:color w:val="auto"/>
              </w:rPr>
            </w:pPr>
          </w:p>
        </w:tc>
        <w:tc>
          <w:tcPr>
            <w:tcW w:w="2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7"/>
        </w:trPr>
        <w:tc>
          <w:tcPr>
            <w:tcW w:w="1860" w:type="dxa"/>
            <w:vAlign w:val="bottom"/>
            <w:shd w:val="clear" w:color="auto" w:fill="CFF0FC"/>
          </w:tcPr>
          <w:p>
            <w:pPr>
              <w:spacing w:after="0"/>
              <w:rPr>
                <w:sz w:val="10"/>
                <w:szCs w:val="10"/>
                <w:color w:val="auto"/>
              </w:rPr>
            </w:pPr>
          </w:p>
        </w:tc>
        <w:tc>
          <w:tcPr>
            <w:tcW w:w="2640" w:type="dxa"/>
            <w:vAlign w:val="bottom"/>
            <w:shd w:val="clear" w:color="auto" w:fill="CFF0FC"/>
          </w:tcPr>
          <w:p>
            <w:pPr>
              <w:ind w:left="80"/>
              <w:spacing w:after="0" w:line="117" w:lineRule="exact"/>
              <w:rPr>
                <w:sz w:val="20"/>
                <w:szCs w:val="20"/>
                <w:color w:val="auto"/>
              </w:rPr>
            </w:pPr>
            <w:r>
              <w:rPr>
                <w:rFonts w:ascii="Times New Roman" w:cs="Times New Roman" w:eastAsia="Times New Roman" w:hAnsi="Times New Roman"/>
                <w:sz w:val="13"/>
                <w:szCs w:val="13"/>
                <w:color w:val="auto"/>
              </w:rPr>
              <w:t>First-lien loan (EUR 4,392 par, due 7/2031)</w:t>
            </w:r>
          </w:p>
        </w:tc>
        <w:tc>
          <w:tcPr>
            <w:tcW w:w="880" w:type="dxa"/>
            <w:vAlign w:val="bottom"/>
            <w:shd w:val="clear" w:color="auto" w:fill="CFF0FC"/>
          </w:tcPr>
          <w:p>
            <w:pPr>
              <w:jc w:val="right"/>
              <w:ind w:right="18"/>
              <w:spacing w:after="0" w:line="117" w:lineRule="exact"/>
              <w:rPr>
                <w:sz w:val="20"/>
                <w:szCs w:val="20"/>
                <w:color w:val="auto"/>
              </w:rPr>
            </w:pPr>
            <w:r>
              <w:rPr>
                <w:rFonts w:ascii="Times New Roman" w:cs="Times New Roman" w:eastAsia="Times New Roman" w:hAnsi="Times New Roman"/>
                <w:sz w:val="13"/>
                <w:szCs w:val="13"/>
                <w:color w:val="auto"/>
              </w:rPr>
              <w:t>7/11/2024</w:t>
            </w:r>
          </w:p>
        </w:tc>
        <w:tc>
          <w:tcPr>
            <w:tcW w:w="1120" w:type="dxa"/>
            <w:vAlign w:val="bottom"/>
            <w:shd w:val="clear" w:color="auto" w:fill="CFF0FC"/>
          </w:tcPr>
          <w:p>
            <w:pPr>
              <w:jc w:val="right"/>
              <w:ind w:right="198"/>
              <w:spacing w:after="0" w:line="117" w:lineRule="exact"/>
              <w:rPr>
                <w:sz w:val="20"/>
                <w:szCs w:val="20"/>
                <w:color w:val="auto"/>
              </w:rPr>
            </w:pPr>
            <w:r>
              <w:rPr>
                <w:rFonts w:ascii="Times New Roman" w:cs="Times New Roman" w:eastAsia="Times New Roman" w:hAnsi="Times New Roman"/>
                <w:sz w:val="13"/>
                <w:szCs w:val="13"/>
                <w:color w:val="auto"/>
              </w:rPr>
              <w:t>E + 4.75%</w:t>
            </w:r>
          </w:p>
        </w:tc>
        <w:tc>
          <w:tcPr>
            <w:tcW w:w="1460" w:type="dxa"/>
            <w:vAlign w:val="bottom"/>
            <w:shd w:val="clear" w:color="auto" w:fill="CFF0FC"/>
          </w:tcPr>
          <w:p>
            <w:pPr>
              <w:jc w:val="right"/>
              <w:ind w:right="78"/>
              <w:spacing w:after="0" w:line="117" w:lineRule="exact"/>
              <w:rPr>
                <w:sz w:val="20"/>
                <w:szCs w:val="20"/>
                <w:color w:val="auto"/>
              </w:rPr>
            </w:pPr>
            <w:r>
              <w:rPr>
                <w:rFonts w:ascii="Times New Roman" w:cs="Times New Roman" w:eastAsia="Times New Roman" w:hAnsi="Times New Roman"/>
                <w:sz w:val="13"/>
                <w:szCs w:val="13"/>
                <w:color w:val="auto"/>
              </w:rPr>
              <w:t>6.82%</w:t>
            </w:r>
          </w:p>
        </w:tc>
        <w:tc>
          <w:tcPr>
            <w:tcW w:w="88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4,684</w:t>
            </w:r>
          </w:p>
        </w:tc>
        <w:tc>
          <w:tcPr>
            <w:tcW w:w="122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5,158</w:t>
            </w:r>
          </w:p>
        </w:tc>
        <w:tc>
          <w:tcPr>
            <w:tcW w:w="1180" w:type="dxa"/>
            <w:vAlign w:val="bottom"/>
            <w:gridSpan w:val="3"/>
            <w:shd w:val="clear" w:color="auto" w:fill="CFF0FC"/>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53"/>
        </w:trPr>
        <w:tc>
          <w:tcPr>
            <w:tcW w:w="1860" w:type="dxa"/>
            <w:vAlign w:val="bottom"/>
            <w:tcBorders>
              <w:bottom w:val="single" w:sz="8" w:color="CFF0FC"/>
            </w:tcBorders>
            <w:shd w:val="clear" w:color="auto" w:fill="CFF0FC"/>
          </w:tcPr>
          <w:p>
            <w:pPr>
              <w:spacing w:after="0"/>
              <w:rPr>
                <w:sz w:val="13"/>
                <w:szCs w:val="13"/>
                <w:color w:val="auto"/>
              </w:rPr>
            </w:pPr>
          </w:p>
        </w:tc>
        <w:tc>
          <w:tcPr>
            <w:tcW w:w="2640" w:type="dxa"/>
            <w:vAlign w:val="bottom"/>
            <w:tcBorders>
              <w:bottom w:val="single" w:sz="8" w:color="CFF0FC"/>
            </w:tcBorders>
            <w:shd w:val="clear" w:color="auto" w:fill="CFF0FC"/>
          </w:tcPr>
          <w:p>
            <w:pPr>
              <w:spacing w:after="0"/>
              <w:rPr>
                <w:sz w:val="13"/>
                <w:szCs w:val="13"/>
                <w:color w:val="auto"/>
              </w:rPr>
            </w:pPr>
          </w:p>
        </w:tc>
        <w:tc>
          <w:tcPr>
            <w:tcW w:w="880" w:type="dxa"/>
            <w:vAlign w:val="bottom"/>
            <w:tcBorders>
              <w:bottom w:val="single" w:sz="8" w:color="CFF0FC"/>
            </w:tcBorders>
            <w:shd w:val="clear" w:color="auto" w:fill="CFF0FC"/>
          </w:tcPr>
          <w:p>
            <w:pPr>
              <w:spacing w:after="0"/>
              <w:rPr>
                <w:sz w:val="13"/>
                <w:szCs w:val="13"/>
                <w:color w:val="auto"/>
              </w:rPr>
            </w:pPr>
          </w:p>
        </w:tc>
        <w:tc>
          <w:tcPr>
            <w:tcW w:w="1120" w:type="dxa"/>
            <w:vAlign w:val="bottom"/>
            <w:tcBorders>
              <w:bottom w:val="single" w:sz="8" w:color="CFF0FC"/>
            </w:tcBorders>
            <w:shd w:val="clear" w:color="auto" w:fill="CFF0FC"/>
          </w:tcPr>
          <w:p>
            <w:pPr>
              <w:spacing w:after="0"/>
              <w:rPr>
                <w:sz w:val="13"/>
                <w:szCs w:val="13"/>
                <w:color w:val="auto"/>
              </w:rPr>
            </w:pPr>
          </w:p>
        </w:tc>
        <w:tc>
          <w:tcPr>
            <w:tcW w:w="1460" w:type="dxa"/>
            <w:vAlign w:val="bottom"/>
            <w:tcBorders>
              <w:bottom w:val="single" w:sz="8" w:color="CFF0FC"/>
            </w:tcBorders>
            <w:shd w:val="clear" w:color="auto" w:fill="CFF0FC"/>
          </w:tcPr>
          <w:p>
            <w:pPr>
              <w:spacing w:after="0"/>
              <w:rPr>
                <w:sz w:val="13"/>
                <w:szCs w:val="13"/>
                <w:color w:val="auto"/>
              </w:rPr>
            </w:pPr>
          </w:p>
        </w:tc>
        <w:tc>
          <w:tcPr>
            <w:tcW w:w="880" w:type="dxa"/>
            <w:vAlign w:val="bottom"/>
            <w:tcBorders>
              <w:bottom w:val="single" w:sz="8" w:color="auto"/>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(EUR 4,392)</w:t>
            </w:r>
          </w:p>
        </w:tc>
        <w:tc>
          <w:tcPr>
            <w:tcW w:w="20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auto"/>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86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196,523</w:t>
            </w:r>
          </w:p>
        </w:tc>
        <w:tc>
          <w:tcPr>
            <w:tcW w:w="122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197,912</w:t>
            </w:r>
          </w:p>
        </w:tc>
        <w:tc>
          <w:tcPr>
            <w:tcW w:w="1180" w:type="dxa"/>
            <w:vAlign w:val="bottom"/>
            <w:gridSpan w:val="3"/>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4.7%</w:t>
            </w:r>
          </w:p>
        </w:tc>
        <w:tc>
          <w:tcPr>
            <w:tcW w:w="0" w:type="dxa"/>
            <w:vAlign w:val="bottom"/>
          </w:tcPr>
          <w:p>
            <w:pPr>
              <w:spacing w:after="0"/>
              <w:rPr>
                <w:sz w:val="1"/>
                <w:szCs w:val="1"/>
                <w:color w:val="auto"/>
              </w:rPr>
            </w:pPr>
          </w:p>
        </w:tc>
      </w:tr>
      <w:tr>
        <w:trPr>
          <w:trHeight w:val="128"/>
        </w:trPr>
        <w:tc>
          <w:tcPr>
            <w:tcW w:w="186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Oil, Gas and Consumable Fuels</w:t>
            </w:r>
          </w:p>
        </w:tc>
        <w:tc>
          <w:tcPr>
            <w:tcW w:w="26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460" w:type="dxa"/>
            <w:vAlign w:val="bottom"/>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6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 xml:space="preserve">Laramie Energy, LLC </w:t>
            </w:r>
            <w:r>
              <w:rPr>
                <w:rFonts w:ascii="Times New Roman" w:cs="Times New Roman" w:eastAsia="Times New Roman" w:hAnsi="Times New Roman"/>
                <w:sz w:val="15"/>
                <w:szCs w:val="15"/>
                <w:color w:val="auto"/>
                <w:vertAlign w:val="superscript"/>
              </w:rPr>
              <w:t>(3)</w:t>
            </w:r>
          </w:p>
        </w:tc>
        <w:tc>
          <w:tcPr>
            <w:tcW w:w="264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First-lien loan ($97,561 par, due 2/2027)</w:t>
            </w:r>
          </w:p>
        </w:tc>
        <w:tc>
          <w:tcPr>
            <w:tcW w:w="880" w:type="dxa"/>
            <w:vAlign w:val="bottom"/>
          </w:tcPr>
          <w:p>
            <w:pPr>
              <w:jc w:val="right"/>
              <w:ind w:right="18"/>
              <w:spacing w:after="0" w:line="135" w:lineRule="exact"/>
              <w:rPr>
                <w:sz w:val="20"/>
                <w:szCs w:val="20"/>
                <w:color w:val="auto"/>
              </w:rPr>
            </w:pPr>
            <w:r>
              <w:rPr>
                <w:rFonts w:ascii="Times New Roman" w:cs="Times New Roman" w:eastAsia="Times New Roman" w:hAnsi="Times New Roman"/>
                <w:sz w:val="13"/>
                <w:szCs w:val="13"/>
                <w:color w:val="auto"/>
              </w:rPr>
              <w:t>2/21/2023</w:t>
            </w:r>
          </w:p>
        </w:tc>
        <w:tc>
          <w:tcPr>
            <w:tcW w:w="1120" w:type="dxa"/>
            <w:vAlign w:val="bottom"/>
          </w:tcPr>
          <w:p>
            <w:pPr>
              <w:jc w:val="right"/>
              <w:ind w:right="198"/>
              <w:spacing w:after="0" w:line="135" w:lineRule="exact"/>
              <w:rPr>
                <w:sz w:val="20"/>
                <w:szCs w:val="20"/>
                <w:color w:val="auto"/>
              </w:rPr>
            </w:pPr>
            <w:r>
              <w:rPr>
                <w:rFonts w:ascii="Times New Roman" w:cs="Times New Roman" w:eastAsia="Times New Roman" w:hAnsi="Times New Roman"/>
                <w:sz w:val="13"/>
                <w:szCs w:val="13"/>
                <w:color w:val="auto"/>
              </w:rPr>
              <w:t>SOFR + 7.10%</w:t>
            </w:r>
          </w:p>
        </w:tc>
        <w:tc>
          <w:tcPr>
            <w:tcW w:w="1460" w:type="dxa"/>
            <w:vAlign w:val="bottom"/>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10.82%</w:t>
            </w: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97,007</w:t>
            </w:r>
          </w:p>
        </w:tc>
        <w:tc>
          <w:tcPr>
            <w:tcW w:w="12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98,537</w:t>
            </w:r>
          </w:p>
        </w:tc>
        <w:tc>
          <w:tcPr>
            <w:tcW w:w="1180" w:type="dxa"/>
            <w:vAlign w:val="bottom"/>
            <w:gridSpan w:val="3"/>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2.4%</w:t>
            </w:r>
          </w:p>
        </w:tc>
        <w:tc>
          <w:tcPr>
            <w:tcW w:w="0" w:type="dxa"/>
            <w:vAlign w:val="bottom"/>
          </w:tcPr>
          <w:p>
            <w:pPr>
              <w:spacing w:after="0"/>
              <w:rPr>
                <w:sz w:val="1"/>
                <w:szCs w:val="1"/>
                <w:color w:val="auto"/>
              </w:rPr>
            </w:pPr>
          </w:p>
        </w:tc>
      </w:tr>
      <w:tr>
        <w:trPr>
          <w:trHeight w:val="135"/>
        </w:trPr>
        <w:tc>
          <w:tcPr>
            <w:tcW w:w="1860" w:type="dxa"/>
            <w:vAlign w:val="bottom"/>
            <w:shd w:val="clear" w:color="auto" w:fill="CFF0FC"/>
          </w:tcPr>
          <w:p>
            <w:pPr>
              <w:spacing w:after="0"/>
              <w:rPr>
                <w:sz w:val="11"/>
                <w:szCs w:val="11"/>
                <w:color w:val="auto"/>
              </w:rPr>
            </w:pPr>
          </w:p>
        </w:tc>
        <w:tc>
          <w:tcPr>
            <w:tcW w:w="26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46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6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2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86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0"/>
                <w:szCs w:val="10"/>
                <w:color w:val="auto"/>
              </w:rPr>
              <w:t xml:space="preserve">Boréal Bidco </w:t>
            </w:r>
            <w:r>
              <w:rPr>
                <w:rFonts w:ascii="Times New Roman" w:cs="Times New Roman" w:eastAsia="Times New Roman" w:hAnsi="Times New Roman"/>
                <w:sz w:val="13"/>
                <w:szCs w:val="13"/>
                <w:color w:val="auto"/>
                <w:vertAlign w:val="superscript"/>
              </w:rPr>
              <w:t>(3)(4)</w:t>
            </w:r>
          </w:p>
        </w:tc>
        <w:tc>
          <w:tcPr>
            <w:tcW w:w="2640" w:type="dxa"/>
            <w:vAlign w:val="bottom"/>
            <w:shd w:val="clear" w:color="auto" w:fill="CFF0FC"/>
          </w:tcPr>
          <w:p>
            <w:pPr>
              <w:ind w:left="80"/>
              <w:spacing w:after="0" w:line="117" w:lineRule="exact"/>
              <w:rPr>
                <w:sz w:val="20"/>
                <w:szCs w:val="20"/>
                <w:color w:val="auto"/>
              </w:rPr>
            </w:pPr>
            <w:r>
              <w:rPr>
                <w:rFonts w:ascii="Times New Roman" w:cs="Times New Roman" w:eastAsia="Times New Roman" w:hAnsi="Times New Roman"/>
                <w:sz w:val="13"/>
                <w:szCs w:val="13"/>
                <w:color w:val="auto"/>
              </w:rPr>
              <w:t>First-lien note (EUR 130,813 par, due 3/2032)</w:t>
            </w:r>
          </w:p>
        </w:tc>
        <w:tc>
          <w:tcPr>
            <w:tcW w:w="880" w:type="dxa"/>
            <w:vAlign w:val="bottom"/>
            <w:shd w:val="clear" w:color="auto" w:fill="CFF0FC"/>
          </w:tcPr>
          <w:p>
            <w:pPr>
              <w:jc w:val="right"/>
              <w:ind w:right="18"/>
              <w:spacing w:after="0" w:line="117" w:lineRule="exact"/>
              <w:rPr>
                <w:sz w:val="20"/>
                <w:szCs w:val="20"/>
                <w:color w:val="auto"/>
              </w:rPr>
            </w:pPr>
            <w:r>
              <w:rPr>
                <w:rFonts w:ascii="Times New Roman" w:cs="Times New Roman" w:eastAsia="Times New Roman" w:hAnsi="Times New Roman"/>
                <w:sz w:val="13"/>
                <w:szCs w:val="13"/>
                <w:color w:val="auto"/>
              </w:rPr>
              <w:t>3/24/2025</w:t>
            </w:r>
          </w:p>
        </w:tc>
        <w:tc>
          <w:tcPr>
            <w:tcW w:w="1120" w:type="dxa"/>
            <w:vAlign w:val="bottom"/>
            <w:shd w:val="clear" w:color="auto" w:fill="CFF0FC"/>
          </w:tcPr>
          <w:p>
            <w:pPr>
              <w:jc w:val="right"/>
              <w:ind w:right="198"/>
              <w:spacing w:after="0" w:line="117" w:lineRule="exact"/>
              <w:rPr>
                <w:sz w:val="20"/>
                <w:szCs w:val="20"/>
                <w:color w:val="auto"/>
              </w:rPr>
            </w:pPr>
            <w:r>
              <w:rPr>
                <w:rFonts w:ascii="Times New Roman" w:cs="Times New Roman" w:eastAsia="Times New Roman" w:hAnsi="Times New Roman"/>
                <w:sz w:val="13"/>
                <w:szCs w:val="13"/>
                <w:color w:val="auto"/>
              </w:rPr>
              <w:t>E + 7.25%</w:t>
            </w:r>
          </w:p>
        </w:tc>
        <w:tc>
          <w:tcPr>
            <w:tcW w:w="1460" w:type="dxa"/>
            <w:vAlign w:val="bottom"/>
            <w:shd w:val="clear" w:color="auto" w:fill="CFF0FC"/>
          </w:tcPr>
          <w:p>
            <w:pPr>
              <w:jc w:val="right"/>
              <w:ind w:right="218"/>
              <w:spacing w:after="0" w:line="117" w:lineRule="exact"/>
              <w:rPr>
                <w:sz w:val="20"/>
                <w:szCs w:val="20"/>
                <w:color w:val="auto"/>
              </w:rPr>
            </w:pPr>
            <w:r>
              <w:rPr>
                <w:rFonts w:ascii="Times New Roman" w:cs="Times New Roman" w:eastAsia="Times New Roman" w:hAnsi="Times New Roman"/>
                <w:sz w:val="13"/>
                <w:szCs w:val="13"/>
                <w:color w:val="auto"/>
              </w:rPr>
              <w:t>9.27% (incl. 5.75%</w:t>
            </w:r>
          </w:p>
        </w:tc>
        <w:tc>
          <w:tcPr>
            <w:tcW w:w="88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139,015</w:t>
            </w:r>
          </w:p>
        </w:tc>
        <w:tc>
          <w:tcPr>
            <w:tcW w:w="122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152,482</w:t>
            </w:r>
          </w:p>
        </w:tc>
        <w:tc>
          <w:tcPr>
            <w:tcW w:w="1180" w:type="dxa"/>
            <w:vAlign w:val="bottom"/>
            <w:gridSpan w:val="3"/>
            <w:shd w:val="clear" w:color="auto" w:fill="CFF0FC"/>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3.7%</w:t>
            </w:r>
          </w:p>
        </w:tc>
        <w:tc>
          <w:tcPr>
            <w:tcW w:w="0" w:type="dxa"/>
            <w:vAlign w:val="bottom"/>
          </w:tcPr>
          <w:p>
            <w:pPr>
              <w:spacing w:after="0"/>
              <w:rPr>
                <w:sz w:val="1"/>
                <w:szCs w:val="1"/>
                <w:color w:val="auto"/>
              </w:rPr>
            </w:pPr>
          </w:p>
        </w:tc>
      </w:tr>
      <w:tr>
        <w:trPr>
          <w:trHeight w:val="153"/>
        </w:trPr>
        <w:tc>
          <w:tcPr>
            <w:tcW w:w="1860" w:type="dxa"/>
            <w:vAlign w:val="bottom"/>
            <w:shd w:val="clear" w:color="auto" w:fill="CFF0FC"/>
          </w:tcPr>
          <w:p>
            <w:pPr>
              <w:spacing w:after="0"/>
              <w:rPr>
                <w:sz w:val="13"/>
                <w:szCs w:val="13"/>
                <w:color w:val="auto"/>
              </w:rPr>
            </w:pPr>
          </w:p>
        </w:tc>
        <w:tc>
          <w:tcPr>
            <w:tcW w:w="26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46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13"/>
                <w:szCs w:val="13"/>
                <w:color w:val="auto"/>
              </w:rPr>
              <w:t>PIK)</w:t>
            </w: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(EUR 129,832)</w:t>
            </w:r>
          </w:p>
        </w:tc>
        <w:tc>
          <w:tcPr>
            <w:tcW w:w="2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860" w:type="dxa"/>
            <w:vAlign w:val="bottom"/>
          </w:tcPr>
          <w:p>
            <w:pPr>
              <w:spacing w:after="0" w:line="117" w:lineRule="exact"/>
              <w:rPr>
                <w:sz w:val="20"/>
                <w:szCs w:val="20"/>
                <w:color w:val="auto"/>
              </w:rPr>
            </w:pPr>
            <w:r>
              <w:rPr>
                <w:rFonts w:ascii="Times New Roman" w:cs="Times New Roman" w:eastAsia="Times New Roman" w:hAnsi="Times New Roman"/>
                <w:sz w:val="10"/>
                <w:szCs w:val="10"/>
                <w:color w:val="auto"/>
              </w:rPr>
              <w:t xml:space="preserve">Cast &amp; Crew, LLC </w:t>
            </w:r>
            <w:r>
              <w:rPr>
                <w:rFonts w:ascii="Times New Roman" w:cs="Times New Roman" w:eastAsia="Times New Roman" w:hAnsi="Times New Roman"/>
                <w:sz w:val="13"/>
                <w:szCs w:val="13"/>
                <w:color w:val="auto"/>
                <w:vertAlign w:val="superscript"/>
              </w:rPr>
              <w:t>(3)</w:t>
            </w:r>
          </w:p>
        </w:tc>
        <w:tc>
          <w:tcPr>
            <w:tcW w:w="2640" w:type="dxa"/>
            <w:vAlign w:val="bottom"/>
          </w:tcPr>
          <w:p>
            <w:pPr>
              <w:ind w:left="80"/>
              <w:spacing w:after="0" w:line="117" w:lineRule="exact"/>
              <w:rPr>
                <w:sz w:val="20"/>
                <w:szCs w:val="20"/>
                <w:color w:val="auto"/>
              </w:rPr>
            </w:pPr>
            <w:r>
              <w:rPr>
                <w:rFonts w:ascii="Times New Roman" w:cs="Times New Roman" w:eastAsia="Times New Roman" w:hAnsi="Times New Roman"/>
                <w:sz w:val="13"/>
                <w:szCs w:val="13"/>
                <w:color w:val="auto"/>
              </w:rPr>
              <w:t>First-lien loan (CAD 142,016 par, due 1/2029)</w:t>
            </w:r>
          </w:p>
        </w:tc>
        <w:tc>
          <w:tcPr>
            <w:tcW w:w="880" w:type="dxa"/>
            <w:vAlign w:val="bottom"/>
          </w:tcPr>
          <w:p>
            <w:pPr>
              <w:jc w:val="right"/>
              <w:ind w:right="18"/>
              <w:spacing w:after="0" w:line="117" w:lineRule="exact"/>
              <w:rPr>
                <w:sz w:val="20"/>
                <w:szCs w:val="20"/>
                <w:color w:val="auto"/>
              </w:rPr>
            </w:pPr>
            <w:r>
              <w:rPr>
                <w:rFonts w:ascii="Times New Roman" w:cs="Times New Roman" w:eastAsia="Times New Roman" w:hAnsi="Times New Roman"/>
                <w:sz w:val="13"/>
                <w:szCs w:val="13"/>
                <w:color w:val="auto"/>
              </w:rPr>
              <w:t>2/27/2025</w:t>
            </w:r>
          </w:p>
        </w:tc>
        <w:tc>
          <w:tcPr>
            <w:tcW w:w="1120" w:type="dxa"/>
            <w:vAlign w:val="bottom"/>
          </w:tcPr>
          <w:p>
            <w:pPr>
              <w:jc w:val="right"/>
              <w:ind w:right="198"/>
              <w:spacing w:after="0" w:line="117" w:lineRule="exact"/>
              <w:rPr>
                <w:sz w:val="20"/>
                <w:szCs w:val="20"/>
                <w:color w:val="auto"/>
              </w:rPr>
            </w:pPr>
            <w:r>
              <w:rPr>
                <w:rFonts w:ascii="Times New Roman" w:cs="Times New Roman" w:eastAsia="Times New Roman" w:hAnsi="Times New Roman"/>
                <w:sz w:val="13"/>
                <w:szCs w:val="13"/>
                <w:color w:val="auto"/>
              </w:rPr>
              <w:t>C + 5.50%</w:t>
            </w:r>
          </w:p>
        </w:tc>
        <w:tc>
          <w:tcPr>
            <w:tcW w:w="1460" w:type="dxa"/>
            <w:vAlign w:val="bottom"/>
          </w:tcPr>
          <w:p>
            <w:pPr>
              <w:jc w:val="right"/>
              <w:ind w:right="78"/>
              <w:spacing w:after="0" w:line="117" w:lineRule="exact"/>
              <w:rPr>
                <w:sz w:val="20"/>
                <w:szCs w:val="20"/>
                <w:color w:val="auto"/>
              </w:rPr>
            </w:pPr>
            <w:r>
              <w:rPr>
                <w:rFonts w:ascii="Times New Roman" w:cs="Times New Roman" w:eastAsia="Times New Roman" w:hAnsi="Times New Roman"/>
                <w:sz w:val="13"/>
                <w:szCs w:val="13"/>
                <w:color w:val="auto"/>
              </w:rPr>
              <w:t>7.77%</w:t>
            </w:r>
          </w:p>
        </w:tc>
        <w:tc>
          <w:tcPr>
            <w:tcW w:w="88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96,076</w:t>
            </w:r>
          </w:p>
        </w:tc>
        <w:tc>
          <w:tcPr>
            <w:tcW w:w="12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60,867</w:t>
            </w:r>
          </w:p>
        </w:tc>
        <w:tc>
          <w:tcPr>
            <w:tcW w:w="118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153"/>
        </w:trPr>
        <w:tc>
          <w:tcPr>
            <w:tcW w:w="186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(CAD 83,434)</w:t>
            </w: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86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0"/>
                <w:szCs w:val="10"/>
                <w:color w:val="auto"/>
              </w:rPr>
              <w:t xml:space="preserve">Omnigo Software, LLC </w:t>
            </w:r>
            <w:r>
              <w:rPr>
                <w:rFonts w:ascii="Times New Roman" w:cs="Times New Roman" w:eastAsia="Times New Roman" w:hAnsi="Times New Roman"/>
                <w:sz w:val="13"/>
                <w:szCs w:val="13"/>
                <w:color w:val="auto"/>
                <w:vertAlign w:val="superscript"/>
              </w:rPr>
              <w:t>(3)</w:t>
            </w:r>
          </w:p>
        </w:tc>
        <w:tc>
          <w:tcPr>
            <w:tcW w:w="2640" w:type="dxa"/>
            <w:vAlign w:val="bottom"/>
            <w:shd w:val="clear" w:color="auto" w:fill="CFF0FC"/>
          </w:tcPr>
          <w:p>
            <w:pPr>
              <w:ind w:left="80"/>
              <w:spacing w:after="0" w:line="117" w:lineRule="exact"/>
              <w:rPr>
                <w:sz w:val="20"/>
                <w:szCs w:val="20"/>
                <w:color w:val="auto"/>
              </w:rPr>
            </w:pPr>
            <w:r>
              <w:rPr>
                <w:rFonts w:ascii="Times New Roman" w:cs="Times New Roman" w:eastAsia="Times New Roman" w:hAnsi="Times New Roman"/>
                <w:sz w:val="13"/>
                <w:szCs w:val="13"/>
                <w:color w:val="auto"/>
              </w:rPr>
              <w:t>First-lien loan ($70,875 par, due 12/2030)</w:t>
            </w:r>
          </w:p>
        </w:tc>
        <w:tc>
          <w:tcPr>
            <w:tcW w:w="880" w:type="dxa"/>
            <w:vAlign w:val="bottom"/>
            <w:shd w:val="clear" w:color="auto" w:fill="CFF0FC"/>
          </w:tcPr>
          <w:p>
            <w:pPr>
              <w:jc w:val="right"/>
              <w:ind w:right="18"/>
              <w:spacing w:after="0" w:line="117" w:lineRule="exact"/>
              <w:rPr>
                <w:sz w:val="20"/>
                <w:szCs w:val="20"/>
                <w:color w:val="auto"/>
              </w:rPr>
            </w:pPr>
            <w:r>
              <w:rPr>
                <w:rFonts w:ascii="Times New Roman" w:cs="Times New Roman" w:eastAsia="Times New Roman" w:hAnsi="Times New Roman"/>
                <w:sz w:val="13"/>
                <w:szCs w:val="13"/>
                <w:color w:val="auto"/>
              </w:rPr>
              <w:t>12/19/2025</w:t>
            </w:r>
          </w:p>
        </w:tc>
        <w:tc>
          <w:tcPr>
            <w:tcW w:w="1120" w:type="dxa"/>
            <w:vAlign w:val="bottom"/>
            <w:shd w:val="clear" w:color="auto" w:fill="CFF0FC"/>
          </w:tcPr>
          <w:p>
            <w:pPr>
              <w:jc w:val="right"/>
              <w:ind w:right="218"/>
              <w:spacing w:after="0" w:line="117" w:lineRule="exact"/>
              <w:rPr>
                <w:sz w:val="20"/>
                <w:szCs w:val="20"/>
                <w:color w:val="auto"/>
              </w:rPr>
            </w:pPr>
            <w:r>
              <w:rPr>
                <w:rFonts w:ascii="Times New Roman" w:cs="Times New Roman" w:eastAsia="Times New Roman" w:hAnsi="Times New Roman"/>
                <w:sz w:val="13"/>
                <w:szCs w:val="13"/>
                <w:color w:val="auto"/>
              </w:rPr>
              <w:t>SOFR +</w:t>
            </w:r>
          </w:p>
        </w:tc>
        <w:tc>
          <w:tcPr>
            <w:tcW w:w="1460" w:type="dxa"/>
            <w:vAlign w:val="bottom"/>
            <w:shd w:val="clear" w:color="auto" w:fill="CFF0FC"/>
          </w:tcPr>
          <w:p>
            <w:pPr>
              <w:jc w:val="right"/>
              <w:ind w:right="78"/>
              <w:spacing w:after="0" w:line="117" w:lineRule="exact"/>
              <w:rPr>
                <w:sz w:val="20"/>
                <w:szCs w:val="20"/>
                <w:color w:val="auto"/>
              </w:rPr>
            </w:pPr>
            <w:r>
              <w:rPr>
                <w:rFonts w:ascii="Times New Roman" w:cs="Times New Roman" w:eastAsia="Times New Roman" w:hAnsi="Times New Roman"/>
                <w:sz w:val="13"/>
                <w:szCs w:val="13"/>
                <w:color w:val="auto"/>
              </w:rPr>
              <w:t>8.70%</w:t>
            </w:r>
          </w:p>
        </w:tc>
        <w:tc>
          <w:tcPr>
            <w:tcW w:w="88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70,484</w:t>
            </w:r>
          </w:p>
        </w:tc>
        <w:tc>
          <w:tcPr>
            <w:tcW w:w="122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70,470</w:t>
            </w:r>
          </w:p>
        </w:tc>
        <w:tc>
          <w:tcPr>
            <w:tcW w:w="1180" w:type="dxa"/>
            <w:vAlign w:val="bottom"/>
            <w:gridSpan w:val="3"/>
            <w:shd w:val="clear" w:color="auto" w:fill="CFF0FC"/>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1.7%</w:t>
            </w:r>
          </w:p>
        </w:tc>
        <w:tc>
          <w:tcPr>
            <w:tcW w:w="0" w:type="dxa"/>
            <w:vAlign w:val="bottom"/>
          </w:tcPr>
          <w:p>
            <w:pPr>
              <w:spacing w:after="0"/>
              <w:rPr>
                <w:sz w:val="1"/>
                <w:szCs w:val="1"/>
                <w:color w:val="auto"/>
              </w:rPr>
            </w:pPr>
          </w:p>
        </w:tc>
      </w:tr>
      <w:tr>
        <w:trPr>
          <w:trHeight w:val="153"/>
        </w:trPr>
        <w:tc>
          <w:tcPr>
            <w:tcW w:w="1860" w:type="dxa"/>
            <w:vAlign w:val="bottom"/>
            <w:shd w:val="clear" w:color="auto" w:fill="CFF0FC"/>
          </w:tcPr>
          <w:p>
            <w:pPr>
              <w:spacing w:after="0"/>
              <w:rPr>
                <w:sz w:val="13"/>
                <w:szCs w:val="13"/>
                <w:color w:val="auto"/>
              </w:rPr>
            </w:pPr>
          </w:p>
        </w:tc>
        <w:tc>
          <w:tcPr>
            <w:tcW w:w="26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12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13"/>
                <w:szCs w:val="13"/>
                <w:color w:val="auto"/>
              </w:rPr>
              <w:t>5.00%</w:t>
            </w:r>
          </w:p>
        </w:tc>
        <w:tc>
          <w:tcPr>
            <w:tcW w:w="14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860" w:type="dxa"/>
            <w:vAlign w:val="bottom"/>
          </w:tcPr>
          <w:p>
            <w:pPr>
              <w:spacing w:after="0" w:line="117" w:lineRule="exact"/>
              <w:rPr>
                <w:sz w:val="20"/>
                <w:szCs w:val="20"/>
                <w:color w:val="auto"/>
              </w:rPr>
            </w:pPr>
            <w:r>
              <w:rPr>
                <w:rFonts w:ascii="Times New Roman" w:cs="Times New Roman" w:eastAsia="Times New Roman" w:hAnsi="Times New Roman"/>
                <w:sz w:val="10"/>
                <w:szCs w:val="10"/>
                <w:color w:val="auto"/>
              </w:rPr>
              <w:t xml:space="preserve">Scorpio Bidco </w:t>
            </w:r>
            <w:r>
              <w:rPr>
                <w:rFonts w:ascii="Times New Roman" w:cs="Times New Roman" w:eastAsia="Times New Roman" w:hAnsi="Times New Roman"/>
                <w:sz w:val="13"/>
                <w:szCs w:val="13"/>
                <w:color w:val="auto"/>
                <w:vertAlign w:val="superscript"/>
              </w:rPr>
              <w:t>(3)(4)</w:t>
            </w:r>
          </w:p>
        </w:tc>
        <w:tc>
          <w:tcPr>
            <w:tcW w:w="2640" w:type="dxa"/>
            <w:vAlign w:val="bottom"/>
          </w:tcPr>
          <w:p>
            <w:pPr>
              <w:ind w:left="80"/>
              <w:spacing w:after="0" w:line="117" w:lineRule="exact"/>
              <w:rPr>
                <w:sz w:val="20"/>
                <w:szCs w:val="20"/>
                <w:color w:val="auto"/>
              </w:rPr>
            </w:pPr>
            <w:r>
              <w:rPr>
                <w:rFonts w:ascii="Times New Roman" w:cs="Times New Roman" w:eastAsia="Times New Roman" w:hAnsi="Times New Roman"/>
                <w:sz w:val="13"/>
                <w:szCs w:val="13"/>
                <w:color w:val="auto"/>
              </w:rPr>
              <w:t>First-lien loan (EUR 75,326 par, due 4/2031)</w:t>
            </w:r>
          </w:p>
        </w:tc>
        <w:tc>
          <w:tcPr>
            <w:tcW w:w="880" w:type="dxa"/>
            <w:vAlign w:val="bottom"/>
          </w:tcPr>
          <w:p>
            <w:pPr>
              <w:jc w:val="right"/>
              <w:ind w:right="18"/>
              <w:spacing w:after="0" w:line="117" w:lineRule="exact"/>
              <w:rPr>
                <w:sz w:val="20"/>
                <w:szCs w:val="20"/>
                <w:color w:val="auto"/>
              </w:rPr>
            </w:pPr>
            <w:r>
              <w:rPr>
                <w:rFonts w:ascii="Times New Roman" w:cs="Times New Roman" w:eastAsia="Times New Roman" w:hAnsi="Times New Roman"/>
                <w:sz w:val="13"/>
                <w:szCs w:val="13"/>
                <w:color w:val="auto"/>
              </w:rPr>
              <w:t>4/4/2024</w:t>
            </w:r>
          </w:p>
        </w:tc>
        <w:tc>
          <w:tcPr>
            <w:tcW w:w="1120" w:type="dxa"/>
            <w:vAlign w:val="bottom"/>
          </w:tcPr>
          <w:p>
            <w:pPr>
              <w:jc w:val="right"/>
              <w:ind w:right="198"/>
              <w:spacing w:after="0" w:line="117" w:lineRule="exact"/>
              <w:rPr>
                <w:sz w:val="20"/>
                <w:szCs w:val="20"/>
                <w:color w:val="auto"/>
              </w:rPr>
            </w:pPr>
            <w:r>
              <w:rPr>
                <w:rFonts w:ascii="Times New Roman" w:cs="Times New Roman" w:eastAsia="Times New Roman" w:hAnsi="Times New Roman"/>
                <w:sz w:val="13"/>
                <w:szCs w:val="13"/>
                <w:color w:val="auto"/>
              </w:rPr>
              <w:t>E + 5.75%</w:t>
            </w:r>
          </w:p>
        </w:tc>
        <w:tc>
          <w:tcPr>
            <w:tcW w:w="1460" w:type="dxa"/>
            <w:vAlign w:val="bottom"/>
          </w:tcPr>
          <w:p>
            <w:pPr>
              <w:jc w:val="right"/>
              <w:ind w:right="78"/>
              <w:spacing w:after="0" w:line="117" w:lineRule="exact"/>
              <w:rPr>
                <w:sz w:val="20"/>
                <w:szCs w:val="20"/>
                <w:color w:val="auto"/>
              </w:rPr>
            </w:pPr>
            <w:r>
              <w:rPr>
                <w:rFonts w:ascii="Times New Roman" w:cs="Times New Roman" w:eastAsia="Times New Roman" w:hAnsi="Times New Roman"/>
                <w:sz w:val="13"/>
                <w:szCs w:val="13"/>
                <w:color w:val="auto"/>
              </w:rPr>
              <w:t>7.77%</w:t>
            </w:r>
          </w:p>
        </w:tc>
        <w:tc>
          <w:tcPr>
            <w:tcW w:w="88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80,467</w:t>
            </w:r>
          </w:p>
        </w:tc>
        <w:tc>
          <w:tcPr>
            <w:tcW w:w="12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88,995</w:t>
            </w:r>
          </w:p>
        </w:tc>
        <w:tc>
          <w:tcPr>
            <w:tcW w:w="118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2.1%</w:t>
            </w:r>
          </w:p>
        </w:tc>
        <w:tc>
          <w:tcPr>
            <w:tcW w:w="0" w:type="dxa"/>
            <w:vAlign w:val="bottom"/>
          </w:tcPr>
          <w:p>
            <w:pPr>
              <w:spacing w:after="0"/>
              <w:rPr>
                <w:sz w:val="1"/>
                <w:szCs w:val="1"/>
                <w:color w:val="auto"/>
              </w:rPr>
            </w:pPr>
          </w:p>
        </w:tc>
      </w:tr>
      <w:tr>
        <w:trPr>
          <w:trHeight w:val="153"/>
        </w:trPr>
        <w:tc>
          <w:tcPr>
            <w:tcW w:w="186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(EUR 75,776)</w:t>
            </w: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86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0"/>
                <w:szCs w:val="10"/>
                <w:color w:val="auto"/>
              </w:rPr>
              <w:t xml:space="preserve">Sediver S.p.A. </w:t>
            </w:r>
            <w:r>
              <w:rPr>
                <w:rFonts w:ascii="Times New Roman" w:cs="Times New Roman" w:eastAsia="Times New Roman" w:hAnsi="Times New Roman"/>
                <w:sz w:val="13"/>
                <w:szCs w:val="13"/>
                <w:color w:val="auto"/>
                <w:vertAlign w:val="superscript"/>
              </w:rPr>
              <w:t>(3)(4)</w:t>
            </w:r>
          </w:p>
        </w:tc>
        <w:tc>
          <w:tcPr>
            <w:tcW w:w="2640" w:type="dxa"/>
            <w:vAlign w:val="bottom"/>
            <w:shd w:val="clear" w:color="auto" w:fill="CFF0FC"/>
          </w:tcPr>
          <w:p>
            <w:pPr>
              <w:ind w:left="80"/>
              <w:spacing w:after="0" w:line="117" w:lineRule="exact"/>
              <w:rPr>
                <w:sz w:val="20"/>
                <w:szCs w:val="20"/>
                <w:color w:val="auto"/>
              </w:rPr>
            </w:pPr>
            <w:r>
              <w:rPr>
                <w:rFonts w:ascii="Times New Roman" w:cs="Times New Roman" w:eastAsia="Times New Roman" w:hAnsi="Times New Roman"/>
                <w:sz w:val="13"/>
                <w:szCs w:val="13"/>
                <w:color w:val="auto"/>
              </w:rPr>
              <w:t>First-lien note (EUR 57,989 par, due 10/2031)</w:t>
            </w:r>
          </w:p>
        </w:tc>
        <w:tc>
          <w:tcPr>
            <w:tcW w:w="880" w:type="dxa"/>
            <w:vAlign w:val="bottom"/>
            <w:shd w:val="clear" w:color="auto" w:fill="CFF0FC"/>
          </w:tcPr>
          <w:p>
            <w:pPr>
              <w:jc w:val="right"/>
              <w:ind w:right="18"/>
              <w:spacing w:after="0" w:line="117" w:lineRule="exact"/>
              <w:rPr>
                <w:sz w:val="20"/>
                <w:szCs w:val="20"/>
                <w:color w:val="auto"/>
              </w:rPr>
            </w:pPr>
            <w:r>
              <w:rPr>
                <w:rFonts w:ascii="Times New Roman" w:cs="Times New Roman" w:eastAsia="Times New Roman" w:hAnsi="Times New Roman"/>
                <w:sz w:val="13"/>
                <w:szCs w:val="13"/>
                <w:color w:val="auto"/>
              </w:rPr>
              <w:t>10/29/2024</w:t>
            </w:r>
          </w:p>
        </w:tc>
        <w:tc>
          <w:tcPr>
            <w:tcW w:w="1120" w:type="dxa"/>
            <w:vAlign w:val="bottom"/>
            <w:shd w:val="clear" w:color="auto" w:fill="CFF0FC"/>
          </w:tcPr>
          <w:p>
            <w:pPr>
              <w:jc w:val="right"/>
              <w:ind w:right="198"/>
              <w:spacing w:after="0" w:line="117" w:lineRule="exact"/>
              <w:rPr>
                <w:sz w:val="20"/>
                <w:szCs w:val="20"/>
                <w:color w:val="auto"/>
              </w:rPr>
            </w:pPr>
            <w:r>
              <w:rPr>
                <w:rFonts w:ascii="Times New Roman" w:cs="Times New Roman" w:eastAsia="Times New Roman" w:hAnsi="Times New Roman"/>
                <w:sz w:val="13"/>
                <w:szCs w:val="13"/>
                <w:color w:val="auto"/>
              </w:rPr>
              <w:t>E + 5.00%</w:t>
            </w:r>
          </w:p>
        </w:tc>
        <w:tc>
          <w:tcPr>
            <w:tcW w:w="1460" w:type="dxa"/>
            <w:vAlign w:val="bottom"/>
            <w:shd w:val="clear" w:color="auto" w:fill="CFF0FC"/>
          </w:tcPr>
          <w:p>
            <w:pPr>
              <w:jc w:val="right"/>
              <w:ind w:right="78"/>
              <w:spacing w:after="0" w:line="117" w:lineRule="exact"/>
              <w:rPr>
                <w:sz w:val="20"/>
                <w:szCs w:val="20"/>
                <w:color w:val="auto"/>
              </w:rPr>
            </w:pPr>
            <w:r>
              <w:rPr>
                <w:rFonts w:ascii="Times New Roman" w:cs="Times New Roman" w:eastAsia="Times New Roman" w:hAnsi="Times New Roman"/>
                <w:sz w:val="13"/>
                <w:szCs w:val="13"/>
                <w:color w:val="auto"/>
              </w:rPr>
              <w:t>7.02%</w:t>
            </w:r>
          </w:p>
        </w:tc>
        <w:tc>
          <w:tcPr>
            <w:tcW w:w="88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61,770</w:t>
            </w:r>
          </w:p>
        </w:tc>
        <w:tc>
          <w:tcPr>
            <w:tcW w:w="122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68,001</w:t>
            </w:r>
          </w:p>
        </w:tc>
        <w:tc>
          <w:tcPr>
            <w:tcW w:w="1180" w:type="dxa"/>
            <w:vAlign w:val="bottom"/>
            <w:gridSpan w:val="3"/>
            <w:shd w:val="clear" w:color="auto" w:fill="CFF0FC"/>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153"/>
        </w:trPr>
        <w:tc>
          <w:tcPr>
            <w:tcW w:w="1860" w:type="dxa"/>
            <w:vAlign w:val="bottom"/>
            <w:shd w:val="clear" w:color="auto" w:fill="CFF0FC"/>
          </w:tcPr>
          <w:p>
            <w:pPr>
              <w:spacing w:after="0"/>
              <w:rPr>
                <w:sz w:val="13"/>
                <w:szCs w:val="13"/>
                <w:color w:val="auto"/>
              </w:rPr>
            </w:pPr>
          </w:p>
        </w:tc>
        <w:tc>
          <w:tcPr>
            <w:tcW w:w="26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4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(EUR 57,900)</w:t>
            </w:r>
          </w:p>
        </w:tc>
        <w:tc>
          <w:tcPr>
            <w:tcW w:w="2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860" w:type="dxa"/>
            <w:vAlign w:val="bottom"/>
          </w:tcPr>
          <w:p>
            <w:pPr>
              <w:spacing w:after="0"/>
              <w:rPr>
                <w:sz w:val="10"/>
                <w:szCs w:val="10"/>
                <w:color w:val="auto"/>
              </w:rPr>
            </w:pPr>
          </w:p>
        </w:tc>
        <w:tc>
          <w:tcPr>
            <w:tcW w:w="2640" w:type="dxa"/>
            <w:vAlign w:val="bottom"/>
          </w:tcPr>
          <w:p>
            <w:pPr>
              <w:ind w:left="80"/>
              <w:spacing w:after="0" w:line="117" w:lineRule="exact"/>
              <w:rPr>
                <w:sz w:val="20"/>
                <w:szCs w:val="20"/>
                <w:color w:val="auto"/>
              </w:rPr>
            </w:pPr>
            <w:r>
              <w:rPr>
                <w:rFonts w:ascii="Times New Roman" w:cs="Times New Roman" w:eastAsia="Times New Roman" w:hAnsi="Times New Roman"/>
                <w:sz w:val="13"/>
                <w:szCs w:val="13"/>
                <w:color w:val="auto"/>
              </w:rPr>
              <w:t>First-lien note ($160,437 par, due 10/2031)</w:t>
            </w:r>
          </w:p>
        </w:tc>
        <w:tc>
          <w:tcPr>
            <w:tcW w:w="880" w:type="dxa"/>
            <w:vAlign w:val="bottom"/>
          </w:tcPr>
          <w:p>
            <w:pPr>
              <w:jc w:val="right"/>
              <w:ind w:right="18"/>
              <w:spacing w:after="0" w:line="117" w:lineRule="exact"/>
              <w:rPr>
                <w:sz w:val="20"/>
                <w:szCs w:val="20"/>
                <w:color w:val="auto"/>
              </w:rPr>
            </w:pPr>
            <w:r>
              <w:rPr>
                <w:rFonts w:ascii="Times New Roman" w:cs="Times New Roman" w:eastAsia="Times New Roman" w:hAnsi="Times New Roman"/>
                <w:sz w:val="13"/>
                <w:szCs w:val="13"/>
                <w:color w:val="auto"/>
              </w:rPr>
              <w:t>10/29/2024</w:t>
            </w:r>
          </w:p>
        </w:tc>
        <w:tc>
          <w:tcPr>
            <w:tcW w:w="1120" w:type="dxa"/>
            <w:vAlign w:val="bottom"/>
          </w:tcPr>
          <w:p>
            <w:pPr>
              <w:jc w:val="right"/>
              <w:ind w:right="218"/>
              <w:spacing w:after="0" w:line="117" w:lineRule="exact"/>
              <w:rPr>
                <w:sz w:val="20"/>
                <w:szCs w:val="20"/>
                <w:color w:val="auto"/>
              </w:rPr>
            </w:pPr>
            <w:r>
              <w:rPr>
                <w:rFonts w:ascii="Times New Roman" w:cs="Times New Roman" w:eastAsia="Times New Roman" w:hAnsi="Times New Roman"/>
                <w:sz w:val="13"/>
                <w:szCs w:val="13"/>
                <w:color w:val="auto"/>
              </w:rPr>
              <w:t>SOFR +</w:t>
            </w:r>
          </w:p>
        </w:tc>
        <w:tc>
          <w:tcPr>
            <w:tcW w:w="1460" w:type="dxa"/>
            <w:vAlign w:val="bottom"/>
          </w:tcPr>
          <w:p>
            <w:pPr>
              <w:jc w:val="right"/>
              <w:ind w:right="78"/>
              <w:spacing w:after="0" w:line="117" w:lineRule="exact"/>
              <w:rPr>
                <w:sz w:val="20"/>
                <w:szCs w:val="20"/>
                <w:color w:val="auto"/>
              </w:rPr>
            </w:pPr>
            <w:r>
              <w:rPr>
                <w:rFonts w:ascii="Times New Roman" w:cs="Times New Roman" w:eastAsia="Times New Roman" w:hAnsi="Times New Roman"/>
                <w:sz w:val="13"/>
                <w:szCs w:val="13"/>
                <w:color w:val="auto"/>
              </w:rPr>
              <w:t>8.68%</w:t>
            </w:r>
          </w:p>
        </w:tc>
        <w:tc>
          <w:tcPr>
            <w:tcW w:w="88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157,662</w:t>
            </w:r>
          </w:p>
        </w:tc>
        <w:tc>
          <w:tcPr>
            <w:tcW w:w="12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159,757</w:t>
            </w:r>
          </w:p>
        </w:tc>
        <w:tc>
          <w:tcPr>
            <w:tcW w:w="118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3.8%</w:t>
            </w:r>
          </w:p>
        </w:tc>
        <w:tc>
          <w:tcPr>
            <w:tcW w:w="0" w:type="dxa"/>
            <w:vAlign w:val="bottom"/>
          </w:tcPr>
          <w:p>
            <w:pPr>
              <w:spacing w:after="0"/>
              <w:rPr>
                <w:sz w:val="1"/>
                <w:szCs w:val="1"/>
                <w:color w:val="auto"/>
              </w:rPr>
            </w:pPr>
          </w:p>
        </w:tc>
      </w:tr>
      <w:tr>
        <w:trPr>
          <w:trHeight w:val="140"/>
        </w:trPr>
        <w:tc>
          <w:tcPr>
            <w:tcW w:w="18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20" w:type="dxa"/>
            <w:vAlign w:val="bottom"/>
          </w:tcPr>
          <w:p>
            <w:pPr>
              <w:jc w:val="right"/>
              <w:ind w:right="198"/>
              <w:spacing w:after="0" w:line="140" w:lineRule="exact"/>
              <w:rPr>
                <w:sz w:val="20"/>
                <w:szCs w:val="20"/>
                <w:color w:val="auto"/>
              </w:rPr>
            </w:pPr>
            <w:r>
              <w:rPr>
                <w:rFonts w:ascii="Times New Roman" w:cs="Times New Roman" w:eastAsia="Times New Roman" w:hAnsi="Times New Roman"/>
                <w:sz w:val="13"/>
                <w:szCs w:val="13"/>
                <w:color w:val="auto"/>
              </w:rPr>
              <w:t>5.00%</w:t>
            </w:r>
          </w:p>
        </w:tc>
        <w:tc>
          <w:tcPr>
            <w:tcW w:w="1460" w:type="dxa"/>
            <w:vAlign w:val="bottom"/>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860" w:type="dxa"/>
            <w:vAlign w:val="bottom"/>
            <w:shd w:val="clear" w:color="auto" w:fill="CFF0FC"/>
          </w:tcPr>
          <w:p>
            <w:pPr>
              <w:spacing w:after="0"/>
              <w:rPr>
                <w:sz w:val="11"/>
                <w:szCs w:val="11"/>
                <w:color w:val="auto"/>
              </w:rPr>
            </w:pPr>
          </w:p>
        </w:tc>
        <w:tc>
          <w:tcPr>
            <w:tcW w:w="26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46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605,474</w:t>
            </w:r>
          </w:p>
        </w:tc>
        <w:tc>
          <w:tcPr>
            <w:tcW w:w="122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600,572</w:t>
            </w:r>
          </w:p>
        </w:tc>
        <w:tc>
          <w:tcPr>
            <w:tcW w:w="1180" w:type="dxa"/>
            <w:vAlign w:val="bottom"/>
            <w:gridSpan w:val="3"/>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14.4%</w:t>
            </w:r>
          </w:p>
        </w:tc>
        <w:tc>
          <w:tcPr>
            <w:tcW w:w="0" w:type="dxa"/>
            <w:vAlign w:val="bottom"/>
          </w:tcPr>
          <w:p>
            <w:pPr>
              <w:spacing w:after="0"/>
              <w:rPr>
                <w:sz w:val="1"/>
                <w:szCs w:val="1"/>
                <w:color w:val="auto"/>
              </w:rPr>
            </w:pPr>
          </w:p>
        </w:tc>
      </w:tr>
      <w:tr>
        <w:trPr>
          <w:trHeight w:val="128"/>
        </w:trPr>
        <w:tc>
          <w:tcPr>
            <w:tcW w:w="186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Pharmaceuticals</w:t>
            </w:r>
          </w:p>
        </w:tc>
        <w:tc>
          <w:tcPr>
            <w:tcW w:w="2640" w:type="dxa"/>
            <w:vAlign w:val="bottom"/>
            <w:tcBorders>
              <w:top w:val="single" w:sz="8" w:color="CFF0FC"/>
            </w:tcBorders>
          </w:tcPr>
          <w:p>
            <w:pPr>
              <w:spacing w:after="0"/>
              <w:rPr>
                <w:sz w:val="11"/>
                <w:szCs w:val="11"/>
                <w:color w:val="auto"/>
              </w:rPr>
            </w:pPr>
          </w:p>
        </w:tc>
        <w:tc>
          <w:tcPr>
            <w:tcW w:w="880" w:type="dxa"/>
            <w:vAlign w:val="bottom"/>
            <w:tcBorders>
              <w:top w:val="single" w:sz="8" w:color="CFF0FC"/>
            </w:tcBorders>
          </w:tcPr>
          <w:p>
            <w:pPr>
              <w:spacing w:after="0"/>
              <w:rPr>
                <w:sz w:val="11"/>
                <w:szCs w:val="11"/>
                <w:color w:val="auto"/>
              </w:rPr>
            </w:pPr>
          </w:p>
        </w:tc>
        <w:tc>
          <w:tcPr>
            <w:tcW w:w="1120" w:type="dxa"/>
            <w:vAlign w:val="bottom"/>
            <w:tcBorders>
              <w:top w:val="single" w:sz="8" w:color="CFF0FC"/>
            </w:tcBorders>
          </w:tcPr>
          <w:p>
            <w:pPr>
              <w:spacing w:after="0"/>
              <w:rPr>
                <w:sz w:val="11"/>
                <w:szCs w:val="11"/>
                <w:color w:val="auto"/>
              </w:rPr>
            </w:pPr>
          </w:p>
        </w:tc>
        <w:tc>
          <w:tcPr>
            <w:tcW w:w="1460" w:type="dxa"/>
            <w:vAlign w:val="bottom"/>
            <w:tcBorders>
              <w:top w:val="single" w:sz="8" w:color="CFF0FC"/>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86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0"/>
                <w:szCs w:val="10"/>
                <w:color w:val="auto"/>
              </w:rPr>
              <w:t xml:space="preserve">Apellis Pharmaceuticals, Inc. </w:t>
            </w:r>
            <w:r>
              <w:rPr>
                <w:rFonts w:ascii="Times New Roman" w:cs="Times New Roman" w:eastAsia="Times New Roman" w:hAnsi="Times New Roman"/>
                <w:sz w:val="13"/>
                <w:szCs w:val="13"/>
                <w:color w:val="auto"/>
                <w:vertAlign w:val="superscript"/>
              </w:rPr>
              <w:t>(3)(4)</w:t>
            </w:r>
          </w:p>
        </w:tc>
        <w:tc>
          <w:tcPr>
            <w:tcW w:w="2640" w:type="dxa"/>
            <w:vAlign w:val="bottom"/>
            <w:shd w:val="clear" w:color="auto" w:fill="CFF0FC"/>
          </w:tcPr>
          <w:p>
            <w:pPr>
              <w:ind w:left="80"/>
              <w:spacing w:after="0" w:line="117" w:lineRule="exact"/>
              <w:rPr>
                <w:sz w:val="20"/>
                <w:szCs w:val="20"/>
                <w:color w:val="auto"/>
              </w:rPr>
            </w:pPr>
            <w:r>
              <w:rPr>
                <w:rFonts w:ascii="Times New Roman" w:cs="Times New Roman" w:eastAsia="Times New Roman" w:hAnsi="Times New Roman"/>
                <w:sz w:val="13"/>
                <w:szCs w:val="13"/>
                <w:color w:val="auto"/>
              </w:rPr>
              <w:t>First-lien loan ($157,895 par, due 5/2030)</w:t>
            </w:r>
          </w:p>
        </w:tc>
        <w:tc>
          <w:tcPr>
            <w:tcW w:w="880" w:type="dxa"/>
            <w:vAlign w:val="bottom"/>
            <w:shd w:val="clear" w:color="auto" w:fill="CFF0FC"/>
          </w:tcPr>
          <w:p>
            <w:pPr>
              <w:jc w:val="right"/>
              <w:ind w:right="18"/>
              <w:spacing w:after="0" w:line="117" w:lineRule="exact"/>
              <w:rPr>
                <w:sz w:val="20"/>
                <w:szCs w:val="20"/>
                <w:color w:val="auto"/>
              </w:rPr>
            </w:pPr>
            <w:r>
              <w:rPr>
                <w:rFonts w:ascii="Times New Roman" w:cs="Times New Roman" w:eastAsia="Times New Roman" w:hAnsi="Times New Roman"/>
                <w:sz w:val="13"/>
                <w:szCs w:val="13"/>
                <w:color w:val="auto"/>
              </w:rPr>
              <w:t>5/13/2024</w:t>
            </w:r>
          </w:p>
        </w:tc>
        <w:tc>
          <w:tcPr>
            <w:tcW w:w="1120" w:type="dxa"/>
            <w:vAlign w:val="bottom"/>
            <w:shd w:val="clear" w:color="auto" w:fill="CFF0FC"/>
          </w:tcPr>
          <w:p>
            <w:pPr>
              <w:jc w:val="right"/>
              <w:ind w:right="218"/>
              <w:spacing w:after="0" w:line="117" w:lineRule="exact"/>
              <w:rPr>
                <w:sz w:val="20"/>
                <w:szCs w:val="20"/>
                <w:color w:val="auto"/>
              </w:rPr>
            </w:pPr>
            <w:r>
              <w:rPr>
                <w:rFonts w:ascii="Times New Roman" w:cs="Times New Roman" w:eastAsia="Times New Roman" w:hAnsi="Times New Roman"/>
                <w:sz w:val="13"/>
                <w:szCs w:val="13"/>
                <w:color w:val="auto"/>
              </w:rPr>
              <w:t>SOFR +</w:t>
            </w:r>
          </w:p>
        </w:tc>
        <w:tc>
          <w:tcPr>
            <w:tcW w:w="1460" w:type="dxa"/>
            <w:vAlign w:val="bottom"/>
            <w:shd w:val="clear" w:color="auto" w:fill="CFF0FC"/>
          </w:tcPr>
          <w:p>
            <w:pPr>
              <w:jc w:val="right"/>
              <w:ind w:right="78"/>
              <w:spacing w:after="0" w:line="117" w:lineRule="exact"/>
              <w:rPr>
                <w:sz w:val="20"/>
                <w:szCs w:val="20"/>
                <w:color w:val="auto"/>
              </w:rPr>
            </w:pPr>
            <w:r>
              <w:rPr>
                <w:rFonts w:ascii="Times New Roman" w:cs="Times New Roman" w:eastAsia="Times New Roman" w:hAnsi="Times New Roman"/>
                <w:sz w:val="13"/>
                <w:szCs w:val="13"/>
                <w:color w:val="auto"/>
              </w:rPr>
              <w:t>9.42%</w:t>
            </w:r>
          </w:p>
        </w:tc>
        <w:tc>
          <w:tcPr>
            <w:tcW w:w="88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157,895</w:t>
            </w:r>
          </w:p>
        </w:tc>
        <w:tc>
          <w:tcPr>
            <w:tcW w:w="122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158,289</w:t>
            </w:r>
          </w:p>
        </w:tc>
        <w:tc>
          <w:tcPr>
            <w:tcW w:w="1180" w:type="dxa"/>
            <w:vAlign w:val="bottom"/>
            <w:gridSpan w:val="3"/>
            <w:shd w:val="clear" w:color="auto" w:fill="CFF0FC"/>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3.8%</w:t>
            </w:r>
          </w:p>
        </w:tc>
        <w:tc>
          <w:tcPr>
            <w:tcW w:w="0" w:type="dxa"/>
            <w:vAlign w:val="bottom"/>
          </w:tcPr>
          <w:p>
            <w:pPr>
              <w:spacing w:after="0"/>
              <w:rPr>
                <w:sz w:val="1"/>
                <w:szCs w:val="1"/>
                <w:color w:val="auto"/>
              </w:rPr>
            </w:pPr>
          </w:p>
        </w:tc>
      </w:tr>
      <w:tr>
        <w:trPr>
          <w:trHeight w:val="153"/>
        </w:trPr>
        <w:tc>
          <w:tcPr>
            <w:tcW w:w="1860" w:type="dxa"/>
            <w:vAlign w:val="bottom"/>
            <w:shd w:val="clear" w:color="auto" w:fill="CFF0FC"/>
          </w:tcPr>
          <w:p>
            <w:pPr>
              <w:spacing w:after="0"/>
              <w:rPr>
                <w:sz w:val="13"/>
                <w:szCs w:val="13"/>
                <w:color w:val="auto"/>
              </w:rPr>
            </w:pPr>
          </w:p>
        </w:tc>
        <w:tc>
          <w:tcPr>
            <w:tcW w:w="26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12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13"/>
                <w:szCs w:val="13"/>
                <w:color w:val="auto"/>
              </w:rPr>
              <w:t>5.75%</w:t>
            </w:r>
          </w:p>
        </w:tc>
        <w:tc>
          <w:tcPr>
            <w:tcW w:w="14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860" w:type="dxa"/>
            <w:vAlign w:val="bottom"/>
          </w:tcPr>
          <w:p>
            <w:pPr>
              <w:spacing w:after="0" w:line="108" w:lineRule="exact"/>
              <w:rPr>
                <w:sz w:val="20"/>
                <w:szCs w:val="20"/>
                <w:color w:val="auto"/>
              </w:rPr>
            </w:pPr>
            <w:r>
              <w:rPr>
                <w:rFonts w:ascii="Times New Roman" w:cs="Times New Roman" w:eastAsia="Times New Roman" w:hAnsi="Times New Roman"/>
                <w:sz w:val="12"/>
                <w:szCs w:val="12"/>
                <w:color w:val="auto"/>
              </w:rPr>
              <w:t>Arrowhead Pharmaceuticals, Inc.</w:t>
            </w:r>
          </w:p>
        </w:tc>
        <w:tc>
          <w:tcPr>
            <w:tcW w:w="2640" w:type="dxa"/>
            <w:vAlign w:val="bottom"/>
          </w:tcPr>
          <w:p>
            <w:pPr>
              <w:ind w:left="80"/>
              <w:spacing w:after="0" w:line="108" w:lineRule="exact"/>
              <w:rPr>
                <w:sz w:val="20"/>
                <w:szCs w:val="20"/>
                <w:color w:val="auto"/>
              </w:rPr>
            </w:pPr>
            <w:r>
              <w:rPr>
                <w:rFonts w:ascii="Times New Roman" w:cs="Times New Roman" w:eastAsia="Times New Roman" w:hAnsi="Times New Roman"/>
                <w:sz w:val="12"/>
                <w:szCs w:val="12"/>
                <w:color w:val="auto"/>
              </w:rPr>
              <w:t>First-lien loan ($113,694 par, due 8/2031)</w:t>
            </w:r>
          </w:p>
        </w:tc>
        <w:tc>
          <w:tcPr>
            <w:tcW w:w="880" w:type="dxa"/>
            <w:vAlign w:val="bottom"/>
          </w:tcPr>
          <w:p>
            <w:pPr>
              <w:jc w:val="right"/>
              <w:ind w:right="18"/>
              <w:spacing w:after="0" w:line="108" w:lineRule="exact"/>
              <w:rPr>
                <w:sz w:val="20"/>
                <w:szCs w:val="20"/>
                <w:color w:val="auto"/>
              </w:rPr>
            </w:pPr>
            <w:r>
              <w:rPr>
                <w:rFonts w:ascii="Times New Roman" w:cs="Times New Roman" w:eastAsia="Times New Roman" w:hAnsi="Times New Roman"/>
                <w:sz w:val="12"/>
                <w:szCs w:val="12"/>
                <w:color w:val="auto"/>
              </w:rPr>
              <w:t>8/7/2024</w:t>
            </w:r>
          </w:p>
        </w:tc>
        <w:tc>
          <w:tcPr>
            <w:tcW w:w="1120" w:type="dxa"/>
            <w:vAlign w:val="bottom"/>
          </w:tcPr>
          <w:p>
            <w:pPr>
              <w:jc w:val="right"/>
              <w:ind w:right="78"/>
              <w:spacing w:after="0" w:line="108" w:lineRule="exact"/>
              <w:rPr>
                <w:sz w:val="20"/>
                <w:szCs w:val="20"/>
                <w:color w:val="auto"/>
              </w:rPr>
            </w:pPr>
            <w:r>
              <w:rPr>
                <w:rFonts w:ascii="Times New Roman" w:cs="Times New Roman" w:eastAsia="Times New Roman" w:hAnsi="Times New Roman"/>
                <w:sz w:val="12"/>
                <w:szCs w:val="12"/>
                <w:color w:val="auto"/>
              </w:rPr>
              <w:t>15.00%</w:t>
            </w:r>
          </w:p>
        </w:tc>
        <w:tc>
          <w:tcPr>
            <w:tcW w:w="1460" w:type="dxa"/>
            <w:vAlign w:val="bottom"/>
          </w:tcPr>
          <w:p>
            <w:pPr>
              <w:jc w:val="right"/>
              <w:ind w:right="78"/>
              <w:spacing w:after="0" w:line="108" w:lineRule="exact"/>
              <w:rPr>
                <w:sz w:val="20"/>
                <w:szCs w:val="20"/>
                <w:color w:val="auto"/>
              </w:rPr>
            </w:pPr>
            <w:r>
              <w:rPr>
                <w:rFonts w:ascii="Times New Roman" w:cs="Times New Roman" w:eastAsia="Times New Roman" w:hAnsi="Times New Roman"/>
                <w:sz w:val="12"/>
                <w:szCs w:val="12"/>
                <w:color w:val="auto"/>
              </w:rPr>
              <w:t>15.00%</w:t>
            </w:r>
          </w:p>
        </w:tc>
        <w:tc>
          <w:tcPr>
            <w:tcW w:w="88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auto"/>
              </w:rPr>
              <w:t>112,901</w:t>
            </w:r>
          </w:p>
        </w:tc>
        <w:tc>
          <w:tcPr>
            <w:tcW w:w="122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2"/>
                <w:szCs w:val="12"/>
                <w:color w:val="auto"/>
              </w:rPr>
              <w:t>127,337</w:t>
            </w:r>
          </w:p>
        </w:tc>
        <w:tc>
          <w:tcPr>
            <w:tcW w:w="1180" w:type="dxa"/>
            <w:vAlign w:val="bottom"/>
            <w:gridSpan w:val="3"/>
          </w:tcPr>
          <w:p>
            <w:pPr>
              <w:jc w:val="right"/>
              <w:ind w:right="20"/>
              <w:spacing w:after="0" w:line="108" w:lineRule="exact"/>
              <w:rPr>
                <w:sz w:val="20"/>
                <w:szCs w:val="20"/>
                <w:color w:val="auto"/>
              </w:rPr>
            </w:pPr>
            <w:r>
              <w:rPr>
                <w:rFonts w:ascii="Times New Roman" w:cs="Times New Roman" w:eastAsia="Times New Roman" w:hAnsi="Times New Roman"/>
                <w:sz w:val="12"/>
                <w:szCs w:val="12"/>
                <w:color w:val="auto"/>
              </w:rPr>
              <w:t>3.0%</w:t>
            </w:r>
          </w:p>
        </w:tc>
        <w:tc>
          <w:tcPr>
            <w:tcW w:w="0" w:type="dxa"/>
            <w:vAlign w:val="bottom"/>
          </w:tcPr>
          <w:p>
            <w:pPr>
              <w:spacing w:after="0"/>
              <w:rPr>
                <w:sz w:val="1"/>
                <w:szCs w:val="1"/>
                <w:color w:val="auto"/>
              </w:rPr>
            </w:pPr>
          </w:p>
        </w:tc>
      </w:tr>
      <w:tr>
        <w:trPr>
          <w:trHeight w:val="107"/>
        </w:trPr>
        <w:tc>
          <w:tcPr>
            <w:tcW w:w="1860" w:type="dxa"/>
            <w:vAlign w:val="bottom"/>
          </w:tcPr>
          <w:p>
            <w:pPr>
              <w:spacing w:after="0"/>
              <w:rPr>
                <w:sz w:val="20"/>
                <w:szCs w:val="20"/>
                <w:color w:val="auto"/>
              </w:rPr>
            </w:pPr>
            <w:r>
              <w:rPr>
                <w:rFonts w:ascii="Times New Roman" w:cs="Times New Roman" w:eastAsia="Times New Roman" w:hAnsi="Times New Roman"/>
                <w:sz w:val="8"/>
                <w:szCs w:val="8"/>
                <w:color w:val="auto"/>
              </w:rPr>
              <w:t>(4)</w:t>
            </w:r>
          </w:p>
        </w:tc>
        <w:tc>
          <w:tcPr>
            <w:tcW w:w="26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1860" w:type="dxa"/>
            <w:vAlign w:val="bottom"/>
          </w:tcPr>
          <w:p>
            <w:pPr>
              <w:spacing w:after="0"/>
              <w:rPr>
                <w:sz w:val="3"/>
                <w:szCs w:val="3"/>
                <w:color w:val="auto"/>
              </w:rPr>
            </w:pPr>
          </w:p>
        </w:tc>
        <w:tc>
          <w:tcPr>
            <w:tcW w:w="2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7"/>
        </w:trPr>
        <w:tc>
          <w:tcPr>
            <w:tcW w:w="186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0"/>
                <w:szCs w:val="10"/>
                <w:color w:val="auto"/>
              </w:rPr>
              <w:t xml:space="preserve">Elysium BidCo Limited </w:t>
            </w:r>
            <w:r>
              <w:rPr>
                <w:rFonts w:ascii="Times New Roman" w:cs="Times New Roman" w:eastAsia="Times New Roman" w:hAnsi="Times New Roman"/>
                <w:sz w:val="13"/>
                <w:szCs w:val="13"/>
                <w:color w:val="auto"/>
                <w:vertAlign w:val="superscript"/>
              </w:rPr>
              <w:t>(3)(4)</w:t>
            </w:r>
          </w:p>
        </w:tc>
        <w:tc>
          <w:tcPr>
            <w:tcW w:w="2640" w:type="dxa"/>
            <w:vAlign w:val="bottom"/>
            <w:shd w:val="clear" w:color="auto" w:fill="CFF0FC"/>
          </w:tcPr>
          <w:p>
            <w:pPr>
              <w:ind w:left="80"/>
              <w:spacing w:after="0" w:line="117" w:lineRule="exact"/>
              <w:rPr>
                <w:sz w:val="20"/>
                <w:szCs w:val="20"/>
                <w:color w:val="auto"/>
              </w:rPr>
            </w:pPr>
            <w:r>
              <w:rPr>
                <w:rFonts w:ascii="Times New Roman" w:cs="Times New Roman" w:eastAsia="Times New Roman" w:hAnsi="Times New Roman"/>
                <w:sz w:val="13"/>
                <w:szCs w:val="13"/>
                <w:color w:val="auto"/>
              </w:rPr>
              <w:t>First-lien loan (EUR 139,148 par, due</w:t>
            </w:r>
          </w:p>
        </w:tc>
        <w:tc>
          <w:tcPr>
            <w:tcW w:w="880" w:type="dxa"/>
            <w:vAlign w:val="bottom"/>
            <w:shd w:val="clear" w:color="auto" w:fill="CFF0FC"/>
          </w:tcPr>
          <w:p>
            <w:pPr>
              <w:jc w:val="right"/>
              <w:ind w:right="18"/>
              <w:spacing w:after="0" w:line="117" w:lineRule="exact"/>
              <w:rPr>
                <w:sz w:val="20"/>
                <w:szCs w:val="20"/>
                <w:color w:val="auto"/>
              </w:rPr>
            </w:pPr>
            <w:r>
              <w:rPr>
                <w:rFonts w:ascii="Times New Roman" w:cs="Times New Roman" w:eastAsia="Times New Roman" w:hAnsi="Times New Roman"/>
                <w:sz w:val="13"/>
                <w:szCs w:val="13"/>
                <w:color w:val="auto"/>
              </w:rPr>
              <w:t>12/11/2024</w:t>
            </w:r>
          </w:p>
        </w:tc>
        <w:tc>
          <w:tcPr>
            <w:tcW w:w="1120" w:type="dxa"/>
            <w:vAlign w:val="bottom"/>
            <w:shd w:val="clear" w:color="auto" w:fill="CFF0FC"/>
          </w:tcPr>
          <w:p>
            <w:pPr>
              <w:jc w:val="right"/>
              <w:ind w:right="198"/>
              <w:spacing w:after="0" w:line="117" w:lineRule="exact"/>
              <w:rPr>
                <w:sz w:val="20"/>
                <w:szCs w:val="20"/>
                <w:color w:val="auto"/>
              </w:rPr>
            </w:pPr>
            <w:r>
              <w:rPr>
                <w:rFonts w:ascii="Times New Roman" w:cs="Times New Roman" w:eastAsia="Times New Roman" w:hAnsi="Times New Roman"/>
                <w:sz w:val="13"/>
                <w:szCs w:val="13"/>
                <w:color w:val="auto"/>
              </w:rPr>
              <w:t>E + 7.25%</w:t>
            </w:r>
          </w:p>
        </w:tc>
        <w:tc>
          <w:tcPr>
            <w:tcW w:w="1460" w:type="dxa"/>
            <w:vAlign w:val="bottom"/>
            <w:shd w:val="clear" w:color="auto" w:fill="CFF0FC"/>
          </w:tcPr>
          <w:p>
            <w:pPr>
              <w:jc w:val="right"/>
              <w:ind w:right="78"/>
              <w:spacing w:after="0" w:line="117" w:lineRule="exact"/>
              <w:rPr>
                <w:sz w:val="20"/>
                <w:szCs w:val="20"/>
                <w:color w:val="auto"/>
              </w:rPr>
            </w:pPr>
            <w:r>
              <w:rPr>
                <w:rFonts w:ascii="Times New Roman" w:cs="Times New Roman" w:eastAsia="Times New Roman" w:hAnsi="Times New Roman"/>
                <w:sz w:val="13"/>
                <w:szCs w:val="13"/>
                <w:color w:val="auto"/>
              </w:rPr>
              <w:t>9.27%</w:t>
            </w:r>
          </w:p>
        </w:tc>
        <w:tc>
          <w:tcPr>
            <w:tcW w:w="88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142,838</w:t>
            </w:r>
          </w:p>
        </w:tc>
        <w:tc>
          <w:tcPr>
            <w:tcW w:w="122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161,788</w:t>
            </w:r>
          </w:p>
        </w:tc>
        <w:tc>
          <w:tcPr>
            <w:tcW w:w="1180" w:type="dxa"/>
            <w:vAlign w:val="bottom"/>
            <w:gridSpan w:val="3"/>
            <w:shd w:val="clear" w:color="auto" w:fill="CFF0FC"/>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3.9%</w:t>
            </w:r>
          </w:p>
        </w:tc>
        <w:tc>
          <w:tcPr>
            <w:tcW w:w="0" w:type="dxa"/>
            <w:vAlign w:val="bottom"/>
          </w:tcPr>
          <w:p>
            <w:pPr>
              <w:spacing w:after="0"/>
              <w:rPr>
                <w:sz w:val="1"/>
                <w:szCs w:val="1"/>
                <w:color w:val="auto"/>
              </w:rPr>
            </w:pPr>
          </w:p>
        </w:tc>
      </w:tr>
      <w:tr>
        <w:trPr>
          <w:trHeight w:val="153"/>
        </w:trPr>
        <w:tc>
          <w:tcPr>
            <w:tcW w:w="1860" w:type="dxa"/>
            <w:vAlign w:val="bottom"/>
            <w:shd w:val="clear" w:color="auto" w:fill="CFF0FC"/>
          </w:tcPr>
          <w:p>
            <w:pPr>
              <w:spacing w:after="0"/>
              <w:rPr>
                <w:sz w:val="13"/>
                <w:szCs w:val="13"/>
                <w:color w:val="auto"/>
              </w:rPr>
            </w:pPr>
          </w:p>
        </w:tc>
        <w:tc>
          <w:tcPr>
            <w:tcW w:w="26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12/2030)</w:t>
            </w:r>
          </w:p>
        </w:tc>
        <w:tc>
          <w:tcPr>
            <w:tcW w:w="88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4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(EUR 137,756)</w:t>
            </w:r>
          </w:p>
        </w:tc>
        <w:tc>
          <w:tcPr>
            <w:tcW w:w="2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860" w:type="dxa"/>
            <w:vAlign w:val="bottom"/>
          </w:tcPr>
          <w:p>
            <w:pPr>
              <w:spacing w:after="0"/>
              <w:rPr>
                <w:sz w:val="10"/>
                <w:szCs w:val="10"/>
                <w:color w:val="auto"/>
              </w:rPr>
            </w:pPr>
          </w:p>
        </w:tc>
        <w:tc>
          <w:tcPr>
            <w:tcW w:w="2640" w:type="dxa"/>
            <w:vAlign w:val="bottom"/>
          </w:tcPr>
          <w:p>
            <w:pPr>
              <w:ind w:left="80"/>
              <w:spacing w:after="0" w:line="117" w:lineRule="exact"/>
              <w:rPr>
                <w:sz w:val="20"/>
                <w:szCs w:val="20"/>
                <w:color w:val="auto"/>
              </w:rPr>
            </w:pPr>
            <w:r>
              <w:rPr>
                <w:rFonts w:ascii="Times New Roman" w:cs="Times New Roman" w:eastAsia="Times New Roman" w:hAnsi="Times New Roman"/>
                <w:sz w:val="13"/>
                <w:szCs w:val="13"/>
                <w:color w:val="auto"/>
              </w:rPr>
              <w:t>First-lien loan (GBP 77,006 par, due 12/2030)</w:t>
            </w:r>
          </w:p>
        </w:tc>
        <w:tc>
          <w:tcPr>
            <w:tcW w:w="880" w:type="dxa"/>
            <w:vAlign w:val="bottom"/>
          </w:tcPr>
          <w:p>
            <w:pPr>
              <w:jc w:val="right"/>
              <w:ind w:right="18"/>
              <w:spacing w:after="0" w:line="117" w:lineRule="exact"/>
              <w:rPr>
                <w:sz w:val="20"/>
                <w:szCs w:val="20"/>
                <w:color w:val="auto"/>
              </w:rPr>
            </w:pPr>
            <w:r>
              <w:rPr>
                <w:rFonts w:ascii="Times New Roman" w:cs="Times New Roman" w:eastAsia="Times New Roman" w:hAnsi="Times New Roman"/>
                <w:sz w:val="13"/>
                <w:szCs w:val="13"/>
                <w:color w:val="auto"/>
              </w:rPr>
              <w:t>12/11/2024</w:t>
            </w:r>
          </w:p>
        </w:tc>
        <w:tc>
          <w:tcPr>
            <w:tcW w:w="1120" w:type="dxa"/>
            <w:vAlign w:val="bottom"/>
          </w:tcPr>
          <w:p>
            <w:pPr>
              <w:jc w:val="right"/>
              <w:ind w:right="198"/>
              <w:spacing w:after="0" w:line="117" w:lineRule="exact"/>
              <w:rPr>
                <w:sz w:val="20"/>
                <w:szCs w:val="20"/>
                <w:color w:val="auto"/>
              </w:rPr>
            </w:pPr>
            <w:r>
              <w:rPr>
                <w:rFonts w:ascii="Times New Roman" w:cs="Times New Roman" w:eastAsia="Times New Roman" w:hAnsi="Times New Roman"/>
                <w:sz w:val="13"/>
                <w:szCs w:val="13"/>
                <w:color w:val="auto"/>
              </w:rPr>
              <w:t>S + 7.25%</w:t>
            </w:r>
          </w:p>
        </w:tc>
        <w:tc>
          <w:tcPr>
            <w:tcW w:w="1460" w:type="dxa"/>
            <w:vAlign w:val="bottom"/>
          </w:tcPr>
          <w:p>
            <w:pPr>
              <w:jc w:val="right"/>
              <w:ind w:right="78"/>
              <w:spacing w:after="0" w:line="117" w:lineRule="exact"/>
              <w:rPr>
                <w:sz w:val="20"/>
                <w:szCs w:val="20"/>
                <w:color w:val="auto"/>
              </w:rPr>
            </w:pPr>
            <w:r>
              <w:rPr>
                <w:rFonts w:ascii="Times New Roman" w:cs="Times New Roman" w:eastAsia="Times New Roman" w:hAnsi="Times New Roman"/>
                <w:sz w:val="13"/>
                <w:szCs w:val="13"/>
                <w:color w:val="auto"/>
              </w:rPr>
              <w:t>10.98%</w:t>
            </w:r>
          </w:p>
        </w:tc>
        <w:tc>
          <w:tcPr>
            <w:tcW w:w="88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95,988</w:t>
            </w:r>
          </w:p>
        </w:tc>
        <w:tc>
          <w:tcPr>
            <w:tcW w:w="12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102,800</w:t>
            </w:r>
          </w:p>
        </w:tc>
        <w:tc>
          <w:tcPr>
            <w:tcW w:w="118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2.5%</w:t>
            </w:r>
          </w:p>
        </w:tc>
        <w:tc>
          <w:tcPr>
            <w:tcW w:w="0" w:type="dxa"/>
            <w:vAlign w:val="bottom"/>
          </w:tcPr>
          <w:p>
            <w:pPr>
              <w:spacing w:after="0"/>
              <w:rPr>
                <w:sz w:val="1"/>
                <w:szCs w:val="1"/>
                <w:color w:val="auto"/>
              </w:rPr>
            </w:pPr>
          </w:p>
        </w:tc>
      </w:tr>
      <w:tr>
        <w:trPr>
          <w:trHeight w:val="153"/>
        </w:trPr>
        <w:tc>
          <w:tcPr>
            <w:tcW w:w="186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(GBP 76,429)</w:t>
            </w:r>
          </w:p>
        </w:tc>
        <w:tc>
          <w:tcPr>
            <w:tcW w:w="20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1860" w:type="dxa"/>
            <w:vAlign w:val="bottom"/>
            <w:shd w:val="clear" w:color="auto" w:fill="CFF0FC"/>
          </w:tcPr>
          <w:p>
            <w:pPr>
              <w:spacing w:after="0"/>
              <w:rPr>
                <w:sz w:val="11"/>
                <w:szCs w:val="11"/>
                <w:color w:val="auto"/>
              </w:rPr>
            </w:pPr>
          </w:p>
        </w:tc>
        <w:tc>
          <w:tcPr>
            <w:tcW w:w="26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46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509,622</w:t>
            </w:r>
          </w:p>
        </w:tc>
        <w:tc>
          <w:tcPr>
            <w:tcW w:w="122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550,214</w:t>
            </w:r>
          </w:p>
        </w:tc>
        <w:tc>
          <w:tcPr>
            <w:tcW w:w="1180" w:type="dxa"/>
            <w:vAlign w:val="bottom"/>
            <w:gridSpan w:val="3"/>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13.2%</w:t>
            </w:r>
          </w:p>
        </w:tc>
        <w:tc>
          <w:tcPr>
            <w:tcW w:w="0" w:type="dxa"/>
            <w:vAlign w:val="bottom"/>
          </w:tcPr>
          <w:p>
            <w:pPr>
              <w:spacing w:after="0"/>
              <w:rPr>
                <w:sz w:val="1"/>
                <w:szCs w:val="1"/>
                <w:color w:val="auto"/>
              </w:rPr>
            </w:pPr>
          </w:p>
        </w:tc>
      </w:tr>
      <w:tr>
        <w:trPr>
          <w:trHeight w:val="129"/>
        </w:trPr>
        <w:tc>
          <w:tcPr>
            <w:tcW w:w="186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Real Estate</w:t>
            </w:r>
          </w:p>
        </w:tc>
        <w:tc>
          <w:tcPr>
            <w:tcW w:w="2640" w:type="dxa"/>
            <w:vAlign w:val="bottom"/>
            <w:tcBorders>
              <w:top w:val="single" w:sz="8" w:color="CFF0FC"/>
            </w:tcBorders>
          </w:tcPr>
          <w:p>
            <w:pPr>
              <w:spacing w:after="0"/>
              <w:rPr>
                <w:sz w:val="11"/>
                <w:szCs w:val="11"/>
                <w:color w:val="auto"/>
              </w:rPr>
            </w:pPr>
          </w:p>
        </w:tc>
        <w:tc>
          <w:tcPr>
            <w:tcW w:w="880" w:type="dxa"/>
            <w:vAlign w:val="bottom"/>
            <w:tcBorders>
              <w:top w:val="single" w:sz="8" w:color="CFF0FC"/>
            </w:tcBorders>
          </w:tcPr>
          <w:p>
            <w:pPr>
              <w:spacing w:after="0"/>
              <w:rPr>
                <w:sz w:val="11"/>
                <w:szCs w:val="11"/>
                <w:color w:val="auto"/>
              </w:rPr>
            </w:pPr>
          </w:p>
        </w:tc>
        <w:tc>
          <w:tcPr>
            <w:tcW w:w="1120" w:type="dxa"/>
            <w:vAlign w:val="bottom"/>
            <w:tcBorders>
              <w:top w:val="single" w:sz="8" w:color="CFF0FC"/>
            </w:tcBorders>
          </w:tcPr>
          <w:p>
            <w:pPr>
              <w:spacing w:after="0"/>
              <w:rPr>
                <w:sz w:val="11"/>
                <w:szCs w:val="11"/>
                <w:color w:val="auto"/>
              </w:rPr>
            </w:pPr>
          </w:p>
        </w:tc>
        <w:tc>
          <w:tcPr>
            <w:tcW w:w="1460" w:type="dxa"/>
            <w:vAlign w:val="bottom"/>
            <w:tcBorders>
              <w:top w:val="single" w:sz="8" w:color="CFF0FC"/>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86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0"/>
                <w:szCs w:val="10"/>
                <w:color w:val="auto"/>
              </w:rPr>
              <w:t xml:space="preserve">Cirrus (BidCo) Limited </w:t>
            </w:r>
            <w:r>
              <w:rPr>
                <w:rFonts w:ascii="Times New Roman" w:cs="Times New Roman" w:eastAsia="Times New Roman" w:hAnsi="Times New Roman"/>
                <w:sz w:val="13"/>
                <w:szCs w:val="13"/>
                <w:color w:val="auto"/>
                <w:vertAlign w:val="superscript"/>
              </w:rPr>
              <w:t>(3)(4)(5)</w:t>
            </w:r>
          </w:p>
        </w:tc>
        <w:tc>
          <w:tcPr>
            <w:tcW w:w="2640" w:type="dxa"/>
            <w:vAlign w:val="bottom"/>
            <w:shd w:val="clear" w:color="auto" w:fill="CFF0FC"/>
          </w:tcPr>
          <w:p>
            <w:pPr>
              <w:ind w:left="80"/>
              <w:spacing w:after="0" w:line="117" w:lineRule="exact"/>
              <w:rPr>
                <w:sz w:val="20"/>
                <w:szCs w:val="20"/>
                <w:color w:val="auto"/>
              </w:rPr>
            </w:pPr>
            <w:r>
              <w:rPr>
                <w:rFonts w:ascii="Times New Roman" w:cs="Times New Roman" w:eastAsia="Times New Roman" w:hAnsi="Times New Roman"/>
                <w:sz w:val="13"/>
                <w:szCs w:val="13"/>
                <w:color w:val="auto"/>
              </w:rPr>
              <w:t>First-lien loan (GBP 698 par, due 8/2030)</w:t>
            </w:r>
          </w:p>
        </w:tc>
        <w:tc>
          <w:tcPr>
            <w:tcW w:w="880" w:type="dxa"/>
            <w:vAlign w:val="bottom"/>
            <w:shd w:val="clear" w:color="auto" w:fill="CFF0FC"/>
          </w:tcPr>
          <w:p>
            <w:pPr>
              <w:jc w:val="right"/>
              <w:ind w:right="18"/>
              <w:spacing w:after="0" w:line="117" w:lineRule="exact"/>
              <w:rPr>
                <w:sz w:val="20"/>
                <w:szCs w:val="20"/>
                <w:color w:val="auto"/>
              </w:rPr>
            </w:pPr>
            <w:r>
              <w:rPr>
                <w:rFonts w:ascii="Times New Roman" w:cs="Times New Roman" w:eastAsia="Times New Roman" w:hAnsi="Times New Roman"/>
                <w:sz w:val="13"/>
                <w:szCs w:val="13"/>
                <w:color w:val="auto"/>
              </w:rPr>
              <w:t>8/9/2024</w:t>
            </w:r>
          </w:p>
        </w:tc>
        <w:tc>
          <w:tcPr>
            <w:tcW w:w="1120" w:type="dxa"/>
            <w:vAlign w:val="bottom"/>
            <w:shd w:val="clear" w:color="auto" w:fill="CFF0FC"/>
          </w:tcPr>
          <w:p>
            <w:pPr>
              <w:jc w:val="right"/>
              <w:ind w:right="198"/>
              <w:spacing w:after="0" w:line="117" w:lineRule="exact"/>
              <w:rPr>
                <w:sz w:val="20"/>
                <w:szCs w:val="20"/>
                <w:color w:val="auto"/>
              </w:rPr>
            </w:pPr>
            <w:r>
              <w:rPr>
                <w:rFonts w:ascii="Times New Roman" w:cs="Times New Roman" w:eastAsia="Times New Roman" w:hAnsi="Times New Roman"/>
                <w:sz w:val="13"/>
                <w:szCs w:val="13"/>
                <w:color w:val="auto"/>
              </w:rPr>
              <w:t>S + 5.25%</w:t>
            </w:r>
          </w:p>
        </w:tc>
        <w:tc>
          <w:tcPr>
            <w:tcW w:w="1460" w:type="dxa"/>
            <w:vAlign w:val="bottom"/>
            <w:shd w:val="clear" w:color="auto" w:fill="CFF0FC"/>
          </w:tcPr>
          <w:p>
            <w:pPr>
              <w:jc w:val="right"/>
              <w:ind w:right="78"/>
              <w:spacing w:after="0" w:line="117" w:lineRule="exact"/>
              <w:rPr>
                <w:sz w:val="20"/>
                <w:szCs w:val="20"/>
                <w:color w:val="auto"/>
              </w:rPr>
            </w:pPr>
            <w:r>
              <w:rPr>
                <w:rFonts w:ascii="Times New Roman" w:cs="Times New Roman" w:eastAsia="Times New Roman" w:hAnsi="Times New Roman"/>
                <w:sz w:val="13"/>
                <w:szCs w:val="13"/>
                <w:color w:val="auto"/>
              </w:rPr>
              <w:t>8.98%</w:t>
            </w:r>
          </w:p>
        </w:tc>
        <w:tc>
          <w:tcPr>
            <w:tcW w:w="88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871</w:t>
            </w:r>
          </w:p>
        </w:tc>
        <w:tc>
          <w:tcPr>
            <w:tcW w:w="122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939</w:t>
            </w:r>
          </w:p>
        </w:tc>
        <w:tc>
          <w:tcPr>
            <w:tcW w:w="1180" w:type="dxa"/>
            <w:vAlign w:val="bottom"/>
            <w:gridSpan w:val="3"/>
            <w:shd w:val="clear" w:color="auto" w:fill="CFF0FC"/>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0.0%</w:t>
            </w:r>
          </w:p>
        </w:tc>
        <w:tc>
          <w:tcPr>
            <w:tcW w:w="0" w:type="dxa"/>
            <w:vAlign w:val="bottom"/>
          </w:tcPr>
          <w:p>
            <w:pPr>
              <w:spacing w:after="0"/>
              <w:rPr>
                <w:sz w:val="1"/>
                <w:szCs w:val="1"/>
                <w:color w:val="auto"/>
              </w:rPr>
            </w:pPr>
          </w:p>
        </w:tc>
      </w:tr>
      <w:tr>
        <w:trPr>
          <w:trHeight w:val="153"/>
        </w:trPr>
        <w:tc>
          <w:tcPr>
            <w:tcW w:w="1860" w:type="dxa"/>
            <w:vAlign w:val="bottom"/>
            <w:shd w:val="clear" w:color="auto" w:fill="CFF0FC"/>
          </w:tcPr>
          <w:p>
            <w:pPr>
              <w:spacing w:after="0"/>
              <w:rPr>
                <w:sz w:val="13"/>
                <w:szCs w:val="13"/>
                <w:color w:val="auto"/>
              </w:rPr>
            </w:pPr>
          </w:p>
        </w:tc>
        <w:tc>
          <w:tcPr>
            <w:tcW w:w="26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4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(GBP 698)</w:t>
            </w:r>
          </w:p>
        </w:tc>
        <w:tc>
          <w:tcPr>
            <w:tcW w:w="2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86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Retail and Consumer Products</w:t>
            </w:r>
          </w:p>
        </w:tc>
        <w:tc>
          <w:tcPr>
            <w:tcW w:w="2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86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vertAlign w:val="subscript"/>
              </w:rPr>
              <w:t>Acosta</w:t>
            </w:r>
            <w:r>
              <w:rPr>
                <w:rFonts w:ascii="Times New Roman" w:cs="Times New Roman" w:eastAsia="Times New Roman" w:hAnsi="Times New Roman"/>
                <w:sz w:val="6"/>
                <w:szCs w:val="6"/>
                <w:color w:val="auto"/>
              </w:rPr>
              <w:t xml:space="preserve"> (3)(12)</w:t>
            </w:r>
          </w:p>
        </w:tc>
        <w:tc>
          <w:tcPr>
            <w:tcW w:w="2640" w:type="dxa"/>
            <w:vAlign w:val="bottom"/>
            <w:shd w:val="clear" w:color="auto" w:fill="CFF0FC"/>
          </w:tcPr>
          <w:p>
            <w:pPr>
              <w:ind w:left="80"/>
              <w:spacing w:after="0" w:line="117" w:lineRule="exact"/>
              <w:rPr>
                <w:sz w:val="20"/>
                <w:szCs w:val="20"/>
                <w:color w:val="auto"/>
              </w:rPr>
            </w:pPr>
            <w:r>
              <w:rPr>
                <w:rFonts w:ascii="Times New Roman" w:cs="Times New Roman" w:eastAsia="Times New Roman" w:hAnsi="Times New Roman"/>
                <w:sz w:val="13"/>
                <w:szCs w:val="13"/>
                <w:color w:val="auto"/>
              </w:rPr>
              <w:t>First-lien loan ($194,460 par, due 8/2031)</w:t>
            </w:r>
          </w:p>
        </w:tc>
        <w:tc>
          <w:tcPr>
            <w:tcW w:w="880" w:type="dxa"/>
            <w:vAlign w:val="bottom"/>
            <w:shd w:val="clear" w:color="auto" w:fill="CFF0FC"/>
          </w:tcPr>
          <w:p>
            <w:pPr>
              <w:jc w:val="right"/>
              <w:ind w:right="18"/>
              <w:spacing w:after="0" w:line="117" w:lineRule="exact"/>
              <w:rPr>
                <w:sz w:val="20"/>
                <w:szCs w:val="20"/>
                <w:color w:val="auto"/>
              </w:rPr>
            </w:pPr>
            <w:r>
              <w:rPr>
                <w:rFonts w:ascii="Times New Roman" w:cs="Times New Roman" w:eastAsia="Times New Roman" w:hAnsi="Times New Roman"/>
                <w:sz w:val="13"/>
                <w:szCs w:val="13"/>
                <w:color w:val="auto"/>
              </w:rPr>
              <w:t>8/20/2024</w:t>
            </w:r>
          </w:p>
        </w:tc>
        <w:tc>
          <w:tcPr>
            <w:tcW w:w="1120" w:type="dxa"/>
            <w:vAlign w:val="bottom"/>
            <w:shd w:val="clear" w:color="auto" w:fill="CFF0FC"/>
          </w:tcPr>
          <w:p>
            <w:pPr>
              <w:jc w:val="right"/>
              <w:ind w:right="218"/>
              <w:spacing w:after="0" w:line="117" w:lineRule="exact"/>
              <w:rPr>
                <w:sz w:val="20"/>
                <w:szCs w:val="20"/>
                <w:color w:val="auto"/>
              </w:rPr>
            </w:pPr>
            <w:r>
              <w:rPr>
                <w:rFonts w:ascii="Times New Roman" w:cs="Times New Roman" w:eastAsia="Times New Roman" w:hAnsi="Times New Roman"/>
                <w:sz w:val="13"/>
                <w:szCs w:val="13"/>
                <w:color w:val="auto"/>
              </w:rPr>
              <w:t>SOFR +</w:t>
            </w:r>
          </w:p>
        </w:tc>
        <w:tc>
          <w:tcPr>
            <w:tcW w:w="1460" w:type="dxa"/>
            <w:vAlign w:val="bottom"/>
            <w:shd w:val="clear" w:color="auto" w:fill="CFF0FC"/>
          </w:tcPr>
          <w:p>
            <w:pPr>
              <w:jc w:val="right"/>
              <w:ind w:right="78"/>
              <w:spacing w:after="0" w:line="117" w:lineRule="exact"/>
              <w:rPr>
                <w:sz w:val="20"/>
                <w:szCs w:val="20"/>
                <w:color w:val="auto"/>
              </w:rPr>
            </w:pPr>
            <w:r>
              <w:rPr>
                <w:rFonts w:ascii="Times New Roman" w:cs="Times New Roman" w:eastAsia="Times New Roman" w:hAnsi="Times New Roman"/>
                <w:sz w:val="13"/>
                <w:szCs w:val="13"/>
                <w:color w:val="auto"/>
              </w:rPr>
              <w:t>9.22%</w:t>
            </w:r>
          </w:p>
        </w:tc>
        <w:tc>
          <w:tcPr>
            <w:tcW w:w="88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190,978</w:t>
            </w:r>
          </w:p>
        </w:tc>
        <w:tc>
          <w:tcPr>
            <w:tcW w:w="122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189,923</w:t>
            </w:r>
          </w:p>
        </w:tc>
        <w:tc>
          <w:tcPr>
            <w:tcW w:w="1180" w:type="dxa"/>
            <w:vAlign w:val="bottom"/>
            <w:gridSpan w:val="3"/>
            <w:shd w:val="clear" w:color="auto" w:fill="CFF0FC"/>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4.6%</w:t>
            </w:r>
          </w:p>
        </w:tc>
        <w:tc>
          <w:tcPr>
            <w:tcW w:w="0" w:type="dxa"/>
            <w:vAlign w:val="bottom"/>
          </w:tcPr>
          <w:p>
            <w:pPr>
              <w:spacing w:after="0"/>
              <w:rPr>
                <w:sz w:val="1"/>
                <w:szCs w:val="1"/>
                <w:color w:val="auto"/>
              </w:rPr>
            </w:pPr>
          </w:p>
        </w:tc>
      </w:tr>
      <w:tr>
        <w:trPr>
          <w:trHeight w:val="153"/>
        </w:trPr>
        <w:tc>
          <w:tcPr>
            <w:tcW w:w="1860" w:type="dxa"/>
            <w:vAlign w:val="bottom"/>
            <w:shd w:val="clear" w:color="auto" w:fill="CFF0FC"/>
          </w:tcPr>
          <w:p>
            <w:pPr>
              <w:spacing w:after="0"/>
              <w:rPr>
                <w:sz w:val="13"/>
                <w:szCs w:val="13"/>
                <w:color w:val="auto"/>
              </w:rPr>
            </w:pPr>
          </w:p>
        </w:tc>
        <w:tc>
          <w:tcPr>
            <w:tcW w:w="26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12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13"/>
                <w:szCs w:val="13"/>
                <w:color w:val="auto"/>
              </w:rPr>
              <w:t>5.60%</w:t>
            </w:r>
          </w:p>
        </w:tc>
        <w:tc>
          <w:tcPr>
            <w:tcW w:w="14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860" w:type="dxa"/>
            <w:vAlign w:val="bottom"/>
          </w:tcPr>
          <w:p>
            <w:pPr>
              <w:spacing w:after="0" w:line="117" w:lineRule="exact"/>
              <w:rPr>
                <w:sz w:val="20"/>
                <w:szCs w:val="20"/>
                <w:color w:val="auto"/>
              </w:rPr>
            </w:pPr>
            <w:r>
              <w:rPr>
                <w:rFonts w:ascii="Times New Roman" w:cs="Times New Roman" w:eastAsia="Times New Roman" w:hAnsi="Times New Roman"/>
                <w:sz w:val="10"/>
                <w:szCs w:val="10"/>
                <w:color w:val="auto"/>
              </w:rPr>
              <w:t xml:space="preserve">Bed Bath and Beyond Inc. </w:t>
            </w:r>
            <w:r>
              <w:rPr>
                <w:rFonts w:ascii="Times New Roman" w:cs="Times New Roman" w:eastAsia="Times New Roman" w:hAnsi="Times New Roman"/>
                <w:sz w:val="13"/>
                <w:szCs w:val="13"/>
                <w:color w:val="auto"/>
                <w:vertAlign w:val="superscript"/>
              </w:rPr>
              <w:t>(3)(11)</w:t>
            </w:r>
          </w:p>
        </w:tc>
        <w:tc>
          <w:tcPr>
            <w:tcW w:w="2640" w:type="dxa"/>
            <w:vAlign w:val="bottom"/>
          </w:tcPr>
          <w:p>
            <w:pPr>
              <w:ind w:left="80"/>
              <w:spacing w:after="0" w:line="117" w:lineRule="exact"/>
              <w:rPr>
                <w:sz w:val="20"/>
                <w:szCs w:val="20"/>
                <w:color w:val="auto"/>
              </w:rPr>
            </w:pPr>
            <w:r>
              <w:rPr>
                <w:rFonts w:ascii="Times New Roman" w:cs="Times New Roman" w:eastAsia="Times New Roman" w:hAnsi="Times New Roman"/>
                <w:sz w:val="13"/>
                <w:szCs w:val="13"/>
                <w:color w:val="auto"/>
              </w:rPr>
              <w:t>ABL FILO term loan ($10,746 par, due</w:t>
            </w:r>
          </w:p>
        </w:tc>
        <w:tc>
          <w:tcPr>
            <w:tcW w:w="880" w:type="dxa"/>
            <w:vAlign w:val="bottom"/>
          </w:tcPr>
          <w:p>
            <w:pPr>
              <w:jc w:val="right"/>
              <w:ind w:right="18"/>
              <w:spacing w:after="0" w:line="117" w:lineRule="exact"/>
              <w:rPr>
                <w:sz w:val="20"/>
                <w:szCs w:val="20"/>
                <w:color w:val="auto"/>
              </w:rPr>
            </w:pPr>
            <w:r>
              <w:rPr>
                <w:rFonts w:ascii="Times New Roman" w:cs="Times New Roman" w:eastAsia="Times New Roman" w:hAnsi="Times New Roman"/>
                <w:sz w:val="13"/>
                <w:szCs w:val="13"/>
                <w:color w:val="auto"/>
              </w:rPr>
              <w:t>9/2/2022</w:t>
            </w:r>
          </w:p>
        </w:tc>
        <w:tc>
          <w:tcPr>
            <w:tcW w:w="1120" w:type="dxa"/>
            <w:vAlign w:val="bottom"/>
          </w:tcPr>
          <w:p>
            <w:pPr>
              <w:jc w:val="right"/>
              <w:ind w:right="218"/>
              <w:spacing w:after="0" w:line="117" w:lineRule="exact"/>
              <w:rPr>
                <w:sz w:val="20"/>
                <w:szCs w:val="20"/>
                <w:color w:val="auto"/>
              </w:rPr>
            </w:pPr>
            <w:r>
              <w:rPr>
                <w:rFonts w:ascii="Times New Roman" w:cs="Times New Roman" w:eastAsia="Times New Roman" w:hAnsi="Times New Roman"/>
                <w:sz w:val="13"/>
                <w:szCs w:val="13"/>
                <w:color w:val="auto"/>
              </w:rPr>
              <w:t>SOFR +</w:t>
            </w:r>
          </w:p>
        </w:tc>
        <w:tc>
          <w:tcPr>
            <w:tcW w:w="1460" w:type="dxa"/>
            <w:vAlign w:val="bottom"/>
          </w:tcPr>
          <w:p>
            <w:pPr>
              <w:jc w:val="right"/>
              <w:ind w:right="78"/>
              <w:spacing w:after="0" w:line="117" w:lineRule="exact"/>
              <w:rPr>
                <w:sz w:val="20"/>
                <w:szCs w:val="20"/>
                <w:color w:val="auto"/>
              </w:rPr>
            </w:pPr>
            <w:r>
              <w:rPr>
                <w:rFonts w:ascii="Times New Roman" w:cs="Times New Roman" w:eastAsia="Times New Roman" w:hAnsi="Times New Roman"/>
                <w:sz w:val="13"/>
                <w:szCs w:val="13"/>
                <w:color w:val="auto"/>
              </w:rPr>
              <w:t>13.62%</w:t>
            </w:r>
          </w:p>
        </w:tc>
        <w:tc>
          <w:tcPr>
            <w:tcW w:w="88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10,645</w:t>
            </w:r>
          </w:p>
        </w:tc>
        <w:tc>
          <w:tcPr>
            <w:tcW w:w="12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8,651</w:t>
            </w:r>
          </w:p>
        </w:tc>
        <w:tc>
          <w:tcPr>
            <w:tcW w:w="118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0.2%</w:t>
            </w:r>
          </w:p>
        </w:tc>
        <w:tc>
          <w:tcPr>
            <w:tcW w:w="0" w:type="dxa"/>
            <w:vAlign w:val="bottom"/>
          </w:tcPr>
          <w:p>
            <w:pPr>
              <w:spacing w:after="0"/>
              <w:rPr>
                <w:sz w:val="1"/>
                <w:szCs w:val="1"/>
                <w:color w:val="auto"/>
              </w:rPr>
            </w:pPr>
          </w:p>
        </w:tc>
      </w:tr>
      <w:tr>
        <w:trPr>
          <w:trHeight w:val="153"/>
        </w:trPr>
        <w:tc>
          <w:tcPr>
            <w:tcW w:w="1860" w:type="dxa"/>
            <w:vAlign w:val="bottom"/>
          </w:tcPr>
          <w:p>
            <w:pPr>
              <w:spacing w:after="0"/>
              <w:rPr>
                <w:sz w:val="13"/>
                <w:szCs w:val="13"/>
                <w:color w:val="auto"/>
              </w:rPr>
            </w:pPr>
          </w:p>
        </w:tc>
        <w:tc>
          <w:tcPr>
            <w:tcW w:w="26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8/2027)</w:t>
            </w:r>
          </w:p>
        </w:tc>
        <w:tc>
          <w:tcPr>
            <w:tcW w:w="880" w:type="dxa"/>
            <w:vAlign w:val="bottom"/>
          </w:tcPr>
          <w:p>
            <w:pPr>
              <w:spacing w:after="0"/>
              <w:rPr>
                <w:sz w:val="13"/>
                <w:szCs w:val="13"/>
                <w:color w:val="auto"/>
              </w:rPr>
            </w:pPr>
          </w:p>
        </w:tc>
        <w:tc>
          <w:tcPr>
            <w:tcW w:w="1120" w:type="dxa"/>
            <w:vAlign w:val="bottom"/>
          </w:tcPr>
          <w:p>
            <w:pPr>
              <w:jc w:val="right"/>
              <w:ind w:right="198"/>
              <w:spacing w:after="0"/>
              <w:rPr>
                <w:sz w:val="20"/>
                <w:szCs w:val="20"/>
                <w:color w:val="auto"/>
              </w:rPr>
            </w:pPr>
            <w:r>
              <w:rPr>
                <w:rFonts w:ascii="Times New Roman" w:cs="Times New Roman" w:eastAsia="Times New Roman" w:hAnsi="Times New Roman"/>
                <w:sz w:val="13"/>
                <w:szCs w:val="13"/>
                <w:color w:val="auto"/>
              </w:rPr>
              <w:t>9.90%</w:t>
            </w:r>
          </w:p>
        </w:tc>
        <w:tc>
          <w:tcPr>
            <w:tcW w:w="14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860" w:type="dxa"/>
            <w:vAlign w:val="bottom"/>
            <w:shd w:val="clear" w:color="auto" w:fill="CFF0FC"/>
          </w:tcPr>
          <w:p>
            <w:pPr>
              <w:spacing w:after="0"/>
              <w:rPr>
                <w:sz w:val="10"/>
                <w:szCs w:val="10"/>
                <w:color w:val="auto"/>
              </w:rPr>
            </w:pPr>
          </w:p>
        </w:tc>
        <w:tc>
          <w:tcPr>
            <w:tcW w:w="2640" w:type="dxa"/>
            <w:vAlign w:val="bottom"/>
            <w:shd w:val="clear" w:color="auto" w:fill="CFF0FC"/>
          </w:tcPr>
          <w:p>
            <w:pPr>
              <w:ind w:left="80"/>
              <w:spacing w:after="0" w:line="117" w:lineRule="exact"/>
              <w:rPr>
                <w:sz w:val="20"/>
                <w:szCs w:val="20"/>
                <w:color w:val="auto"/>
              </w:rPr>
            </w:pPr>
            <w:r>
              <w:rPr>
                <w:rFonts w:ascii="Times New Roman" w:cs="Times New Roman" w:eastAsia="Times New Roman" w:hAnsi="Times New Roman"/>
                <w:sz w:val="13"/>
                <w:szCs w:val="13"/>
                <w:color w:val="auto"/>
              </w:rPr>
              <w:t>Roll Up DIP term loan ($45,919 par)</w:t>
            </w:r>
          </w:p>
        </w:tc>
        <w:tc>
          <w:tcPr>
            <w:tcW w:w="880" w:type="dxa"/>
            <w:vAlign w:val="bottom"/>
            <w:shd w:val="clear" w:color="auto" w:fill="CFF0FC"/>
          </w:tcPr>
          <w:p>
            <w:pPr>
              <w:jc w:val="right"/>
              <w:ind w:right="18"/>
              <w:spacing w:after="0" w:line="117" w:lineRule="exact"/>
              <w:rPr>
                <w:sz w:val="20"/>
                <w:szCs w:val="20"/>
                <w:color w:val="auto"/>
              </w:rPr>
            </w:pPr>
            <w:r>
              <w:rPr>
                <w:rFonts w:ascii="Times New Roman" w:cs="Times New Roman" w:eastAsia="Times New Roman" w:hAnsi="Times New Roman"/>
                <w:sz w:val="13"/>
                <w:szCs w:val="13"/>
                <w:color w:val="auto"/>
              </w:rPr>
              <w:t>4/24/2023</w:t>
            </w:r>
          </w:p>
        </w:tc>
        <w:tc>
          <w:tcPr>
            <w:tcW w:w="1120" w:type="dxa"/>
            <w:vAlign w:val="bottom"/>
            <w:shd w:val="clear" w:color="auto" w:fill="CFF0FC"/>
          </w:tcPr>
          <w:p>
            <w:pPr>
              <w:jc w:val="right"/>
              <w:ind w:right="218"/>
              <w:spacing w:after="0" w:line="117" w:lineRule="exact"/>
              <w:rPr>
                <w:sz w:val="20"/>
                <w:szCs w:val="20"/>
                <w:color w:val="auto"/>
              </w:rPr>
            </w:pPr>
            <w:r>
              <w:rPr>
                <w:rFonts w:ascii="Times New Roman" w:cs="Times New Roman" w:eastAsia="Times New Roman" w:hAnsi="Times New Roman"/>
                <w:sz w:val="13"/>
                <w:szCs w:val="13"/>
                <w:color w:val="auto"/>
              </w:rPr>
              <w:t>SOFR +</w:t>
            </w:r>
          </w:p>
        </w:tc>
        <w:tc>
          <w:tcPr>
            <w:tcW w:w="1460" w:type="dxa"/>
            <w:vAlign w:val="bottom"/>
            <w:shd w:val="clear" w:color="auto" w:fill="CFF0FC"/>
          </w:tcPr>
          <w:p>
            <w:pPr>
              <w:jc w:val="right"/>
              <w:ind w:right="198"/>
              <w:spacing w:after="0" w:line="117" w:lineRule="exact"/>
              <w:rPr>
                <w:sz w:val="20"/>
                <w:szCs w:val="20"/>
                <w:color w:val="auto"/>
              </w:rPr>
            </w:pPr>
            <w:r>
              <w:rPr>
                <w:rFonts w:ascii="Times New Roman" w:cs="Times New Roman" w:eastAsia="Times New Roman" w:hAnsi="Times New Roman"/>
                <w:sz w:val="13"/>
                <w:szCs w:val="13"/>
                <w:color w:val="auto"/>
              </w:rPr>
              <w:t>11.62% PIK</w:t>
            </w:r>
          </w:p>
        </w:tc>
        <w:tc>
          <w:tcPr>
            <w:tcW w:w="88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45,919</w:t>
            </w:r>
          </w:p>
        </w:tc>
        <w:tc>
          <w:tcPr>
            <w:tcW w:w="122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36,965</w:t>
            </w:r>
          </w:p>
        </w:tc>
        <w:tc>
          <w:tcPr>
            <w:tcW w:w="1180" w:type="dxa"/>
            <w:vAlign w:val="bottom"/>
            <w:gridSpan w:val="3"/>
            <w:shd w:val="clear" w:color="auto" w:fill="CFF0FC"/>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0.9%</w:t>
            </w:r>
          </w:p>
        </w:tc>
        <w:tc>
          <w:tcPr>
            <w:tcW w:w="0" w:type="dxa"/>
            <w:vAlign w:val="bottom"/>
          </w:tcPr>
          <w:p>
            <w:pPr>
              <w:spacing w:after="0"/>
              <w:rPr>
                <w:sz w:val="1"/>
                <w:szCs w:val="1"/>
                <w:color w:val="auto"/>
              </w:rPr>
            </w:pPr>
          </w:p>
        </w:tc>
      </w:tr>
      <w:tr>
        <w:trPr>
          <w:trHeight w:val="153"/>
        </w:trPr>
        <w:tc>
          <w:tcPr>
            <w:tcW w:w="1860" w:type="dxa"/>
            <w:vAlign w:val="bottom"/>
            <w:shd w:val="clear" w:color="auto" w:fill="CFF0FC"/>
          </w:tcPr>
          <w:p>
            <w:pPr>
              <w:spacing w:after="0"/>
              <w:rPr>
                <w:sz w:val="13"/>
                <w:szCs w:val="13"/>
                <w:color w:val="auto"/>
              </w:rPr>
            </w:pPr>
          </w:p>
        </w:tc>
        <w:tc>
          <w:tcPr>
            <w:tcW w:w="26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12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13"/>
                <w:szCs w:val="13"/>
                <w:color w:val="auto"/>
              </w:rPr>
              <w:t>7.90%</w:t>
            </w:r>
          </w:p>
        </w:tc>
        <w:tc>
          <w:tcPr>
            <w:tcW w:w="14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860" w:type="dxa"/>
            <w:vAlign w:val="bottom"/>
          </w:tcPr>
          <w:p>
            <w:pPr>
              <w:spacing w:after="0"/>
              <w:rPr>
                <w:sz w:val="10"/>
                <w:szCs w:val="10"/>
                <w:color w:val="auto"/>
              </w:rPr>
            </w:pPr>
          </w:p>
        </w:tc>
        <w:tc>
          <w:tcPr>
            <w:tcW w:w="2640" w:type="dxa"/>
            <w:vAlign w:val="bottom"/>
          </w:tcPr>
          <w:p>
            <w:pPr>
              <w:ind w:left="80"/>
              <w:spacing w:after="0" w:line="117" w:lineRule="exact"/>
              <w:rPr>
                <w:sz w:val="20"/>
                <w:szCs w:val="20"/>
                <w:color w:val="auto"/>
              </w:rPr>
            </w:pPr>
            <w:r>
              <w:rPr>
                <w:rFonts w:ascii="Times New Roman" w:cs="Times New Roman" w:eastAsia="Times New Roman" w:hAnsi="Times New Roman"/>
                <w:sz w:val="13"/>
                <w:szCs w:val="13"/>
                <w:color w:val="auto"/>
              </w:rPr>
              <w:t>Super-Priority DIP term loan ($6,500 par)</w:t>
            </w:r>
          </w:p>
        </w:tc>
        <w:tc>
          <w:tcPr>
            <w:tcW w:w="880" w:type="dxa"/>
            <w:vAlign w:val="bottom"/>
          </w:tcPr>
          <w:p>
            <w:pPr>
              <w:jc w:val="right"/>
              <w:ind w:right="18"/>
              <w:spacing w:after="0" w:line="117" w:lineRule="exact"/>
              <w:rPr>
                <w:sz w:val="20"/>
                <w:szCs w:val="20"/>
                <w:color w:val="auto"/>
              </w:rPr>
            </w:pPr>
            <w:r>
              <w:rPr>
                <w:rFonts w:ascii="Times New Roman" w:cs="Times New Roman" w:eastAsia="Times New Roman" w:hAnsi="Times New Roman"/>
                <w:sz w:val="13"/>
                <w:szCs w:val="13"/>
                <w:color w:val="auto"/>
              </w:rPr>
              <w:t>4/24/2023</w:t>
            </w:r>
          </w:p>
        </w:tc>
        <w:tc>
          <w:tcPr>
            <w:tcW w:w="1120" w:type="dxa"/>
            <w:vAlign w:val="bottom"/>
          </w:tcPr>
          <w:p>
            <w:pPr>
              <w:jc w:val="right"/>
              <w:ind w:right="218"/>
              <w:spacing w:after="0" w:line="117" w:lineRule="exact"/>
              <w:rPr>
                <w:sz w:val="20"/>
                <w:szCs w:val="20"/>
                <w:color w:val="auto"/>
              </w:rPr>
            </w:pPr>
            <w:r>
              <w:rPr>
                <w:rFonts w:ascii="Times New Roman" w:cs="Times New Roman" w:eastAsia="Times New Roman" w:hAnsi="Times New Roman"/>
                <w:sz w:val="13"/>
                <w:szCs w:val="13"/>
                <w:color w:val="auto"/>
              </w:rPr>
              <w:t>SOFR +</w:t>
            </w:r>
          </w:p>
        </w:tc>
        <w:tc>
          <w:tcPr>
            <w:tcW w:w="1460" w:type="dxa"/>
            <w:vAlign w:val="bottom"/>
          </w:tcPr>
          <w:p>
            <w:pPr>
              <w:jc w:val="right"/>
              <w:ind w:right="78"/>
              <w:spacing w:after="0" w:line="117" w:lineRule="exact"/>
              <w:rPr>
                <w:sz w:val="20"/>
                <w:szCs w:val="20"/>
                <w:color w:val="auto"/>
              </w:rPr>
            </w:pPr>
            <w:r>
              <w:rPr>
                <w:rFonts w:ascii="Times New Roman" w:cs="Times New Roman" w:eastAsia="Times New Roman" w:hAnsi="Times New Roman"/>
                <w:sz w:val="13"/>
                <w:szCs w:val="13"/>
                <w:color w:val="auto"/>
              </w:rPr>
              <w:t>11.62%</w:t>
            </w:r>
          </w:p>
        </w:tc>
        <w:tc>
          <w:tcPr>
            <w:tcW w:w="88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6,500</w:t>
            </w:r>
          </w:p>
        </w:tc>
        <w:tc>
          <w:tcPr>
            <w:tcW w:w="12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5,232</w:t>
            </w:r>
          </w:p>
        </w:tc>
        <w:tc>
          <w:tcPr>
            <w:tcW w:w="118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53"/>
        </w:trPr>
        <w:tc>
          <w:tcPr>
            <w:tcW w:w="186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20" w:type="dxa"/>
            <w:vAlign w:val="bottom"/>
          </w:tcPr>
          <w:p>
            <w:pPr>
              <w:jc w:val="right"/>
              <w:ind w:right="198"/>
              <w:spacing w:after="0"/>
              <w:rPr>
                <w:sz w:val="20"/>
                <w:szCs w:val="20"/>
                <w:color w:val="auto"/>
              </w:rPr>
            </w:pPr>
            <w:r>
              <w:rPr>
                <w:rFonts w:ascii="Times New Roman" w:cs="Times New Roman" w:eastAsia="Times New Roman" w:hAnsi="Times New Roman"/>
                <w:sz w:val="13"/>
                <w:szCs w:val="13"/>
                <w:color w:val="auto"/>
              </w:rPr>
              <w:t>7.90%</w:t>
            </w:r>
          </w:p>
        </w:tc>
        <w:tc>
          <w:tcPr>
            <w:tcW w:w="14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86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0"/>
                <w:szCs w:val="10"/>
                <w:color w:val="auto"/>
              </w:rPr>
              <w:t xml:space="preserve">Belk, Inc. </w:t>
            </w:r>
            <w:r>
              <w:rPr>
                <w:rFonts w:ascii="Times New Roman" w:cs="Times New Roman" w:eastAsia="Times New Roman" w:hAnsi="Times New Roman"/>
                <w:sz w:val="13"/>
                <w:szCs w:val="13"/>
                <w:color w:val="auto"/>
                <w:vertAlign w:val="superscript"/>
              </w:rPr>
              <w:t>(3)</w:t>
            </w:r>
          </w:p>
        </w:tc>
        <w:tc>
          <w:tcPr>
            <w:tcW w:w="2640" w:type="dxa"/>
            <w:vAlign w:val="bottom"/>
            <w:shd w:val="clear" w:color="auto" w:fill="CFF0FC"/>
          </w:tcPr>
          <w:p>
            <w:pPr>
              <w:ind w:left="80"/>
              <w:spacing w:after="0" w:line="117" w:lineRule="exact"/>
              <w:rPr>
                <w:sz w:val="20"/>
                <w:szCs w:val="20"/>
                <w:color w:val="auto"/>
              </w:rPr>
            </w:pPr>
            <w:r>
              <w:rPr>
                <w:rFonts w:ascii="Times New Roman" w:cs="Times New Roman" w:eastAsia="Times New Roman" w:hAnsi="Times New Roman"/>
                <w:sz w:val="13"/>
                <w:szCs w:val="13"/>
                <w:color w:val="auto"/>
              </w:rPr>
              <w:t>First-lien loan ($182,813 par, due 7/2029)</w:t>
            </w:r>
          </w:p>
        </w:tc>
        <w:tc>
          <w:tcPr>
            <w:tcW w:w="880" w:type="dxa"/>
            <w:vAlign w:val="bottom"/>
            <w:shd w:val="clear" w:color="auto" w:fill="CFF0FC"/>
          </w:tcPr>
          <w:p>
            <w:pPr>
              <w:jc w:val="right"/>
              <w:ind w:right="18"/>
              <w:spacing w:after="0" w:line="117" w:lineRule="exact"/>
              <w:rPr>
                <w:sz w:val="20"/>
                <w:szCs w:val="20"/>
                <w:color w:val="auto"/>
              </w:rPr>
            </w:pPr>
            <w:r>
              <w:rPr>
                <w:rFonts w:ascii="Times New Roman" w:cs="Times New Roman" w:eastAsia="Times New Roman" w:hAnsi="Times New Roman"/>
                <w:sz w:val="13"/>
                <w:szCs w:val="13"/>
                <w:color w:val="auto"/>
              </w:rPr>
              <w:t>7/22/2024</w:t>
            </w:r>
          </w:p>
        </w:tc>
        <w:tc>
          <w:tcPr>
            <w:tcW w:w="1120" w:type="dxa"/>
            <w:vAlign w:val="bottom"/>
            <w:shd w:val="clear" w:color="auto" w:fill="CFF0FC"/>
          </w:tcPr>
          <w:p>
            <w:pPr>
              <w:jc w:val="right"/>
              <w:ind w:right="218"/>
              <w:spacing w:after="0" w:line="117" w:lineRule="exact"/>
              <w:rPr>
                <w:sz w:val="20"/>
                <w:szCs w:val="20"/>
                <w:color w:val="auto"/>
              </w:rPr>
            </w:pPr>
            <w:r>
              <w:rPr>
                <w:rFonts w:ascii="Times New Roman" w:cs="Times New Roman" w:eastAsia="Times New Roman" w:hAnsi="Times New Roman"/>
                <w:sz w:val="13"/>
                <w:szCs w:val="13"/>
                <w:color w:val="auto"/>
              </w:rPr>
              <w:t>SOFR +</w:t>
            </w:r>
          </w:p>
        </w:tc>
        <w:tc>
          <w:tcPr>
            <w:tcW w:w="1460" w:type="dxa"/>
            <w:vAlign w:val="bottom"/>
            <w:shd w:val="clear" w:color="auto" w:fill="CFF0FC"/>
          </w:tcPr>
          <w:p>
            <w:pPr>
              <w:jc w:val="right"/>
              <w:ind w:right="78"/>
              <w:spacing w:after="0" w:line="117" w:lineRule="exact"/>
              <w:rPr>
                <w:sz w:val="20"/>
                <w:szCs w:val="20"/>
                <w:color w:val="auto"/>
              </w:rPr>
            </w:pPr>
            <w:r>
              <w:rPr>
                <w:rFonts w:ascii="Times New Roman" w:cs="Times New Roman" w:eastAsia="Times New Roman" w:hAnsi="Times New Roman"/>
                <w:sz w:val="13"/>
                <w:szCs w:val="13"/>
                <w:color w:val="auto"/>
              </w:rPr>
              <w:t>10.82%</w:t>
            </w:r>
          </w:p>
        </w:tc>
        <w:tc>
          <w:tcPr>
            <w:tcW w:w="88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180,382</w:t>
            </w:r>
          </w:p>
        </w:tc>
        <w:tc>
          <w:tcPr>
            <w:tcW w:w="122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183,270</w:t>
            </w:r>
          </w:p>
        </w:tc>
        <w:tc>
          <w:tcPr>
            <w:tcW w:w="1180" w:type="dxa"/>
            <w:vAlign w:val="bottom"/>
            <w:gridSpan w:val="3"/>
            <w:shd w:val="clear" w:color="auto" w:fill="CFF0FC"/>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4.4%</w:t>
            </w:r>
          </w:p>
        </w:tc>
        <w:tc>
          <w:tcPr>
            <w:tcW w:w="0" w:type="dxa"/>
            <w:vAlign w:val="bottom"/>
          </w:tcPr>
          <w:p>
            <w:pPr>
              <w:spacing w:after="0"/>
              <w:rPr>
                <w:sz w:val="1"/>
                <w:szCs w:val="1"/>
                <w:color w:val="auto"/>
              </w:rPr>
            </w:pPr>
          </w:p>
        </w:tc>
      </w:tr>
      <w:tr>
        <w:trPr>
          <w:trHeight w:val="153"/>
        </w:trPr>
        <w:tc>
          <w:tcPr>
            <w:tcW w:w="1860" w:type="dxa"/>
            <w:vAlign w:val="bottom"/>
            <w:shd w:val="clear" w:color="auto" w:fill="CFF0FC"/>
          </w:tcPr>
          <w:p>
            <w:pPr>
              <w:spacing w:after="0"/>
              <w:rPr>
                <w:sz w:val="13"/>
                <w:szCs w:val="13"/>
                <w:color w:val="auto"/>
              </w:rPr>
            </w:pPr>
          </w:p>
        </w:tc>
        <w:tc>
          <w:tcPr>
            <w:tcW w:w="26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12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13"/>
                <w:szCs w:val="13"/>
                <w:color w:val="auto"/>
              </w:rPr>
              <w:t>7.00%</w:t>
            </w:r>
          </w:p>
        </w:tc>
        <w:tc>
          <w:tcPr>
            <w:tcW w:w="14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860" w:type="dxa"/>
            <w:vAlign w:val="bottom"/>
          </w:tcPr>
          <w:p>
            <w:pPr>
              <w:spacing w:after="0" w:line="117" w:lineRule="exact"/>
              <w:rPr>
                <w:sz w:val="20"/>
                <w:szCs w:val="20"/>
                <w:color w:val="auto"/>
              </w:rPr>
            </w:pPr>
            <w:r>
              <w:rPr>
                <w:rFonts w:ascii="Times New Roman" w:cs="Times New Roman" w:eastAsia="Times New Roman" w:hAnsi="Times New Roman"/>
                <w:sz w:val="10"/>
                <w:szCs w:val="10"/>
                <w:color w:val="auto"/>
              </w:rPr>
              <w:t xml:space="preserve">Blazing Star Parent, LLC </w:t>
            </w:r>
            <w:r>
              <w:rPr>
                <w:rFonts w:ascii="Times New Roman" w:cs="Times New Roman" w:eastAsia="Times New Roman" w:hAnsi="Times New Roman"/>
                <w:sz w:val="13"/>
                <w:szCs w:val="13"/>
                <w:color w:val="auto"/>
                <w:vertAlign w:val="superscript"/>
              </w:rPr>
              <w:t>(3)</w:t>
            </w:r>
          </w:p>
        </w:tc>
        <w:tc>
          <w:tcPr>
            <w:tcW w:w="2640" w:type="dxa"/>
            <w:vAlign w:val="bottom"/>
          </w:tcPr>
          <w:p>
            <w:pPr>
              <w:ind w:left="80"/>
              <w:spacing w:after="0" w:line="117" w:lineRule="exact"/>
              <w:rPr>
                <w:sz w:val="20"/>
                <w:szCs w:val="20"/>
                <w:color w:val="auto"/>
              </w:rPr>
            </w:pPr>
            <w:r>
              <w:rPr>
                <w:rFonts w:ascii="Times New Roman" w:cs="Times New Roman" w:eastAsia="Times New Roman" w:hAnsi="Times New Roman"/>
                <w:sz w:val="13"/>
                <w:szCs w:val="13"/>
                <w:color w:val="auto"/>
              </w:rPr>
              <w:t>First-lien loan ($198,750 par, due 8/2030)</w:t>
            </w:r>
          </w:p>
        </w:tc>
        <w:tc>
          <w:tcPr>
            <w:tcW w:w="880" w:type="dxa"/>
            <w:vAlign w:val="bottom"/>
          </w:tcPr>
          <w:p>
            <w:pPr>
              <w:jc w:val="right"/>
              <w:ind w:right="18"/>
              <w:spacing w:after="0" w:line="117" w:lineRule="exact"/>
              <w:rPr>
                <w:sz w:val="20"/>
                <w:szCs w:val="20"/>
                <w:color w:val="auto"/>
              </w:rPr>
            </w:pPr>
            <w:r>
              <w:rPr>
                <w:rFonts w:ascii="Times New Roman" w:cs="Times New Roman" w:eastAsia="Times New Roman" w:hAnsi="Times New Roman"/>
                <w:sz w:val="13"/>
                <w:szCs w:val="13"/>
                <w:color w:val="auto"/>
              </w:rPr>
              <w:t>8/28/2025</w:t>
            </w:r>
          </w:p>
        </w:tc>
        <w:tc>
          <w:tcPr>
            <w:tcW w:w="1120" w:type="dxa"/>
            <w:vAlign w:val="bottom"/>
          </w:tcPr>
          <w:p>
            <w:pPr>
              <w:jc w:val="right"/>
              <w:ind w:right="218"/>
              <w:spacing w:after="0" w:line="117" w:lineRule="exact"/>
              <w:rPr>
                <w:sz w:val="20"/>
                <w:szCs w:val="20"/>
                <w:color w:val="auto"/>
              </w:rPr>
            </w:pPr>
            <w:r>
              <w:rPr>
                <w:rFonts w:ascii="Times New Roman" w:cs="Times New Roman" w:eastAsia="Times New Roman" w:hAnsi="Times New Roman"/>
                <w:sz w:val="13"/>
                <w:szCs w:val="13"/>
                <w:color w:val="auto"/>
              </w:rPr>
              <w:t>SOFR +</w:t>
            </w:r>
          </w:p>
        </w:tc>
        <w:tc>
          <w:tcPr>
            <w:tcW w:w="1460" w:type="dxa"/>
            <w:vAlign w:val="bottom"/>
          </w:tcPr>
          <w:p>
            <w:pPr>
              <w:jc w:val="right"/>
              <w:ind w:right="78"/>
              <w:spacing w:after="0" w:line="117" w:lineRule="exact"/>
              <w:rPr>
                <w:sz w:val="20"/>
                <w:szCs w:val="20"/>
                <w:color w:val="auto"/>
              </w:rPr>
            </w:pPr>
            <w:r>
              <w:rPr>
                <w:rFonts w:ascii="Times New Roman" w:cs="Times New Roman" w:eastAsia="Times New Roman" w:hAnsi="Times New Roman"/>
                <w:sz w:val="13"/>
                <w:szCs w:val="13"/>
                <w:color w:val="auto"/>
              </w:rPr>
              <w:t>10.82%</w:t>
            </w:r>
          </w:p>
        </w:tc>
        <w:tc>
          <w:tcPr>
            <w:tcW w:w="88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195,927</w:t>
            </w:r>
          </w:p>
        </w:tc>
        <w:tc>
          <w:tcPr>
            <w:tcW w:w="12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196,266</w:t>
            </w:r>
          </w:p>
        </w:tc>
        <w:tc>
          <w:tcPr>
            <w:tcW w:w="118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4.7%</w:t>
            </w:r>
          </w:p>
        </w:tc>
        <w:tc>
          <w:tcPr>
            <w:tcW w:w="0" w:type="dxa"/>
            <w:vAlign w:val="bottom"/>
          </w:tcPr>
          <w:p>
            <w:pPr>
              <w:spacing w:after="0"/>
              <w:rPr>
                <w:sz w:val="1"/>
                <w:szCs w:val="1"/>
                <w:color w:val="auto"/>
              </w:rPr>
            </w:pPr>
          </w:p>
        </w:tc>
      </w:tr>
      <w:tr>
        <w:trPr>
          <w:trHeight w:val="153"/>
        </w:trPr>
        <w:tc>
          <w:tcPr>
            <w:tcW w:w="186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20" w:type="dxa"/>
            <w:vAlign w:val="bottom"/>
          </w:tcPr>
          <w:p>
            <w:pPr>
              <w:jc w:val="right"/>
              <w:ind w:right="198"/>
              <w:spacing w:after="0"/>
              <w:rPr>
                <w:sz w:val="20"/>
                <w:szCs w:val="20"/>
                <w:color w:val="auto"/>
              </w:rPr>
            </w:pPr>
            <w:r>
              <w:rPr>
                <w:rFonts w:ascii="Times New Roman" w:cs="Times New Roman" w:eastAsia="Times New Roman" w:hAnsi="Times New Roman"/>
                <w:sz w:val="13"/>
                <w:szCs w:val="13"/>
                <w:color w:val="auto"/>
              </w:rPr>
              <w:t>7.00%</w:t>
            </w:r>
          </w:p>
        </w:tc>
        <w:tc>
          <w:tcPr>
            <w:tcW w:w="14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86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0"/>
                <w:szCs w:val="10"/>
                <w:color w:val="auto"/>
              </w:rPr>
              <w:t xml:space="preserve">Cordance Operations, LLC </w:t>
            </w:r>
            <w:r>
              <w:rPr>
                <w:rFonts w:ascii="Times New Roman" w:cs="Times New Roman" w:eastAsia="Times New Roman" w:hAnsi="Times New Roman"/>
                <w:sz w:val="13"/>
                <w:szCs w:val="13"/>
                <w:color w:val="auto"/>
                <w:vertAlign w:val="superscript"/>
              </w:rPr>
              <w:t>(3)</w:t>
            </w:r>
          </w:p>
        </w:tc>
        <w:tc>
          <w:tcPr>
            <w:tcW w:w="2640" w:type="dxa"/>
            <w:vAlign w:val="bottom"/>
            <w:shd w:val="clear" w:color="auto" w:fill="CFF0FC"/>
          </w:tcPr>
          <w:p>
            <w:pPr>
              <w:ind w:left="80"/>
              <w:spacing w:after="0" w:line="117" w:lineRule="exact"/>
              <w:rPr>
                <w:sz w:val="20"/>
                <w:szCs w:val="20"/>
                <w:color w:val="auto"/>
              </w:rPr>
            </w:pPr>
            <w:r>
              <w:rPr>
                <w:rFonts w:ascii="Times New Roman" w:cs="Times New Roman" w:eastAsia="Times New Roman" w:hAnsi="Times New Roman"/>
                <w:sz w:val="13"/>
                <w:szCs w:val="13"/>
                <w:color w:val="auto"/>
              </w:rPr>
              <w:t>First-lien loan ($4,326 par, due 7/2028)</w:t>
            </w:r>
          </w:p>
        </w:tc>
        <w:tc>
          <w:tcPr>
            <w:tcW w:w="880" w:type="dxa"/>
            <w:vAlign w:val="bottom"/>
            <w:shd w:val="clear" w:color="auto" w:fill="CFF0FC"/>
          </w:tcPr>
          <w:p>
            <w:pPr>
              <w:jc w:val="right"/>
              <w:ind w:right="18"/>
              <w:spacing w:after="0" w:line="117" w:lineRule="exact"/>
              <w:rPr>
                <w:sz w:val="20"/>
                <w:szCs w:val="20"/>
                <w:color w:val="auto"/>
              </w:rPr>
            </w:pPr>
            <w:r>
              <w:rPr>
                <w:rFonts w:ascii="Times New Roman" w:cs="Times New Roman" w:eastAsia="Times New Roman" w:hAnsi="Times New Roman"/>
                <w:sz w:val="13"/>
                <w:szCs w:val="13"/>
                <w:color w:val="auto"/>
              </w:rPr>
              <w:t>6/12/2025</w:t>
            </w:r>
          </w:p>
        </w:tc>
        <w:tc>
          <w:tcPr>
            <w:tcW w:w="1120" w:type="dxa"/>
            <w:vAlign w:val="bottom"/>
            <w:shd w:val="clear" w:color="auto" w:fill="CFF0FC"/>
          </w:tcPr>
          <w:p>
            <w:pPr>
              <w:jc w:val="right"/>
              <w:ind w:right="218"/>
              <w:spacing w:after="0" w:line="117" w:lineRule="exact"/>
              <w:rPr>
                <w:sz w:val="20"/>
                <w:szCs w:val="20"/>
                <w:color w:val="auto"/>
              </w:rPr>
            </w:pPr>
            <w:r>
              <w:rPr>
                <w:rFonts w:ascii="Times New Roman" w:cs="Times New Roman" w:eastAsia="Times New Roman" w:hAnsi="Times New Roman"/>
                <w:sz w:val="13"/>
                <w:szCs w:val="13"/>
                <w:color w:val="auto"/>
              </w:rPr>
              <w:t>SOFR +</w:t>
            </w:r>
          </w:p>
        </w:tc>
        <w:tc>
          <w:tcPr>
            <w:tcW w:w="1460" w:type="dxa"/>
            <w:vAlign w:val="bottom"/>
            <w:shd w:val="clear" w:color="auto" w:fill="CFF0FC"/>
          </w:tcPr>
          <w:p>
            <w:pPr>
              <w:jc w:val="right"/>
              <w:ind w:right="78"/>
              <w:spacing w:after="0" w:line="117" w:lineRule="exact"/>
              <w:rPr>
                <w:sz w:val="20"/>
                <w:szCs w:val="20"/>
                <w:color w:val="auto"/>
              </w:rPr>
            </w:pPr>
            <w:r>
              <w:rPr>
                <w:rFonts w:ascii="Times New Roman" w:cs="Times New Roman" w:eastAsia="Times New Roman" w:hAnsi="Times New Roman"/>
                <w:sz w:val="13"/>
                <w:szCs w:val="13"/>
                <w:color w:val="auto"/>
              </w:rPr>
              <w:t>12.53%</w:t>
            </w:r>
          </w:p>
        </w:tc>
        <w:tc>
          <w:tcPr>
            <w:tcW w:w="88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3,955</w:t>
            </w:r>
          </w:p>
        </w:tc>
        <w:tc>
          <w:tcPr>
            <w:tcW w:w="122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4,755</w:t>
            </w:r>
          </w:p>
        </w:tc>
        <w:tc>
          <w:tcPr>
            <w:tcW w:w="1180" w:type="dxa"/>
            <w:vAlign w:val="bottom"/>
            <w:gridSpan w:val="3"/>
            <w:shd w:val="clear" w:color="auto" w:fill="CFF0FC"/>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53"/>
        </w:trPr>
        <w:tc>
          <w:tcPr>
            <w:tcW w:w="1860" w:type="dxa"/>
            <w:vAlign w:val="bottom"/>
            <w:shd w:val="clear" w:color="auto" w:fill="CFF0FC"/>
          </w:tcPr>
          <w:p>
            <w:pPr>
              <w:spacing w:after="0"/>
              <w:rPr>
                <w:sz w:val="13"/>
                <w:szCs w:val="13"/>
                <w:color w:val="auto"/>
              </w:rPr>
            </w:pPr>
          </w:p>
        </w:tc>
        <w:tc>
          <w:tcPr>
            <w:tcW w:w="26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12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13"/>
                <w:szCs w:val="13"/>
                <w:color w:val="auto"/>
              </w:rPr>
              <w:t>8.65%</w:t>
            </w:r>
          </w:p>
        </w:tc>
        <w:tc>
          <w:tcPr>
            <w:tcW w:w="14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860" w:type="dxa"/>
            <w:vAlign w:val="bottom"/>
          </w:tcPr>
          <w:p>
            <w:pPr>
              <w:spacing w:after="0" w:line="117" w:lineRule="exact"/>
              <w:rPr>
                <w:sz w:val="20"/>
                <w:szCs w:val="20"/>
                <w:color w:val="auto"/>
              </w:rPr>
            </w:pPr>
            <w:r>
              <w:rPr>
                <w:rFonts w:ascii="Times New Roman" w:cs="Times New Roman" w:eastAsia="Times New Roman" w:hAnsi="Times New Roman"/>
                <w:sz w:val="10"/>
                <w:szCs w:val="10"/>
                <w:color w:val="auto"/>
              </w:rPr>
              <w:t xml:space="preserve">PDI TA Holdings, Inc. </w:t>
            </w:r>
            <w:r>
              <w:rPr>
                <w:rFonts w:ascii="Times New Roman" w:cs="Times New Roman" w:eastAsia="Times New Roman" w:hAnsi="Times New Roman"/>
                <w:sz w:val="13"/>
                <w:szCs w:val="13"/>
                <w:color w:val="auto"/>
                <w:vertAlign w:val="superscript"/>
              </w:rPr>
              <w:t>(3)</w:t>
            </w:r>
          </w:p>
        </w:tc>
        <w:tc>
          <w:tcPr>
            <w:tcW w:w="2640" w:type="dxa"/>
            <w:vAlign w:val="bottom"/>
          </w:tcPr>
          <w:p>
            <w:pPr>
              <w:ind w:left="80"/>
              <w:spacing w:after="0" w:line="117" w:lineRule="exact"/>
              <w:rPr>
                <w:sz w:val="20"/>
                <w:szCs w:val="20"/>
                <w:color w:val="auto"/>
              </w:rPr>
            </w:pPr>
            <w:r>
              <w:rPr>
                <w:rFonts w:ascii="Times New Roman" w:cs="Times New Roman" w:eastAsia="Times New Roman" w:hAnsi="Times New Roman"/>
                <w:sz w:val="13"/>
                <w:szCs w:val="13"/>
                <w:color w:val="auto"/>
              </w:rPr>
              <w:t>First-lien loan ($163,683 par, due 2/2031)</w:t>
            </w:r>
          </w:p>
        </w:tc>
        <w:tc>
          <w:tcPr>
            <w:tcW w:w="880" w:type="dxa"/>
            <w:vAlign w:val="bottom"/>
          </w:tcPr>
          <w:p>
            <w:pPr>
              <w:jc w:val="right"/>
              <w:ind w:right="18"/>
              <w:spacing w:after="0" w:line="117" w:lineRule="exact"/>
              <w:rPr>
                <w:sz w:val="20"/>
                <w:szCs w:val="20"/>
                <w:color w:val="auto"/>
              </w:rPr>
            </w:pPr>
            <w:r>
              <w:rPr>
                <w:rFonts w:ascii="Times New Roman" w:cs="Times New Roman" w:eastAsia="Times New Roman" w:hAnsi="Times New Roman"/>
                <w:sz w:val="13"/>
                <w:szCs w:val="13"/>
                <w:color w:val="auto"/>
              </w:rPr>
              <w:t>2/1/2024</w:t>
            </w:r>
          </w:p>
        </w:tc>
        <w:tc>
          <w:tcPr>
            <w:tcW w:w="1120" w:type="dxa"/>
            <w:vAlign w:val="bottom"/>
          </w:tcPr>
          <w:p>
            <w:pPr>
              <w:jc w:val="right"/>
              <w:ind w:right="218"/>
              <w:spacing w:after="0" w:line="117" w:lineRule="exact"/>
              <w:rPr>
                <w:sz w:val="20"/>
                <w:szCs w:val="20"/>
                <w:color w:val="auto"/>
              </w:rPr>
            </w:pPr>
            <w:r>
              <w:rPr>
                <w:rFonts w:ascii="Times New Roman" w:cs="Times New Roman" w:eastAsia="Times New Roman" w:hAnsi="Times New Roman"/>
                <w:sz w:val="13"/>
                <w:szCs w:val="13"/>
                <w:color w:val="auto"/>
              </w:rPr>
              <w:t>SOFR +</w:t>
            </w:r>
          </w:p>
        </w:tc>
        <w:tc>
          <w:tcPr>
            <w:tcW w:w="1460" w:type="dxa"/>
            <w:vAlign w:val="bottom"/>
          </w:tcPr>
          <w:p>
            <w:pPr>
              <w:jc w:val="right"/>
              <w:ind w:right="78"/>
              <w:spacing w:after="0" w:line="117" w:lineRule="exact"/>
              <w:rPr>
                <w:sz w:val="20"/>
                <w:szCs w:val="20"/>
                <w:color w:val="auto"/>
              </w:rPr>
            </w:pPr>
            <w:r>
              <w:rPr>
                <w:rFonts w:ascii="Times New Roman" w:cs="Times New Roman" w:eastAsia="Times New Roman" w:hAnsi="Times New Roman"/>
                <w:sz w:val="13"/>
                <w:szCs w:val="13"/>
                <w:color w:val="auto"/>
              </w:rPr>
              <w:t>9.34%</w:t>
            </w:r>
          </w:p>
        </w:tc>
        <w:tc>
          <w:tcPr>
            <w:tcW w:w="88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161,838</w:t>
            </w:r>
          </w:p>
        </w:tc>
        <w:tc>
          <w:tcPr>
            <w:tcW w:w="12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164,093</w:t>
            </w:r>
          </w:p>
        </w:tc>
        <w:tc>
          <w:tcPr>
            <w:tcW w:w="118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3.9%</w:t>
            </w:r>
          </w:p>
        </w:tc>
        <w:tc>
          <w:tcPr>
            <w:tcW w:w="0" w:type="dxa"/>
            <w:vAlign w:val="bottom"/>
          </w:tcPr>
          <w:p>
            <w:pPr>
              <w:spacing w:after="0"/>
              <w:rPr>
                <w:sz w:val="1"/>
                <w:szCs w:val="1"/>
                <w:color w:val="auto"/>
              </w:rPr>
            </w:pPr>
          </w:p>
        </w:tc>
      </w:tr>
      <w:tr>
        <w:trPr>
          <w:trHeight w:val="153"/>
        </w:trPr>
        <w:tc>
          <w:tcPr>
            <w:tcW w:w="186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20" w:type="dxa"/>
            <w:vAlign w:val="bottom"/>
          </w:tcPr>
          <w:p>
            <w:pPr>
              <w:jc w:val="right"/>
              <w:ind w:right="198"/>
              <w:spacing w:after="0"/>
              <w:rPr>
                <w:sz w:val="20"/>
                <w:szCs w:val="20"/>
                <w:color w:val="auto"/>
              </w:rPr>
            </w:pPr>
            <w:r>
              <w:rPr>
                <w:rFonts w:ascii="Times New Roman" w:cs="Times New Roman" w:eastAsia="Times New Roman" w:hAnsi="Times New Roman"/>
                <w:sz w:val="13"/>
                <w:szCs w:val="13"/>
                <w:color w:val="auto"/>
              </w:rPr>
              <w:t>5.50%</w:t>
            </w:r>
          </w:p>
        </w:tc>
        <w:tc>
          <w:tcPr>
            <w:tcW w:w="14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860" w:type="dxa"/>
            <w:vAlign w:val="bottom"/>
            <w:shd w:val="clear" w:color="auto" w:fill="CFF0FC"/>
          </w:tcPr>
          <w:p>
            <w:pPr>
              <w:spacing w:after="0"/>
              <w:rPr>
                <w:sz w:val="10"/>
                <w:szCs w:val="10"/>
                <w:color w:val="auto"/>
              </w:rPr>
            </w:pPr>
          </w:p>
        </w:tc>
        <w:tc>
          <w:tcPr>
            <w:tcW w:w="2640" w:type="dxa"/>
            <w:vAlign w:val="bottom"/>
            <w:shd w:val="clear" w:color="auto" w:fill="CFF0FC"/>
          </w:tcPr>
          <w:p>
            <w:pPr>
              <w:ind w:left="80"/>
              <w:spacing w:after="0" w:line="117" w:lineRule="exact"/>
              <w:rPr>
                <w:sz w:val="20"/>
                <w:szCs w:val="20"/>
                <w:color w:val="auto"/>
              </w:rPr>
            </w:pPr>
            <w:r>
              <w:rPr>
                <w:rFonts w:ascii="Times New Roman" w:cs="Times New Roman" w:eastAsia="Times New Roman" w:hAnsi="Times New Roman"/>
                <w:sz w:val="13"/>
                <w:szCs w:val="13"/>
                <w:color w:val="auto"/>
              </w:rPr>
              <w:t>First-lien revolving loan ($9,705 par, due</w:t>
            </w:r>
          </w:p>
        </w:tc>
        <w:tc>
          <w:tcPr>
            <w:tcW w:w="880" w:type="dxa"/>
            <w:vAlign w:val="bottom"/>
            <w:shd w:val="clear" w:color="auto" w:fill="CFF0FC"/>
          </w:tcPr>
          <w:p>
            <w:pPr>
              <w:jc w:val="right"/>
              <w:ind w:right="18"/>
              <w:spacing w:after="0" w:line="117" w:lineRule="exact"/>
              <w:rPr>
                <w:sz w:val="20"/>
                <w:szCs w:val="20"/>
                <w:color w:val="auto"/>
              </w:rPr>
            </w:pPr>
            <w:r>
              <w:rPr>
                <w:rFonts w:ascii="Times New Roman" w:cs="Times New Roman" w:eastAsia="Times New Roman" w:hAnsi="Times New Roman"/>
                <w:sz w:val="13"/>
                <w:szCs w:val="13"/>
                <w:color w:val="auto"/>
              </w:rPr>
              <w:t>2/1/2024</w:t>
            </w:r>
          </w:p>
        </w:tc>
        <w:tc>
          <w:tcPr>
            <w:tcW w:w="1120" w:type="dxa"/>
            <w:vAlign w:val="bottom"/>
            <w:shd w:val="clear" w:color="auto" w:fill="CFF0FC"/>
          </w:tcPr>
          <w:p>
            <w:pPr>
              <w:jc w:val="right"/>
              <w:ind w:right="218"/>
              <w:spacing w:after="0" w:line="117" w:lineRule="exact"/>
              <w:rPr>
                <w:sz w:val="20"/>
                <w:szCs w:val="20"/>
                <w:color w:val="auto"/>
              </w:rPr>
            </w:pPr>
            <w:r>
              <w:rPr>
                <w:rFonts w:ascii="Times New Roman" w:cs="Times New Roman" w:eastAsia="Times New Roman" w:hAnsi="Times New Roman"/>
                <w:sz w:val="13"/>
                <w:szCs w:val="13"/>
                <w:color w:val="auto"/>
              </w:rPr>
              <w:t>SOFR +</w:t>
            </w:r>
          </w:p>
        </w:tc>
        <w:tc>
          <w:tcPr>
            <w:tcW w:w="1460" w:type="dxa"/>
            <w:vAlign w:val="bottom"/>
            <w:shd w:val="clear" w:color="auto" w:fill="CFF0FC"/>
          </w:tcPr>
          <w:p>
            <w:pPr>
              <w:jc w:val="right"/>
              <w:ind w:right="78"/>
              <w:spacing w:after="0" w:line="117" w:lineRule="exact"/>
              <w:rPr>
                <w:sz w:val="20"/>
                <w:szCs w:val="20"/>
                <w:color w:val="auto"/>
              </w:rPr>
            </w:pPr>
            <w:r>
              <w:rPr>
                <w:rFonts w:ascii="Times New Roman" w:cs="Times New Roman" w:eastAsia="Times New Roman" w:hAnsi="Times New Roman"/>
                <w:sz w:val="13"/>
                <w:szCs w:val="13"/>
                <w:color w:val="auto"/>
              </w:rPr>
              <w:t>9.34%</w:t>
            </w:r>
          </w:p>
        </w:tc>
        <w:tc>
          <w:tcPr>
            <w:tcW w:w="88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9,561</w:t>
            </w:r>
          </w:p>
        </w:tc>
        <w:tc>
          <w:tcPr>
            <w:tcW w:w="122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9,738</w:t>
            </w:r>
          </w:p>
        </w:tc>
        <w:tc>
          <w:tcPr>
            <w:tcW w:w="1180" w:type="dxa"/>
            <w:vAlign w:val="bottom"/>
            <w:gridSpan w:val="3"/>
            <w:shd w:val="clear" w:color="auto" w:fill="CFF0FC"/>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0.2%</w:t>
            </w:r>
          </w:p>
        </w:tc>
        <w:tc>
          <w:tcPr>
            <w:tcW w:w="0" w:type="dxa"/>
            <w:vAlign w:val="bottom"/>
          </w:tcPr>
          <w:p>
            <w:pPr>
              <w:spacing w:after="0"/>
              <w:rPr>
                <w:sz w:val="1"/>
                <w:szCs w:val="1"/>
                <w:color w:val="auto"/>
              </w:rPr>
            </w:pPr>
          </w:p>
        </w:tc>
      </w:tr>
      <w:tr>
        <w:trPr>
          <w:trHeight w:val="153"/>
        </w:trPr>
        <w:tc>
          <w:tcPr>
            <w:tcW w:w="1860" w:type="dxa"/>
            <w:vAlign w:val="bottom"/>
            <w:shd w:val="clear" w:color="auto" w:fill="CFF0FC"/>
          </w:tcPr>
          <w:p>
            <w:pPr>
              <w:spacing w:after="0"/>
              <w:rPr>
                <w:sz w:val="13"/>
                <w:szCs w:val="13"/>
                <w:color w:val="auto"/>
              </w:rPr>
            </w:pPr>
          </w:p>
        </w:tc>
        <w:tc>
          <w:tcPr>
            <w:tcW w:w="26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2/2031)</w:t>
            </w:r>
          </w:p>
        </w:tc>
        <w:tc>
          <w:tcPr>
            <w:tcW w:w="880" w:type="dxa"/>
            <w:vAlign w:val="bottom"/>
            <w:shd w:val="clear" w:color="auto" w:fill="CFF0FC"/>
          </w:tcPr>
          <w:p>
            <w:pPr>
              <w:spacing w:after="0"/>
              <w:rPr>
                <w:sz w:val="13"/>
                <w:szCs w:val="13"/>
                <w:color w:val="auto"/>
              </w:rPr>
            </w:pPr>
          </w:p>
        </w:tc>
        <w:tc>
          <w:tcPr>
            <w:tcW w:w="112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13"/>
                <w:szCs w:val="13"/>
                <w:color w:val="auto"/>
              </w:rPr>
              <w:t>5.50%</w:t>
            </w:r>
          </w:p>
        </w:tc>
        <w:tc>
          <w:tcPr>
            <w:tcW w:w="14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860" w:type="dxa"/>
            <w:vAlign w:val="bottom"/>
          </w:tcPr>
          <w:p>
            <w:pPr>
              <w:spacing w:after="0" w:line="108" w:lineRule="exact"/>
              <w:rPr>
                <w:sz w:val="20"/>
                <w:szCs w:val="20"/>
                <w:color w:val="auto"/>
              </w:rPr>
            </w:pPr>
            <w:r>
              <w:rPr>
                <w:rFonts w:ascii="Times New Roman" w:cs="Times New Roman" w:eastAsia="Times New Roman" w:hAnsi="Times New Roman"/>
                <w:sz w:val="12"/>
                <w:szCs w:val="12"/>
                <w:color w:val="auto"/>
              </w:rPr>
              <w:t>Rapid Data GmbH</w:t>
            </w:r>
          </w:p>
        </w:tc>
        <w:tc>
          <w:tcPr>
            <w:tcW w:w="2640" w:type="dxa"/>
            <w:vAlign w:val="bottom"/>
          </w:tcPr>
          <w:p>
            <w:pPr>
              <w:ind w:left="80"/>
              <w:spacing w:after="0" w:line="108" w:lineRule="exact"/>
              <w:rPr>
                <w:sz w:val="20"/>
                <w:szCs w:val="20"/>
                <w:color w:val="auto"/>
              </w:rPr>
            </w:pPr>
            <w:r>
              <w:rPr>
                <w:rFonts w:ascii="Times New Roman" w:cs="Times New Roman" w:eastAsia="Times New Roman" w:hAnsi="Times New Roman"/>
                <w:sz w:val="12"/>
                <w:szCs w:val="12"/>
                <w:color w:val="auto"/>
              </w:rPr>
              <w:t>First-lien loan (EUR 7,546 par, due 7/2029)</w:t>
            </w:r>
          </w:p>
        </w:tc>
        <w:tc>
          <w:tcPr>
            <w:tcW w:w="880" w:type="dxa"/>
            <w:vAlign w:val="bottom"/>
          </w:tcPr>
          <w:p>
            <w:pPr>
              <w:jc w:val="right"/>
              <w:ind w:right="18"/>
              <w:spacing w:after="0" w:line="108" w:lineRule="exact"/>
              <w:rPr>
                <w:sz w:val="20"/>
                <w:szCs w:val="20"/>
                <w:color w:val="auto"/>
              </w:rPr>
            </w:pPr>
            <w:r>
              <w:rPr>
                <w:rFonts w:ascii="Times New Roman" w:cs="Times New Roman" w:eastAsia="Times New Roman" w:hAnsi="Times New Roman"/>
                <w:sz w:val="12"/>
                <w:szCs w:val="12"/>
                <w:color w:val="auto"/>
              </w:rPr>
              <w:t>7/11/2023</w:t>
            </w:r>
          </w:p>
        </w:tc>
        <w:tc>
          <w:tcPr>
            <w:tcW w:w="1120" w:type="dxa"/>
            <w:vAlign w:val="bottom"/>
          </w:tcPr>
          <w:p>
            <w:pPr>
              <w:jc w:val="right"/>
              <w:ind w:right="198"/>
              <w:spacing w:after="0" w:line="108" w:lineRule="exact"/>
              <w:rPr>
                <w:sz w:val="20"/>
                <w:szCs w:val="20"/>
                <w:color w:val="auto"/>
              </w:rPr>
            </w:pPr>
            <w:r>
              <w:rPr>
                <w:rFonts w:ascii="Times New Roman" w:cs="Times New Roman" w:eastAsia="Times New Roman" w:hAnsi="Times New Roman"/>
                <w:sz w:val="12"/>
                <w:szCs w:val="12"/>
                <w:color w:val="auto"/>
              </w:rPr>
              <w:t>E + 6.50%</w:t>
            </w:r>
          </w:p>
        </w:tc>
        <w:tc>
          <w:tcPr>
            <w:tcW w:w="1460" w:type="dxa"/>
            <w:vAlign w:val="bottom"/>
          </w:tcPr>
          <w:p>
            <w:pPr>
              <w:jc w:val="right"/>
              <w:ind w:right="78"/>
              <w:spacing w:after="0" w:line="108" w:lineRule="exact"/>
              <w:rPr>
                <w:sz w:val="20"/>
                <w:szCs w:val="20"/>
                <w:color w:val="auto"/>
              </w:rPr>
            </w:pPr>
            <w:r>
              <w:rPr>
                <w:rFonts w:ascii="Times New Roman" w:cs="Times New Roman" w:eastAsia="Times New Roman" w:hAnsi="Times New Roman"/>
                <w:sz w:val="12"/>
                <w:szCs w:val="12"/>
                <w:color w:val="auto"/>
              </w:rPr>
              <w:t>8.51%</w:t>
            </w:r>
          </w:p>
        </w:tc>
        <w:tc>
          <w:tcPr>
            <w:tcW w:w="88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auto"/>
              </w:rPr>
              <w:t>8,126</w:t>
            </w:r>
          </w:p>
        </w:tc>
        <w:tc>
          <w:tcPr>
            <w:tcW w:w="122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2"/>
                <w:szCs w:val="12"/>
                <w:color w:val="auto"/>
              </w:rPr>
              <w:t>8,862</w:t>
            </w:r>
          </w:p>
        </w:tc>
        <w:tc>
          <w:tcPr>
            <w:tcW w:w="1180" w:type="dxa"/>
            <w:vAlign w:val="bottom"/>
            <w:gridSpan w:val="3"/>
          </w:tcPr>
          <w:p>
            <w:pPr>
              <w:jc w:val="right"/>
              <w:ind w:right="20"/>
              <w:spacing w:after="0" w:line="108" w:lineRule="exact"/>
              <w:rPr>
                <w:sz w:val="20"/>
                <w:szCs w:val="20"/>
                <w:color w:val="auto"/>
              </w:rPr>
            </w:pPr>
            <w:r>
              <w:rPr>
                <w:rFonts w:ascii="Times New Roman" w:cs="Times New Roman" w:eastAsia="Times New Roman" w:hAnsi="Times New Roman"/>
                <w:sz w:val="12"/>
                <w:szCs w:val="12"/>
                <w:color w:val="auto"/>
              </w:rPr>
              <w:t>0.2%</w:t>
            </w:r>
          </w:p>
        </w:tc>
        <w:tc>
          <w:tcPr>
            <w:tcW w:w="0" w:type="dxa"/>
            <w:vAlign w:val="bottom"/>
          </w:tcPr>
          <w:p>
            <w:pPr>
              <w:spacing w:after="0"/>
              <w:rPr>
                <w:sz w:val="1"/>
                <w:szCs w:val="1"/>
                <w:color w:val="auto"/>
              </w:rPr>
            </w:pPr>
          </w:p>
        </w:tc>
      </w:tr>
      <w:tr>
        <w:trPr>
          <w:trHeight w:val="162"/>
        </w:trPr>
        <w:tc>
          <w:tcPr>
            <w:tcW w:w="1860" w:type="dxa"/>
            <w:vAlign w:val="bottom"/>
          </w:tcPr>
          <w:p>
            <w:pPr>
              <w:spacing w:after="0" w:line="162" w:lineRule="exact"/>
              <w:rPr>
                <w:sz w:val="20"/>
                <w:szCs w:val="20"/>
                <w:color w:val="auto"/>
              </w:rPr>
            </w:pPr>
            <w:r>
              <w:rPr>
                <w:rFonts w:ascii="Times New Roman" w:cs="Times New Roman" w:eastAsia="Times New Roman" w:hAnsi="Times New Roman"/>
                <w:sz w:val="13"/>
                <w:szCs w:val="13"/>
                <w:color w:val="auto"/>
              </w:rPr>
              <w:t xml:space="preserve">Unternehmensberatung </w:t>
            </w:r>
            <w:r>
              <w:rPr>
                <w:rFonts w:ascii="Times New Roman" w:cs="Times New Roman" w:eastAsia="Times New Roman" w:hAnsi="Times New Roman"/>
                <w:sz w:val="16"/>
                <w:szCs w:val="16"/>
                <w:color w:val="auto"/>
                <w:vertAlign w:val="superscript"/>
              </w:rPr>
              <w:t>(3)(4)</w:t>
            </w:r>
          </w:p>
        </w:tc>
        <w:tc>
          <w:tcPr>
            <w:tcW w:w="2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(EUR 7,546)</w:t>
            </w: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1860" w:type="dxa"/>
            <w:vAlign w:val="bottom"/>
            <w:shd w:val="clear" w:color="auto" w:fill="CFF0FC"/>
          </w:tcPr>
          <w:p>
            <w:pPr>
              <w:spacing w:after="0"/>
              <w:rPr>
                <w:sz w:val="10"/>
                <w:szCs w:val="10"/>
                <w:color w:val="auto"/>
              </w:rPr>
            </w:pPr>
          </w:p>
        </w:tc>
        <w:tc>
          <w:tcPr>
            <w:tcW w:w="2640" w:type="dxa"/>
            <w:vAlign w:val="bottom"/>
            <w:shd w:val="clear" w:color="auto" w:fill="CFF0FC"/>
          </w:tcPr>
          <w:p>
            <w:pPr>
              <w:ind w:left="80"/>
              <w:spacing w:after="0" w:line="117" w:lineRule="exact"/>
              <w:rPr>
                <w:sz w:val="20"/>
                <w:szCs w:val="20"/>
                <w:color w:val="auto"/>
              </w:rPr>
            </w:pPr>
            <w:r>
              <w:rPr>
                <w:rFonts w:ascii="Times New Roman" w:cs="Times New Roman" w:eastAsia="Times New Roman" w:hAnsi="Times New Roman"/>
                <w:sz w:val="13"/>
                <w:szCs w:val="13"/>
                <w:color w:val="auto"/>
              </w:rPr>
              <w:t>First-lien revolving loan (EUR 328 par, due</w:t>
            </w:r>
          </w:p>
        </w:tc>
        <w:tc>
          <w:tcPr>
            <w:tcW w:w="880" w:type="dxa"/>
            <w:vAlign w:val="bottom"/>
            <w:shd w:val="clear" w:color="auto" w:fill="CFF0FC"/>
          </w:tcPr>
          <w:p>
            <w:pPr>
              <w:jc w:val="right"/>
              <w:ind w:right="18"/>
              <w:spacing w:after="0" w:line="117" w:lineRule="exact"/>
              <w:rPr>
                <w:sz w:val="20"/>
                <w:szCs w:val="20"/>
                <w:color w:val="auto"/>
              </w:rPr>
            </w:pPr>
            <w:r>
              <w:rPr>
                <w:rFonts w:ascii="Times New Roman" w:cs="Times New Roman" w:eastAsia="Times New Roman" w:hAnsi="Times New Roman"/>
                <w:sz w:val="13"/>
                <w:szCs w:val="13"/>
                <w:color w:val="auto"/>
              </w:rPr>
              <w:t>7/11/2023</w:t>
            </w:r>
          </w:p>
        </w:tc>
        <w:tc>
          <w:tcPr>
            <w:tcW w:w="1120" w:type="dxa"/>
            <w:vAlign w:val="bottom"/>
            <w:shd w:val="clear" w:color="auto" w:fill="CFF0FC"/>
          </w:tcPr>
          <w:p>
            <w:pPr>
              <w:jc w:val="right"/>
              <w:ind w:right="198"/>
              <w:spacing w:after="0" w:line="117" w:lineRule="exact"/>
              <w:rPr>
                <w:sz w:val="20"/>
                <w:szCs w:val="20"/>
                <w:color w:val="auto"/>
              </w:rPr>
            </w:pPr>
            <w:r>
              <w:rPr>
                <w:rFonts w:ascii="Times New Roman" w:cs="Times New Roman" w:eastAsia="Times New Roman" w:hAnsi="Times New Roman"/>
                <w:sz w:val="13"/>
                <w:szCs w:val="13"/>
                <w:color w:val="auto"/>
              </w:rPr>
              <w:t>E + 6.50%</w:t>
            </w:r>
          </w:p>
        </w:tc>
        <w:tc>
          <w:tcPr>
            <w:tcW w:w="1460" w:type="dxa"/>
            <w:vAlign w:val="bottom"/>
            <w:shd w:val="clear" w:color="auto" w:fill="CFF0FC"/>
          </w:tcPr>
          <w:p>
            <w:pPr>
              <w:jc w:val="right"/>
              <w:ind w:right="78"/>
              <w:spacing w:after="0" w:line="117" w:lineRule="exact"/>
              <w:rPr>
                <w:sz w:val="20"/>
                <w:szCs w:val="20"/>
                <w:color w:val="auto"/>
              </w:rPr>
            </w:pPr>
            <w:r>
              <w:rPr>
                <w:rFonts w:ascii="Times New Roman" w:cs="Times New Roman" w:eastAsia="Times New Roman" w:hAnsi="Times New Roman"/>
                <w:sz w:val="13"/>
                <w:szCs w:val="13"/>
                <w:color w:val="auto"/>
              </w:rPr>
              <w:t>8.43%</w:t>
            </w:r>
          </w:p>
        </w:tc>
        <w:tc>
          <w:tcPr>
            <w:tcW w:w="88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374</w:t>
            </w:r>
          </w:p>
        </w:tc>
        <w:tc>
          <w:tcPr>
            <w:tcW w:w="122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385</w:t>
            </w:r>
          </w:p>
        </w:tc>
        <w:tc>
          <w:tcPr>
            <w:tcW w:w="1180" w:type="dxa"/>
            <w:vAlign w:val="bottom"/>
            <w:gridSpan w:val="3"/>
            <w:shd w:val="clear" w:color="auto" w:fill="CFF0FC"/>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53"/>
        </w:trPr>
        <w:tc>
          <w:tcPr>
            <w:tcW w:w="1860" w:type="dxa"/>
            <w:vAlign w:val="bottom"/>
            <w:shd w:val="clear" w:color="auto" w:fill="CFF0FC"/>
          </w:tcPr>
          <w:p>
            <w:pPr>
              <w:spacing w:after="0"/>
              <w:rPr>
                <w:sz w:val="13"/>
                <w:szCs w:val="13"/>
                <w:color w:val="auto"/>
              </w:rPr>
            </w:pPr>
          </w:p>
        </w:tc>
        <w:tc>
          <w:tcPr>
            <w:tcW w:w="26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6/2029)</w:t>
            </w:r>
          </w:p>
        </w:tc>
        <w:tc>
          <w:tcPr>
            <w:tcW w:w="88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4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(EUR 328)</w:t>
            </w:r>
          </w:p>
        </w:tc>
        <w:tc>
          <w:tcPr>
            <w:tcW w:w="2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860" w:type="dxa"/>
            <w:vAlign w:val="bottom"/>
          </w:tcPr>
          <w:p>
            <w:pPr>
              <w:spacing w:after="0" w:line="108" w:lineRule="exact"/>
              <w:rPr>
                <w:sz w:val="20"/>
                <w:szCs w:val="20"/>
                <w:color w:val="auto"/>
              </w:rPr>
            </w:pPr>
            <w:r>
              <w:rPr>
                <w:rFonts w:ascii="Times New Roman" w:cs="Times New Roman" w:eastAsia="Times New Roman" w:hAnsi="Times New Roman"/>
                <w:sz w:val="12"/>
                <w:szCs w:val="12"/>
                <w:color w:val="auto"/>
              </w:rPr>
              <w:t>Tango Management Consulting,</w:t>
            </w:r>
          </w:p>
        </w:tc>
        <w:tc>
          <w:tcPr>
            <w:tcW w:w="2640" w:type="dxa"/>
            <w:vAlign w:val="bottom"/>
          </w:tcPr>
          <w:p>
            <w:pPr>
              <w:ind w:left="80"/>
              <w:spacing w:after="0" w:line="108" w:lineRule="exact"/>
              <w:rPr>
                <w:sz w:val="20"/>
                <w:szCs w:val="20"/>
                <w:color w:val="auto"/>
              </w:rPr>
            </w:pPr>
            <w:r>
              <w:rPr>
                <w:rFonts w:ascii="Times New Roman" w:cs="Times New Roman" w:eastAsia="Times New Roman" w:hAnsi="Times New Roman"/>
                <w:sz w:val="12"/>
                <w:szCs w:val="12"/>
                <w:color w:val="auto"/>
              </w:rPr>
              <w:t>First-lien loan ($12,825 par, due 6/2031)</w:t>
            </w:r>
          </w:p>
        </w:tc>
        <w:tc>
          <w:tcPr>
            <w:tcW w:w="880" w:type="dxa"/>
            <w:vAlign w:val="bottom"/>
          </w:tcPr>
          <w:p>
            <w:pPr>
              <w:jc w:val="right"/>
              <w:ind w:right="18"/>
              <w:spacing w:after="0" w:line="108" w:lineRule="exact"/>
              <w:rPr>
                <w:sz w:val="20"/>
                <w:szCs w:val="20"/>
                <w:color w:val="auto"/>
              </w:rPr>
            </w:pPr>
            <w:r>
              <w:rPr>
                <w:rFonts w:ascii="Times New Roman" w:cs="Times New Roman" w:eastAsia="Times New Roman" w:hAnsi="Times New Roman"/>
                <w:sz w:val="12"/>
                <w:szCs w:val="12"/>
                <w:color w:val="auto"/>
              </w:rPr>
              <w:t>6/25/2025</w:t>
            </w:r>
          </w:p>
        </w:tc>
        <w:tc>
          <w:tcPr>
            <w:tcW w:w="1120" w:type="dxa"/>
            <w:vAlign w:val="bottom"/>
          </w:tcPr>
          <w:p>
            <w:pPr>
              <w:jc w:val="right"/>
              <w:ind w:right="218"/>
              <w:spacing w:after="0" w:line="108" w:lineRule="exact"/>
              <w:rPr>
                <w:sz w:val="20"/>
                <w:szCs w:val="20"/>
                <w:color w:val="auto"/>
              </w:rPr>
            </w:pPr>
            <w:r>
              <w:rPr>
                <w:rFonts w:ascii="Times New Roman" w:cs="Times New Roman" w:eastAsia="Times New Roman" w:hAnsi="Times New Roman"/>
                <w:sz w:val="12"/>
                <w:szCs w:val="12"/>
                <w:color w:val="auto"/>
              </w:rPr>
              <w:t>SOFR +</w:t>
            </w:r>
          </w:p>
        </w:tc>
        <w:tc>
          <w:tcPr>
            <w:tcW w:w="1460" w:type="dxa"/>
            <w:vAlign w:val="bottom"/>
          </w:tcPr>
          <w:p>
            <w:pPr>
              <w:jc w:val="right"/>
              <w:ind w:right="78"/>
              <w:spacing w:after="0" w:line="108" w:lineRule="exact"/>
              <w:rPr>
                <w:sz w:val="20"/>
                <w:szCs w:val="20"/>
                <w:color w:val="auto"/>
              </w:rPr>
            </w:pPr>
            <w:r>
              <w:rPr>
                <w:rFonts w:ascii="Times New Roman" w:cs="Times New Roman" w:eastAsia="Times New Roman" w:hAnsi="Times New Roman"/>
                <w:sz w:val="12"/>
                <w:szCs w:val="12"/>
                <w:color w:val="auto"/>
              </w:rPr>
              <w:t>10.50%</w:t>
            </w:r>
          </w:p>
        </w:tc>
        <w:tc>
          <w:tcPr>
            <w:tcW w:w="88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auto"/>
              </w:rPr>
              <w:t>12,551</w:t>
            </w:r>
          </w:p>
        </w:tc>
        <w:tc>
          <w:tcPr>
            <w:tcW w:w="122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2"/>
                <w:szCs w:val="12"/>
                <w:color w:val="auto"/>
              </w:rPr>
              <w:t>12,601</w:t>
            </w:r>
          </w:p>
        </w:tc>
        <w:tc>
          <w:tcPr>
            <w:tcW w:w="1180" w:type="dxa"/>
            <w:vAlign w:val="bottom"/>
            <w:gridSpan w:val="3"/>
          </w:tcPr>
          <w:p>
            <w:pPr>
              <w:jc w:val="right"/>
              <w:ind w:right="20"/>
              <w:spacing w:after="0" w:line="108" w:lineRule="exact"/>
              <w:rPr>
                <w:sz w:val="20"/>
                <w:szCs w:val="20"/>
                <w:color w:val="auto"/>
              </w:rPr>
            </w:pPr>
            <w:r>
              <w:rPr>
                <w:rFonts w:ascii="Times New Roman" w:cs="Times New Roman" w:eastAsia="Times New Roman" w:hAnsi="Times New Roman"/>
                <w:sz w:val="12"/>
                <w:szCs w:val="12"/>
                <w:color w:val="auto"/>
              </w:rPr>
              <w:t>0.3%</w:t>
            </w:r>
          </w:p>
        </w:tc>
        <w:tc>
          <w:tcPr>
            <w:tcW w:w="0" w:type="dxa"/>
            <w:vAlign w:val="bottom"/>
          </w:tcPr>
          <w:p>
            <w:pPr>
              <w:spacing w:after="0"/>
              <w:rPr>
                <w:sz w:val="1"/>
                <w:szCs w:val="1"/>
                <w:color w:val="auto"/>
              </w:rPr>
            </w:pPr>
          </w:p>
        </w:tc>
      </w:tr>
      <w:tr>
        <w:trPr>
          <w:trHeight w:val="149"/>
        </w:trPr>
        <w:tc>
          <w:tcPr>
            <w:tcW w:w="1860" w:type="dxa"/>
            <w:vAlign w:val="bottom"/>
          </w:tcPr>
          <w:p>
            <w:pPr>
              <w:spacing w:after="0" w:line="149" w:lineRule="exact"/>
              <w:rPr>
                <w:sz w:val="20"/>
                <w:szCs w:val="20"/>
                <w:color w:val="auto"/>
              </w:rPr>
            </w:pPr>
            <w:r>
              <w:rPr>
                <w:rFonts w:ascii="Times New Roman" w:cs="Times New Roman" w:eastAsia="Times New Roman" w:hAnsi="Times New Roman"/>
                <w:sz w:val="17"/>
                <w:szCs w:val="17"/>
                <w:color w:val="auto"/>
                <w:vertAlign w:val="subscript"/>
              </w:rPr>
              <w:t>LLC</w:t>
            </w:r>
            <w:r>
              <w:rPr>
                <w:rFonts w:ascii="Times New Roman" w:cs="Times New Roman" w:eastAsia="Times New Roman" w:hAnsi="Times New Roman"/>
                <w:sz w:val="7"/>
                <w:szCs w:val="7"/>
                <w:color w:val="auto"/>
              </w:rPr>
              <w:t xml:space="preserve"> (3)(5)</w:t>
            </w:r>
          </w:p>
        </w:tc>
        <w:tc>
          <w:tcPr>
            <w:tcW w:w="26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20" w:type="dxa"/>
            <w:vAlign w:val="bottom"/>
          </w:tcPr>
          <w:p>
            <w:pPr>
              <w:jc w:val="right"/>
              <w:ind w:right="198"/>
              <w:spacing w:after="0"/>
              <w:rPr>
                <w:sz w:val="20"/>
                <w:szCs w:val="20"/>
                <w:color w:val="auto"/>
              </w:rPr>
            </w:pPr>
            <w:r>
              <w:rPr>
                <w:rFonts w:ascii="Times New Roman" w:cs="Times New Roman" w:eastAsia="Times New Roman" w:hAnsi="Times New Roman"/>
                <w:sz w:val="13"/>
                <w:szCs w:val="13"/>
                <w:color w:val="auto"/>
              </w:rPr>
              <w:t>6.50%</w:t>
            </w:r>
          </w:p>
        </w:tc>
        <w:tc>
          <w:tcPr>
            <w:tcW w:w="1460" w:type="dxa"/>
            <w:vAlign w:val="bottom"/>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860" w:type="dxa"/>
            <w:vAlign w:val="bottom"/>
            <w:shd w:val="clear" w:color="auto" w:fill="CFF0FC"/>
          </w:tcPr>
          <w:p>
            <w:pPr>
              <w:spacing w:after="0"/>
              <w:rPr>
                <w:sz w:val="11"/>
                <w:szCs w:val="11"/>
                <w:color w:val="auto"/>
              </w:rPr>
            </w:pPr>
          </w:p>
        </w:tc>
        <w:tc>
          <w:tcPr>
            <w:tcW w:w="26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46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826,756</w:t>
            </w:r>
          </w:p>
        </w:tc>
        <w:tc>
          <w:tcPr>
            <w:tcW w:w="220" w:type="dxa"/>
            <w:vAlign w:val="bottom"/>
            <w:shd w:val="clear" w:color="auto" w:fill="CFF0FC"/>
          </w:tcPr>
          <w:p>
            <w:pPr>
              <w:spacing w:after="0"/>
              <w:rPr>
                <w:sz w:val="11"/>
                <w:szCs w:val="11"/>
                <w:color w:val="auto"/>
              </w:rPr>
            </w:pPr>
          </w:p>
        </w:tc>
        <w:tc>
          <w:tcPr>
            <w:tcW w:w="10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820,741</w:t>
            </w:r>
          </w:p>
        </w:tc>
        <w:tc>
          <w:tcPr>
            <w:tcW w:w="200" w:type="dxa"/>
            <w:vAlign w:val="bottom"/>
            <w:shd w:val="clear" w:color="auto" w:fill="CFF0FC"/>
          </w:tcPr>
          <w:p>
            <w:pPr>
              <w:spacing w:after="0"/>
              <w:rPr>
                <w:sz w:val="11"/>
                <w:szCs w:val="11"/>
                <w:color w:val="auto"/>
              </w:rPr>
            </w:pPr>
          </w:p>
        </w:tc>
        <w:tc>
          <w:tcPr>
            <w:tcW w:w="98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19.7%</w:t>
            </w:r>
          </w:p>
        </w:tc>
        <w:tc>
          <w:tcPr>
            <w:tcW w:w="0" w:type="dxa"/>
            <w:vAlign w:val="bottom"/>
          </w:tcPr>
          <w:p>
            <w:pPr>
              <w:spacing w:after="0"/>
              <w:rPr>
                <w:sz w:val="1"/>
                <w:szCs w:val="1"/>
                <w:color w:val="auto"/>
              </w:rPr>
            </w:pPr>
          </w:p>
        </w:tc>
      </w:tr>
      <w:tr>
        <w:trPr>
          <w:trHeight w:val="20"/>
        </w:trPr>
        <w:tc>
          <w:tcPr>
            <w:tcW w:w="1860" w:type="dxa"/>
            <w:vAlign w:val="bottom"/>
            <w:shd w:val="clear" w:color="auto" w:fill="CFF0FC"/>
          </w:tcPr>
          <w:p>
            <w:pPr>
              <w:spacing w:after="0" w:line="20" w:lineRule="exact"/>
              <w:rPr>
                <w:sz w:val="1"/>
                <w:szCs w:val="1"/>
                <w:color w:val="auto"/>
              </w:rPr>
            </w:pPr>
          </w:p>
        </w:tc>
        <w:tc>
          <w:tcPr>
            <w:tcW w:w="2640" w:type="dxa"/>
            <w:vAlign w:val="bottom"/>
            <w:shd w:val="clear" w:color="auto" w:fill="CFF0FC"/>
          </w:tcPr>
          <w:p>
            <w:pPr>
              <w:spacing w:after="0" w:line="20" w:lineRule="exact"/>
              <w:rPr>
                <w:sz w:val="1"/>
                <w:szCs w:val="1"/>
                <w:color w:val="auto"/>
              </w:rPr>
            </w:pPr>
          </w:p>
        </w:tc>
        <w:tc>
          <w:tcPr>
            <w:tcW w:w="88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146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-6059805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-6059805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-6059805</wp:posOffset>
            </wp:positionV>
            <wp:extent cx="7747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-4928235</wp:posOffset>
            </wp:positionV>
            <wp:extent cx="685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-4928235</wp:posOffset>
            </wp:positionV>
            <wp:extent cx="685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-4928235</wp:posOffset>
            </wp:positionV>
            <wp:extent cx="7747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-3368040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-3368040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-3368040</wp:posOffset>
            </wp:positionV>
            <wp:extent cx="7747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-2502535</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-2502535</wp:posOffset>
            </wp:positionV>
            <wp:extent cx="685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-2502535</wp:posOffset>
            </wp:positionV>
            <wp:extent cx="7747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-7620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-7620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
        </w:trPr>
        <w:tc>
          <w:tcPr>
            <w:tcW w:w="18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Transportation</w:t>
            </w:r>
          </w:p>
        </w:tc>
        <w:tc>
          <w:tcPr>
            <w:tcW w:w="2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7"/>
        </w:trPr>
        <w:tc>
          <w:tcPr>
            <w:tcW w:w="1860" w:type="dxa"/>
            <w:vAlign w:val="bottom"/>
            <w:vMerge w:val="continue"/>
          </w:tcPr>
          <w:p>
            <w:pPr>
              <w:spacing w:after="0"/>
              <w:rPr>
                <w:sz w:val="11"/>
                <w:szCs w:val="11"/>
                <w:color w:val="auto"/>
              </w:rPr>
            </w:pPr>
          </w:p>
        </w:tc>
        <w:tc>
          <w:tcPr>
            <w:tcW w:w="26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860" w:type="dxa"/>
            <w:vAlign w:val="bottom"/>
            <w:shd w:val="clear" w:color="auto" w:fill="CFF0FC"/>
          </w:tcPr>
          <w:p>
            <w:pPr>
              <w:spacing w:after="0" w:line="136" w:lineRule="exact"/>
              <w:rPr>
                <w:sz w:val="20"/>
                <w:szCs w:val="20"/>
                <w:color w:val="auto"/>
              </w:rPr>
            </w:pPr>
            <w:r>
              <w:rPr>
                <w:rFonts w:ascii="Times New Roman" w:cs="Times New Roman" w:eastAsia="Times New Roman" w:hAnsi="Times New Roman"/>
                <w:sz w:val="12"/>
                <w:szCs w:val="12"/>
                <w:color w:val="auto"/>
              </w:rPr>
              <w:t xml:space="preserve">Ben Nevis Midco Limited </w:t>
            </w:r>
            <w:r>
              <w:rPr>
                <w:rFonts w:ascii="Times New Roman" w:cs="Times New Roman" w:eastAsia="Times New Roman" w:hAnsi="Times New Roman"/>
                <w:sz w:val="15"/>
                <w:szCs w:val="15"/>
                <w:color w:val="auto"/>
                <w:vertAlign w:val="superscript"/>
              </w:rPr>
              <w:t>(3)(4)</w:t>
            </w:r>
          </w:p>
        </w:tc>
        <w:tc>
          <w:tcPr>
            <w:tcW w:w="2600" w:type="dxa"/>
            <w:vAlign w:val="bottom"/>
            <w:shd w:val="clear" w:color="auto" w:fill="CFF0FC"/>
          </w:tcPr>
          <w:p>
            <w:pPr>
              <w:ind w:left="80"/>
              <w:spacing w:after="0" w:line="136" w:lineRule="exact"/>
              <w:rPr>
                <w:sz w:val="20"/>
                <w:szCs w:val="20"/>
                <w:color w:val="auto"/>
              </w:rPr>
            </w:pPr>
            <w:r>
              <w:rPr>
                <w:rFonts w:ascii="Times New Roman" w:cs="Times New Roman" w:eastAsia="Times New Roman" w:hAnsi="Times New Roman"/>
                <w:sz w:val="13"/>
                <w:szCs w:val="13"/>
                <w:color w:val="auto"/>
              </w:rPr>
              <w:t>First-lien loan ($100,000 par, due 3/2028)</w:t>
            </w:r>
          </w:p>
        </w:tc>
        <w:tc>
          <w:tcPr>
            <w:tcW w:w="900" w:type="dxa"/>
            <w:vAlign w:val="bottom"/>
            <w:shd w:val="clear" w:color="auto" w:fill="CFF0FC"/>
          </w:tcPr>
          <w:p>
            <w:pPr>
              <w:jc w:val="right"/>
              <w:ind w:right="18"/>
              <w:spacing w:after="0" w:line="136" w:lineRule="exact"/>
              <w:rPr>
                <w:sz w:val="20"/>
                <w:szCs w:val="20"/>
                <w:color w:val="auto"/>
              </w:rPr>
            </w:pPr>
            <w:r>
              <w:rPr>
                <w:rFonts w:ascii="Times New Roman" w:cs="Times New Roman" w:eastAsia="Times New Roman" w:hAnsi="Times New Roman"/>
                <w:sz w:val="13"/>
                <w:szCs w:val="13"/>
                <w:color w:val="auto"/>
              </w:rPr>
              <w:t>3/26/2024</w:t>
            </w:r>
          </w:p>
        </w:tc>
        <w:tc>
          <w:tcPr>
            <w:tcW w:w="1340" w:type="dxa"/>
            <w:vAlign w:val="bottom"/>
            <w:shd w:val="clear" w:color="auto" w:fill="CFF0FC"/>
          </w:tcPr>
          <w:p>
            <w:pPr>
              <w:jc w:val="right"/>
              <w:ind w:right="417"/>
              <w:spacing w:after="0" w:line="136" w:lineRule="exact"/>
              <w:rPr>
                <w:sz w:val="20"/>
                <w:szCs w:val="20"/>
                <w:color w:val="auto"/>
              </w:rPr>
            </w:pPr>
            <w:r>
              <w:rPr>
                <w:rFonts w:ascii="Times New Roman" w:cs="Times New Roman" w:eastAsia="Times New Roman" w:hAnsi="Times New Roman"/>
                <w:sz w:val="13"/>
                <w:szCs w:val="13"/>
                <w:color w:val="auto"/>
              </w:rPr>
              <w:t>SOFR + 5.50%</w:t>
            </w:r>
          </w:p>
        </w:tc>
        <w:tc>
          <w:tcPr>
            <w:tcW w:w="1240" w:type="dxa"/>
            <w:vAlign w:val="bottom"/>
            <w:shd w:val="clear" w:color="auto" w:fill="CFF0FC"/>
          </w:tcPr>
          <w:p>
            <w:pPr>
              <w:jc w:val="right"/>
              <w:ind w:right="77"/>
              <w:spacing w:after="0" w:line="136" w:lineRule="exact"/>
              <w:rPr>
                <w:sz w:val="20"/>
                <w:szCs w:val="20"/>
                <w:color w:val="auto"/>
              </w:rPr>
            </w:pPr>
            <w:r>
              <w:rPr>
                <w:rFonts w:ascii="Times New Roman" w:cs="Times New Roman" w:eastAsia="Times New Roman" w:hAnsi="Times New Roman"/>
                <w:sz w:val="13"/>
                <w:szCs w:val="13"/>
                <w:color w:val="auto"/>
              </w:rPr>
              <w:t>9.33%</w:t>
            </w:r>
          </w:p>
        </w:tc>
        <w:tc>
          <w:tcPr>
            <w:tcW w:w="2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99,233</w:t>
            </w: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100,750</w:t>
            </w:r>
          </w:p>
        </w:tc>
        <w:tc>
          <w:tcPr>
            <w:tcW w:w="1220" w:type="dxa"/>
            <w:vAlign w:val="bottom"/>
            <w:gridSpan w:val="3"/>
            <w:shd w:val="clear" w:color="auto" w:fill="CFF0FC"/>
          </w:tcPr>
          <w:p>
            <w:pPr>
              <w:jc w:val="right"/>
              <w:ind w:right="40"/>
              <w:spacing w:after="0" w:line="136" w:lineRule="exact"/>
              <w:rPr>
                <w:sz w:val="20"/>
                <w:szCs w:val="20"/>
                <w:color w:val="auto"/>
              </w:rPr>
            </w:pPr>
            <w:r>
              <w:rPr>
                <w:rFonts w:ascii="Times New Roman" w:cs="Times New Roman" w:eastAsia="Times New Roman" w:hAnsi="Times New Roman"/>
                <w:sz w:val="13"/>
                <w:szCs w:val="13"/>
                <w:color w:val="auto"/>
              </w:rPr>
              <w:t>2.4%</w:t>
            </w:r>
          </w:p>
        </w:tc>
        <w:tc>
          <w:tcPr>
            <w:tcW w:w="0" w:type="dxa"/>
            <w:vAlign w:val="bottom"/>
          </w:tcPr>
          <w:p>
            <w:pPr>
              <w:spacing w:after="0"/>
              <w:rPr>
                <w:sz w:val="1"/>
                <w:szCs w:val="1"/>
                <w:color w:val="auto"/>
              </w:rPr>
            </w:pPr>
          </w:p>
        </w:tc>
      </w:tr>
      <w:tr>
        <w:trPr>
          <w:trHeight w:val="135"/>
        </w:trPr>
        <w:tc>
          <w:tcPr>
            <w:tcW w:w="18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Rail Acquisitions LLC</w:t>
            </w:r>
          </w:p>
        </w:tc>
        <w:tc>
          <w:tcPr>
            <w:tcW w:w="2600" w:type="dxa"/>
            <w:vAlign w:val="bottom"/>
          </w:tcPr>
          <w:p>
            <w:pPr>
              <w:ind w:left="80"/>
              <w:spacing w:after="0" w:line="135" w:lineRule="exact"/>
              <w:rPr>
                <w:sz w:val="20"/>
                <w:szCs w:val="20"/>
                <w:color w:val="auto"/>
              </w:rPr>
            </w:pPr>
            <w:r>
              <w:rPr>
                <w:rFonts w:ascii="Times New Roman" w:cs="Times New Roman" w:eastAsia="Times New Roman" w:hAnsi="Times New Roman"/>
                <w:sz w:val="12"/>
                <w:szCs w:val="12"/>
                <w:color w:val="auto"/>
              </w:rPr>
              <w:t xml:space="preserve">First-lien loan ($31,521 par, due 1/2030) </w:t>
            </w:r>
            <w:r>
              <w:rPr>
                <w:rFonts w:ascii="Times New Roman" w:cs="Times New Roman" w:eastAsia="Times New Roman" w:hAnsi="Times New Roman"/>
                <w:sz w:val="15"/>
                <w:szCs w:val="15"/>
                <w:color w:val="auto"/>
                <w:vertAlign w:val="superscript"/>
              </w:rPr>
              <w:t>(3)</w:t>
            </w:r>
          </w:p>
        </w:tc>
        <w:tc>
          <w:tcPr>
            <w:tcW w:w="900" w:type="dxa"/>
            <w:vAlign w:val="bottom"/>
          </w:tcPr>
          <w:p>
            <w:pPr>
              <w:jc w:val="right"/>
              <w:ind w:right="18"/>
              <w:spacing w:after="0" w:line="135" w:lineRule="exact"/>
              <w:rPr>
                <w:sz w:val="20"/>
                <w:szCs w:val="20"/>
                <w:color w:val="auto"/>
              </w:rPr>
            </w:pPr>
            <w:r>
              <w:rPr>
                <w:rFonts w:ascii="Times New Roman" w:cs="Times New Roman" w:eastAsia="Times New Roman" w:hAnsi="Times New Roman"/>
                <w:sz w:val="13"/>
                <w:szCs w:val="13"/>
                <w:color w:val="auto"/>
              </w:rPr>
              <w:t>1/27/2025</w:t>
            </w:r>
          </w:p>
        </w:tc>
        <w:tc>
          <w:tcPr>
            <w:tcW w:w="1340" w:type="dxa"/>
            <w:vAlign w:val="bottom"/>
          </w:tcPr>
          <w:p>
            <w:pPr>
              <w:jc w:val="right"/>
              <w:ind w:right="417"/>
              <w:spacing w:after="0" w:line="135" w:lineRule="exact"/>
              <w:rPr>
                <w:sz w:val="20"/>
                <w:szCs w:val="20"/>
                <w:color w:val="auto"/>
              </w:rPr>
            </w:pPr>
            <w:r>
              <w:rPr>
                <w:rFonts w:ascii="Times New Roman" w:cs="Times New Roman" w:eastAsia="Times New Roman" w:hAnsi="Times New Roman"/>
                <w:sz w:val="13"/>
                <w:szCs w:val="13"/>
                <w:color w:val="auto"/>
              </w:rPr>
              <w:t>SOFR + 6.00%</w:t>
            </w:r>
          </w:p>
        </w:tc>
        <w:tc>
          <w:tcPr>
            <w:tcW w:w="124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9.86%</w:t>
            </w:r>
          </w:p>
        </w:tc>
        <w:tc>
          <w:tcPr>
            <w:tcW w:w="2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30,927</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31,182</w:t>
            </w:r>
          </w:p>
        </w:tc>
        <w:tc>
          <w:tcPr>
            <w:tcW w:w="1220" w:type="dxa"/>
            <w:vAlign w:val="bottom"/>
            <w:gridSpan w:val="3"/>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0.7%</w:t>
            </w:r>
          </w:p>
        </w:tc>
        <w:tc>
          <w:tcPr>
            <w:tcW w:w="0" w:type="dxa"/>
            <w:vAlign w:val="bottom"/>
          </w:tcPr>
          <w:p>
            <w:pPr>
              <w:spacing w:after="0"/>
              <w:rPr>
                <w:sz w:val="1"/>
                <w:szCs w:val="1"/>
                <w:color w:val="auto"/>
              </w:rPr>
            </w:pPr>
          </w:p>
        </w:tc>
      </w:tr>
      <w:tr>
        <w:trPr>
          <w:trHeight w:val="135"/>
        </w:trPr>
        <w:tc>
          <w:tcPr>
            <w:tcW w:w="1860" w:type="dxa"/>
            <w:vAlign w:val="bottom"/>
            <w:shd w:val="clear" w:color="auto" w:fill="CFF0FC"/>
          </w:tcPr>
          <w:p>
            <w:pPr>
              <w:spacing w:after="0"/>
              <w:rPr>
                <w:sz w:val="11"/>
                <w:szCs w:val="11"/>
                <w:color w:val="auto"/>
              </w:rPr>
            </w:pPr>
          </w:p>
        </w:tc>
        <w:tc>
          <w:tcPr>
            <w:tcW w:w="2600" w:type="dxa"/>
            <w:vAlign w:val="bottom"/>
            <w:shd w:val="clear" w:color="auto" w:fill="CFF0FC"/>
          </w:tcPr>
          <w:p>
            <w:pPr>
              <w:ind w:left="80"/>
              <w:spacing w:after="0" w:line="135" w:lineRule="exact"/>
              <w:rPr>
                <w:sz w:val="20"/>
                <w:szCs w:val="20"/>
                <w:color w:val="auto"/>
              </w:rPr>
            </w:pPr>
            <w:r>
              <w:rPr>
                <w:rFonts w:ascii="Times New Roman" w:cs="Times New Roman" w:eastAsia="Times New Roman" w:hAnsi="Times New Roman"/>
                <w:sz w:val="13"/>
                <w:szCs w:val="13"/>
                <w:color w:val="auto"/>
              </w:rPr>
              <w:t>Second-lien note ($26,779 par, due 1/2031)</w:t>
            </w:r>
          </w:p>
        </w:tc>
        <w:tc>
          <w:tcPr>
            <w:tcW w:w="900" w:type="dxa"/>
            <w:vAlign w:val="bottom"/>
            <w:shd w:val="clear" w:color="auto" w:fill="CFF0FC"/>
          </w:tcPr>
          <w:p>
            <w:pPr>
              <w:jc w:val="right"/>
              <w:ind w:right="18"/>
              <w:spacing w:after="0" w:line="135" w:lineRule="exact"/>
              <w:rPr>
                <w:sz w:val="20"/>
                <w:szCs w:val="20"/>
                <w:color w:val="auto"/>
              </w:rPr>
            </w:pPr>
            <w:r>
              <w:rPr>
                <w:rFonts w:ascii="Times New Roman" w:cs="Times New Roman" w:eastAsia="Times New Roman" w:hAnsi="Times New Roman"/>
                <w:sz w:val="13"/>
                <w:szCs w:val="13"/>
                <w:color w:val="auto"/>
              </w:rPr>
              <w:t>1/27/2025</w:t>
            </w:r>
          </w:p>
        </w:tc>
        <w:tc>
          <w:tcPr>
            <w:tcW w:w="1340" w:type="dxa"/>
            <w:vAlign w:val="bottom"/>
            <w:shd w:val="clear" w:color="auto" w:fill="CFF0FC"/>
          </w:tcPr>
          <w:p>
            <w:pPr>
              <w:jc w:val="right"/>
              <w:ind w:right="297"/>
              <w:spacing w:after="0" w:line="135" w:lineRule="exact"/>
              <w:rPr>
                <w:sz w:val="20"/>
                <w:szCs w:val="20"/>
                <w:color w:val="auto"/>
              </w:rPr>
            </w:pPr>
            <w:r>
              <w:rPr>
                <w:rFonts w:ascii="Times New Roman" w:cs="Times New Roman" w:eastAsia="Times New Roman" w:hAnsi="Times New Roman"/>
                <w:sz w:val="13"/>
                <w:szCs w:val="13"/>
                <w:color w:val="auto"/>
              </w:rPr>
              <w:t>13.75%</w:t>
            </w:r>
          </w:p>
        </w:tc>
        <w:tc>
          <w:tcPr>
            <w:tcW w:w="1440" w:type="dxa"/>
            <w:vAlign w:val="bottom"/>
            <w:gridSpan w:val="2"/>
            <w:shd w:val="clear" w:color="auto" w:fill="CFF0FC"/>
          </w:tcPr>
          <w:p>
            <w:pPr>
              <w:ind w:left="360"/>
              <w:spacing w:after="0" w:line="135" w:lineRule="exact"/>
              <w:rPr>
                <w:sz w:val="20"/>
                <w:szCs w:val="20"/>
                <w:color w:val="auto"/>
              </w:rPr>
            </w:pPr>
            <w:r>
              <w:rPr>
                <w:rFonts w:ascii="Times New Roman" w:cs="Times New Roman" w:eastAsia="Times New Roman" w:hAnsi="Times New Roman"/>
                <w:sz w:val="13"/>
                <w:szCs w:val="13"/>
                <w:color w:val="auto"/>
              </w:rPr>
              <w:t>13.75% PIK</w:t>
            </w: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22,865</w:t>
            </w: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24,200</w:t>
            </w:r>
          </w:p>
        </w:tc>
        <w:tc>
          <w:tcPr>
            <w:tcW w:w="1220" w:type="dxa"/>
            <w:vAlign w:val="bottom"/>
            <w:gridSpan w:val="3"/>
            <w:shd w:val="clear" w:color="auto" w:fill="CFF0FC"/>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0.6%</w:t>
            </w:r>
          </w:p>
        </w:tc>
        <w:tc>
          <w:tcPr>
            <w:tcW w:w="0" w:type="dxa"/>
            <w:vAlign w:val="bottom"/>
          </w:tcPr>
          <w:p>
            <w:pPr>
              <w:spacing w:after="0"/>
              <w:rPr>
                <w:sz w:val="1"/>
                <w:szCs w:val="1"/>
                <w:color w:val="auto"/>
              </w:rPr>
            </w:pPr>
          </w:p>
        </w:tc>
      </w:tr>
      <w:tr>
        <w:trPr>
          <w:trHeight w:val="117"/>
        </w:trPr>
        <w:tc>
          <w:tcPr>
            <w:tcW w:w="1860" w:type="dxa"/>
            <w:vAlign w:val="bottom"/>
          </w:tcPr>
          <w:p>
            <w:pPr>
              <w:spacing w:after="0" w:line="117" w:lineRule="exact"/>
              <w:rPr>
                <w:sz w:val="20"/>
                <w:szCs w:val="20"/>
                <w:color w:val="auto"/>
              </w:rPr>
            </w:pPr>
            <w:r>
              <w:rPr>
                <w:rFonts w:ascii="Times New Roman" w:cs="Times New Roman" w:eastAsia="Times New Roman" w:hAnsi="Times New Roman"/>
                <w:sz w:val="10"/>
                <w:szCs w:val="10"/>
                <w:color w:val="auto"/>
              </w:rPr>
              <w:t xml:space="preserve">Ranger Intermediate II, LLC </w:t>
            </w:r>
            <w:r>
              <w:rPr>
                <w:rFonts w:ascii="Times New Roman" w:cs="Times New Roman" w:eastAsia="Times New Roman" w:hAnsi="Times New Roman"/>
                <w:sz w:val="13"/>
                <w:szCs w:val="13"/>
                <w:color w:val="auto"/>
                <w:vertAlign w:val="superscript"/>
              </w:rPr>
              <w:t>(3)</w:t>
            </w:r>
          </w:p>
        </w:tc>
        <w:tc>
          <w:tcPr>
            <w:tcW w:w="2600" w:type="dxa"/>
            <w:vAlign w:val="bottom"/>
          </w:tcPr>
          <w:p>
            <w:pPr>
              <w:ind w:left="80"/>
              <w:spacing w:after="0" w:line="117" w:lineRule="exact"/>
              <w:rPr>
                <w:sz w:val="20"/>
                <w:szCs w:val="20"/>
                <w:color w:val="auto"/>
              </w:rPr>
            </w:pPr>
            <w:r>
              <w:rPr>
                <w:rFonts w:ascii="Times New Roman" w:cs="Times New Roman" w:eastAsia="Times New Roman" w:hAnsi="Times New Roman"/>
                <w:sz w:val="13"/>
                <w:szCs w:val="13"/>
                <w:color w:val="auto"/>
              </w:rPr>
              <w:t>First-lien loan ($300,564 par, due 10/2031)</w:t>
            </w:r>
          </w:p>
        </w:tc>
        <w:tc>
          <w:tcPr>
            <w:tcW w:w="900" w:type="dxa"/>
            <w:vAlign w:val="bottom"/>
          </w:tcPr>
          <w:p>
            <w:pPr>
              <w:jc w:val="right"/>
              <w:ind w:right="18"/>
              <w:spacing w:after="0" w:line="117" w:lineRule="exact"/>
              <w:rPr>
                <w:sz w:val="20"/>
                <w:szCs w:val="20"/>
                <w:color w:val="auto"/>
              </w:rPr>
            </w:pPr>
            <w:r>
              <w:rPr>
                <w:rFonts w:ascii="Times New Roman" w:cs="Times New Roman" w:eastAsia="Times New Roman" w:hAnsi="Times New Roman"/>
                <w:sz w:val="13"/>
                <w:szCs w:val="13"/>
                <w:color w:val="auto"/>
              </w:rPr>
              <w:t>10/28/2025</w:t>
            </w:r>
          </w:p>
        </w:tc>
        <w:tc>
          <w:tcPr>
            <w:tcW w:w="1340" w:type="dxa"/>
            <w:vAlign w:val="bottom"/>
          </w:tcPr>
          <w:p>
            <w:pPr>
              <w:jc w:val="right"/>
              <w:ind w:right="457"/>
              <w:spacing w:after="0" w:line="117" w:lineRule="exact"/>
              <w:rPr>
                <w:sz w:val="20"/>
                <w:szCs w:val="20"/>
                <w:color w:val="auto"/>
              </w:rPr>
            </w:pPr>
            <w:r>
              <w:rPr>
                <w:rFonts w:ascii="Times New Roman" w:cs="Times New Roman" w:eastAsia="Times New Roman" w:hAnsi="Times New Roman"/>
                <w:sz w:val="13"/>
                <w:szCs w:val="13"/>
                <w:color w:val="auto"/>
              </w:rPr>
              <w:t>SOFR +</w:t>
            </w:r>
          </w:p>
        </w:tc>
        <w:tc>
          <w:tcPr>
            <w:tcW w:w="1240" w:type="dxa"/>
            <w:vAlign w:val="bottom"/>
          </w:tcPr>
          <w:p>
            <w:pPr>
              <w:jc w:val="right"/>
              <w:ind w:right="77"/>
              <w:spacing w:after="0" w:line="117" w:lineRule="exact"/>
              <w:rPr>
                <w:sz w:val="20"/>
                <w:szCs w:val="20"/>
                <w:color w:val="auto"/>
              </w:rPr>
            </w:pPr>
            <w:r>
              <w:rPr>
                <w:rFonts w:ascii="Times New Roman" w:cs="Times New Roman" w:eastAsia="Times New Roman" w:hAnsi="Times New Roman"/>
                <w:sz w:val="13"/>
                <w:szCs w:val="13"/>
                <w:color w:val="auto"/>
              </w:rPr>
              <w:t>9.36%</w:t>
            </w:r>
          </w:p>
        </w:tc>
        <w:tc>
          <w:tcPr>
            <w:tcW w:w="200" w:type="dxa"/>
            <w:vAlign w:val="bottom"/>
          </w:tcPr>
          <w:p>
            <w:pPr>
              <w:spacing w:after="0"/>
              <w:rPr>
                <w:sz w:val="10"/>
                <w:szCs w:val="10"/>
                <w:color w:val="auto"/>
              </w:rPr>
            </w:pPr>
          </w:p>
        </w:tc>
        <w:tc>
          <w:tcPr>
            <w:tcW w:w="66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296,142</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297,558</w:t>
            </w:r>
          </w:p>
        </w:tc>
        <w:tc>
          <w:tcPr>
            <w:tcW w:w="1220" w:type="dxa"/>
            <w:vAlign w:val="bottom"/>
            <w:gridSpan w:val="3"/>
          </w:tcPr>
          <w:p>
            <w:pPr>
              <w:jc w:val="right"/>
              <w:ind w:right="40"/>
              <w:spacing w:after="0" w:line="117" w:lineRule="exact"/>
              <w:rPr>
                <w:sz w:val="20"/>
                <w:szCs w:val="20"/>
                <w:color w:val="auto"/>
              </w:rPr>
            </w:pPr>
            <w:r>
              <w:rPr>
                <w:rFonts w:ascii="Times New Roman" w:cs="Times New Roman" w:eastAsia="Times New Roman" w:hAnsi="Times New Roman"/>
                <w:sz w:val="13"/>
                <w:szCs w:val="13"/>
                <w:color w:val="auto"/>
              </w:rPr>
              <w:t>7.1%</w:t>
            </w:r>
          </w:p>
        </w:tc>
        <w:tc>
          <w:tcPr>
            <w:tcW w:w="0" w:type="dxa"/>
            <w:vAlign w:val="bottom"/>
          </w:tcPr>
          <w:p>
            <w:pPr>
              <w:spacing w:after="0"/>
              <w:rPr>
                <w:sz w:val="1"/>
                <w:szCs w:val="1"/>
                <w:color w:val="auto"/>
              </w:rPr>
            </w:pPr>
          </w:p>
        </w:tc>
      </w:tr>
      <w:tr>
        <w:trPr>
          <w:trHeight w:val="153"/>
        </w:trPr>
        <w:tc>
          <w:tcPr>
            <w:tcW w:w="186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40" w:type="dxa"/>
            <w:vAlign w:val="bottom"/>
          </w:tcPr>
          <w:p>
            <w:pPr>
              <w:jc w:val="right"/>
              <w:ind w:right="417"/>
              <w:spacing w:after="0"/>
              <w:rPr>
                <w:sz w:val="20"/>
                <w:szCs w:val="20"/>
                <w:color w:val="auto"/>
              </w:rPr>
            </w:pPr>
            <w:r>
              <w:rPr>
                <w:rFonts w:ascii="Times New Roman" w:cs="Times New Roman" w:eastAsia="Times New Roman" w:hAnsi="Times New Roman"/>
                <w:sz w:val="13"/>
                <w:szCs w:val="13"/>
                <w:color w:val="auto"/>
              </w:rPr>
              <w:t>5.50%</w:t>
            </w:r>
          </w:p>
        </w:tc>
        <w:tc>
          <w:tcPr>
            <w:tcW w:w="1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86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0"/>
                <w:szCs w:val="10"/>
                <w:color w:val="auto"/>
              </w:rPr>
              <w:t xml:space="preserve">Shiftmove GmbH </w:t>
            </w:r>
            <w:r>
              <w:rPr>
                <w:rFonts w:ascii="Times New Roman" w:cs="Times New Roman" w:eastAsia="Times New Roman" w:hAnsi="Times New Roman"/>
                <w:sz w:val="13"/>
                <w:szCs w:val="13"/>
                <w:color w:val="auto"/>
                <w:vertAlign w:val="superscript"/>
              </w:rPr>
              <w:t>(3)(4)(5)</w:t>
            </w:r>
          </w:p>
        </w:tc>
        <w:tc>
          <w:tcPr>
            <w:tcW w:w="2600" w:type="dxa"/>
            <w:vAlign w:val="bottom"/>
            <w:shd w:val="clear" w:color="auto" w:fill="CFF0FC"/>
          </w:tcPr>
          <w:p>
            <w:pPr>
              <w:ind w:left="80"/>
              <w:spacing w:after="0" w:line="117" w:lineRule="exact"/>
              <w:rPr>
                <w:sz w:val="20"/>
                <w:szCs w:val="20"/>
                <w:color w:val="auto"/>
              </w:rPr>
            </w:pPr>
            <w:r>
              <w:rPr>
                <w:rFonts w:ascii="Times New Roman" w:cs="Times New Roman" w:eastAsia="Times New Roman" w:hAnsi="Times New Roman"/>
                <w:sz w:val="13"/>
                <w:szCs w:val="13"/>
                <w:color w:val="auto"/>
              </w:rPr>
              <w:t>First-lien loan (EUR 16,150 par, due 9/2030)</w:t>
            </w:r>
          </w:p>
        </w:tc>
        <w:tc>
          <w:tcPr>
            <w:tcW w:w="900" w:type="dxa"/>
            <w:vAlign w:val="bottom"/>
            <w:shd w:val="clear" w:color="auto" w:fill="CFF0FC"/>
          </w:tcPr>
          <w:p>
            <w:pPr>
              <w:jc w:val="right"/>
              <w:ind w:right="18"/>
              <w:spacing w:after="0" w:line="117" w:lineRule="exact"/>
              <w:rPr>
                <w:sz w:val="20"/>
                <w:szCs w:val="20"/>
                <w:color w:val="auto"/>
              </w:rPr>
            </w:pPr>
            <w:r>
              <w:rPr>
                <w:rFonts w:ascii="Times New Roman" w:cs="Times New Roman" w:eastAsia="Times New Roman" w:hAnsi="Times New Roman"/>
                <w:sz w:val="13"/>
                <w:szCs w:val="13"/>
                <w:color w:val="auto"/>
              </w:rPr>
              <w:t>9/30/2024</w:t>
            </w:r>
          </w:p>
        </w:tc>
        <w:tc>
          <w:tcPr>
            <w:tcW w:w="1340" w:type="dxa"/>
            <w:vAlign w:val="bottom"/>
            <w:shd w:val="clear" w:color="auto" w:fill="CFF0FC"/>
          </w:tcPr>
          <w:p>
            <w:pPr>
              <w:jc w:val="right"/>
              <w:ind w:right="417"/>
              <w:spacing w:after="0" w:line="117" w:lineRule="exact"/>
              <w:rPr>
                <w:sz w:val="20"/>
                <w:szCs w:val="20"/>
                <w:color w:val="auto"/>
              </w:rPr>
            </w:pPr>
            <w:r>
              <w:rPr>
                <w:rFonts w:ascii="Times New Roman" w:cs="Times New Roman" w:eastAsia="Times New Roman" w:hAnsi="Times New Roman"/>
                <w:sz w:val="13"/>
                <w:szCs w:val="13"/>
                <w:color w:val="auto"/>
              </w:rPr>
              <w:t>E + 6.00%</w:t>
            </w:r>
          </w:p>
        </w:tc>
        <w:tc>
          <w:tcPr>
            <w:tcW w:w="1240" w:type="dxa"/>
            <w:vAlign w:val="bottom"/>
            <w:shd w:val="clear" w:color="auto" w:fill="CFF0FC"/>
          </w:tcPr>
          <w:p>
            <w:pPr>
              <w:jc w:val="right"/>
              <w:ind w:right="77"/>
              <w:spacing w:after="0" w:line="117" w:lineRule="exact"/>
              <w:rPr>
                <w:sz w:val="20"/>
                <w:szCs w:val="20"/>
                <w:color w:val="auto"/>
              </w:rPr>
            </w:pPr>
            <w:r>
              <w:rPr>
                <w:rFonts w:ascii="Times New Roman" w:cs="Times New Roman" w:eastAsia="Times New Roman" w:hAnsi="Times New Roman"/>
                <w:sz w:val="13"/>
                <w:szCs w:val="13"/>
                <w:color w:val="auto"/>
              </w:rPr>
              <w:t>8.03%</w:t>
            </w:r>
          </w:p>
        </w:tc>
        <w:tc>
          <w:tcPr>
            <w:tcW w:w="200" w:type="dxa"/>
            <w:vAlign w:val="bottom"/>
            <w:shd w:val="clear" w:color="auto" w:fill="CFF0FC"/>
          </w:tcPr>
          <w:p>
            <w:pPr>
              <w:spacing w:after="0"/>
              <w:rPr>
                <w:sz w:val="10"/>
                <w:szCs w:val="10"/>
                <w:color w:val="auto"/>
              </w:rPr>
            </w:pPr>
          </w:p>
        </w:tc>
        <w:tc>
          <w:tcPr>
            <w:tcW w:w="66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17,763</w:t>
            </w: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2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19,026</w:t>
            </w:r>
          </w:p>
        </w:tc>
        <w:tc>
          <w:tcPr>
            <w:tcW w:w="1220" w:type="dxa"/>
            <w:vAlign w:val="bottom"/>
            <w:gridSpan w:val="3"/>
            <w:shd w:val="clear" w:color="auto" w:fill="CFF0FC"/>
          </w:tcPr>
          <w:p>
            <w:pPr>
              <w:jc w:val="right"/>
              <w:ind w:right="40"/>
              <w:spacing w:after="0" w:line="117" w:lineRule="exact"/>
              <w:rPr>
                <w:sz w:val="20"/>
                <w:szCs w:val="20"/>
                <w:color w:val="auto"/>
              </w:rPr>
            </w:pPr>
            <w:r>
              <w:rPr>
                <w:rFonts w:ascii="Times New Roman" w:cs="Times New Roman" w:eastAsia="Times New Roman" w:hAnsi="Times New Roman"/>
                <w:sz w:val="13"/>
                <w:szCs w:val="13"/>
                <w:color w:val="auto"/>
              </w:rPr>
              <w:t>0.5%</w:t>
            </w:r>
          </w:p>
        </w:tc>
        <w:tc>
          <w:tcPr>
            <w:tcW w:w="0" w:type="dxa"/>
            <w:vAlign w:val="bottom"/>
          </w:tcPr>
          <w:p>
            <w:pPr>
              <w:spacing w:after="0"/>
              <w:rPr>
                <w:sz w:val="1"/>
                <w:szCs w:val="1"/>
                <w:color w:val="auto"/>
              </w:rPr>
            </w:pPr>
          </w:p>
        </w:tc>
      </w:tr>
      <w:tr>
        <w:trPr>
          <w:trHeight w:val="153"/>
        </w:trPr>
        <w:tc>
          <w:tcPr>
            <w:tcW w:w="1860" w:type="dxa"/>
            <w:vAlign w:val="bottom"/>
            <w:tcBorders>
              <w:bottom w:val="single" w:sz="8" w:color="CFF0FC"/>
            </w:tcBorders>
            <w:shd w:val="clear" w:color="auto" w:fill="CFF0FC"/>
          </w:tcPr>
          <w:p>
            <w:pPr>
              <w:spacing w:after="0"/>
              <w:rPr>
                <w:sz w:val="13"/>
                <w:szCs w:val="13"/>
                <w:color w:val="auto"/>
              </w:rPr>
            </w:pPr>
          </w:p>
        </w:tc>
        <w:tc>
          <w:tcPr>
            <w:tcW w:w="2600" w:type="dxa"/>
            <w:vAlign w:val="bottom"/>
            <w:tcBorders>
              <w:bottom w:val="single" w:sz="8" w:color="CFF0FC"/>
            </w:tcBorders>
            <w:shd w:val="clear" w:color="auto" w:fill="CFF0FC"/>
          </w:tcPr>
          <w:p>
            <w:pPr>
              <w:spacing w:after="0"/>
              <w:rPr>
                <w:sz w:val="13"/>
                <w:szCs w:val="13"/>
                <w:color w:val="auto"/>
              </w:rPr>
            </w:pPr>
          </w:p>
        </w:tc>
        <w:tc>
          <w:tcPr>
            <w:tcW w:w="900" w:type="dxa"/>
            <w:vAlign w:val="bottom"/>
            <w:tcBorders>
              <w:bottom w:val="single" w:sz="8" w:color="CFF0FC"/>
            </w:tcBorders>
            <w:shd w:val="clear" w:color="auto" w:fill="CFF0FC"/>
          </w:tcPr>
          <w:p>
            <w:pPr>
              <w:spacing w:after="0"/>
              <w:rPr>
                <w:sz w:val="13"/>
                <w:szCs w:val="13"/>
                <w:color w:val="auto"/>
              </w:rPr>
            </w:pPr>
          </w:p>
        </w:tc>
        <w:tc>
          <w:tcPr>
            <w:tcW w:w="1340" w:type="dxa"/>
            <w:vAlign w:val="bottom"/>
            <w:tcBorders>
              <w:bottom w:val="single" w:sz="8" w:color="CFF0FC"/>
            </w:tcBorders>
            <w:shd w:val="clear" w:color="auto" w:fill="CFF0FC"/>
          </w:tcPr>
          <w:p>
            <w:pPr>
              <w:spacing w:after="0"/>
              <w:rPr>
                <w:sz w:val="13"/>
                <w:szCs w:val="13"/>
                <w:color w:val="auto"/>
              </w:rPr>
            </w:pPr>
          </w:p>
        </w:tc>
        <w:tc>
          <w:tcPr>
            <w:tcW w:w="124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(EUR 16,200)</w:t>
            </w:r>
          </w:p>
        </w:tc>
        <w:tc>
          <w:tcPr>
            <w:tcW w:w="22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auto"/>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186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466,930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472,716</w:t>
            </w:r>
          </w:p>
        </w:tc>
        <w:tc>
          <w:tcPr>
            <w:tcW w:w="1220" w:type="dxa"/>
            <w:vAlign w:val="bottom"/>
            <w:gridSpan w:val="3"/>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11.3%</w:t>
            </w:r>
          </w:p>
        </w:tc>
        <w:tc>
          <w:tcPr>
            <w:tcW w:w="0" w:type="dxa"/>
            <w:vAlign w:val="bottom"/>
          </w:tcPr>
          <w:p>
            <w:pPr>
              <w:spacing w:after="0"/>
              <w:rPr>
                <w:sz w:val="1"/>
                <w:szCs w:val="1"/>
                <w:color w:val="auto"/>
              </w:rPr>
            </w:pPr>
          </w:p>
        </w:tc>
      </w:tr>
      <w:tr>
        <w:trPr>
          <w:trHeight w:val="128"/>
        </w:trPr>
        <w:tc>
          <w:tcPr>
            <w:tcW w:w="1860" w:type="dxa"/>
            <w:vAlign w:val="bottom"/>
            <w:tcBorders>
              <w:bottom w:val="single" w:sz="8" w:color="CFF0FC"/>
            </w:tcBorders>
            <w:shd w:val="clear" w:color="auto" w:fill="CFF0FC"/>
          </w:tcPr>
          <w:p>
            <w:pPr>
              <w:spacing w:after="0"/>
              <w:rPr>
                <w:sz w:val="11"/>
                <w:szCs w:val="11"/>
                <w:color w:val="auto"/>
              </w:rPr>
            </w:pPr>
          </w:p>
        </w:tc>
        <w:tc>
          <w:tcPr>
            <w:tcW w:w="2600" w:type="dxa"/>
            <w:vAlign w:val="bottom"/>
            <w:tcBorders>
              <w:bottom w:val="single" w:sz="8" w:color="CFF0FC"/>
            </w:tcBorders>
            <w:shd w:val="clear" w:color="auto" w:fill="CFF0FC"/>
          </w:tcPr>
          <w:p>
            <w:pPr>
              <w:spacing w:after="0"/>
              <w:rPr>
                <w:sz w:val="11"/>
                <w:szCs w:val="11"/>
                <w:color w:val="auto"/>
              </w:rPr>
            </w:pPr>
          </w:p>
        </w:tc>
        <w:tc>
          <w:tcPr>
            <w:tcW w:w="900" w:type="dxa"/>
            <w:vAlign w:val="bottom"/>
            <w:tcBorders>
              <w:bottom w:val="single" w:sz="8" w:color="CFF0FC"/>
            </w:tcBorders>
            <w:shd w:val="clear" w:color="auto" w:fill="CFF0FC"/>
          </w:tcPr>
          <w:p>
            <w:pPr>
              <w:spacing w:after="0"/>
              <w:rPr>
                <w:sz w:val="11"/>
                <w:szCs w:val="11"/>
                <w:color w:val="auto"/>
              </w:rPr>
            </w:pPr>
          </w:p>
        </w:tc>
        <w:tc>
          <w:tcPr>
            <w:tcW w:w="1340" w:type="dxa"/>
            <w:vAlign w:val="bottom"/>
            <w:tcBorders>
              <w:bottom w:val="single" w:sz="8" w:color="CFF0FC"/>
            </w:tcBorders>
            <w:shd w:val="clear" w:color="auto" w:fill="CFF0FC"/>
          </w:tcPr>
          <w:p>
            <w:pPr>
              <w:spacing w:after="0"/>
              <w:rPr>
                <w:sz w:val="11"/>
                <w:szCs w:val="11"/>
                <w:color w:val="auto"/>
              </w:rPr>
            </w:pPr>
          </w:p>
        </w:tc>
        <w:tc>
          <w:tcPr>
            <w:tcW w:w="1240" w:type="dxa"/>
            <w:vAlign w:val="bottom"/>
            <w:tcBorders>
              <w:bottom w:val="single" w:sz="8" w:color="CFF0FC"/>
            </w:tcBorders>
            <w:shd w:val="clear" w:color="auto" w:fill="CFF0FC"/>
          </w:tcPr>
          <w:p>
            <w:pPr>
              <w:spacing w:after="0"/>
              <w:rPr>
                <w:sz w:val="11"/>
                <w:szCs w:val="11"/>
                <w:color w:val="auto"/>
              </w:rPr>
            </w:pPr>
          </w:p>
        </w:tc>
        <w:tc>
          <w:tcPr>
            <w:tcW w:w="200" w:type="dxa"/>
            <w:vAlign w:val="bottom"/>
            <w:tcBorders>
              <w:top w:val="single" w:sz="8" w:color="auto"/>
              <w:bottom w:val="single" w:sz="8" w:color="auto"/>
            </w:tcBorders>
            <w:shd w:val="clear" w:color="auto" w:fill="CFF0FC"/>
          </w:tcPr>
          <w:p>
            <w:pPr>
              <w:spacing w:after="0"/>
              <w:rPr>
                <w:sz w:val="11"/>
                <w:szCs w:val="11"/>
                <w:color w:val="auto"/>
              </w:rPr>
            </w:pPr>
          </w:p>
        </w:tc>
        <w:tc>
          <w:tcPr>
            <w:tcW w:w="660" w:type="dxa"/>
            <w:vAlign w:val="bottom"/>
            <w:tcBorders>
              <w:top w:val="single" w:sz="8" w:color="auto"/>
              <w:bottom w:val="single" w:sz="8" w:color="auto"/>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180" w:type="dxa"/>
            <w:vAlign w:val="bottom"/>
            <w:tcBorders>
              <w:top w:val="single" w:sz="8" w:color="auto"/>
              <w:bottom w:val="single" w:sz="8" w:color="auto"/>
            </w:tcBorders>
            <w:shd w:val="clear" w:color="auto" w:fill="CFF0FC"/>
          </w:tcPr>
          <w:p>
            <w:pPr>
              <w:spacing w:after="0"/>
              <w:rPr>
                <w:sz w:val="11"/>
                <w:szCs w:val="11"/>
                <w:color w:val="auto"/>
              </w:rPr>
            </w:pPr>
          </w:p>
        </w:tc>
        <w:tc>
          <w:tcPr>
            <w:tcW w:w="820" w:type="dxa"/>
            <w:vAlign w:val="bottom"/>
            <w:tcBorders>
              <w:top w:val="single" w:sz="8" w:color="auto"/>
              <w:bottom w:val="single" w:sz="8" w:color="auto"/>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860" w:type="dxa"/>
            <w:vAlign w:val="bottom"/>
            <w:tcBorders>
              <w:top w:val="single" w:sz="8" w:color="auto"/>
              <w:bottom w:val="single" w:sz="8" w:color="auto"/>
            </w:tcBorders>
            <w:shd w:val="clear" w:color="auto" w:fill="CFF0FC"/>
          </w:tcPr>
          <w:p>
            <w:pPr>
              <w:spacing w:after="0"/>
              <w:rPr>
                <w:sz w:val="11"/>
                <w:szCs w:val="11"/>
                <w:color w:val="auto"/>
              </w:rPr>
            </w:pPr>
          </w:p>
        </w:tc>
        <w:tc>
          <w:tcPr>
            <w:tcW w:w="14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86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Debt Investments</w:t>
            </w:r>
          </w:p>
        </w:tc>
        <w:tc>
          <w:tcPr>
            <w:tcW w:w="26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7,734,357</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7,919,661</w:t>
            </w:r>
          </w:p>
        </w:tc>
        <w:tc>
          <w:tcPr>
            <w:tcW w:w="1220" w:type="dxa"/>
            <w:vAlign w:val="bottom"/>
            <w:gridSpan w:val="3"/>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189.9%</w:t>
            </w:r>
          </w:p>
        </w:tc>
        <w:tc>
          <w:tcPr>
            <w:tcW w:w="0" w:type="dxa"/>
            <w:vAlign w:val="bottom"/>
          </w:tcPr>
          <w:p>
            <w:pPr>
              <w:spacing w:after="0"/>
              <w:rPr>
                <w:sz w:val="1"/>
                <w:szCs w:val="1"/>
                <w:color w:val="auto"/>
              </w:rPr>
            </w:pPr>
          </w:p>
        </w:tc>
      </w:tr>
      <w:tr>
        <w:trPr>
          <w:trHeight w:val="128"/>
        </w:trPr>
        <w:tc>
          <w:tcPr>
            <w:tcW w:w="1860" w:type="dxa"/>
            <w:vAlign w:val="bottom"/>
            <w:shd w:val="clear" w:color="auto" w:fill="CFF0FC"/>
          </w:tcPr>
          <w:p>
            <w:pPr>
              <w:spacing w:after="0"/>
              <w:rPr>
                <w:sz w:val="11"/>
                <w:szCs w:val="11"/>
                <w:color w:val="auto"/>
              </w:rPr>
            </w:pPr>
          </w:p>
        </w:tc>
        <w:tc>
          <w:tcPr>
            <w:tcW w:w="26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tcBorders>
              <w:top w:val="single" w:sz="8" w:color="auto"/>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6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Equity Investments</w:t>
            </w:r>
          </w:p>
        </w:tc>
        <w:tc>
          <w:tcPr>
            <w:tcW w:w="26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Business Services</w:t>
            </w:r>
          </w:p>
        </w:tc>
        <w:tc>
          <w:tcPr>
            <w:tcW w:w="26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 xml:space="preserve">Artisan Topco LP </w:t>
            </w:r>
            <w:r>
              <w:rPr>
                <w:rFonts w:ascii="Times New Roman" w:cs="Times New Roman" w:eastAsia="Times New Roman" w:hAnsi="Times New Roman"/>
                <w:sz w:val="15"/>
                <w:szCs w:val="15"/>
                <w:color w:val="auto"/>
                <w:vertAlign w:val="superscript"/>
              </w:rPr>
              <w:t>(8)</w:t>
            </w:r>
          </w:p>
        </w:tc>
        <w:tc>
          <w:tcPr>
            <w:tcW w:w="260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Class A Preferred Units (7,882,736 units)</w:t>
            </w:r>
          </w:p>
        </w:tc>
        <w:tc>
          <w:tcPr>
            <w:tcW w:w="900" w:type="dxa"/>
            <w:vAlign w:val="bottom"/>
          </w:tcPr>
          <w:p>
            <w:pPr>
              <w:jc w:val="right"/>
              <w:ind w:right="18"/>
              <w:spacing w:after="0" w:line="135" w:lineRule="exact"/>
              <w:rPr>
                <w:sz w:val="20"/>
                <w:szCs w:val="20"/>
                <w:color w:val="auto"/>
              </w:rPr>
            </w:pPr>
            <w:r>
              <w:rPr>
                <w:rFonts w:ascii="Times New Roman" w:cs="Times New Roman" w:eastAsia="Times New Roman" w:hAnsi="Times New Roman"/>
                <w:sz w:val="13"/>
                <w:szCs w:val="13"/>
                <w:color w:val="auto"/>
              </w:rPr>
              <w:t>11/7/2023</w:t>
            </w:r>
          </w:p>
        </w:tc>
        <w:tc>
          <w:tcPr>
            <w:tcW w:w="13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7,883</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6,700</w:t>
            </w:r>
          </w:p>
        </w:tc>
        <w:tc>
          <w:tcPr>
            <w:tcW w:w="1220" w:type="dxa"/>
            <w:vAlign w:val="bottom"/>
            <w:gridSpan w:val="3"/>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0.2%</w:t>
            </w:r>
          </w:p>
        </w:tc>
        <w:tc>
          <w:tcPr>
            <w:tcW w:w="0" w:type="dxa"/>
            <w:vAlign w:val="bottom"/>
          </w:tcPr>
          <w:p>
            <w:pPr>
              <w:spacing w:after="0"/>
              <w:rPr>
                <w:sz w:val="1"/>
                <w:szCs w:val="1"/>
                <w:color w:val="auto"/>
              </w:rPr>
            </w:pPr>
          </w:p>
        </w:tc>
      </w:tr>
      <w:tr>
        <w:trPr>
          <w:trHeight w:val="108"/>
        </w:trPr>
        <w:tc>
          <w:tcPr>
            <w:tcW w:w="186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2"/>
                <w:szCs w:val="12"/>
                <w:color w:val="auto"/>
              </w:rPr>
              <w:t>Insight Hideaway Aggregator, L.P.</w:t>
            </w:r>
          </w:p>
        </w:tc>
        <w:tc>
          <w:tcPr>
            <w:tcW w:w="2600" w:type="dxa"/>
            <w:vAlign w:val="bottom"/>
            <w:shd w:val="clear" w:color="auto" w:fill="CFF0FC"/>
          </w:tcPr>
          <w:p>
            <w:pPr>
              <w:ind w:left="80"/>
              <w:spacing w:after="0" w:line="108" w:lineRule="exact"/>
              <w:rPr>
                <w:sz w:val="20"/>
                <w:szCs w:val="20"/>
                <w:color w:val="auto"/>
              </w:rPr>
            </w:pPr>
            <w:r>
              <w:rPr>
                <w:rFonts w:ascii="Times New Roman" w:cs="Times New Roman" w:eastAsia="Times New Roman" w:hAnsi="Times New Roman"/>
                <w:sz w:val="12"/>
                <w:szCs w:val="12"/>
                <w:color w:val="auto"/>
              </w:rPr>
              <w:t>Partnership Interest (2,170,139 units)</w:t>
            </w:r>
          </w:p>
        </w:tc>
        <w:tc>
          <w:tcPr>
            <w:tcW w:w="900" w:type="dxa"/>
            <w:vAlign w:val="bottom"/>
            <w:shd w:val="clear" w:color="auto" w:fill="CFF0FC"/>
          </w:tcPr>
          <w:p>
            <w:pPr>
              <w:jc w:val="right"/>
              <w:ind w:right="18"/>
              <w:spacing w:after="0" w:line="108" w:lineRule="exact"/>
              <w:rPr>
                <w:sz w:val="20"/>
                <w:szCs w:val="20"/>
                <w:color w:val="auto"/>
              </w:rPr>
            </w:pPr>
            <w:r>
              <w:rPr>
                <w:rFonts w:ascii="Times New Roman" w:cs="Times New Roman" w:eastAsia="Times New Roman" w:hAnsi="Times New Roman"/>
                <w:sz w:val="12"/>
                <w:szCs w:val="12"/>
                <w:color w:val="auto"/>
              </w:rPr>
              <w:t>3/19/2024</w:t>
            </w:r>
          </w:p>
        </w:tc>
        <w:tc>
          <w:tcPr>
            <w:tcW w:w="1340" w:type="dxa"/>
            <w:vAlign w:val="bottom"/>
            <w:shd w:val="clear" w:color="auto" w:fill="CFF0FC"/>
          </w:tcPr>
          <w:p>
            <w:pPr>
              <w:spacing w:after="0"/>
              <w:rPr>
                <w:sz w:val="9"/>
                <w:szCs w:val="9"/>
                <w:color w:val="auto"/>
              </w:rPr>
            </w:pPr>
          </w:p>
        </w:tc>
        <w:tc>
          <w:tcPr>
            <w:tcW w:w="12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66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color w:val="auto"/>
              </w:rPr>
              <w:t>21,701</w:t>
            </w:r>
          </w:p>
        </w:tc>
        <w:tc>
          <w:tcPr>
            <w:tcW w:w="2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2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color w:val="auto"/>
              </w:rPr>
              <w:t>25,228</w:t>
            </w:r>
          </w:p>
        </w:tc>
        <w:tc>
          <w:tcPr>
            <w:tcW w:w="1220" w:type="dxa"/>
            <w:vAlign w:val="bottom"/>
            <w:gridSpan w:val="3"/>
            <w:shd w:val="clear" w:color="auto" w:fill="CFF0FC"/>
          </w:tcPr>
          <w:p>
            <w:pPr>
              <w:jc w:val="right"/>
              <w:ind w:right="40"/>
              <w:spacing w:after="0" w:line="108" w:lineRule="exact"/>
              <w:rPr>
                <w:sz w:val="20"/>
                <w:szCs w:val="20"/>
                <w:color w:val="auto"/>
              </w:rPr>
            </w:pPr>
            <w:r>
              <w:rPr>
                <w:rFonts w:ascii="Times New Roman" w:cs="Times New Roman" w:eastAsia="Times New Roman" w:hAnsi="Times New Roman"/>
                <w:sz w:val="12"/>
                <w:szCs w:val="12"/>
                <w:color w:val="auto"/>
              </w:rPr>
              <w:t>0.5%</w:t>
            </w:r>
          </w:p>
        </w:tc>
        <w:tc>
          <w:tcPr>
            <w:tcW w:w="0" w:type="dxa"/>
            <w:vAlign w:val="bottom"/>
          </w:tcPr>
          <w:p>
            <w:pPr>
              <w:spacing w:after="0"/>
              <w:rPr>
                <w:sz w:val="1"/>
                <w:szCs w:val="1"/>
                <w:color w:val="auto"/>
              </w:rPr>
            </w:pPr>
          </w:p>
        </w:tc>
      </w:tr>
      <w:tr>
        <w:trPr>
          <w:trHeight w:val="128"/>
        </w:trPr>
        <w:tc>
          <w:tcPr>
            <w:tcW w:w="1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8"/>
                <w:szCs w:val="8"/>
                <w:color w:val="auto"/>
              </w:rPr>
              <w:t>(8)</w:t>
            </w:r>
          </w:p>
        </w:tc>
        <w:tc>
          <w:tcPr>
            <w:tcW w:w="2600" w:type="dxa"/>
            <w:vAlign w:val="bottom"/>
            <w:tcBorders>
              <w:bottom w:val="single" w:sz="8" w:color="CFF0FC"/>
            </w:tcBorders>
            <w:shd w:val="clear" w:color="auto" w:fill="CFF0FC"/>
          </w:tcPr>
          <w:p>
            <w:pPr>
              <w:spacing w:after="0"/>
              <w:rPr>
                <w:sz w:val="11"/>
                <w:szCs w:val="11"/>
                <w:color w:val="auto"/>
              </w:rPr>
            </w:pPr>
          </w:p>
        </w:tc>
        <w:tc>
          <w:tcPr>
            <w:tcW w:w="900" w:type="dxa"/>
            <w:vAlign w:val="bottom"/>
            <w:tcBorders>
              <w:bottom w:val="single" w:sz="8" w:color="CFF0FC"/>
            </w:tcBorders>
            <w:shd w:val="clear" w:color="auto" w:fill="CFF0FC"/>
          </w:tcPr>
          <w:p>
            <w:pPr>
              <w:spacing w:after="0"/>
              <w:rPr>
                <w:sz w:val="11"/>
                <w:szCs w:val="11"/>
                <w:color w:val="auto"/>
              </w:rPr>
            </w:pPr>
          </w:p>
        </w:tc>
        <w:tc>
          <w:tcPr>
            <w:tcW w:w="1340" w:type="dxa"/>
            <w:vAlign w:val="bottom"/>
            <w:tcBorders>
              <w:bottom w:val="single" w:sz="8" w:color="CFF0FC"/>
            </w:tcBorders>
            <w:shd w:val="clear" w:color="auto" w:fill="CFF0FC"/>
          </w:tcPr>
          <w:p>
            <w:pPr>
              <w:spacing w:after="0"/>
              <w:rPr>
                <w:sz w:val="11"/>
                <w:szCs w:val="11"/>
                <w:color w:val="auto"/>
              </w:rPr>
            </w:pPr>
          </w:p>
        </w:tc>
        <w:tc>
          <w:tcPr>
            <w:tcW w:w="1240" w:type="dxa"/>
            <w:vAlign w:val="bottom"/>
            <w:tcBorders>
              <w:bottom w:val="single" w:sz="8" w:color="CFF0FC"/>
            </w:tcBorders>
            <w:shd w:val="clear" w:color="auto" w:fill="CFF0FC"/>
          </w:tcPr>
          <w:p>
            <w:pPr>
              <w:spacing w:after="0"/>
              <w:rPr>
                <w:sz w:val="11"/>
                <w:szCs w:val="11"/>
                <w:color w:val="auto"/>
              </w:rPr>
            </w:pPr>
          </w:p>
        </w:tc>
        <w:tc>
          <w:tcPr>
            <w:tcW w:w="20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180" w:type="dxa"/>
            <w:vAlign w:val="bottom"/>
            <w:tcBorders>
              <w:bottom w:val="single" w:sz="8" w:color="CFF0FC"/>
            </w:tcBorders>
            <w:shd w:val="clear" w:color="auto" w:fill="CFF0FC"/>
          </w:tcPr>
          <w:p>
            <w:pPr>
              <w:spacing w:after="0"/>
              <w:rPr>
                <w:sz w:val="11"/>
                <w:szCs w:val="11"/>
                <w:color w:val="auto"/>
              </w:rPr>
            </w:pPr>
          </w:p>
        </w:tc>
        <w:tc>
          <w:tcPr>
            <w:tcW w:w="82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86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 xml:space="preserve">Newark FP Co-Invest, L.P. </w:t>
            </w:r>
            <w:r>
              <w:rPr>
                <w:rFonts w:ascii="Times New Roman" w:cs="Times New Roman" w:eastAsia="Times New Roman" w:hAnsi="Times New Roman"/>
                <w:sz w:val="15"/>
                <w:szCs w:val="15"/>
                <w:color w:val="auto"/>
                <w:vertAlign w:val="superscript"/>
              </w:rPr>
              <w:t>(8)</w:t>
            </w:r>
          </w:p>
        </w:tc>
        <w:tc>
          <w:tcPr>
            <w:tcW w:w="260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Partnership (8,555,356 units)</w:t>
            </w:r>
          </w:p>
        </w:tc>
        <w:tc>
          <w:tcPr>
            <w:tcW w:w="900" w:type="dxa"/>
            <w:vAlign w:val="bottom"/>
          </w:tcPr>
          <w:p>
            <w:pPr>
              <w:jc w:val="right"/>
              <w:ind w:right="18"/>
              <w:spacing w:after="0" w:line="135" w:lineRule="exact"/>
              <w:rPr>
                <w:sz w:val="20"/>
                <w:szCs w:val="20"/>
                <w:color w:val="auto"/>
              </w:rPr>
            </w:pPr>
            <w:r>
              <w:rPr>
                <w:rFonts w:ascii="Times New Roman" w:cs="Times New Roman" w:eastAsia="Times New Roman" w:hAnsi="Times New Roman"/>
                <w:sz w:val="13"/>
                <w:szCs w:val="13"/>
                <w:color w:val="auto"/>
              </w:rPr>
              <w:t>11/8/2023</w:t>
            </w:r>
          </w:p>
        </w:tc>
        <w:tc>
          <w:tcPr>
            <w:tcW w:w="13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8,572</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8,122</w:t>
            </w:r>
          </w:p>
        </w:tc>
        <w:tc>
          <w:tcPr>
            <w:tcW w:w="1220" w:type="dxa"/>
            <w:vAlign w:val="bottom"/>
            <w:gridSpan w:val="3"/>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0.2%</w:t>
            </w:r>
          </w:p>
        </w:tc>
        <w:tc>
          <w:tcPr>
            <w:tcW w:w="0" w:type="dxa"/>
            <w:vAlign w:val="bottom"/>
          </w:tcPr>
          <w:p>
            <w:pPr>
              <w:spacing w:after="0"/>
              <w:rPr>
                <w:sz w:val="1"/>
                <w:szCs w:val="1"/>
                <w:color w:val="auto"/>
              </w:rPr>
            </w:pPr>
          </w:p>
        </w:tc>
      </w:tr>
      <w:tr>
        <w:trPr>
          <w:trHeight w:val="135"/>
        </w:trPr>
        <w:tc>
          <w:tcPr>
            <w:tcW w:w="18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 xml:space="preserve">Warrior TopCo LP </w:t>
            </w:r>
            <w:r>
              <w:rPr>
                <w:rFonts w:ascii="Times New Roman" w:cs="Times New Roman" w:eastAsia="Times New Roman" w:hAnsi="Times New Roman"/>
                <w:sz w:val="15"/>
                <w:szCs w:val="15"/>
                <w:color w:val="auto"/>
                <w:vertAlign w:val="superscript"/>
              </w:rPr>
              <w:t>(8)</w:t>
            </w:r>
          </w:p>
        </w:tc>
        <w:tc>
          <w:tcPr>
            <w:tcW w:w="2600" w:type="dxa"/>
            <w:vAlign w:val="bottom"/>
            <w:shd w:val="clear" w:color="auto" w:fill="CFF0FC"/>
          </w:tcPr>
          <w:p>
            <w:pPr>
              <w:ind w:left="80"/>
              <w:spacing w:after="0" w:line="135" w:lineRule="exact"/>
              <w:rPr>
                <w:sz w:val="20"/>
                <w:szCs w:val="20"/>
                <w:color w:val="auto"/>
              </w:rPr>
            </w:pPr>
            <w:r>
              <w:rPr>
                <w:rFonts w:ascii="Times New Roman" w:cs="Times New Roman" w:eastAsia="Times New Roman" w:hAnsi="Times New Roman"/>
                <w:sz w:val="13"/>
                <w:szCs w:val="13"/>
                <w:color w:val="auto"/>
              </w:rPr>
              <w:t>Class A Units (9,576,271 units)</w:t>
            </w:r>
          </w:p>
        </w:tc>
        <w:tc>
          <w:tcPr>
            <w:tcW w:w="900" w:type="dxa"/>
            <w:vAlign w:val="bottom"/>
            <w:shd w:val="clear" w:color="auto" w:fill="CFF0FC"/>
          </w:tcPr>
          <w:p>
            <w:pPr>
              <w:jc w:val="right"/>
              <w:ind w:right="18"/>
              <w:spacing w:after="0" w:line="135" w:lineRule="exact"/>
              <w:rPr>
                <w:sz w:val="20"/>
                <w:szCs w:val="20"/>
                <w:color w:val="auto"/>
              </w:rPr>
            </w:pPr>
            <w:r>
              <w:rPr>
                <w:rFonts w:ascii="Times New Roman" w:cs="Times New Roman" w:eastAsia="Times New Roman" w:hAnsi="Times New Roman"/>
                <w:sz w:val="13"/>
                <w:szCs w:val="13"/>
                <w:color w:val="auto"/>
              </w:rPr>
              <w:t>7/7/2023</w:t>
            </w:r>
          </w:p>
        </w:tc>
        <w:tc>
          <w:tcPr>
            <w:tcW w:w="134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9,576</w:t>
            </w: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14,939</w:t>
            </w:r>
          </w:p>
        </w:tc>
        <w:tc>
          <w:tcPr>
            <w:tcW w:w="22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0.4%</w:t>
            </w:r>
          </w:p>
        </w:tc>
        <w:tc>
          <w:tcPr>
            <w:tcW w:w="0" w:type="dxa"/>
            <w:vAlign w:val="bottom"/>
          </w:tcPr>
          <w:p>
            <w:pPr>
              <w:spacing w:after="0"/>
              <w:rPr>
                <w:sz w:val="1"/>
                <w:szCs w:val="1"/>
                <w:color w:val="auto"/>
              </w:rPr>
            </w:pPr>
          </w:p>
        </w:tc>
      </w:tr>
      <w:tr>
        <w:trPr>
          <w:trHeight w:val="20"/>
        </w:trPr>
        <w:tc>
          <w:tcPr>
            <w:tcW w:w="1860" w:type="dxa"/>
            <w:vAlign w:val="bottom"/>
            <w:shd w:val="clear" w:color="auto" w:fill="CFF0FC"/>
          </w:tcPr>
          <w:p>
            <w:pPr>
              <w:spacing w:after="0" w:line="20" w:lineRule="exact"/>
              <w:rPr>
                <w:sz w:val="1"/>
                <w:szCs w:val="1"/>
                <w:color w:val="auto"/>
              </w:rPr>
            </w:pPr>
          </w:p>
        </w:tc>
        <w:tc>
          <w:tcPr>
            <w:tcW w:w="260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1340" w:type="dxa"/>
            <w:vAlign w:val="bottom"/>
            <w:shd w:val="clear" w:color="auto" w:fill="CFF0FC"/>
          </w:tcPr>
          <w:p>
            <w:pPr>
              <w:spacing w:after="0" w:line="20" w:lineRule="exact"/>
              <w:rPr>
                <w:sz w:val="1"/>
                <w:szCs w:val="1"/>
                <w:color w:val="auto"/>
              </w:rPr>
            </w:pPr>
          </w:p>
        </w:tc>
        <w:tc>
          <w:tcPr>
            <w:tcW w:w="1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186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47,732</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54,989</w:t>
            </w:r>
          </w:p>
        </w:tc>
        <w:tc>
          <w:tcPr>
            <w:tcW w:w="220" w:type="dxa"/>
            <w:vAlign w:val="bottom"/>
          </w:tcPr>
          <w:p>
            <w:pPr>
              <w:spacing w:after="0"/>
              <w:rPr>
                <w:sz w:val="11"/>
                <w:szCs w:val="11"/>
                <w:color w:val="auto"/>
              </w:rPr>
            </w:pPr>
          </w:p>
        </w:tc>
        <w:tc>
          <w:tcPr>
            <w:tcW w:w="1000" w:type="dxa"/>
            <w:vAlign w:val="bottom"/>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29"/>
        </w:trPr>
        <w:tc>
          <w:tcPr>
            <w:tcW w:w="186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Financial Services</w:t>
            </w:r>
          </w:p>
        </w:tc>
        <w:tc>
          <w:tcPr>
            <w:tcW w:w="26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tcBorders>
              <w:top w:val="single" w:sz="8" w:color="auto"/>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 xml:space="preserve">AF Eagle Parent, L.P. </w:t>
            </w:r>
            <w:r>
              <w:rPr>
                <w:rFonts w:ascii="Times New Roman" w:cs="Times New Roman" w:eastAsia="Times New Roman" w:hAnsi="Times New Roman"/>
                <w:sz w:val="15"/>
                <w:szCs w:val="15"/>
                <w:color w:val="auto"/>
                <w:vertAlign w:val="superscript"/>
              </w:rPr>
              <w:t>(8)</w:t>
            </w:r>
          </w:p>
        </w:tc>
        <w:tc>
          <w:tcPr>
            <w:tcW w:w="260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Partnership Units (337,024 units)</w:t>
            </w:r>
          </w:p>
        </w:tc>
        <w:tc>
          <w:tcPr>
            <w:tcW w:w="900" w:type="dxa"/>
            <w:vAlign w:val="bottom"/>
          </w:tcPr>
          <w:p>
            <w:pPr>
              <w:jc w:val="right"/>
              <w:ind w:right="18"/>
              <w:spacing w:after="0" w:line="135" w:lineRule="exact"/>
              <w:rPr>
                <w:sz w:val="20"/>
                <w:szCs w:val="20"/>
                <w:color w:val="auto"/>
              </w:rPr>
            </w:pPr>
            <w:r>
              <w:rPr>
                <w:rFonts w:ascii="Times New Roman" w:cs="Times New Roman" w:eastAsia="Times New Roman" w:hAnsi="Times New Roman"/>
                <w:sz w:val="13"/>
                <w:szCs w:val="13"/>
                <w:color w:val="auto"/>
              </w:rPr>
              <w:t>11/27/2023</w:t>
            </w:r>
          </w:p>
        </w:tc>
        <w:tc>
          <w:tcPr>
            <w:tcW w:w="13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11,364</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15,881</w:t>
            </w:r>
          </w:p>
        </w:tc>
        <w:tc>
          <w:tcPr>
            <w:tcW w:w="1220" w:type="dxa"/>
            <w:vAlign w:val="bottom"/>
            <w:gridSpan w:val="3"/>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0.4%</w:t>
            </w:r>
          </w:p>
        </w:tc>
        <w:tc>
          <w:tcPr>
            <w:tcW w:w="0" w:type="dxa"/>
            <w:vAlign w:val="bottom"/>
          </w:tcPr>
          <w:p>
            <w:pPr>
              <w:spacing w:after="0"/>
              <w:rPr>
                <w:sz w:val="1"/>
                <w:szCs w:val="1"/>
                <w:color w:val="auto"/>
              </w:rPr>
            </w:pPr>
          </w:p>
        </w:tc>
      </w:tr>
      <w:tr>
        <w:trPr>
          <w:trHeight w:val="135"/>
        </w:trPr>
        <w:tc>
          <w:tcPr>
            <w:tcW w:w="18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Healthcare</w:t>
            </w:r>
          </w:p>
        </w:tc>
        <w:tc>
          <w:tcPr>
            <w:tcW w:w="26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 xml:space="preserve">Raptor US Buyer II Corp. </w:t>
            </w:r>
            <w:r>
              <w:rPr>
                <w:rFonts w:ascii="Times New Roman" w:cs="Times New Roman" w:eastAsia="Times New Roman" w:hAnsi="Times New Roman"/>
                <w:sz w:val="15"/>
                <w:szCs w:val="15"/>
                <w:color w:val="auto"/>
                <w:vertAlign w:val="superscript"/>
              </w:rPr>
              <w:t>(8)</w:t>
            </w:r>
          </w:p>
        </w:tc>
        <w:tc>
          <w:tcPr>
            <w:tcW w:w="260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Ordinary Shares (83,408 shares)</w:t>
            </w:r>
          </w:p>
        </w:tc>
        <w:tc>
          <w:tcPr>
            <w:tcW w:w="900" w:type="dxa"/>
            <w:vAlign w:val="bottom"/>
          </w:tcPr>
          <w:p>
            <w:pPr>
              <w:jc w:val="right"/>
              <w:ind w:right="18"/>
              <w:spacing w:after="0" w:line="135" w:lineRule="exact"/>
              <w:rPr>
                <w:sz w:val="20"/>
                <w:szCs w:val="20"/>
                <w:color w:val="auto"/>
              </w:rPr>
            </w:pPr>
            <w:r>
              <w:rPr>
                <w:rFonts w:ascii="Times New Roman" w:cs="Times New Roman" w:eastAsia="Times New Roman" w:hAnsi="Times New Roman"/>
                <w:sz w:val="13"/>
                <w:szCs w:val="13"/>
                <w:color w:val="auto"/>
              </w:rPr>
              <w:t>3/24/2023</w:t>
            </w:r>
          </w:p>
        </w:tc>
        <w:tc>
          <w:tcPr>
            <w:tcW w:w="13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12,876</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14,904</w:t>
            </w:r>
          </w:p>
        </w:tc>
        <w:tc>
          <w:tcPr>
            <w:tcW w:w="1220" w:type="dxa"/>
            <w:vAlign w:val="bottom"/>
            <w:gridSpan w:val="3"/>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0.4%</w:t>
            </w:r>
          </w:p>
        </w:tc>
        <w:tc>
          <w:tcPr>
            <w:tcW w:w="0" w:type="dxa"/>
            <w:vAlign w:val="bottom"/>
          </w:tcPr>
          <w:p>
            <w:pPr>
              <w:spacing w:after="0"/>
              <w:rPr>
                <w:sz w:val="1"/>
                <w:szCs w:val="1"/>
                <w:color w:val="auto"/>
              </w:rPr>
            </w:pPr>
          </w:p>
        </w:tc>
      </w:tr>
      <w:tr>
        <w:trPr>
          <w:trHeight w:val="115"/>
        </w:trPr>
        <w:tc>
          <w:tcPr>
            <w:tcW w:w="186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Human Resource Support</w:t>
            </w:r>
          </w:p>
        </w:tc>
        <w:tc>
          <w:tcPr>
            <w:tcW w:w="260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1340" w:type="dxa"/>
            <w:vAlign w:val="bottom"/>
            <w:shd w:val="clear" w:color="auto" w:fill="CFF0FC"/>
          </w:tcPr>
          <w:p>
            <w:pPr>
              <w:spacing w:after="0"/>
              <w:rPr>
                <w:sz w:val="9"/>
                <w:szCs w:val="9"/>
                <w:color w:val="auto"/>
              </w:rPr>
            </w:pPr>
          </w:p>
        </w:tc>
        <w:tc>
          <w:tcPr>
            <w:tcW w:w="12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Services</w:t>
            </w:r>
          </w:p>
        </w:tc>
        <w:tc>
          <w:tcPr>
            <w:tcW w:w="26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8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bswift, LLC</w:t>
            </w:r>
          </w:p>
        </w:tc>
        <w:tc>
          <w:tcPr>
            <w:tcW w:w="260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Class A-1 Units (7,606,491 units)</w:t>
            </w:r>
          </w:p>
        </w:tc>
        <w:tc>
          <w:tcPr>
            <w:tcW w:w="900" w:type="dxa"/>
            <w:vAlign w:val="bottom"/>
          </w:tcPr>
          <w:p>
            <w:pPr>
              <w:jc w:val="right"/>
              <w:ind w:right="18"/>
              <w:spacing w:after="0" w:line="135" w:lineRule="exact"/>
              <w:rPr>
                <w:sz w:val="20"/>
                <w:szCs w:val="20"/>
                <w:color w:val="auto"/>
              </w:rPr>
            </w:pPr>
            <w:r>
              <w:rPr>
                <w:rFonts w:ascii="Times New Roman" w:cs="Times New Roman" w:eastAsia="Times New Roman" w:hAnsi="Times New Roman"/>
                <w:sz w:val="13"/>
                <w:szCs w:val="13"/>
                <w:color w:val="auto"/>
              </w:rPr>
              <w:t>11/7/2022</w:t>
            </w:r>
          </w:p>
        </w:tc>
        <w:tc>
          <w:tcPr>
            <w:tcW w:w="13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7,606</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15,023</w:t>
            </w:r>
          </w:p>
        </w:tc>
        <w:tc>
          <w:tcPr>
            <w:tcW w:w="1220" w:type="dxa"/>
            <w:vAlign w:val="bottom"/>
            <w:gridSpan w:val="3"/>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0.4%</w:t>
            </w:r>
          </w:p>
        </w:tc>
        <w:tc>
          <w:tcPr>
            <w:tcW w:w="0" w:type="dxa"/>
            <w:vAlign w:val="bottom"/>
          </w:tcPr>
          <w:p>
            <w:pPr>
              <w:spacing w:after="0"/>
              <w:rPr>
                <w:sz w:val="1"/>
                <w:szCs w:val="1"/>
                <w:color w:val="auto"/>
              </w:rPr>
            </w:pPr>
          </w:p>
        </w:tc>
      </w:tr>
      <w:tr>
        <w:trPr>
          <w:trHeight w:val="135"/>
        </w:trPr>
        <w:tc>
          <w:tcPr>
            <w:tcW w:w="18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Internet Services</w:t>
            </w:r>
          </w:p>
        </w:tc>
        <w:tc>
          <w:tcPr>
            <w:tcW w:w="26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 xml:space="preserve">Bigtincan Holdings L.P. </w:t>
            </w:r>
            <w:r>
              <w:rPr>
                <w:rFonts w:ascii="Times New Roman" w:cs="Times New Roman" w:eastAsia="Times New Roman" w:hAnsi="Times New Roman"/>
                <w:sz w:val="15"/>
                <w:szCs w:val="15"/>
                <w:color w:val="auto"/>
                <w:vertAlign w:val="superscript"/>
              </w:rPr>
              <w:t>(8)(10)</w:t>
            </w:r>
          </w:p>
        </w:tc>
        <w:tc>
          <w:tcPr>
            <w:tcW w:w="260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Class A Units (1,597,110 units)</w:t>
            </w:r>
          </w:p>
        </w:tc>
        <w:tc>
          <w:tcPr>
            <w:tcW w:w="900" w:type="dxa"/>
            <w:vAlign w:val="bottom"/>
          </w:tcPr>
          <w:p>
            <w:pPr>
              <w:jc w:val="right"/>
              <w:ind w:right="18"/>
              <w:spacing w:after="0" w:line="135" w:lineRule="exact"/>
              <w:rPr>
                <w:sz w:val="20"/>
                <w:szCs w:val="20"/>
                <w:color w:val="auto"/>
              </w:rPr>
            </w:pPr>
            <w:r>
              <w:rPr>
                <w:rFonts w:ascii="Times New Roman" w:cs="Times New Roman" w:eastAsia="Times New Roman" w:hAnsi="Times New Roman"/>
                <w:sz w:val="13"/>
                <w:szCs w:val="13"/>
                <w:color w:val="auto"/>
              </w:rPr>
              <w:t>4/16/2025</w:t>
            </w:r>
          </w:p>
        </w:tc>
        <w:tc>
          <w:tcPr>
            <w:tcW w:w="13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1,630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1,630</w:t>
            </w:r>
          </w:p>
        </w:tc>
        <w:tc>
          <w:tcPr>
            <w:tcW w:w="1220" w:type="dxa"/>
            <w:vAlign w:val="bottom"/>
            <w:gridSpan w:val="3"/>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0.0%</w:t>
            </w:r>
          </w:p>
        </w:tc>
        <w:tc>
          <w:tcPr>
            <w:tcW w:w="0" w:type="dxa"/>
            <w:vAlign w:val="bottom"/>
          </w:tcPr>
          <w:p>
            <w:pPr>
              <w:spacing w:after="0"/>
              <w:rPr>
                <w:sz w:val="1"/>
                <w:szCs w:val="1"/>
                <w:color w:val="auto"/>
              </w:rPr>
            </w:pPr>
          </w:p>
        </w:tc>
      </w:tr>
      <w:tr>
        <w:trPr>
          <w:trHeight w:val="108"/>
        </w:trPr>
        <w:tc>
          <w:tcPr>
            <w:tcW w:w="186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2"/>
                <w:szCs w:val="12"/>
                <w:color w:val="auto"/>
              </w:rPr>
              <w:t>SMA Technologies Holdings,</w:t>
            </w:r>
          </w:p>
        </w:tc>
        <w:tc>
          <w:tcPr>
            <w:tcW w:w="2600" w:type="dxa"/>
            <w:vAlign w:val="bottom"/>
            <w:shd w:val="clear" w:color="auto" w:fill="CFF0FC"/>
          </w:tcPr>
          <w:p>
            <w:pPr>
              <w:ind w:left="80"/>
              <w:spacing w:after="0" w:line="108" w:lineRule="exact"/>
              <w:rPr>
                <w:sz w:val="20"/>
                <w:szCs w:val="20"/>
                <w:color w:val="auto"/>
              </w:rPr>
            </w:pPr>
            <w:r>
              <w:rPr>
                <w:rFonts w:ascii="Times New Roman" w:cs="Times New Roman" w:eastAsia="Times New Roman" w:hAnsi="Times New Roman"/>
                <w:sz w:val="12"/>
                <w:szCs w:val="12"/>
                <w:color w:val="auto"/>
              </w:rPr>
              <w:t>Class A Units (244 units)</w:t>
            </w:r>
          </w:p>
        </w:tc>
        <w:tc>
          <w:tcPr>
            <w:tcW w:w="900" w:type="dxa"/>
            <w:vAlign w:val="bottom"/>
            <w:shd w:val="clear" w:color="auto" w:fill="CFF0FC"/>
          </w:tcPr>
          <w:p>
            <w:pPr>
              <w:jc w:val="right"/>
              <w:ind w:right="18"/>
              <w:spacing w:after="0" w:line="108" w:lineRule="exact"/>
              <w:rPr>
                <w:sz w:val="20"/>
                <w:szCs w:val="20"/>
                <w:color w:val="auto"/>
              </w:rPr>
            </w:pPr>
            <w:r>
              <w:rPr>
                <w:rFonts w:ascii="Times New Roman" w:cs="Times New Roman" w:eastAsia="Times New Roman" w:hAnsi="Times New Roman"/>
                <w:sz w:val="12"/>
                <w:szCs w:val="12"/>
                <w:color w:val="auto"/>
              </w:rPr>
              <w:t>11/21/2022</w:t>
            </w:r>
          </w:p>
        </w:tc>
        <w:tc>
          <w:tcPr>
            <w:tcW w:w="1340" w:type="dxa"/>
            <w:vAlign w:val="bottom"/>
            <w:shd w:val="clear" w:color="auto" w:fill="CFF0FC"/>
          </w:tcPr>
          <w:p>
            <w:pPr>
              <w:spacing w:after="0"/>
              <w:rPr>
                <w:sz w:val="9"/>
                <w:szCs w:val="9"/>
                <w:color w:val="auto"/>
              </w:rPr>
            </w:pPr>
          </w:p>
        </w:tc>
        <w:tc>
          <w:tcPr>
            <w:tcW w:w="12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66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color w:val="auto"/>
              </w:rPr>
              <w:t>244</w:t>
            </w:r>
          </w:p>
        </w:tc>
        <w:tc>
          <w:tcPr>
            <w:tcW w:w="2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2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color w:val="auto"/>
              </w:rPr>
              <w:t>423</w:t>
            </w:r>
          </w:p>
        </w:tc>
        <w:tc>
          <w:tcPr>
            <w:tcW w:w="1220" w:type="dxa"/>
            <w:vAlign w:val="bottom"/>
            <w:gridSpan w:val="3"/>
            <w:shd w:val="clear" w:color="auto" w:fill="CFF0FC"/>
          </w:tcPr>
          <w:p>
            <w:pPr>
              <w:jc w:val="right"/>
              <w:ind w:right="40"/>
              <w:spacing w:after="0" w:line="108" w:lineRule="exact"/>
              <w:rPr>
                <w:sz w:val="20"/>
                <w:szCs w:val="20"/>
                <w:color w:val="auto"/>
              </w:rPr>
            </w:pPr>
            <w:r>
              <w:rPr>
                <w:rFonts w:ascii="Times New Roman" w:cs="Times New Roman" w:eastAsia="Times New Roman" w:hAnsi="Times New Roman"/>
                <w:sz w:val="12"/>
                <w:szCs w:val="12"/>
                <w:color w:val="auto"/>
              </w:rPr>
              <w:t>0.0%</w:t>
            </w:r>
          </w:p>
        </w:tc>
        <w:tc>
          <w:tcPr>
            <w:tcW w:w="0" w:type="dxa"/>
            <w:vAlign w:val="bottom"/>
          </w:tcPr>
          <w:p>
            <w:pPr>
              <w:spacing w:after="0"/>
              <w:rPr>
                <w:sz w:val="1"/>
                <w:szCs w:val="1"/>
                <w:color w:val="auto"/>
              </w:rPr>
            </w:pPr>
          </w:p>
        </w:tc>
      </w:tr>
      <w:tr>
        <w:trPr>
          <w:trHeight w:val="162"/>
        </w:trPr>
        <w:tc>
          <w:tcPr>
            <w:tcW w:w="186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3"/>
                <w:szCs w:val="13"/>
                <w:color w:val="auto"/>
              </w:rPr>
              <w:t xml:space="preserve">LLC </w:t>
            </w:r>
            <w:r>
              <w:rPr>
                <w:rFonts w:ascii="Times New Roman" w:cs="Times New Roman" w:eastAsia="Times New Roman" w:hAnsi="Times New Roman"/>
                <w:sz w:val="16"/>
                <w:szCs w:val="16"/>
                <w:color w:val="auto"/>
                <w:vertAlign w:val="superscript"/>
              </w:rPr>
              <w:t>(8)</w:t>
            </w:r>
          </w:p>
        </w:tc>
        <w:tc>
          <w:tcPr>
            <w:tcW w:w="26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860" w:type="dxa"/>
            <w:vAlign w:val="bottom"/>
          </w:tcPr>
          <w:p>
            <w:pPr>
              <w:spacing w:after="0"/>
              <w:rPr>
                <w:sz w:val="11"/>
                <w:szCs w:val="11"/>
                <w:color w:val="auto"/>
              </w:rPr>
            </w:pPr>
          </w:p>
        </w:tc>
        <w:tc>
          <w:tcPr>
            <w:tcW w:w="260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Class B Units (173,048 units)</w:t>
            </w:r>
          </w:p>
        </w:tc>
        <w:tc>
          <w:tcPr>
            <w:tcW w:w="900" w:type="dxa"/>
            <w:vAlign w:val="bottom"/>
          </w:tcPr>
          <w:p>
            <w:pPr>
              <w:jc w:val="right"/>
              <w:ind w:right="18"/>
              <w:spacing w:after="0" w:line="135" w:lineRule="exact"/>
              <w:rPr>
                <w:sz w:val="20"/>
                <w:szCs w:val="20"/>
                <w:color w:val="auto"/>
              </w:rPr>
            </w:pPr>
            <w:r>
              <w:rPr>
                <w:rFonts w:ascii="Times New Roman" w:cs="Times New Roman" w:eastAsia="Times New Roman" w:hAnsi="Times New Roman"/>
                <w:sz w:val="13"/>
                <w:szCs w:val="13"/>
                <w:color w:val="auto"/>
              </w:rPr>
              <w:t>11/21/2022</w:t>
            </w:r>
          </w:p>
        </w:tc>
        <w:tc>
          <w:tcPr>
            <w:tcW w:w="13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w:t>
            </w:r>
          </w:p>
        </w:tc>
        <w:tc>
          <w:tcPr>
            <w:tcW w:w="220" w:type="dxa"/>
            <w:vAlign w:val="bottom"/>
          </w:tcPr>
          <w:p>
            <w:pPr>
              <w:spacing w:after="0"/>
              <w:rPr>
                <w:sz w:val="11"/>
                <w:szCs w:val="11"/>
                <w:color w:val="auto"/>
              </w:rPr>
            </w:pPr>
          </w:p>
        </w:tc>
        <w:tc>
          <w:tcPr>
            <w:tcW w:w="100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0.0%</w:t>
            </w: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860" w:type="dxa"/>
            <w:vAlign w:val="bottom"/>
            <w:shd w:val="clear" w:color="auto" w:fill="CFF0FC"/>
          </w:tcPr>
          <w:p>
            <w:pPr>
              <w:spacing w:after="0"/>
              <w:rPr>
                <w:sz w:val="11"/>
                <w:szCs w:val="11"/>
                <w:color w:val="auto"/>
              </w:rPr>
            </w:pPr>
          </w:p>
        </w:tc>
        <w:tc>
          <w:tcPr>
            <w:tcW w:w="26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1,884</w:t>
            </w: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2,071</w:t>
            </w:r>
          </w:p>
        </w:tc>
        <w:tc>
          <w:tcPr>
            <w:tcW w:w="22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0.0%</w:t>
            </w:r>
          </w:p>
        </w:tc>
        <w:tc>
          <w:tcPr>
            <w:tcW w:w="0" w:type="dxa"/>
            <w:vAlign w:val="bottom"/>
          </w:tcPr>
          <w:p>
            <w:pPr>
              <w:spacing w:after="0"/>
              <w:rPr>
                <w:sz w:val="1"/>
                <w:szCs w:val="1"/>
                <w:color w:val="auto"/>
              </w:rPr>
            </w:pPr>
          </w:p>
        </w:tc>
      </w:tr>
      <w:tr>
        <w:trPr>
          <w:trHeight w:val="128"/>
        </w:trPr>
        <w:tc>
          <w:tcPr>
            <w:tcW w:w="186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Pharmaceuticals</w:t>
            </w:r>
          </w:p>
        </w:tc>
        <w:tc>
          <w:tcPr>
            <w:tcW w:w="2600" w:type="dxa"/>
            <w:vAlign w:val="bottom"/>
            <w:tcBorders>
              <w:top w:val="single" w:sz="8" w:color="CFF0FC"/>
            </w:tcBorders>
          </w:tcPr>
          <w:p>
            <w:pPr>
              <w:spacing w:after="0"/>
              <w:rPr>
                <w:sz w:val="11"/>
                <w:szCs w:val="11"/>
                <w:color w:val="auto"/>
              </w:rPr>
            </w:pPr>
          </w:p>
        </w:tc>
        <w:tc>
          <w:tcPr>
            <w:tcW w:w="900" w:type="dxa"/>
            <w:vAlign w:val="bottom"/>
            <w:tcBorders>
              <w:top w:val="single" w:sz="8" w:color="CFF0FC"/>
            </w:tcBorders>
          </w:tcPr>
          <w:p>
            <w:pPr>
              <w:spacing w:after="0"/>
              <w:rPr>
                <w:sz w:val="11"/>
                <w:szCs w:val="11"/>
                <w:color w:val="auto"/>
              </w:rPr>
            </w:pPr>
          </w:p>
        </w:tc>
        <w:tc>
          <w:tcPr>
            <w:tcW w:w="1340" w:type="dxa"/>
            <w:vAlign w:val="bottom"/>
            <w:tcBorders>
              <w:top w:val="single" w:sz="8" w:color="CFF0FC"/>
            </w:tcBorders>
          </w:tcPr>
          <w:p>
            <w:pPr>
              <w:spacing w:after="0"/>
              <w:rPr>
                <w:sz w:val="11"/>
                <w:szCs w:val="11"/>
                <w:color w:val="auto"/>
              </w:rPr>
            </w:pPr>
          </w:p>
        </w:tc>
        <w:tc>
          <w:tcPr>
            <w:tcW w:w="1240" w:type="dxa"/>
            <w:vAlign w:val="bottom"/>
            <w:tcBorders>
              <w:top w:val="single" w:sz="8" w:color="CFF0FC"/>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86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0"/>
                <w:szCs w:val="10"/>
                <w:color w:val="auto"/>
              </w:rPr>
              <w:t xml:space="preserve">Elysium BidCo Limited </w:t>
            </w:r>
            <w:r>
              <w:rPr>
                <w:rFonts w:ascii="Times New Roman" w:cs="Times New Roman" w:eastAsia="Times New Roman" w:hAnsi="Times New Roman"/>
                <w:sz w:val="13"/>
                <w:szCs w:val="13"/>
                <w:color w:val="auto"/>
                <w:vertAlign w:val="superscript"/>
              </w:rPr>
              <w:t>(4)(8)</w:t>
            </w:r>
          </w:p>
        </w:tc>
        <w:tc>
          <w:tcPr>
            <w:tcW w:w="2600" w:type="dxa"/>
            <w:vAlign w:val="bottom"/>
            <w:shd w:val="clear" w:color="auto" w:fill="CFF0FC"/>
          </w:tcPr>
          <w:p>
            <w:pPr>
              <w:ind w:left="80"/>
              <w:spacing w:after="0" w:line="117" w:lineRule="exact"/>
              <w:rPr>
                <w:sz w:val="20"/>
                <w:szCs w:val="20"/>
                <w:color w:val="auto"/>
              </w:rPr>
            </w:pPr>
            <w:r>
              <w:rPr>
                <w:rFonts w:ascii="Times New Roman" w:cs="Times New Roman" w:eastAsia="Times New Roman" w:hAnsi="Times New Roman"/>
                <w:sz w:val="13"/>
                <w:szCs w:val="13"/>
                <w:color w:val="auto"/>
              </w:rPr>
              <w:t>Convertible Preference Shares</w:t>
            </w:r>
          </w:p>
        </w:tc>
        <w:tc>
          <w:tcPr>
            <w:tcW w:w="900" w:type="dxa"/>
            <w:vAlign w:val="bottom"/>
            <w:shd w:val="clear" w:color="auto" w:fill="CFF0FC"/>
          </w:tcPr>
          <w:p>
            <w:pPr>
              <w:jc w:val="right"/>
              <w:ind w:right="18"/>
              <w:spacing w:after="0" w:line="117" w:lineRule="exact"/>
              <w:rPr>
                <w:sz w:val="20"/>
                <w:szCs w:val="20"/>
                <w:color w:val="auto"/>
              </w:rPr>
            </w:pPr>
            <w:r>
              <w:rPr>
                <w:rFonts w:ascii="Times New Roman" w:cs="Times New Roman" w:eastAsia="Times New Roman" w:hAnsi="Times New Roman"/>
                <w:sz w:val="13"/>
                <w:szCs w:val="13"/>
                <w:color w:val="auto"/>
              </w:rPr>
              <w:t>12/11/2024</w:t>
            </w:r>
          </w:p>
        </w:tc>
        <w:tc>
          <w:tcPr>
            <w:tcW w:w="1340" w:type="dxa"/>
            <w:vAlign w:val="bottom"/>
            <w:shd w:val="clear" w:color="auto" w:fill="CFF0FC"/>
          </w:tcPr>
          <w:p>
            <w:pPr>
              <w:spacing w:after="0"/>
              <w:rPr>
                <w:sz w:val="10"/>
                <w:szCs w:val="10"/>
                <w:color w:val="auto"/>
              </w:rPr>
            </w:pPr>
          </w:p>
        </w:tc>
        <w:tc>
          <w:tcPr>
            <w:tcW w:w="12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66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49,063</w:t>
            </w: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2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58,651</w:t>
            </w:r>
          </w:p>
        </w:tc>
        <w:tc>
          <w:tcPr>
            <w:tcW w:w="1220" w:type="dxa"/>
            <w:vAlign w:val="bottom"/>
            <w:gridSpan w:val="3"/>
            <w:shd w:val="clear" w:color="auto" w:fill="CFF0FC"/>
          </w:tcPr>
          <w:p>
            <w:pPr>
              <w:jc w:val="right"/>
              <w:ind w:right="40"/>
              <w:spacing w:after="0" w:line="117" w:lineRule="exact"/>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153"/>
        </w:trPr>
        <w:tc>
          <w:tcPr>
            <w:tcW w:w="1860" w:type="dxa"/>
            <w:vAlign w:val="bottom"/>
            <w:shd w:val="clear" w:color="auto" w:fill="CFF0FC"/>
          </w:tcPr>
          <w:p>
            <w:pPr>
              <w:spacing w:after="0"/>
              <w:rPr>
                <w:sz w:val="13"/>
                <w:szCs w:val="13"/>
                <w:color w:val="auto"/>
              </w:rPr>
            </w:pPr>
          </w:p>
        </w:tc>
        <w:tc>
          <w:tcPr>
            <w:tcW w:w="26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(38,503,125 units)</w:t>
            </w:r>
          </w:p>
        </w:tc>
        <w:tc>
          <w:tcPr>
            <w:tcW w:w="90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(GBP 43,605)</w:t>
            </w:r>
          </w:p>
        </w:tc>
        <w:tc>
          <w:tcPr>
            <w:tcW w:w="2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86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Transportation</w:t>
            </w:r>
          </w:p>
        </w:tc>
        <w:tc>
          <w:tcPr>
            <w:tcW w:w="26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 xml:space="preserve">Railtrac Holdings Inc. </w:t>
            </w:r>
            <w:r>
              <w:rPr>
                <w:rFonts w:ascii="Times New Roman" w:cs="Times New Roman" w:eastAsia="Times New Roman" w:hAnsi="Times New Roman"/>
                <w:sz w:val="15"/>
                <w:szCs w:val="15"/>
                <w:color w:val="auto"/>
                <w:vertAlign w:val="superscript"/>
              </w:rPr>
              <w:t>(8)(10)</w:t>
            </w:r>
          </w:p>
        </w:tc>
        <w:tc>
          <w:tcPr>
            <w:tcW w:w="2600" w:type="dxa"/>
            <w:vAlign w:val="bottom"/>
            <w:shd w:val="clear" w:color="auto" w:fill="CFF0FC"/>
          </w:tcPr>
          <w:p>
            <w:pPr>
              <w:ind w:left="80"/>
              <w:spacing w:after="0" w:line="135" w:lineRule="exact"/>
              <w:rPr>
                <w:sz w:val="20"/>
                <w:szCs w:val="20"/>
                <w:color w:val="auto"/>
              </w:rPr>
            </w:pPr>
            <w:r>
              <w:rPr>
                <w:rFonts w:ascii="Times New Roman" w:cs="Times New Roman" w:eastAsia="Times New Roman" w:hAnsi="Times New Roman"/>
                <w:sz w:val="13"/>
                <w:szCs w:val="13"/>
                <w:color w:val="auto"/>
              </w:rPr>
              <w:t>Warrants (3,824 warrants)</w:t>
            </w:r>
          </w:p>
        </w:tc>
        <w:tc>
          <w:tcPr>
            <w:tcW w:w="900" w:type="dxa"/>
            <w:vAlign w:val="bottom"/>
            <w:shd w:val="clear" w:color="auto" w:fill="CFF0FC"/>
          </w:tcPr>
          <w:p>
            <w:pPr>
              <w:jc w:val="right"/>
              <w:ind w:right="18"/>
              <w:spacing w:after="0" w:line="135" w:lineRule="exact"/>
              <w:rPr>
                <w:sz w:val="20"/>
                <w:szCs w:val="20"/>
                <w:color w:val="auto"/>
              </w:rPr>
            </w:pPr>
            <w:r>
              <w:rPr>
                <w:rFonts w:ascii="Times New Roman" w:cs="Times New Roman" w:eastAsia="Times New Roman" w:hAnsi="Times New Roman"/>
                <w:sz w:val="13"/>
                <w:szCs w:val="13"/>
                <w:color w:val="auto"/>
              </w:rPr>
              <w:t>1/27/2025</w:t>
            </w:r>
          </w:p>
        </w:tc>
        <w:tc>
          <w:tcPr>
            <w:tcW w:w="134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3,396</w:t>
            </w: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3,396</w:t>
            </w:r>
          </w:p>
        </w:tc>
        <w:tc>
          <w:tcPr>
            <w:tcW w:w="1220" w:type="dxa"/>
            <w:vAlign w:val="bottom"/>
            <w:gridSpan w:val="3"/>
            <w:shd w:val="clear" w:color="auto" w:fill="CFF0FC"/>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35"/>
        </w:trPr>
        <w:tc>
          <w:tcPr>
            <w:tcW w:w="18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 xml:space="preserve">Ranger Parent I, Inc. </w:t>
            </w:r>
            <w:r>
              <w:rPr>
                <w:rFonts w:ascii="Times New Roman" w:cs="Times New Roman" w:eastAsia="Times New Roman" w:hAnsi="Times New Roman"/>
                <w:sz w:val="15"/>
                <w:szCs w:val="15"/>
                <w:color w:val="auto"/>
                <w:vertAlign w:val="superscript"/>
              </w:rPr>
              <w:t>(10)</w:t>
            </w:r>
          </w:p>
        </w:tc>
        <w:tc>
          <w:tcPr>
            <w:tcW w:w="260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Series A-1 Preferred Shares (24,436 shares)</w:t>
            </w:r>
          </w:p>
        </w:tc>
        <w:tc>
          <w:tcPr>
            <w:tcW w:w="900" w:type="dxa"/>
            <w:vAlign w:val="bottom"/>
          </w:tcPr>
          <w:p>
            <w:pPr>
              <w:jc w:val="right"/>
              <w:ind w:right="18"/>
              <w:spacing w:after="0" w:line="135" w:lineRule="exact"/>
              <w:rPr>
                <w:sz w:val="20"/>
                <w:szCs w:val="20"/>
                <w:color w:val="auto"/>
              </w:rPr>
            </w:pPr>
            <w:r>
              <w:rPr>
                <w:rFonts w:ascii="Times New Roman" w:cs="Times New Roman" w:eastAsia="Times New Roman" w:hAnsi="Times New Roman"/>
                <w:sz w:val="13"/>
                <w:szCs w:val="13"/>
                <w:color w:val="auto"/>
              </w:rPr>
              <w:t>10/28/2025</w:t>
            </w:r>
          </w:p>
        </w:tc>
        <w:tc>
          <w:tcPr>
            <w:tcW w:w="1340" w:type="dxa"/>
            <w:vAlign w:val="bottom"/>
          </w:tcPr>
          <w:p>
            <w:pPr>
              <w:jc w:val="right"/>
              <w:ind w:right="297"/>
              <w:spacing w:after="0" w:line="135" w:lineRule="exact"/>
              <w:rPr>
                <w:sz w:val="20"/>
                <w:szCs w:val="20"/>
                <w:color w:val="auto"/>
              </w:rPr>
            </w:pPr>
            <w:r>
              <w:rPr>
                <w:rFonts w:ascii="Times New Roman" w:cs="Times New Roman" w:eastAsia="Times New Roman" w:hAnsi="Times New Roman"/>
                <w:sz w:val="13"/>
                <w:szCs w:val="13"/>
                <w:color w:val="auto"/>
              </w:rPr>
              <w:t>14.50%</w:t>
            </w:r>
          </w:p>
        </w:tc>
        <w:tc>
          <w:tcPr>
            <w:tcW w:w="1440" w:type="dxa"/>
            <w:vAlign w:val="bottom"/>
            <w:gridSpan w:val="2"/>
          </w:tcPr>
          <w:p>
            <w:pPr>
              <w:ind w:left="360"/>
              <w:spacing w:after="0" w:line="135" w:lineRule="exact"/>
              <w:rPr>
                <w:sz w:val="20"/>
                <w:szCs w:val="20"/>
                <w:color w:val="auto"/>
              </w:rPr>
            </w:pPr>
            <w:r>
              <w:rPr>
                <w:rFonts w:ascii="Times New Roman" w:cs="Times New Roman" w:eastAsia="Times New Roman" w:hAnsi="Times New Roman"/>
                <w:sz w:val="13"/>
                <w:szCs w:val="13"/>
                <w:color w:val="auto"/>
              </w:rPr>
              <w:t>14.50% PIK</w:t>
            </w: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23,235</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22,725</w:t>
            </w:r>
          </w:p>
        </w:tc>
        <w:tc>
          <w:tcPr>
            <w:tcW w:w="1220" w:type="dxa"/>
            <w:vAlign w:val="bottom"/>
            <w:gridSpan w:val="3"/>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0.5%</w:t>
            </w:r>
          </w:p>
        </w:tc>
        <w:tc>
          <w:tcPr>
            <w:tcW w:w="0" w:type="dxa"/>
            <w:vAlign w:val="bottom"/>
          </w:tcPr>
          <w:p>
            <w:pPr>
              <w:spacing w:after="0"/>
              <w:rPr>
                <w:sz w:val="1"/>
                <w:szCs w:val="1"/>
                <w:color w:val="auto"/>
              </w:rPr>
            </w:pPr>
          </w:p>
        </w:tc>
      </w:tr>
      <w:tr>
        <w:trPr>
          <w:trHeight w:val="135"/>
        </w:trPr>
        <w:tc>
          <w:tcPr>
            <w:tcW w:w="1860" w:type="dxa"/>
            <w:vAlign w:val="bottom"/>
            <w:shd w:val="clear" w:color="auto" w:fill="CFF0FC"/>
          </w:tcPr>
          <w:p>
            <w:pPr>
              <w:spacing w:after="0"/>
              <w:rPr>
                <w:sz w:val="11"/>
                <w:szCs w:val="11"/>
                <w:color w:val="auto"/>
              </w:rPr>
            </w:pPr>
          </w:p>
        </w:tc>
        <w:tc>
          <w:tcPr>
            <w:tcW w:w="2600" w:type="dxa"/>
            <w:vAlign w:val="bottom"/>
            <w:shd w:val="clear" w:color="auto" w:fill="CFF0FC"/>
          </w:tcPr>
          <w:p>
            <w:pPr>
              <w:ind w:left="80"/>
              <w:spacing w:after="0" w:line="135" w:lineRule="exact"/>
              <w:rPr>
                <w:sz w:val="20"/>
                <w:szCs w:val="20"/>
                <w:color w:val="auto"/>
              </w:rPr>
            </w:pPr>
            <w:r>
              <w:rPr>
                <w:rFonts w:ascii="Times New Roman" w:cs="Times New Roman" w:eastAsia="Times New Roman" w:hAnsi="Times New Roman"/>
                <w:sz w:val="12"/>
                <w:szCs w:val="12"/>
                <w:color w:val="auto"/>
              </w:rPr>
              <w:t xml:space="preserve">Warrants (16,643 warrants) </w:t>
            </w:r>
            <w:r>
              <w:rPr>
                <w:rFonts w:ascii="Times New Roman" w:cs="Times New Roman" w:eastAsia="Times New Roman" w:hAnsi="Times New Roman"/>
                <w:sz w:val="15"/>
                <w:szCs w:val="15"/>
                <w:color w:val="auto"/>
                <w:vertAlign w:val="superscript"/>
              </w:rPr>
              <w:t>(8)</w:t>
            </w:r>
          </w:p>
        </w:tc>
        <w:tc>
          <w:tcPr>
            <w:tcW w:w="900" w:type="dxa"/>
            <w:vAlign w:val="bottom"/>
            <w:shd w:val="clear" w:color="auto" w:fill="CFF0FC"/>
          </w:tcPr>
          <w:p>
            <w:pPr>
              <w:jc w:val="right"/>
              <w:ind w:right="18"/>
              <w:spacing w:after="0" w:line="135" w:lineRule="exact"/>
              <w:rPr>
                <w:sz w:val="20"/>
                <w:szCs w:val="20"/>
                <w:color w:val="auto"/>
              </w:rPr>
            </w:pPr>
            <w:r>
              <w:rPr>
                <w:rFonts w:ascii="Times New Roman" w:cs="Times New Roman" w:eastAsia="Times New Roman" w:hAnsi="Times New Roman"/>
                <w:sz w:val="13"/>
                <w:szCs w:val="13"/>
                <w:color w:val="auto"/>
              </w:rPr>
              <w:t>10/28/2025</w:t>
            </w:r>
          </w:p>
        </w:tc>
        <w:tc>
          <w:tcPr>
            <w:tcW w:w="134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1,353</w:t>
            </w: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1,353</w:t>
            </w:r>
          </w:p>
        </w:tc>
        <w:tc>
          <w:tcPr>
            <w:tcW w:w="22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0.0%</w:t>
            </w:r>
          </w:p>
        </w:tc>
        <w:tc>
          <w:tcPr>
            <w:tcW w:w="0" w:type="dxa"/>
            <w:vAlign w:val="bottom"/>
          </w:tcPr>
          <w:p>
            <w:pPr>
              <w:spacing w:after="0"/>
              <w:rPr>
                <w:sz w:val="1"/>
                <w:szCs w:val="1"/>
                <w:color w:val="auto"/>
              </w:rPr>
            </w:pPr>
          </w:p>
        </w:tc>
      </w:tr>
      <w:tr>
        <w:trPr>
          <w:trHeight w:val="20"/>
        </w:trPr>
        <w:tc>
          <w:tcPr>
            <w:tcW w:w="1860" w:type="dxa"/>
            <w:vAlign w:val="bottom"/>
            <w:shd w:val="clear" w:color="auto" w:fill="CFF0FC"/>
          </w:tcPr>
          <w:p>
            <w:pPr>
              <w:spacing w:after="0" w:line="20" w:lineRule="exact"/>
              <w:rPr>
                <w:sz w:val="1"/>
                <w:szCs w:val="1"/>
                <w:color w:val="auto"/>
              </w:rPr>
            </w:pPr>
          </w:p>
        </w:tc>
        <w:tc>
          <w:tcPr>
            <w:tcW w:w="260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1340" w:type="dxa"/>
            <w:vAlign w:val="bottom"/>
            <w:shd w:val="clear" w:color="auto" w:fill="CFF0FC"/>
          </w:tcPr>
          <w:p>
            <w:pPr>
              <w:spacing w:after="0" w:line="20" w:lineRule="exact"/>
              <w:rPr>
                <w:sz w:val="1"/>
                <w:szCs w:val="1"/>
                <w:color w:val="auto"/>
              </w:rPr>
            </w:pPr>
          </w:p>
        </w:tc>
        <w:tc>
          <w:tcPr>
            <w:tcW w:w="1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186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27,984</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27,474</w:t>
            </w:r>
          </w:p>
        </w:tc>
        <w:tc>
          <w:tcPr>
            <w:tcW w:w="220" w:type="dxa"/>
            <w:vAlign w:val="bottom"/>
          </w:tcPr>
          <w:p>
            <w:pPr>
              <w:spacing w:after="0"/>
              <w:rPr>
                <w:sz w:val="11"/>
                <w:szCs w:val="11"/>
                <w:color w:val="auto"/>
              </w:rPr>
            </w:pPr>
          </w:p>
        </w:tc>
        <w:tc>
          <w:tcPr>
            <w:tcW w:w="1000" w:type="dxa"/>
            <w:vAlign w:val="bottom"/>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0.6%</w:t>
            </w:r>
          </w:p>
        </w:tc>
        <w:tc>
          <w:tcPr>
            <w:tcW w:w="0" w:type="dxa"/>
            <w:vAlign w:val="bottom"/>
          </w:tcPr>
          <w:p>
            <w:pPr>
              <w:spacing w:after="0"/>
              <w:rPr>
                <w:sz w:val="1"/>
                <w:szCs w:val="1"/>
                <w:color w:val="auto"/>
              </w:rPr>
            </w:pPr>
          </w:p>
        </w:tc>
      </w:tr>
      <w:tr>
        <w:trPr>
          <w:trHeight w:val="128"/>
        </w:trPr>
        <w:tc>
          <w:tcPr>
            <w:tcW w:w="1860" w:type="dxa"/>
            <w:vAlign w:val="bottom"/>
            <w:shd w:val="clear" w:color="auto" w:fill="CFF0FC"/>
          </w:tcPr>
          <w:p>
            <w:pPr>
              <w:spacing w:after="0"/>
              <w:rPr>
                <w:sz w:val="11"/>
                <w:szCs w:val="11"/>
                <w:color w:val="auto"/>
              </w:rPr>
            </w:pPr>
          </w:p>
        </w:tc>
        <w:tc>
          <w:tcPr>
            <w:tcW w:w="26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tcBorders>
              <w:top w:val="single" w:sz="8" w:color="auto"/>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6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86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Equity Investments</w:t>
            </w:r>
          </w:p>
        </w:tc>
        <w:tc>
          <w:tcPr>
            <w:tcW w:w="26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158,509</w:t>
            </w: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188,993</w:t>
            </w:r>
          </w:p>
        </w:tc>
        <w:tc>
          <w:tcPr>
            <w:tcW w:w="1220" w:type="dxa"/>
            <w:vAlign w:val="bottom"/>
            <w:gridSpan w:val="3"/>
            <w:shd w:val="clear" w:color="auto" w:fill="CFF0FC"/>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4.5%</w:t>
            </w:r>
          </w:p>
        </w:tc>
        <w:tc>
          <w:tcPr>
            <w:tcW w:w="0" w:type="dxa"/>
            <w:vAlign w:val="bottom"/>
          </w:tcPr>
          <w:p>
            <w:pPr>
              <w:spacing w:after="0"/>
              <w:rPr>
                <w:sz w:val="1"/>
                <w:szCs w:val="1"/>
                <w:color w:val="auto"/>
              </w:rPr>
            </w:pPr>
          </w:p>
        </w:tc>
      </w:tr>
      <w:tr>
        <w:trPr>
          <w:trHeight w:val="128"/>
        </w:trPr>
        <w:tc>
          <w:tcPr>
            <w:tcW w:w="1860" w:type="dxa"/>
            <w:vAlign w:val="bottom"/>
            <w:tcBorders>
              <w:top w:val="single" w:sz="8" w:color="CFF0FC"/>
            </w:tcBorders>
          </w:tcPr>
          <w:p>
            <w:pPr>
              <w:spacing w:after="0"/>
              <w:rPr>
                <w:sz w:val="11"/>
                <w:szCs w:val="11"/>
                <w:color w:val="auto"/>
              </w:rPr>
            </w:pPr>
          </w:p>
        </w:tc>
        <w:tc>
          <w:tcPr>
            <w:tcW w:w="2600" w:type="dxa"/>
            <w:vAlign w:val="bottom"/>
            <w:tcBorders>
              <w:top w:val="single" w:sz="8" w:color="CFF0FC"/>
            </w:tcBorders>
          </w:tcPr>
          <w:p>
            <w:pPr>
              <w:spacing w:after="0"/>
              <w:rPr>
                <w:sz w:val="11"/>
                <w:szCs w:val="11"/>
                <w:color w:val="auto"/>
              </w:rPr>
            </w:pPr>
          </w:p>
        </w:tc>
        <w:tc>
          <w:tcPr>
            <w:tcW w:w="900" w:type="dxa"/>
            <w:vAlign w:val="bottom"/>
            <w:tcBorders>
              <w:top w:val="single" w:sz="8" w:color="CFF0FC"/>
            </w:tcBorders>
          </w:tcPr>
          <w:p>
            <w:pPr>
              <w:spacing w:after="0"/>
              <w:rPr>
                <w:sz w:val="11"/>
                <w:szCs w:val="11"/>
                <w:color w:val="auto"/>
              </w:rPr>
            </w:pPr>
          </w:p>
        </w:tc>
        <w:tc>
          <w:tcPr>
            <w:tcW w:w="1340" w:type="dxa"/>
            <w:vAlign w:val="bottom"/>
            <w:tcBorders>
              <w:top w:val="single" w:sz="8" w:color="CFF0FC"/>
            </w:tcBorders>
          </w:tcPr>
          <w:p>
            <w:pPr>
              <w:spacing w:after="0"/>
              <w:rPr>
                <w:sz w:val="11"/>
                <w:szCs w:val="11"/>
                <w:color w:val="auto"/>
              </w:rPr>
            </w:pPr>
          </w:p>
        </w:tc>
        <w:tc>
          <w:tcPr>
            <w:tcW w:w="1240" w:type="dxa"/>
            <w:vAlign w:val="bottom"/>
            <w:tcBorders>
              <w:top w:val="single" w:sz="8" w:color="CFF0FC"/>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86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86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Investments</w:t>
            </w:r>
          </w:p>
        </w:tc>
        <w:tc>
          <w:tcPr>
            <w:tcW w:w="26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14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7,892,866</w:t>
            </w:r>
          </w:p>
        </w:tc>
        <w:tc>
          <w:tcPr>
            <w:tcW w:w="400" w:type="dxa"/>
            <w:vAlign w:val="bottom"/>
            <w:gridSpan w:val="2"/>
            <w:shd w:val="clear" w:color="auto" w:fill="CFF0FC"/>
          </w:tcPr>
          <w:p>
            <w:pPr>
              <w:jc w:val="right"/>
              <w:ind w:right="12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8,108,654</w:t>
            </w:r>
          </w:p>
        </w:tc>
        <w:tc>
          <w:tcPr>
            <w:tcW w:w="1220" w:type="dxa"/>
            <w:vAlign w:val="bottom"/>
            <w:gridSpan w:val="3"/>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3"/>
                <w:szCs w:val="13"/>
                <w:b w:val="1"/>
                <w:bCs w:val="1"/>
                <w:color w:val="auto"/>
              </w:rPr>
              <w:t>194.4%</w:t>
            </w:r>
          </w:p>
        </w:tc>
        <w:tc>
          <w:tcPr>
            <w:tcW w:w="0" w:type="dxa"/>
            <w:vAlign w:val="bottom"/>
          </w:tcPr>
          <w:p>
            <w:pPr>
              <w:spacing w:after="0"/>
              <w:rPr>
                <w:sz w:val="1"/>
                <w:szCs w:val="1"/>
                <w:color w:val="auto"/>
              </w:rPr>
            </w:pPr>
          </w:p>
        </w:tc>
      </w:tr>
      <w:tr>
        <w:trPr>
          <w:trHeight w:val="20"/>
        </w:trPr>
        <w:tc>
          <w:tcPr>
            <w:tcW w:w="1860" w:type="dxa"/>
            <w:vAlign w:val="bottom"/>
            <w:tcBorders>
              <w:top w:val="single" w:sz="8" w:color="CFF0FC"/>
            </w:tcBorders>
            <w:shd w:val="clear" w:color="auto" w:fill="CFF0FC"/>
          </w:tcPr>
          <w:p>
            <w:pPr>
              <w:spacing w:after="0" w:line="20" w:lineRule="exact"/>
              <w:rPr>
                <w:sz w:val="1"/>
                <w:szCs w:val="1"/>
                <w:color w:val="auto"/>
              </w:rPr>
            </w:pPr>
          </w:p>
        </w:tc>
        <w:tc>
          <w:tcPr>
            <w:tcW w:w="260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-3385185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-3385185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-3385185</wp:posOffset>
            </wp:positionV>
            <wp:extent cx="939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-3196590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-3196590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-3196590</wp:posOffset>
            </wp:positionV>
            <wp:extent cx="939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-2416810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-2416810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-2416810</wp:posOffset>
            </wp:positionV>
            <wp:extent cx="939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-1190625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-1190625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-1190625</wp:posOffset>
            </wp:positionV>
            <wp:extent cx="939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-582295</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-582295</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-582295</wp:posOffset>
            </wp:positionV>
            <wp:extent cx="939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-213995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-213995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-213995</wp:posOffset>
            </wp:positionV>
            <wp:extent cx="939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-25400</wp:posOffset>
            </wp:positionV>
            <wp:extent cx="685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-8255</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-25400</wp:posOffset>
            </wp:positionV>
            <wp:extent cx="685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-8255</wp:posOffset>
            </wp:positionV>
            <wp:extent cx="685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-25400</wp:posOffset>
            </wp:positionV>
            <wp:extent cx="939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-8255</wp:posOffset>
            </wp:positionV>
            <wp:extent cx="939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Instruments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swaps</w:t>
      </w:r>
    </w:p>
    <w:p>
      <w:pPr>
        <w:spacing w:after="0" w:line="32"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4"/>
          <w:szCs w:val="14"/>
          <w:b w:val="1"/>
          <w:bCs w:val="1"/>
          <w:color w:val="auto"/>
        </w:rPr>
        <w:t>Interest Rate Swaps as of December 31, 2025</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2280" w:type="dxa"/>
            <w:vAlign w:val="bottom"/>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gridSpan w:val="2"/>
          </w:tcPr>
          <w:p>
            <w:pPr>
              <w:jc w:val="center"/>
              <w:ind w:right="460"/>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1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ind w:right="97"/>
              <w:spacing w:after="0" w:line="118" w:lineRule="exact"/>
              <w:rPr>
                <w:sz w:val="20"/>
                <w:szCs w:val="20"/>
                <w:color w:val="auto"/>
              </w:rPr>
            </w:pPr>
            <w:r>
              <w:rPr>
                <w:rFonts w:ascii="Times New Roman" w:cs="Times New Roman" w:eastAsia="Times New Roman" w:hAnsi="Times New Roman"/>
                <w:sz w:val="13"/>
                <w:szCs w:val="13"/>
                <w:b w:val="1"/>
                <w:bCs w:val="1"/>
                <w:color w:val="auto"/>
                <w:w w:val="93"/>
              </w:rPr>
              <w:t>Upfront</w:t>
            </w:r>
          </w:p>
        </w:tc>
        <w:tc>
          <w:tcPr>
            <w:tcW w:w="2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jc w:val="center"/>
              <w:ind w:right="117"/>
              <w:spacing w:after="0" w:line="118" w:lineRule="exact"/>
              <w:rPr>
                <w:sz w:val="20"/>
                <w:szCs w:val="20"/>
                <w:color w:val="auto"/>
              </w:rPr>
            </w:pPr>
            <w:r>
              <w:rPr>
                <w:rFonts w:ascii="Times New Roman" w:cs="Times New Roman" w:eastAsia="Times New Roman" w:hAnsi="Times New Roman"/>
                <w:sz w:val="13"/>
                <w:szCs w:val="13"/>
                <w:b w:val="1"/>
                <w:bCs w:val="1"/>
                <w:color w:val="auto"/>
                <w:w w:val="98"/>
              </w:rPr>
              <w:t>Change in</w:t>
            </w:r>
          </w:p>
        </w:tc>
        <w:tc>
          <w:tcPr>
            <w:tcW w:w="100" w:type="dxa"/>
            <w:vAlign w:val="bottom"/>
          </w:tcPr>
          <w:p>
            <w:pPr>
              <w:spacing w:after="0"/>
              <w:rPr>
                <w:sz w:val="10"/>
                <w:szCs w:val="10"/>
                <w:color w:val="auto"/>
              </w:rPr>
            </w:pPr>
          </w:p>
        </w:tc>
      </w:tr>
      <w:tr>
        <w:trPr>
          <w:trHeight w:val="135"/>
        </w:trPr>
        <w:tc>
          <w:tcPr>
            <w:tcW w:w="228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Company</w:t>
            </w:r>
          </w:p>
        </w:tc>
        <w:tc>
          <w:tcPr>
            <w:tcW w:w="14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Company</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jc w:val="right"/>
              <w:ind w:right="237"/>
              <w:spacing w:after="0" w:line="135" w:lineRule="exact"/>
              <w:rPr>
                <w:sz w:val="20"/>
                <w:szCs w:val="20"/>
                <w:color w:val="auto"/>
              </w:rPr>
            </w:pPr>
            <w:r>
              <w:rPr>
                <w:rFonts w:ascii="Times New Roman" w:cs="Times New Roman" w:eastAsia="Times New Roman" w:hAnsi="Times New Roman"/>
                <w:sz w:val="13"/>
                <w:szCs w:val="13"/>
                <w:b w:val="1"/>
                <w:bCs w:val="1"/>
                <w:color w:val="auto"/>
              </w:rPr>
              <w:t>Notional</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gridSpan w:val="2"/>
          </w:tcPr>
          <w:p>
            <w:pPr>
              <w:jc w:val="center"/>
              <w:ind w:right="4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Market</w:t>
            </w:r>
          </w:p>
        </w:tc>
        <w:tc>
          <w:tcPr>
            <w:tcW w:w="140" w:type="dxa"/>
            <w:vAlign w:val="bottom"/>
          </w:tcPr>
          <w:p>
            <w:pPr>
              <w:spacing w:after="0"/>
              <w:rPr>
                <w:sz w:val="11"/>
                <w:szCs w:val="11"/>
                <w:color w:val="auto"/>
              </w:rPr>
            </w:pPr>
          </w:p>
        </w:tc>
        <w:tc>
          <w:tcPr>
            <w:tcW w:w="940" w:type="dxa"/>
            <w:vAlign w:val="bottom"/>
          </w:tcPr>
          <w:p>
            <w:pPr>
              <w:jc w:val="center"/>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7"/>
              </w:rPr>
              <w:t>(Payments) /</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Unrealized</w:t>
            </w:r>
          </w:p>
        </w:tc>
      </w:tr>
      <w:tr>
        <w:trPr>
          <w:trHeight w:val="155"/>
        </w:trPr>
        <w:tc>
          <w:tcPr>
            <w:tcW w:w="2280" w:type="dxa"/>
            <w:vAlign w:val="bottom"/>
          </w:tcPr>
          <w:p>
            <w:pPr>
              <w:spacing w:after="0"/>
              <w:rPr>
                <w:sz w:val="13"/>
                <w:szCs w:val="13"/>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Receives</w:t>
            </w:r>
          </w:p>
        </w:tc>
        <w:tc>
          <w:tcPr>
            <w:tcW w:w="140" w:type="dxa"/>
            <w:vAlign w:val="bottom"/>
          </w:tcPr>
          <w:p>
            <w:pPr>
              <w:spacing w:after="0"/>
              <w:rPr>
                <w:sz w:val="13"/>
                <w:szCs w:val="13"/>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Pays</w:t>
            </w:r>
          </w:p>
        </w:tc>
        <w:tc>
          <w:tcPr>
            <w:tcW w:w="120" w:type="dxa"/>
            <w:vAlign w:val="bottom"/>
          </w:tcPr>
          <w:p>
            <w:pPr>
              <w:spacing w:after="0"/>
              <w:rPr>
                <w:sz w:val="13"/>
                <w:szCs w:val="13"/>
                <w:color w:val="auto"/>
              </w:rPr>
            </w:pPr>
          </w:p>
        </w:tc>
        <w:tc>
          <w:tcPr>
            <w:tcW w:w="9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Maturity Date</w:t>
            </w: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3"/>
                <w:szCs w:val="13"/>
                <w:b w:val="1"/>
                <w:bCs w:val="1"/>
                <w:color w:val="auto"/>
                <w:w w:val="97"/>
              </w:rPr>
              <w:t>Receipts</w:t>
            </w:r>
          </w:p>
        </w:tc>
        <w:tc>
          <w:tcPr>
            <w:tcW w:w="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w w:val="96"/>
              </w:rPr>
              <w:t>Gains / (Losses)</w:t>
            </w:r>
          </w:p>
        </w:tc>
        <w:tc>
          <w:tcPr>
            <w:tcW w:w="100" w:type="dxa"/>
            <w:vAlign w:val="bottom"/>
          </w:tcPr>
          <w:p>
            <w:pPr>
              <w:spacing w:after="0"/>
              <w:rPr>
                <w:sz w:val="13"/>
                <w:szCs w:val="13"/>
                <w:color w:val="auto"/>
              </w:rPr>
            </w:pPr>
          </w:p>
        </w:tc>
      </w:tr>
      <w:tr>
        <w:trPr>
          <w:trHeight w:val="128"/>
        </w:trPr>
        <w:tc>
          <w:tcPr>
            <w:tcW w:w="228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Interest rate swap (a)(b)</w:t>
            </w:r>
          </w:p>
        </w:tc>
        <w:tc>
          <w:tcPr>
            <w:tcW w:w="1080" w:type="dxa"/>
            <w:vAlign w:val="bottom"/>
            <w:shd w:val="clear" w:color="auto" w:fill="CFF0FC"/>
          </w:tcPr>
          <w:p>
            <w:pPr>
              <w:jc w:val="center"/>
              <w:spacing w:after="0" w:line="129" w:lineRule="exact"/>
              <w:rPr>
                <w:sz w:val="20"/>
                <w:szCs w:val="20"/>
                <w:color w:val="auto"/>
              </w:rPr>
            </w:pPr>
            <w:r>
              <w:rPr>
                <w:rFonts w:ascii="Times New Roman" w:cs="Times New Roman" w:eastAsia="Times New Roman" w:hAnsi="Times New Roman"/>
                <w:sz w:val="13"/>
                <w:szCs w:val="13"/>
                <w:color w:val="auto"/>
                <w:w w:val="95"/>
              </w:rPr>
              <w:t>6.50%</w:t>
            </w:r>
          </w:p>
        </w:tc>
        <w:tc>
          <w:tcPr>
            <w:tcW w:w="140" w:type="dxa"/>
            <w:vAlign w:val="bottom"/>
            <w:shd w:val="clear" w:color="auto" w:fill="CFF0FC"/>
          </w:tcPr>
          <w:p>
            <w:pPr>
              <w:spacing w:after="0"/>
              <w:rPr>
                <w:sz w:val="11"/>
                <w:szCs w:val="11"/>
                <w:color w:val="auto"/>
              </w:rPr>
            </w:pPr>
          </w:p>
        </w:tc>
        <w:tc>
          <w:tcPr>
            <w:tcW w:w="1080" w:type="dxa"/>
            <w:vAlign w:val="bottom"/>
            <w:shd w:val="clear" w:color="auto" w:fill="CFF0FC"/>
          </w:tcPr>
          <w:p>
            <w:pPr>
              <w:jc w:val="center"/>
              <w:spacing w:after="0" w:line="129" w:lineRule="exact"/>
              <w:rPr>
                <w:sz w:val="20"/>
                <w:szCs w:val="20"/>
                <w:color w:val="auto"/>
              </w:rPr>
            </w:pPr>
            <w:r>
              <w:rPr>
                <w:rFonts w:ascii="Times New Roman" w:cs="Times New Roman" w:eastAsia="Times New Roman" w:hAnsi="Times New Roman"/>
                <w:sz w:val="13"/>
                <w:szCs w:val="13"/>
                <w:color w:val="auto"/>
                <w:w w:val="97"/>
              </w:rPr>
              <w:t>SOFR + 2.51%</w:t>
            </w:r>
          </w:p>
        </w:tc>
        <w:tc>
          <w:tcPr>
            <w:tcW w:w="1360" w:type="dxa"/>
            <w:vAlign w:val="bottom"/>
            <w:gridSpan w:val="4"/>
            <w:shd w:val="clear" w:color="auto" w:fill="CFF0FC"/>
          </w:tcPr>
          <w:p>
            <w:pPr>
              <w:ind w:left="540"/>
              <w:spacing w:after="0" w:line="129" w:lineRule="exact"/>
              <w:rPr>
                <w:sz w:val="20"/>
                <w:szCs w:val="20"/>
                <w:color w:val="auto"/>
              </w:rPr>
            </w:pPr>
            <w:r>
              <w:rPr>
                <w:rFonts w:ascii="Times New Roman" w:cs="Times New Roman" w:eastAsia="Times New Roman" w:hAnsi="Times New Roman"/>
                <w:sz w:val="13"/>
                <w:szCs w:val="13"/>
                <w:color w:val="auto"/>
              </w:rPr>
              <w:t>3/11/2029  $</w:t>
            </w:r>
          </w:p>
        </w:tc>
        <w:tc>
          <w:tcPr>
            <w:tcW w:w="8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600,000</w:t>
            </w:r>
          </w:p>
        </w:tc>
        <w:tc>
          <w:tcPr>
            <w:tcW w:w="460" w:type="dxa"/>
            <w:vAlign w:val="bottom"/>
            <w:gridSpan w:val="2"/>
            <w:shd w:val="clear" w:color="auto" w:fill="CFF0FC"/>
          </w:tcPr>
          <w:p>
            <w:pPr>
              <w:jc w:val="right"/>
              <w:ind w:right="1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11,054</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shd w:val="clear" w:color="auto" w:fill="CFF0FC"/>
          </w:tcPr>
          <w:p>
            <w:pPr>
              <w:ind w:left="80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gridSpan w:val="2"/>
            <w:shd w:val="clear" w:color="auto" w:fill="CFF0FC"/>
          </w:tcPr>
          <w:p>
            <w:pPr>
              <w:jc w:val="right"/>
              <w:ind w:right="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13,262</w:t>
            </w:r>
          </w:p>
        </w:tc>
        <w:tc>
          <w:tcPr>
            <w:tcW w:w="100" w:type="dxa"/>
            <w:vAlign w:val="bottom"/>
            <w:shd w:val="clear" w:color="auto" w:fill="CFF0FC"/>
          </w:tcPr>
          <w:p>
            <w:pPr>
              <w:spacing w:after="0"/>
              <w:rPr>
                <w:sz w:val="11"/>
                <w:szCs w:val="11"/>
                <w:color w:val="auto"/>
              </w:rPr>
            </w:pPr>
          </w:p>
        </w:tc>
      </w:tr>
      <w:tr>
        <w:trPr>
          <w:trHeight w:val="135"/>
        </w:trPr>
        <w:tc>
          <w:tcPr>
            <w:tcW w:w="22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Interest rate swap (a)(b)</w:t>
            </w:r>
          </w:p>
        </w:tc>
        <w:tc>
          <w:tcPr>
            <w:tcW w:w="10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6.50%</w:t>
            </w:r>
          </w:p>
        </w:tc>
        <w:tc>
          <w:tcPr>
            <w:tcW w:w="14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SOFR + 2.22%</w:t>
            </w:r>
          </w:p>
        </w:tc>
        <w:tc>
          <w:tcPr>
            <w:tcW w:w="1060" w:type="dxa"/>
            <w:vAlign w:val="bottom"/>
            <w:gridSpan w:val="2"/>
          </w:tcPr>
          <w:p>
            <w:pPr>
              <w:ind w:left="540"/>
              <w:spacing w:after="0" w:line="135" w:lineRule="exact"/>
              <w:rPr>
                <w:sz w:val="20"/>
                <w:szCs w:val="20"/>
                <w:color w:val="auto"/>
              </w:rPr>
            </w:pPr>
            <w:r>
              <w:rPr>
                <w:rFonts w:ascii="Times New Roman" w:cs="Times New Roman" w:eastAsia="Times New Roman" w:hAnsi="Times New Roman"/>
                <w:sz w:val="13"/>
                <w:szCs w:val="13"/>
                <w:color w:val="auto"/>
                <w:w w:val="94"/>
              </w:rPr>
              <w:t>3/11/2029</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150,000</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4,087</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ind w:left="80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2,958</w:t>
            </w:r>
          </w:p>
        </w:tc>
        <w:tc>
          <w:tcPr>
            <w:tcW w:w="100" w:type="dxa"/>
            <w:vAlign w:val="bottom"/>
          </w:tcPr>
          <w:p>
            <w:pPr>
              <w:spacing w:after="0"/>
              <w:rPr>
                <w:sz w:val="11"/>
                <w:szCs w:val="11"/>
                <w:color w:val="auto"/>
              </w:rPr>
            </w:pPr>
          </w:p>
        </w:tc>
      </w:tr>
      <w:tr>
        <w:trPr>
          <w:trHeight w:val="135"/>
        </w:trPr>
        <w:tc>
          <w:tcPr>
            <w:tcW w:w="22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Interest rate swap (a)(b)</w:t>
            </w:r>
          </w:p>
        </w:tc>
        <w:tc>
          <w:tcPr>
            <w:tcW w:w="108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5.75%</w:t>
            </w:r>
          </w:p>
        </w:tc>
        <w:tc>
          <w:tcPr>
            <w:tcW w:w="140" w:type="dxa"/>
            <w:vAlign w:val="bottom"/>
            <w:shd w:val="clear" w:color="auto" w:fill="CFF0FC"/>
          </w:tcPr>
          <w:p>
            <w:pPr>
              <w:spacing w:after="0"/>
              <w:rPr>
                <w:sz w:val="11"/>
                <w:szCs w:val="11"/>
                <w:color w:val="auto"/>
              </w:rPr>
            </w:pPr>
          </w:p>
        </w:tc>
        <w:tc>
          <w:tcPr>
            <w:tcW w:w="108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SOFR + 2.55%</w:t>
            </w:r>
          </w:p>
        </w:tc>
        <w:tc>
          <w:tcPr>
            <w:tcW w:w="1060" w:type="dxa"/>
            <w:vAlign w:val="bottom"/>
            <w:gridSpan w:val="2"/>
            <w:shd w:val="clear" w:color="auto" w:fill="CFF0FC"/>
          </w:tcPr>
          <w:p>
            <w:pPr>
              <w:ind w:left="540"/>
              <w:spacing w:after="0" w:line="135" w:lineRule="exact"/>
              <w:rPr>
                <w:sz w:val="20"/>
                <w:szCs w:val="20"/>
                <w:color w:val="auto"/>
              </w:rPr>
            </w:pPr>
            <w:r>
              <w:rPr>
                <w:rFonts w:ascii="Times New Roman" w:cs="Times New Roman" w:eastAsia="Times New Roman" w:hAnsi="Times New Roman"/>
                <w:sz w:val="13"/>
                <w:szCs w:val="13"/>
                <w:color w:val="auto"/>
                <w:w w:val="94"/>
              </w:rPr>
              <w:t>1/15/2030</w:t>
            </w: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600,000</w:t>
            </w: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20" w:type="dxa"/>
            <w:vAlign w:val="bottom"/>
            <w:gridSpan w:val="2"/>
            <w:shd w:val="clear" w:color="auto" w:fill="CFF0FC"/>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(5,161)</w:t>
            </w:r>
          </w:p>
        </w:tc>
        <w:tc>
          <w:tcPr>
            <w:tcW w:w="140" w:type="dxa"/>
            <w:vAlign w:val="bottom"/>
            <w:shd w:val="clear" w:color="auto" w:fill="CFF0FC"/>
          </w:tcPr>
          <w:p>
            <w:pPr>
              <w:spacing w:after="0"/>
              <w:rPr>
                <w:sz w:val="11"/>
                <w:szCs w:val="11"/>
                <w:color w:val="auto"/>
              </w:rPr>
            </w:pPr>
          </w:p>
        </w:tc>
        <w:tc>
          <w:tcPr>
            <w:tcW w:w="940" w:type="dxa"/>
            <w:vAlign w:val="bottom"/>
            <w:shd w:val="clear" w:color="auto" w:fill="CFF0FC"/>
          </w:tcPr>
          <w:p>
            <w:pPr>
              <w:ind w:left="80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18,974</w:t>
            </w:r>
          </w:p>
        </w:tc>
        <w:tc>
          <w:tcPr>
            <w:tcW w:w="100" w:type="dxa"/>
            <w:vAlign w:val="bottom"/>
            <w:shd w:val="clear" w:color="auto" w:fill="CFF0FC"/>
          </w:tcPr>
          <w:p>
            <w:pPr>
              <w:spacing w:after="0"/>
              <w:rPr>
                <w:sz w:val="11"/>
                <w:szCs w:val="11"/>
                <w:color w:val="auto"/>
              </w:rPr>
            </w:pPr>
          </w:p>
        </w:tc>
      </w:tr>
      <w:tr>
        <w:trPr>
          <w:trHeight w:val="135"/>
        </w:trPr>
        <w:tc>
          <w:tcPr>
            <w:tcW w:w="22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Interest rate swap (a)(b)</w:t>
            </w:r>
          </w:p>
        </w:tc>
        <w:tc>
          <w:tcPr>
            <w:tcW w:w="10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6.13%</w:t>
            </w:r>
          </w:p>
        </w:tc>
        <w:tc>
          <w:tcPr>
            <w:tcW w:w="14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SOFR + 2.01%</w:t>
            </w:r>
          </w:p>
        </w:tc>
        <w:tc>
          <w:tcPr>
            <w:tcW w:w="1060" w:type="dxa"/>
            <w:vAlign w:val="bottom"/>
            <w:gridSpan w:val="2"/>
          </w:tcPr>
          <w:p>
            <w:pPr>
              <w:ind w:left="540"/>
              <w:spacing w:after="0" w:line="135" w:lineRule="exact"/>
              <w:rPr>
                <w:sz w:val="20"/>
                <w:szCs w:val="20"/>
                <w:color w:val="auto"/>
              </w:rPr>
            </w:pPr>
            <w:r>
              <w:rPr>
                <w:rFonts w:ascii="Times New Roman" w:cs="Times New Roman" w:eastAsia="Times New Roman" w:hAnsi="Times New Roman"/>
                <w:sz w:val="13"/>
                <w:szCs w:val="13"/>
                <w:color w:val="auto"/>
                <w:w w:val="94"/>
              </w:rPr>
              <w:t>7/15/2030</w:t>
            </w:r>
          </w:p>
        </w:tc>
        <w:tc>
          <w:tcPr>
            <w:tcW w:w="1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750,000</w:t>
            </w:r>
          </w:p>
        </w:tc>
        <w:tc>
          <w:tcPr>
            <w:tcW w:w="22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20,952</w:t>
            </w: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ind w:left="80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20,952</w:t>
            </w:r>
          </w:p>
        </w:tc>
        <w:tc>
          <w:tcPr>
            <w:tcW w:w="100" w:type="dxa"/>
            <w:vAlign w:val="bottom"/>
          </w:tcPr>
          <w:p>
            <w:pPr>
              <w:spacing w:after="0"/>
              <w:rPr>
                <w:sz w:val="11"/>
                <w:szCs w:val="11"/>
                <w:color w:val="auto"/>
              </w:rPr>
            </w:pPr>
          </w:p>
        </w:tc>
      </w:tr>
      <w:tr>
        <w:trPr>
          <w:trHeight w:val="128"/>
        </w:trPr>
        <w:tc>
          <w:tcPr>
            <w:tcW w:w="228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Total Hedge Accounting Swaps</w:t>
            </w:r>
          </w:p>
        </w:tc>
        <w:tc>
          <w:tcPr>
            <w:tcW w:w="10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2,100,000</w:t>
            </w: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30,932</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40" w:type="dxa"/>
            <w:vAlign w:val="bottom"/>
            <w:shd w:val="clear" w:color="auto" w:fill="CFF0FC"/>
          </w:tcPr>
          <w:p>
            <w:pPr>
              <w:ind w:left="80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56,146</w:t>
            </w:r>
          </w:p>
        </w:tc>
        <w:tc>
          <w:tcPr>
            <w:tcW w:w="100" w:type="dxa"/>
            <w:vAlign w:val="bottom"/>
            <w:shd w:val="clear" w:color="auto" w:fill="CFF0FC"/>
          </w:tcPr>
          <w:p>
            <w:pPr>
              <w:spacing w:after="0"/>
              <w:rPr>
                <w:sz w:val="11"/>
                <w:szCs w:val="11"/>
                <w:color w:val="auto"/>
              </w:rPr>
            </w:pPr>
          </w:p>
        </w:tc>
      </w:tr>
      <w:tr>
        <w:trPr>
          <w:trHeight w:val="135"/>
        </w:trPr>
        <w:tc>
          <w:tcPr>
            <w:tcW w:w="22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Cash collateral</w:t>
            </w: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47,671</w:t>
            </w: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ind w:left="80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r>
      <w:tr>
        <w:trPr>
          <w:trHeight w:val="149"/>
        </w:trPr>
        <w:tc>
          <w:tcPr>
            <w:tcW w:w="2280" w:type="dxa"/>
            <w:vAlign w:val="bottom"/>
            <w:shd w:val="clear" w:color="auto" w:fill="CFF0FC"/>
          </w:tcPr>
          <w:p>
            <w:pPr>
              <w:ind w:left="40"/>
              <w:spacing w:after="0" w:line="129" w:lineRule="exact"/>
              <w:rPr>
                <w:sz w:val="20"/>
                <w:szCs w:val="20"/>
                <w:color w:val="auto"/>
              </w:rPr>
            </w:pPr>
            <w:r>
              <w:rPr>
                <w:rFonts w:ascii="Times New Roman" w:cs="Times New Roman" w:eastAsia="Times New Roman" w:hAnsi="Times New Roman"/>
                <w:sz w:val="13"/>
                <w:szCs w:val="13"/>
                <w:b w:val="1"/>
                <w:bCs w:val="1"/>
                <w:color w:val="auto"/>
              </w:rPr>
              <w:t>Total derivatives</w:t>
            </w:r>
          </w:p>
        </w:tc>
        <w:tc>
          <w:tcPr>
            <w:tcW w:w="10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360" w:type="dxa"/>
            <w:vAlign w:val="bottom"/>
            <w:gridSpan w:val="4"/>
            <w:shd w:val="clear" w:color="auto" w:fill="CFF0FC"/>
          </w:tcPr>
          <w:p>
            <w:pPr>
              <w:jc w:val="right"/>
              <w:ind w:right="1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2,100,000</w:t>
            </w:r>
          </w:p>
        </w:tc>
        <w:tc>
          <w:tcPr>
            <w:tcW w:w="460" w:type="dxa"/>
            <w:vAlign w:val="bottom"/>
            <w:gridSpan w:val="2"/>
            <w:shd w:val="clear" w:color="auto" w:fill="CFF0FC"/>
          </w:tcPr>
          <w:p>
            <w:pPr>
              <w:jc w:val="right"/>
              <w:ind w:right="1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78,603</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shd w:val="clear" w:color="auto" w:fill="CFF0FC"/>
          </w:tcPr>
          <w:p>
            <w:pPr>
              <w:ind w:left="80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gridSpan w:val="2"/>
            <w:shd w:val="clear" w:color="auto" w:fill="CFF0FC"/>
          </w:tcPr>
          <w:p>
            <w:pPr>
              <w:jc w:val="right"/>
              <w:ind w:right="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56,146</w:t>
            </w:r>
          </w:p>
        </w:tc>
        <w:tc>
          <w:tcPr>
            <w:tcW w:w="100" w:type="dxa"/>
            <w:vAlign w:val="bottom"/>
            <w:shd w:val="clear" w:color="auto" w:fill="CFF0FC"/>
          </w:tcPr>
          <w:p>
            <w:pPr>
              <w:spacing w:after="0"/>
              <w:rPr>
                <w:sz w:val="12"/>
                <w:szCs w:val="12"/>
                <w:color w:val="auto"/>
              </w:rPr>
            </w:pPr>
          </w:p>
        </w:tc>
      </w:tr>
      <w:tr>
        <w:trPr>
          <w:trHeight w:val="20"/>
        </w:trPr>
        <w:tc>
          <w:tcPr>
            <w:tcW w:w="228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-24765</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-8255</wp:posOffset>
            </wp:positionV>
            <wp:extent cx="685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-24765</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-8255</wp:posOffset>
            </wp:positionV>
            <wp:extent cx="685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-8255</wp:posOffset>
            </wp:positionV>
            <wp:extent cx="685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16" w:name="page17"/>
    <w:bookmarkEnd w:id="16"/>
    <w:p>
      <w:pPr>
        <w:ind w:left="1012" w:hanging="503"/>
        <w:spacing w:after="0"/>
        <w:tabs>
          <w:tab w:leader="none" w:pos="1012"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Contains a variable rate structure. Bears interest at a rate determined by SOFR.</w:t>
      </w:r>
    </w:p>
    <w:p>
      <w:pPr>
        <w:spacing w:after="0" w:line="27" w:lineRule="exact"/>
        <w:rPr>
          <w:rFonts w:ascii="Times New Roman" w:cs="Times New Roman" w:eastAsia="Times New Roman" w:hAnsi="Times New Roman"/>
          <w:sz w:val="18"/>
          <w:szCs w:val="18"/>
          <w:color w:val="auto"/>
        </w:rPr>
      </w:pPr>
    </w:p>
    <w:p>
      <w:pPr>
        <w:ind w:left="1012" w:right="180" w:hanging="503"/>
        <w:spacing w:after="0" w:line="260" w:lineRule="auto"/>
        <w:tabs>
          <w:tab w:leader="none" w:pos="1012"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Instrument is used in a hedge accounting relationship. The associated change in fair value is recorded along with the change in fair value of the hedged item within interest expense.</w:t>
      </w:r>
    </w:p>
    <w:p>
      <w:pPr>
        <w:spacing w:after="0" w:line="181" w:lineRule="exact"/>
        <w:rPr>
          <w:rFonts w:ascii="Times New Roman" w:cs="Times New Roman" w:eastAsia="Times New Roman" w:hAnsi="Times New Roman"/>
          <w:sz w:val="18"/>
          <w:szCs w:val="18"/>
          <w:color w:val="auto"/>
        </w:rPr>
      </w:pPr>
    </w:p>
    <w:p>
      <w:pPr>
        <w:ind w:left="512" w:right="80" w:hanging="512"/>
        <w:spacing w:after="0" w:line="261" w:lineRule="auto"/>
        <w:tabs>
          <w:tab w:leader="none" w:pos="51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the Company’s portfolio companies are domiciled in the United States. Under the Investment Company Act of 1940, as amended (the “1940 Act”), the Company would “control” a portfolio company if the Company owned</w:t>
      </w:r>
    </w:p>
    <w:p>
      <w:pPr>
        <w:ind w:left="51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25% of its outstanding voting securities and/or had the power to exercise control over the management or policies of</w:t>
      </w:r>
    </w:p>
    <w:p>
      <w:pPr>
        <w:spacing w:after="0" w:line="9" w:lineRule="exact"/>
        <w:rPr>
          <w:rFonts w:ascii="Times New Roman" w:cs="Times New Roman" w:eastAsia="Times New Roman" w:hAnsi="Times New Roman"/>
          <w:sz w:val="18"/>
          <w:szCs w:val="18"/>
          <w:color w:val="auto"/>
        </w:rPr>
      </w:pPr>
    </w:p>
    <w:p>
      <w:pPr>
        <w:ind w:left="512" w:right="2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portfolio company. As of December 31, 2025, the Company does not “control” any of the portfolio companies. Also under the 1940 Act, the Company would be deemed to be an “Affiliated Person” of a portfolio company if the Company owns more than 5% of the portfolio company’s outstanding voting securities. As of December 31, 2025, the Company does not identify any of its portfolio companies as affiliates.</w:t>
      </w:r>
    </w:p>
    <w:p>
      <w:pPr>
        <w:spacing w:after="0" w:line="1" w:lineRule="exact"/>
        <w:rPr>
          <w:rFonts w:ascii="Times New Roman" w:cs="Times New Roman" w:eastAsia="Times New Roman" w:hAnsi="Times New Roman"/>
          <w:sz w:val="18"/>
          <w:szCs w:val="18"/>
          <w:color w:val="auto"/>
        </w:rPr>
      </w:pPr>
    </w:p>
    <w:p>
      <w:pPr>
        <w:ind w:left="512" w:hanging="512"/>
        <w:spacing w:after="0" w:line="250" w:lineRule="auto"/>
        <w:tabs>
          <w:tab w:leader="none" w:pos="51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amortized cost represents the original cost adjusted for the amortization of discounts and premiums, as applicable, on debt investments using the effective interest method.</w:t>
      </w:r>
    </w:p>
    <w:p>
      <w:pPr>
        <w:ind w:left="512" w:hanging="512"/>
        <w:spacing w:after="0"/>
        <w:tabs>
          <w:tab w:leader="none" w:pos="51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contains a variable rate structure, subject to an interest rate floor. Variable rate investments bear interest at a rate that</w:t>
      </w:r>
    </w:p>
    <w:p>
      <w:pPr>
        <w:spacing w:after="0" w:line="9" w:lineRule="exact"/>
        <w:rPr>
          <w:rFonts w:ascii="Times New Roman" w:cs="Times New Roman" w:eastAsia="Times New Roman" w:hAnsi="Times New Roman"/>
          <w:sz w:val="18"/>
          <w:szCs w:val="18"/>
          <w:color w:val="auto"/>
        </w:rPr>
      </w:pPr>
    </w:p>
    <w:p>
      <w:pPr>
        <w:ind w:left="512" w:right="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be determined by reference to either Canadian Overnight Repo Rate Average (“CORRA” or "C"), Euro Interbank Offer Rate (“EURIBOR” or “E”), Term Secured Overnight Financing Rate (“SOFR”), which may also contain a credit spread adjustment depending on the tenor election, Sterling Overnight Index Average Rate (“SONIA” or “S”), Stockholm Interbank Offered Rate ("STIBOR"), Norwegian Interbank Offered Rate ("NIBOR" or "N") or an alternate base rate (which can include the Federal Funds Effective Rate or the Prime Rate or “P”), all of which include an available tenor, selected at the borrower’s option, which reset periodically based on the terms of the credit agreement. For investments with multiple interest rate contracts, the interest rate shown is the weighted average interest rate in effect at December 31, 2025.</w:t>
      </w:r>
    </w:p>
    <w:p>
      <w:pPr>
        <w:spacing w:after="0" w:line="2" w:lineRule="exact"/>
        <w:rPr>
          <w:rFonts w:ascii="Times New Roman" w:cs="Times New Roman" w:eastAsia="Times New Roman" w:hAnsi="Times New Roman"/>
          <w:sz w:val="18"/>
          <w:szCs w:val="18"/>
          <w:color w:val="auto"/>
        </w:rPr>
      </w:pPr>
    </w:p>
    <w:p>
      <w:pPr>
        <w:ind w:left="512" w:right="200" w:hanging="512"/>
        <w:spacing w:after="0" w:line="250" w:lineRule="auto"/>
        <w:tabs>
          <w:tab w:leader="none" w:pos="51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portfolio company is not a qualifying asset under Section 55(a) of the 1940 Act. Under the 1940 Act, the Company may not acquire any non-qualifying asset unless, at the time such acquisition is made, qualifying assets represent at least 70% of total assets. Non-qualifying assets represented 26.7% of total assets as of December 31, 2025.</w:t>
      </w:r>
    </w:p>
    <w:p>
      <w:pPr>
        <w:spacing w:after="0" w:line="1" w:lineRule="exact"/>
        <w:rPr>
          <w:rFonts w:ascii="Times New Roman" w:cs="Times New Roman" w:eastAsia="Times New Roman" w:hAnsi="Times New Roman"/>
          <w:sz w:val="18"/>
          <w:szCs w:val="18"/>
          <w:color w:val="auto"/>
        </w:rPr>
      </w:pPr>
    </w:p>
    <w:p>
      <w:pPr>
        <w:ind w:left="512" w:right="40" w:hanging="512"/>
        <w:spacing w:after="0" w:line="250" w:lineRule="auto"/>
        <w:tabs>
          <w:tab w:leader="none" w:pos="51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holds the “last out” tranche.</w:t>
      </w:r>
    </w:p>
    <w:p>
      <w:pPr>
        <w:spacing w:after="0" w:line="1" w:lineRule="exact"/>
        <w:rPr>
          <w:rFonts w:ascii="Times New Roman" w:cs="Times New Roman" w:eastAsia="Times New Roman" w:hAnsi="Times New Roman"/>
          <w:sz w:val="18"/>
          <w:szCs w:val="18"/>
          <w:color w:val="auto"/>
        </w:rPr>
      </w:pPr>
    </w:p>
    <w:p>
      <w:pPr>
        <w:ind w:left="512" w:right="2120" w:hanging="512"/>
        <w:spacing w:after="0" w:line="250" w:lineRule="auto"/>
        <w:tabs>
          <w:tab w:leader="none" w:pos="51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Financial Accounting Standards Board Accounting Standards Codification Topic 820, Fair Value Measurements (“ASC Topic 820”), unless otherwise indicated, the fair values of all investments were determined using significant unobservable inputs and are considered Level 3 investments. See Note 6 for further information related to investments at fair value.</w:t>
      </w:r>
    </w:p>
    <w:p>
      <w:pPr>
        <w:spacing w:after="0" w:line="1" w:lineRule="exact"/>
        <w:rPr>
          <w:rFonts w:ascii="Times New Roman" w:cs="Times New Roman" w:eastAsia="Times New Roman" w:hAnsi="Times New Roman"/>
          <w:sz w:val="18"/>
          <w:szCs w:val="18"/>
          <w:color w:val="auto"/>
        </w:rPr>
      </w:pPr>
    </w:p>
    <w:p>
      <w:pPr>
        <w:ind w:left="512" w:right="680" w:hanging="512"/>
        <w:spacing w:after="0" w:line="250" w:lineRule="auto"/>
        <w:tabs>
          <w:tab w:leader="none" w:pos="51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the estimated cost basis of investments for U.S. federal tax purposes was $7,918,126 resulting in estimated gross unrealized gains and losses of $290,520 and $207,578, respectively.</w:t>
      </w:r>
    </w:p>
    <w:p>
      <w:pPr>
        <w:ind w:left="512" w:hanging="512"/>
        <w:spacing w:after="0"/>
        <w:tabs>
          <w:tab w:leader="none" w:pos="51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investment is non-income producing.</w:t>
      </w:r>
    </w:p>
    <w:p>
      <w:pPr>
        <w:spacing w:after="0" w:line="9" w:lineRule="exact"/>
        <w:rPr>
          <w:rFonts w:ascii="Times New Roman" w:cs="Times New Roman" w:eastAsia="Times New Roman" w:hAnsi="Times New Roman"/>
          <w:sz w:val="18"/>
          <w:szCs w:val="18"/>
          <w:color w:val="auto"/>
        </w:rPr>
      </w:pPr>
    </w:p>
    <w:p>
      <w:pPr>
        <w:ind w:left="512" w:hanging="512"/>
        <w:spacing w:after="0"/>
        <w:tabs>
          <w:tab w:leader="none" w:pos="51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portfolio company investments are subject to contractual restrictions on sales.</w:t>
      </w:r>
    </w:p>
    <w:p>
      <w:pPr>
        <w:spacing w:after="0" w:line="9" w:lineRule="exact"/>
        <w:rPr>
          <w:rFonts w:ascii="Times New Roman" w:cs="Times New Roman" w:eastAsia="Times New Roman" w:hAnsi="Times New Roman"/>
          <w:sz w:val="18"/>
          <w:szCs w:val="18"/>
          <w:color w:val="auto"/>
        </w:rPr>
      </w:pPr>
    </w:p>
    <w:p>
      <w:pPr>
        <w:ind w:left="512" w:right="60" w:hanging="512"/>
        <w:spacing w:after="0" w:line="250" w:lineRule="auto"/>
        <w:tabs>
          <w:tab w:leader="none" w:pos="51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 a portion of this security was acquired in a transaction exempt from registration under the Securities Act of 1933, as amended (the “Securities Act”), and may be deemed to be “restricted securities” under the Securities Act. As of December 31, 2025, the aggregate fair value of these securities is $29,105, or 0.7% of the Company’s net assets.</w:t>
      </w:r>
    </w:p>
    <w:p>
      <w:pPr>
        <w:spacing w:after="0" w:line="1" w:lineRule="exact"/>
        <w:rPr>
          <w:rFonts w:ascii="Times New Roman" w:cs="Times New Roman" w:eastAsia="Times New Roman" w:hAnsi="Times New Roman"/>
          <w:sz w:val="18"/>
          <w:szCs w:val="18"/>
          <w:color w:val="auto"/>
        </w:rPr>
      </w:pPr>
    </w:p>
    <w:p>
      <w:pPr>
        <w:ind w:left="512" w:right="20" w:hanging="512"/>
        <w:spacing w:after="0" w:line="250" w:lineRule="auto"/>
        <w:tabs>
          <w:tab w:leader="none" w:pos="51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principal amount outstanding and accrued interest owed on this investment, the Company is entitled to a separate Make-Whole Amount (the “Make-Whole”) of $28.8 million. The Make-Whole is a contractual obligation of the borrower and accrues interest on the balance outstanding. The Make-Whole is included on the Company’s Consolidated Balance Sheet within other assets, net of any valuation allowance. Given uncertainty relating to collectability of the Make-Whole, the Company has applied a full valuation allowance against the amount of the Make-Whole balance outstanding.</w:t>
      </w:r>
    </w:p>
    <w:p>
      <w:pPr>
        <w:spacing w:after="0" w:line="1" w:lineRule="exact"/>
        <w:rPr>
          <w:rFonts w:ascii="Times New Roman" w:cs="Times New Roman" w:eastAsia="Times New Roman" w:hAnsi="Times New Roman"/>
          <w:sz w:val="18"/>
          <w:szCs w:val="18"/>
          <w:color w:val="auto"/>
        </w:rPr>
      </w:pPr>
    </w:p>
    <w:p>
      <w:pPr>
        <w:ind w:left="512" w:right="1720" w:hanging="512"/>
        <w:spacing w:after="0" w:line="250" w:lineRule="auto"/>
        <w:tabs>
          <w:tab w:leader="none" w:pos="51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investment is valued using observable inputs and is considered a Level 2 investment. See Note 6 for further information related to investments at fair value.</w:t>
      </w:r>
    </w:p>
    <w:p>
      <w:pPr>
        <w:ind w:left="512" w:hanging="512"/>
        <w:spacing w:after="0"/>
        <w:tabs>
          <w:tab w:leader="none" w:pos="51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is on non-accrual status as of December 31, 2025.</w:t>
      </w:r>
    </w:p>
    <w:p>
      <w:pPr>
        <w:spacing w:after="0" w:line="20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228" w:right="339" w:bottom="1440" w:gutter="0" w:footer="0" w:header="0"/>
        </w:sectPr>
      </w:pPr>
    </w:p>
    <w:bookmarkStart w:id="17" w:name="page18"/>
    <w:bookmarkEnd w:id="1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Sixth Street Lending Partners</w:t>
      </w:r>
    </w:p>
    <w:p>
      <w:pPr>
        <w:spacing w:after="0" w:line="225"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Net Assets</w:t>
      </w:r>
    </w:p>
    <w:p>
      <w:pPr>
        <w:spacing w:after="0" w:line="3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(Amounts in thousands, except share amounts)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580" w:type="dxa"/>
            <w:vAlign w:val="bottom"/>
          </w:tcPr>
          <w:p>
            <w:pPr>
              <w:spacing w:after="0"/>
              <w:rPr>
                <w:sz w:val="13"/>
                <w:szCs w:val="13"/>
                <w:color w:val="auto"/>
              </w:rPr>
            </w:pPr>
          </w:p>
        </w:tc>
        <w:tc>
          <w:tcPr>
            <w:tcW w:w="16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Common Shares</w:t>
            </w:r>
          </w:p>
        </w:tc>
        <w:tc>
          <w:tcPr>
            <w:tcW w:w="6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vMerge w:val="restart"/>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w w:val="95"/>
              </w:rPr>
              <w:t>Paid in Capital in</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Distributable</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Total Net</w:t>
            </w:r>
          </w:p>
        </w:tc>
        <w:tc>
          <w:tcPr>
            <w:tcW w:w="0" w:type="dxa"/>
            <w:vAlign w:val="bottom"/>
          </w:tcPr>
          <w:p>
            <w:pPr>
              <w:spacing w:after="0"/>
              <w:rPr>
                <w:sz w:val="1"/>
                <w:szCs w:val="1"/>
                <w:color w:val="auto"/>
              </w:rPr>
            </w:pPr>
          </w:p>
        </w:tc>
      </w:tr>
      <w:tr>
        <w:trPr>
          <w:trHeight w:val="108"/>
        </w:trPr>
        <w:tc>
          <w:tcPr>
            <w:tcW w:w="45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jc w:val="right"/>
              <w:ind w:right="249"/>
              <w:spacing w:after="0" w:line="109" w:lineRule="exact"/>
              <w:rPr>
                <w:sz w:val="20"/>
                <w:szCs w:val="20"/>
                <w:color w:val="auto"/>
              </w:rPr>
            </w:pPr>
            <w:r>
              <w:rPr>
                <w:rFonts w:ascii="Times New Roman" w:cs="Times New Roman" w:eastAsia="Times New Roman" w:hAnsi="Times New Roman"/>
                <w:sz w:val="12"/>
                <w:szCs w:val="12"/>
                <w:b w:val="1"/>
                <w:bCs w:val="1"/>
                <w:color w:val="auto"/>
              </w:rPr>
              <w:t>Par</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580" w:type="dxa"/>
            <w:vAlign w:val="bottom"/>
          </w:tcPr>
          <w:p>
            <w:pPr>
              <w:spacing w:after="0"/>
              <w:rPr>
                <w:sz w:val="13"/>
                <w:szCs w:val="13"/>
                <w:color w:val="auto"/>
              </w:rPr>
            </w:pPr>
          </w:p>
        </w:tc>
        <w:tc>
          <w:tcPr>
            <w:tcW w:w="124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Excess of Par</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5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December 31, 2025</w:t>
            </w:r>
          </w:p>
        </w:tc>
        <w:tc>
          <w:tcPr>
            <w:tcW w:w="12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146,285,685</w:t>
            </w:r>
          </w:p>
        </w:tc>
        <w:tc>
          <w:tcPr>
            <w:tcW w:w="38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146</w:t>
            </w:r>
          </w:p>
        </w:tc>
        <w:tc>
          <w:tcPr>
            <w:tcW w:w="32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4,100,272</w:t>
            </w:r>
          </w:p>
        </w:tc>
        <w:tc>
          <w:tcPr>
            <w:tcW w:w="36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70,070</w:t>
            </w:r>
          </w:p>
        </w:tc>
        <w:tc>
          <w:tcPr>
            <w:tcW w:w="120" w:type="dxa"/>
            <w:vAlign w:val="bottom"/>
            <w:shd w:val="clear" w:color="auto" w:fill="CFF0FC"/>
          </w:tcPr>
          <w:p>
            <w:pPr>
              <w:spacing w:after="0"/>
              <w:rPr>
                <w:sz w:val="12"/>
                <w:szCs w:val="12"/>
                <w:color w:val="auto"/>
              </w:rPr>
            </w:pPr>
          </w:p>
        </w:tc>
        <w:tc>
          <w:tcPr>
            <w:tcW w:w="30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4,170,488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Net increase (decrease) in net assets resulting from operations:</w:t>
            </w: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8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investment income (loss)</w:t>
            </w:r>
          </w:p>
        </w:tc>
        <w:tc>
          <w:tcPr>
            <w:tcW w:w="1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143,769</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143,769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580" w:type="dxa"/>
            <w:vAlign w:val="bottom"/>
          </w:tcPr>
          <w:p>
            <w:pPr>
              <w:ind w:left="100"/>
              <w:spacing w:after="0" w:line="126" w:lineRule="exact"/>
              <w:rPr>
                <w:sz w:val="20"/>
                <w:szCs w:val="20"/>
                <w:color w:val="auto"/>
              </w:rPr>
            </w:pPr>
            <w:r>
              <w:rPr>
                <w:rFonts w:ascii="Times New Roman" w:cs="Times New Roman" w:eastAsia="Times New Roman" w:hAnsi="Times New Roman"/>
                <w:sz w:val="14"/>
                <w:szCs w:val="14"/>
                <w:color w:val="auto"/>
              </w:rPr>
              <w:t>Net change in unrealized gains (losses) on investments and</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(147,025)</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(147,025)</w:t>
            </w:r>
          </w:p>
        </w:tc>
        <w:tc>
          <w:tcPr>
            <w:tcW w:w="0" w:type="dxa"/>
            <w:vAlign w:val="bottom"/>
          </w:tcPr>
          <w:p>
            <w:pPr>
              <w:spacing w:after="0"/>
              <w:rPr>
                <w:sz w:val="1"/>
                <w:szCs w:val="1"/>
                <w:color w:val="auto"/>
              </w:rPr>
            </w:pPr>
          </w:p>
        </w:tc>
      </w:tr>
      <w:tr>
        <w:trPr>
          <w:trHeight w:val="171"/>
        </w:trPr>
        <w:tc>
          <w:tcPr>
            <w:tcW w:w="45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12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580" w:type="dxa"/>
            <w:vAlign w:val="bottom"/>
            <w:shd w:val="clear" w:color="auto" w:fill="CFF0FC"/>
          </w:tcPr>
          <w:p>
            <w:pPr>
              <w:ind w:left="100"/>
              <w:spacing w:after="0" w:line="126" w:lineRule="exact"/>
              <w:rPr>
                <w:sz w:val="20"/>
                <w:szCs w:val="20"/>
                <w:color w:val="auto"/>
              </w:rPr>
            </w:pPr>
            <w:r>
              <w:rPr>
                <w:rFonts w:ascii="Times New Roman" w:cs="Times New Roman" w:eastAsia="Times New Roman" w:hAnsi="Times New Roman"/>
                <w:sz w:val="14"/>
                <w:szCs w:val="14"/>
                <w:color w:val="auto"/>
              </w:rPr>
              <w:t>Net realized gains (losses) on investments and foreign</w:t>
            </w:r>
          </w:p>
        </w:tc>
        <w:tc>
          <w:tcPr>
            <w:tcW w:w="12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1,435</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1,435</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currency transactions</w:t>
            </w:r>
          </w:p>
        </w:tc>
        <w:tc>
          <w:tcPr>
            <w:tcW w:w="124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8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Dividends to shareholders:</w:t>
            </w: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8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Stock issued in connection with dividend reinvestment plan</w:t>
            </w:r>
          </w:p>
        </w:tc>
        <w:tc>
          <w:tcPr>
            <w:tcW w:w="1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4,292,650</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122,379</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122,384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Dividends declared from net investment income</w:t>
            </w: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(105,405)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(105,405)</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5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March 31, 2026</w:t>
            </w:r>
          </w:p>
        </w:tc>
        <w:tc>
          <w:tcPr>
            <w:tcW w:w="12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150,578,335</w:t>
            </w:r>
          </w:p>
        </w:tc>
        <w:tc>
          <w:tcPr>
            <w:tcW w:w="38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151</w:t>
            </w:r>
          </w:p>
        </w:tc>
        <w:tc>
          <w:tcPr>
            <w:tcW w:w="32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4,222,651</w:t>
            </w:r>
          </w:p>
        </w:tc>
        <w:tc>
          <w:tcPr>
            <w:tcW w:w="36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(37,156)</w:t>
            </w:r>
          </w:p>
        </w:tc>
        <w:tc>
          <w:tcPr>
            <w:tcW w:w="30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4,185,646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58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4"/>
                <w:szCs w:val="14"/>
                <w:color w:val="auto"/>
              </w:rPr>
              <w:t>Net increase (decrease) in net assets resulting from operations:</w:t>
            </w:r>
          </w:p>
        </w:tc>
        <w:tc>
          <w:tcPr>
            <w:tcW w:w="124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58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Net investment income (loss)</w:t>
            </w:r>
          </w:p>
        </w:tc>
        <w:tc>
          <w:tcPr>
            <w:tcW w:w="1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142,736</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142,736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580" w:type="dxa"/>
            <w:vAlign w:val="bottom"/>
          </w:tcPr>
          <w:p>
            <w:pPr>
              <w:ind w:left="80"/>
              <w:spacing w:after="0" w:line="126" w:lineRule="exact"/>
              <w:rPr>
                <w:sz w:val="20"/>
                <w:szCs w:val="20"/>
                <w:color w:val="auto"/>
              </w:rPr>
            </w:pPr>
            <w:r>
              <w:rPr>
                <w:rFonts w:ascii="Times New Roman" w:cs="Times New Roman" w:eastAsia="Times New Roman" w:hAnsi="Times New Roman"/>
                <w:sz w:val="14"/>
                <w:szCs w:val="14"/>
                <w:color w:val="auto"/>
              </w:rPr>
              <w:t>Net change in unrealized gains (losses) on investments and</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13,008</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13,008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12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580" w:type="dxa"/>
            <w:vAlign w:val="bottom"/>
            <w:shd w:val="clear" w:color="auto" w:fill="CFF0FC"/>
          </w:tcPr>
          <w:p>
            <w:pPr>
              <w:ind w:left="80"/>
              <w:spacing w:after="0" w:line="126" w:lineRule="exact"/>
              <w:rPr>
                <w:sz w:val="20"/>
                <w:szCs w:val="20"/>
                <w:color w:val="auto"/>
              </w:rPr>
            </w:pPr>
            <w:r>
              <w:rPr>
                <w:rFonts w:ascii="Times New Roman" w:cs="Times New Roman" w:eastAsia="Times New Roman" w:hAnsi="Times New Roman"/>
                <w:sz w:val="14"/>
                <w:szCs w:val="14"/>
                <w:color w:val="auto"/>
              </w:rPr>
              <w:t>Net realized gains (losses) on investments and foreign</w:t>
            </w:r>
          </w:p>
        </w:tc>
        <w:tc>
          <w:tcPr>
            <w:tcW w:w="12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5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currency transactions</w:t>
            </w:r>
          </w:p>
        </w:tc>
        <w:tc>
          <w:tcPr>
            <w:tcW w:w="124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Increase (decrease) in net assets resulting from capital share transactions:</w:t>
            </w: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8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Issuance of common shares</w:t>
            </w:r>
          </w:p>
        </w:tc>
        <w:tc>
          <w:tcPr>
            <w:tcW w:w="1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8,677,493</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249,991</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250,000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Dividends to shareholders:</w:t>
            </w: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8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Stock issued in connection with dividend reinvestment plan</w:t>
            </w:r>
          </w:p>
        </w:tc>
        <w:tc>
          <w:tcPr>
            <w:tcW w:w="1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1,834,803</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51,006</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51,007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Dividends declared from net investment income</w:t>
            </w: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(112,763)</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(112,763)</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5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June 30, 2026</w:t>
            </w:r>
          </w:p>
        </w:tc>
        <w:tc>
          <w:tcPr>
            <w:tcW w:w="12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161,090,631</w:t>
            </w:r>
          </w:p>
        </w:tc>
        <w:tc>
          <w:tcPr>
            <w:tcW w:w="38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161</w:t>
            </w:r>
          </w:p>
        </w:tc>
        <w:tc>
          <w:tcPr>
            <w:tcW w:w="32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4,523,648</w:t>
            </w:r>
          </w:p>
        </w:tc>
        <w:tc>
          <w:tcPr>
            <w:tcW w:w="36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5,880</w:t>
            </w:r>
          </w:p>
        </w:tc>
        <w:tc>
          <w:tcPr>
            <w:tcW w:w="120" w:type="dxa"/>
            <w:vAlign w:val="bottom"/>
            <w:shd w:val="clear" w:color="auto" w:fill="CFF0FC"/>
          </w:tcPr>
          <w:p>
            <w:pPr>
              <w:spacing w:after="0"/>
              <w:rPr>
                <w:sz w:val="15"/>
                <w:szCs w:val="15"/>
                <w:color w:val="auto"/>
              </w:rPr>
            </w:pPr>
          </w:p>
        </w:tc>
        <w:tc>
          <w:tcPr>
            <w:tcW w:w="30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4,529,689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58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4"/>
                <w:szCs w:val="14"/>
                <w:color w:val="auto"/>
              </w:rPr>
              <w:t>Net increase (decrease) in net assets resulting from operations:</w:t>
            </w:r>
          </w:p>
        </w:tc>
        <w:tc>
          <w:tcPr>
            <w:tcW w:w="124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58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Net investment income (loss)</w:t>
            </w:r>
          </w:p>
        </w:tc>
        <w:tc>
          <w:tcPr>
            <w:tcW w:w="1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146,706</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146,706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580" w:type="dxa"/>
            <w:vAlign w:val="bottom"/>
          </w:tcPr>
          <w:p>
            <w:pPr>
              <w:ind w:left="80"/>
              <w:spacing w:after="0" w:line="126" w:lineRule="exact"/>
              <w:rPr>
                <w:sz w:val="20"/>
                <w:szCs w:val="20"/>
                <w:color w:val="auto"/>
              </w:rPr>
            </w:pPr>
            <w:r>
              <w:rPr>
                <w:rFonts w:ascii="Times New Roman" w:cs="Times New Roman" w:eastAsia="Times New Roman" w:hAnsi="Times New Roman"/>
                <w:sz w:val="14"/>
                <w:szCs w:val="14"/>
                <w:color w:val="auto"/>
              </w:rPr>
              <w:t>Net change in unrealized gains (losses) on investments and</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(30,104)</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(30,104)</w:t>
            </w:r>
          </w:p>
        </w:tc>
        <w:tc>
          <w:tcPr>
            <w:tcW w:w="0" w:type="dxa"/>
            <w:vAlign w:val="bottom"/>
          </w:tcPr>
          <w:p>
            <w:pPr>
              <w:spacing w:after="0"/>
              <w:rPr>
                <w:sz w:val="1"/>
                <w:szCs w:val="1"/>
                <w:color w:val="auto"/>
              </w:rPr>
            </w:pPr>
          </w:p>
        </w:tc>
      </w:tr>
      <w:tr>
        <w:trPr>
          <w:trHeight w:val="171"/>
        </w:trPr>
        <w:tc>
          <w:tcPr>
            <w:tcW w:w="4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12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580" w:type="dxa"/>
            <w:vAlign w:val="bottom"/>
            <w:shd w:val="clear" w:color="auto" w:fill="CFF0FC"/>
          </w:tcPr>
          <w:p>
            <w:pPr>
              <w:ind w:left="80"/>
              <w:spacing w:after="0" w:line="126" w:lineRule="exact"/>
              <w:rPr>
                <w:sz w:val="20"/>
                <w:szCs w:val="20"/>
                <w:color w:val="auto"/>
              </w:rPr>
            </w:pPr>
            <w:r>
              <w:rPr>
                <w:rFonts w:ascii="Times New Roman" w:cs="Times New Roman" w:eastAsia="Times New Roman" w:hAnsi="Times New Roman"/>
                <w:sz w:val="14"/>
                <w:szCs w:val="14"/>
                <w:color w:val="auto"/>
              </w:rPr>
              <w:t>Net realized gains (losses) on investments and foreign</w:t>
            </w:r>
          </w:p>
        </w:tc>
        <w:tc>
          <w:tcPr>
            <w:tcW w:w="12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18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10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71"/>
        </w:trPr>
        <w:tc>
          <w:tcPr>
            <w:tcW w:w="45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currency transactions</w:t>
            </w:r>
          </w:p>
        </w:tc>
        <w:tc>
          <w:tcPr>
            <w:tcW w:w="124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8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0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Increase (decrease) in net assets resulting from capital share transactions:</w:t>
            </w: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8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Issuance of common shares</w:t>
            </w:r>
          </w:p>
        </w:tc>
        <w:tc>
          <w:tcPr>
            <w:tcW w:w="1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17,373,129</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499,983</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500,000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Dividends to shareholders:</w:t>
            </w: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Stock issued in connection with dividend reinvestment plan</w:t>
            </w:r>
          </w:p>
        </w:tc>
        <w:tc>
          <w:tcPr>
            <w:tcW w:w="1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1,943,060</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54,637</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54,639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Dividends declared from net investment income</w:t>
            </w: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(126,285)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(126,285)</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5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September 30, 2026</w:t>
            </w:r>
          </w:p>
        </w:tc>
        <w:tc>
          <w:tcPr>
            <w:tcW w:w="12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180,406,820</w:t>
            </w:r>
          </w:p>
        </w:tc>
        <w:tc>
          <w:tcPr>
            <w:tcW w:w="38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180</w:t>
            </w:r>
          </w:p>
        </w:tc>
        <w:tc>
          <w:tcPr>
            <w:tcW w:w="32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5,078,268</w:t>
            </w:r>
          </w:p>
        </w:tc>
        <w:tc>
          <w:tcPr>
            <w:tcW w:w="36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(3,810)</w:t>
            </w:r>
          </w:p>
        </w:tc>
        <w:tc>
          <w:tcPr>
            <w:tcW w:w="30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5,074,638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58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-2357120</wp:posOffset>
            </wp:positionV>
            <wp:extent cx="7747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-2339340</wp:posOffset>
            </wp:positionV>
            <wp:extent cx="7747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-2357120</wp:posOffset>
            </wp:positionV>
            <wp:extent cx="685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-2339340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-2357120</wp:posOffset>
            </wp:positionV>
            <wp:extent cx="685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-2339340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-2357120</wp:posOffset>
            </wp:positionV>
            <wp:extent cx="685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-2339340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-2357120</wp:posOffset>
            </wp:positionV>
            <wp:extent cx="6858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-2339340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-1191260</wp:posOffset>
            </wp:positionV>
            <wp:extent cx="7747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-1173480</wp:posOffset>
            </wp:positionV>
            <wp:extent cx="7747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-1191260</wp:posOffset>
            </wp:positionV>
            <wp:extent cx="6858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-1173480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-1191260</wp:posOffset>
            </wp:positionV>
            <wp:extent cx="6858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-1173480</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-1191260</wp:posOffset>
            </wp:positionV>
            <wp:extent cx="6858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-1173480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-1191260</wp:posOffset>
            </wp:positionV>
            <wp:extent cx="6858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-1173480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-24765</wp:posOffset>
            </wp:positionV>
            <wp:extent cx="7747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-7620</wp:posOffset>
            </wp:positionV>
            <wp:extent cx="7747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-24765</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-7620</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-24765</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-7620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-24765</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-7620</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55"/>
        </w:trPr>
        <w:tc>
          <w:tcPr>
            <w:tcW w:w="4580" w:type="dxa"/>
            <w:vAlign w:val="bottom"/>
          </w:tcPr>
          <w:p>
            <w:pPr>
              <w:spacing w:after="0"/>
              <w:rPr>
                <w:sz w:val="13"/>
                <w:szCs w:val="13"/>
                <w:color w:val="auto"/>
              </w:rPr>
            </w:pPr>
          </w:p>
        </w:tc>
        <w:tc>
          <w:tcPr>
            <w:tcW w:w="16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Common Shares</w:t>
            </w:r>
          </w:p>
        </w:tc>
        <w:tc>
          <w:tcPr>
            <w:tcW w:w="6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vMerge w:val="restart"/>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w w:val="95"/>
              </w:rPr>
              <w:t>Paid in Capital in</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Distributable</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Total Net</w:t>
            </w:r>
          </w:p>
        </w:tc>
        <w:tc>
          <w:tcPr>
            <w:tcW w:w="0" w:type="dxa"/>
            <w:vAlign w:val="bottom"/>
          </w:tcPr>
          <w:p>
            <w:pPr>
              <w:spacing w:after="0"/>
              <w:rPr>
                <w:sz w:val="1"/>
                <w:szCs w:val="1"/>
                <w:color w:val="auto"/>
              </w:rPr>
            </w:pPr>
          </w:p>
        </w:tc>
      </w:tr>
      <w:tr>
        <w:trPr>
          <w:trHeight w:val="108"/>
        </w:trPr>
        <w:tc>
          <w:tcPr>
            <w:tcW w:w="45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jc w:val="right"/>
              <w:ind w:right="249"/>
              <w:spacing w:after="0" w:line="109" w:lineRule="exact"/>
              <w:rPr>
                <w:sz w:val="20"/>
                <w:szCs w:val="20"/>
                <w:color w:val="auto"/>
              </w:rPr>
            </w:pPr>
            <w:r>
              <w:rPr>
                <w:rFonts w:ascii="Times New Roman" w:cs="Times New Roman" w:eastAsia="Times New Roman" w:hAnsi="Times New Roman"/>
                <w:sz w:val="12"/>
                <w:szCs w:val="12"/>
                <w:b w:val="1"/>
                <w:bCs w:val="1"/>
                <w:color w:val="auto"/>
              </w:rPr>
              <w:t>Par</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580" w:type="dxa"/>
            <w:vAlign w:val="bottom"/>
          </w:tcPr>
          <w:p>
            <w:pPr>
              <w:spacing w:after="0"/>
              <w:rPr>
                <w:sz w:val="13"/>
                <w:szCs w:val="13"/>
                <w:color w:val="auto"/>
              </w:rPr>
            </w:pPr>
          </w:p>
        </w:tc>
        <w:tc>
          <w:tcPr>
            <w:tcW w:w="124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Excess of Par</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5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12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140,208,028</w:t>
            </w:r>
          </w:p>
        </w:tc>
        <w:tc>
          <w:tcPr>
            <w:tcW w:w="38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140</w:t>
            </w:r>
          </w:p>
        </w:tc>
        <w:tc>
          <w:tcPr>
            <w:tcW w:w="32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3,923,739</w:t>
            </w:r>
          </w:p>
        </w:tc>
        <w:tc>
          <w:tcPr>
            <w:tcW w:w="36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112,591</w:t>
            </w:r>
          </w:p>
        </w:tc>
        <w:tc>
          <w:tcPr>
            <w:tcW w:w="120" w:type="dxa"/>
            <w:vAlign w:val="bottom"/>
            <w:shd w:val="clear" w:color="auto" w:fill="CFF0FC"/>
          </w:tcPr>
          <w:p>
            <w:pPr>
              <w:spacing w:after="0"/>
              <w:rPr>
                <w:sz w:val="12"/>
                <w:szCs w:val="12"/>
                <w:color w:val="auto"/>
              </w:rPr>
            </w:pPr>
          </w:p>
        </w:tc>
        <w:tc>
          <w:tcPr>
            <w:tcW w:w="30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4,036,470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increase (decrease) in net assets resulting from operations:</w:t>
            </w: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Net investment income (loss)</w:t>
            </w:r>
          </w:p>
        </w:tc>
        <w:tc>
          <w:tcPr>
            <w:tcW w:w="1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152,562</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152,562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580" w:type="dxa"/>
            <w:vAlign w:val="bottom"/>
          </w:tcPr>
          <w:p>
            <w:pPr>
              <w:ind w:left="80"/>
              <w:spacing w:after="0" w:line="126" w:lineRule="exact"/>
              <w:rPr>
                <w:sz w:val="20"/>
                <w:szCs w:val="20"/>
                <w:color w:val="auto"/>
              </w:rPr>
            </w:pPr>
            <w:r>
              <w:rPr>
                <w:rFonts w:ascii="Times New Roman" w:cs="Times New Roman" w:eastAsia="Times New Roman" w:hAnsi="Times New Roman"/>
                <w:sz w:val="14"/>
                <w:szCs w:val="14"/>
                <w:color w:val="auto"/>
              </w:rPr>
              <w:t>Net change in unrealized gains (losses) on investments and</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(24,733)</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(24,733)</w:t>
            </w:r>
          </w:p>
        </w:tc>
        <w:tc>
          <w:tcPr>
            <w:tcW w:w="0" w:type="dxa"/>
            <w:vAlign w:val="bottom"/>
          </w:tcPr>
          <w:p>
            <w:pPr>
              <w:spacing w:after="0"/>
              <w:rPr>
                <w:sz w:val="1"/>
                <w:szCs w:val="1"/>
                <w:color w:val="auto"/>
              </w:rPr>
            </w:pPr>
          </w:p>
        </w:tc>
      </w:tr>
      <w:tr>
        <w:trPr>
          <w:trHeight w:val="171"/>
        </w:trPr>
        <w:tc>
          <w:tcPr>
            <w:tcW w:w="4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12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580" w:type="dxa"/>
            <w:vAlign w:val="bottom"/>
            <w:shd w:val="clear" w:color="auto" w:fill="CFF0FC"/>
          </w:tcPr>
          <w:p>
            <w:pPr>
              <w:ind w:left="80"/>
              <w:spacing w:after="0" w:line="126" w:lineRule="exact"/>
              <w:rPr>
                <w:sz w:val="20"/>
                <w:szCs w:val="20"/>
                <w:color w:val="auto"/>
              </w:rPr>
            </w:pPr>
            <w:r>
              <w:rPr>
                <w:rFonts w:ascii="Times New Roman" w:cs="Times New Roman" w:eastAsia="Times New Roman" w:hAnsi="Times New Roman"/>
                <w:sz w:val="14"/>
                <w:szCs w:val="14"/>
                <w:color w:val="auto"/>
              </w:rPr>
              <w:t>Net realized gains (losses) on investments and foreign</w:t>
            </w:r>
          </w:p>
        </w:tc>
        <w:tc>
          <w:tcPr>
            <w:tcW w:w="12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5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currency transactions</w:t>
            </w:r>
          </w:p>
        </w:tc>
        <w:tc>
          <w:tcPr>
            <w:tcW w:w="124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Dividends to shareholders:</w:t>
            </w: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8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Stock issued in connection with dividend reinvestment plan</w:t>
            </w:r>
          </w:p>
        </w:tc>
        <w:tc>
          <w:tcPr>
            <w:tcW w:w="1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1,456,909</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41,943</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41,945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Dividends declared from net investment income</w:t>
            </w: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(94,916)</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(94,916)</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5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March 31, 2025</w:t>
            </w:r>
          </w:p>
        </w:tc>
        <w:tc>
          <w:tcPr>
            <w:tcW w:w="12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141,664,937</w:t>
            </w:r>
          </w:p>
        </w:tc>
        <w:tc>
          <w:tcPr>
            <w:tcW w:w="38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142</w:t>
            </w:r>
          </w:p>
        </w:tc>
        <w:tc>
          <w:tcPr>
            <w:tcW w:w="32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3,965,682</w:t>
            </w:r>
          </w:p>
        </w:tc>
        <w:tc>
          <w:tcPr>
            <w:tcW w:w="36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145,782</w:t>
            </w:r>
          </w:p>
        </w:tc>
        <w:tc>
          <w:tcPr>
            <w:tcW w:w="120" w:type="dxa"/>
            <w:vAlign w:val="bottom"/>
            <w:shd w:val="clear" w:color="auto" w:fill="CFF0FC"/>
          </w:tcPr>
          <w:p>
            <w:pPr>
              <w:spacing w:after="0"/>
              <w:rPr>
                <w:sz w:val="15"/>
                <w:szCs w:val="15"/>
                <w:color w:val="auto"/>
              </w:rPr>
            </w:pPr>
          </w:p>
        </w:tc>
        <w:tc>
          <w:tcPr>
            <w:tcW w:w="30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4,111,606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58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4"/>
                <w:szCs w:val="14"/>
                <w:color w:val="auto"/>
              </w:rPr>
              <w:t>Net increase (decrease) in net assets resulting from operations:</w:t>
            </w:r>
          </w:p>
        </w:tc>
        <w:tc>
          <w:tcPr>
            <w:tcW w:w="124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58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Net investment income (loss)</w:t>
            </w:r>
          </w:p>
        </w:tc>
        <w:tc>
          <w:tcPr>
            <w:tcW w:w="1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147,018</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147,018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580" w:type="dxa"/>
            <w:vAlign w:val="bottom"/>
          </w:tcPr>
          <w:p>
            <w:pPr>
              <w:ind w:left="80"/>
              <w:spacing w:after="0" w:line="126" w:lineRule="exact"/>
              <w:rPr>
                <w:sz w:val="20"/>
                <w:szCs w:val="20"/>
                <w:color w:val="auto"/>
              </w:rPr>
            </w:pPr>
            <w:r>
              <w:rPr>
                <w:rFonts w:ascii="Times New Roman" w:cs="Times New Roman" w:eastAsia="Times New Roman" w:hAnsi="Times New Roman"/>
                <w:sz w:val="14"/>
                <w:szCs w:val="14"/>
                <w:color w:val="auto"/>
              </w:rPr>
              <w:t>Net change in unrealized gains (losses) on investments and</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13,698</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13,698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12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580" w:type="dxa"/>
            <w:vAlign w:val="bottom"/>
            <w:shd w:val="clear" w:color="auto" w:fill="CFF0FC"/>
          </w:tcPr>
          <w:p>
            <w:pPr>
              <w:ind w:left="80"/>
              <w:spacing w:after="0" w:line="126" w:lineRule="exact"/>
              <w:rPr>
                <w:sz w:val="20"/>
                <w:szCs w:val="20"/>
                <w:color w:val="auto"/>
              </w:rPr>
            </w:pPr>
            <w:r>
              <w:rPr>
                <w:rFonts w:ascii="Times New Roman" w:cs="Times New Roman" w:eastAsia="Times New Roman" w:hAnsi="Times New Roman"/>
                <w:sz w:val="14"/>
                <w:szCs w:val="14"/>
                <w:color w:val="auto"/>
              </w:rPr>
              <w:t>Net realized gains (losses) on investments and foreign</w:t>
            </w:r>
          </w:p>
        </w:tc>
        <w:tc>
          <w:tcPr>
            <w:tcW w:w="12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18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(2,790)</w:t>
            </w:r>
          </w:p>
        </w:tc>
        <w:tc>
          <w:tcPr>
            <w:tcW w:w="1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10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(2,790)</w:t>
            </w:r>
          </w:p>
        </w:tc>
        <w:tc>
          <w:tcPr>
            <w:tcW w:w="0" w:type="dxa"/>
            <w:vAlign w:val="bottom"/>
          </w:tcPr>
          <w:p>
            <w:pPr>
              <w:spacing w:after="0"/>
              <w:rPr>
                <w:sz w:val="1"/>
                <w:szCs w:val="1"/>
                <w:color w:val="auto"/>
              </w:rPr>
            </w:pPr>
          </w:p>
        </w:tc>
      </w:tr>
      <w:tr>
        <w:trPr>
          <w:trHeight w:val="171"/>
        </w:trPr>
        <w:tc>
          <w:tcPr>
            <w:tcW w:w="45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currency transactions</w:t>
            </w:r>
          </w:p>
        </w:tc>
        <w:tc>
          <w:tcPr>
            <w:tcW w:w="124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8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0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Dividends to shareholders:</w:t>
            </w: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8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Stock issued in connection with dividend reinvestment plan</w:t>
            </w:r>
          </w:p>
        </w:tc>
        <w:tc>
          <w:tcPr>
            <w:tcW w:w="1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1,479,035</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42,920</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42,921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Dividends declared from net investment income</w:t>
            </w: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(100,200)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(100,200)</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5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June 30, 2025</w:t>
            </w:r>
          </w:p>
        </w:tc>
        <w:tc>
          <w:tcPr>
            <w:tcW w:w="12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143,143,972</w:t>
            </w:r>
          </w:p>
        </w:tc>
        <w:tc>
          <w:tcPr>
            <w:tcW w:w="38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143</w:t>
            </w:r>
          </w:p>
        </w:tc>
        <w:tc>
          <w:tcPr>
            <w:tcW w:w="32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4,008,602</w:t>
            </w:r>
          </w:p>
        </w:tc>
        <w:tc>
          <w:tcPr>
            <w:tcW w:w="36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203,508</w:t>
            </w:r>
          </w:p>
        </w:tc>
        <w:tc>
          <w:tcPr>
            <w:tcW w:w="120" w:type="dxa"/>
            <w:vAlign w:val="bottom"/>
            <w:shd w:val="clear" w:color="auto" w:fill="CFF0FC"/>
          </w:tcPr>
          <w:p>
            <w:pPr>
              <w:spacing w:after="0"/>
              <w:rPr>
                <w:sz w:val="15"/>
                <w:szCs w:val="15"/>
                <w:color w:val="auto"/>
              </w:rPr>
            </w:pPr>
          </w:p>
        </w:tc>
        <w:tc>
          <w:tcPr>
            <w:tcW w:w="30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4,212,253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58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4"/>
                <w:szCs w:val="14"/>
                <w:color w:val="auto"/>
              </w:rPr>
              <w:t>Net increase (decrease) in net assets resulting from operations:</w:t>
            </w:r>
          </w:p>
        </w:tc>
        <w:tc>
          <w:tcPr>
            <w:tcW w:w="124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58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Net investment income (loss)</w:t>
            </w:r>
          </w:p>
        </w:tc>
        <w:tc>
          <w:tcPr>
            <w:tcW w:w="1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142,571</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142,571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580" w:type="dxa"/>
            <w:vAlign w:val="bottom"/>
          </w:tcPr>
          <w:p>
            <w:pPr>
              <w:ind w:left="80"/>
              <w:spacing w:after="0" w:line="126" w:lineRule="exact"/>
              <w:rPr>
                <w:sz w:val="20"/>
                <w:szCs w:val="20"/>
                <w:color w:val="auto"/>
              </w:rPr>
            </w:pPr>
            <w:r>
              <w:rPr>
                <w:rFonts w:ascii="Times New Roman" w:cs="Times New Roman" w:eastAsia="Times New Roman" w:hAnsi="Times New Roman"/>
                <w:sz w:val="14"/>
                <w:szCs w:val="14"/>
                <w:color w:val="auto"/>
              </w:rPr>
              <w:t>Net change in unrealized gains (losses) on investments and</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(5,031)</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(5,031)</w:t>
            </w:r>
          </w:p>
        </w:tc>
        <w:tc>
          <w:tcPr>
            <w:tcW w:w="0" w:type="dxa"/>
            <w:vAlign w:val="bottom"/>
          </w:tcPr>
          <w:p>
            <w:pPr>
              <w:spacing w:after="0"/>
              <w:rPr>
                <w:sz w:val="1"/>
                <w:szCs w:val="1"/>
                <w:color w:val="auto"/>
              </w:rPr>
            </w:pPr>
          </w:p>
        </w:tc>
      </w:tr>
      <w:tr>
        <w:trPr>
          <w:trHeight w:val="171"/>
        </w:trPr>
        <w:tc>
          <w:tcPr>
            <w:tcW w:w="4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12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580" w:type="dxa"/>
            <w:vAlign w:val="bottom"/>
            <w:shd w:val="clear" w:color="auto" w:fill="CFF0FC"/>
          </w:tcPr>
          <w:p>
            <w:pPr>
              <w:ind w:left="80"/>
              <w:spacing w:after="0" w:line="126" w:lineRule="exact"/>
              <w:rPr>
                <w:sz w:val="20"/>
                <w:szCs w:val="20"/>
                <w:color w:val="auto"/>
              </w:rPr>
            </w:pPr>
            <w:r>
              <w:rPr>
                <w:rFonts w:ascii="Times New Roman" w:cs="Times New Roman" w:eastAsia="Times New Roman" w:hAnsi="Times New Roman"/>
                <w:sz w:val="14"/>
                <w:szCs w:val="14"/>
                <w:color w:val="auto"/>
              </w:rPr>
              <w:t>Net realized gains (losses) on investments and foreign</w:t>
            </w:r>
          </w:p>
        </w:tc>
        <w:tc>
          <w:tcPr>
            <w:tcW w:w="12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841</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841</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5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currency transactions</w:t>
            </w:r>
          </w:p>
        </w:tc>
        <w:tc>
          <w:tcPr>
            <w:tcW w:w="124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Dividends to shareholders:</w:t>
            </w: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8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Stock issued in connection with dividend reinvestment plan</w:t>
            </w:r>
          </w:p>
        </w:tc>
        <w:tc>
          <w:tcPr>
            <w:tcW w:w="1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1,559,071</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45,882</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45,884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Dividends declared from net investment income</w:t>
            </w: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(101,293)</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(101,293)</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5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September 30, 2025</w:t>
            </w:r>
          </w:p>
        </w:tc>
        <w:tc>
          <w:tcPr>
            <w:tcW w:w="12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144,703,043</w:t>
            </w:r>
          </w:p>
        </w:tc>
        <w:tc>
          <w:tcPr>
            <w:tcW w:w="38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145</w:t>
            </w:r>
          </w:p>
        </w:tc>
        <w:tc>
          <w:tcPr>
            <w:tcW w:w="32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4,054,484</w:t>
            </w:r>
          </w:p>
        </w:tc>
        <w:tc>
          <w:tcPr>
            <w:tcW w:w="36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240,596</w:t>
            </w:r>
          </w:p>
        </w:tc>
        <w:tc>
          <w:tcPr>
            <w:tcW w:w="120" w:type="dxa"/>
            <w:vAlign w:val="bottom"/>
            <w:shd w:val="clear" w:color="auto" w:fill="CFF0FC"/>
          </w:tcPr>
          <w:p>
            <w:pPr>
              <w:spacing w:after="0"/>
              <w:rPr>
                <w:sz w:val="14"/>
                <w:szCs w:val="14"/>
                <w:color w:val="auto"/>
              </w:rPr>
            </w:pPr>
          </w:p>
        </w:tc>
        <w:tc>
          <w:tcPr>
            <w:tcW w:w="30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4,295,225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58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-1979295</wp:posOffset>
            </wp:positionV>
            <wp:extent cx="7747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-1962150</wp:posOffset>
            </wp:positionV>
            <wp:extent cx="7747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-1979295</wp:posOffset>
            </wp:positionV>
            <wp:extent cx="6858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-1962150</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-1979295</wp:posOffset>
            </wp:positionV>
            <wp:extent cx="6858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-1962150</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-1979295</wp:posOffset>
            </wp:positionV>
            <wp:extent cx="6858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-1962150</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-1979295</wp:posOffset>
            </wp:positionV>
            <wp:extent cx="6858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-1962150</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-1002030</wp:posOffset>
            </wp:positionV>
            <wp:extent cx="7747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-985520</wp:posOffset>
            </wp:positionV>
            <wp:extent cx="7747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-1002030</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-985520</wp:posOffset>
            </wp:positionV>
            <wp:extent cx="6858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-1002030</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-985520</wp:posOffset>
            </wp:positionV>
            <wp:extent cx="6858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-1002030</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-985520</wp:posOffset>
            </wp:positionV>
            <wp:extent cx="6858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-1002030</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-985520</wp:posOffset>
            </wp:positionV>
            <wp:extent cx="6858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-24765</wp:posOffset>
            </wp:positionV>
            <wp:extent cx="7747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-7620</wp:posOffset>
            </wp:positionV>
            <wp:extent cx="7747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-24765</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-7620</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-24765</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-7620</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-24765</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-7620</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19" w:name="page20"/>
    <w:bookmarkEnd w:id="1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Sixth Street Lending Partners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80" w:type="dxa"/>
            <w:vAlign w:val="bottom"/>
          </w:tcPr>
          <w:p>
            <w:pPr>
              <w:spacing w:after="0"/>
              <w:rPr>
                <w:sz w:val="13"/>
                <w:szCs w:val="13"/>
                <w:color w:val="auto"/>
              </w:rPr>
            </w:pPr>
          </w:p>
        </w:tc>
        <w:tc>
          <w:tcPr>
            <w:tcW w:w="17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7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80" w:type="dxa"/>
            <w:vAlign w:val="bottom"/>
          </w:tcPr>
          <w:p>
            <w:pPr>
              <w:spacing w:after="0"/>
              <w:rPr>
                <w:sz w:val="15"/>
                <w:szCs w:val="15"/>
                <w:color w:val="auto"/>
              </w:rPr>
            </w:pPr>
          </w:p>
        </w:tc>
        <w:tc>
          <w:tcPr>
            <w:tcW w:w="17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September 30, 2025</w:t>
            </w:r>
          </w:p>
        </w:tc>
      </w:tr>
      <w:tr>
        <w:trPr>
          <w:trHeight w:val="142"/>
        </w:trPr>
        <w:tc>
          <w:tcPr>
            <w:tcW w:w="73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60" w:type="dxa"/>
            <w:vAlign w:val="bottom"/>
            <w:tcBorders>
              <w:top w:val="single" w:sz="8" w:color="auto"/>
            </w:tcBorders>
            <w:shd w:val="clear" w:color="auto" w:fill="CFF0FC"/>
          </w:tcPr>
          <w:p>
            <w:pPr>
              <w:spacing w:after="0"/>
              <w:rPr>
                <w:sz w:val="12"/>
                <w:szCs w:val="12"/>
                <w:color w:val="auto"/>
              </w:rPr>
            </w:pPr>
          </w:p>
        </w:tc>
        <w:tc>
          <w:tcPr>
            <w:tcW w:w="1600" w:type="dxa"/>
            <w:vAlign w:val="bottom"/>
            <w:tcBorders>
              <w:top w:val="single" w:sz="8" w:color="auto"/>
            </w:tcBorders>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162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7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Increase (Decrease) in net assets resulting from operations</w:t>
            </w:r>
          </w:p>
        </w:tc>
        <w:tc>
          <w:tcPr>
            <w:tcW w:w="1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270,573</w:t>
            </w:r>
          </w:p>
        </w:tc>
        <w:tc>
          <w:tcPr>
            <w:tcW w:w="280" w:type="dxa"/>
            <w:vAlign w:val="bottom"/>
          </w:tcPr>
          <w:p>
            <w:pPr>
              <w:spacing w:after="0"/>
              <w:rPr>
                <w:sz w:val="12"/>
                <w:szCs w:val="12"/>
                <w:color w:val="auto"/>
              </w:rPr>
            </w:pPr>
          </w:p>
        </w:tc>
        <w:tc>
          <w:tcPr>
            <w:tcW w:w="1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424,414</w:t>
            </w:r>
          </w:p>
        </w:tc>
        <w:tc>
          <w:tcPr>
            <w:tcW w:w="100" w:type="dxa"/>
            <w:vAlign w:val="bottom"/>
          </w:tcPr>
          <w:p>
            <w:pPr>
              <w:spacing w:after="0"/>
              <w:rPr>
                <w:sz w:val="12"/>
                <w:szCs w:val="12"/>
                <w:color w:val="auto"/>
              </w:rPr>
            </w:pPr>
          </w:p>
        </w:tc>
      </w:tr>
      <w:tr>
        <w:trPr>
          <w:trHeight w:val="126"/>
        </w:trPr>
        <w:tc>
          <w:tcPr>
            <w:tcW w:w="730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Adjustments to reconcile increase (decrease) in net assets resulting from operations</w:t>
            </w:r>
          </w:p>
        </w:tc>
        <w:tc>
          <w:tcPr>
            <w:tcW w:w="160" w:type="dxa"/>
            <w:vAlign w:val="bottom"/>
            <w:shd w:val="clear" w:color="auto" w:fill="CFF0FC"/>
          </w:tcPr>
          <w:p>
            <w:pPr>
              <w:spacing w:after="0"/>
              <w:rPr>
                <w:sz w:val="10"/>
                <w:szCs w:val="10"/>
                <w:color w:val="auto"/>
              </w:rPr>
            </w:pPr>
          </w:p>
        </w:tc>
        <w:tc>
          <w:tcPr>
            <w:tcW w:w="16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71"/>
        </w:trPr>
        <w:tc>
          <w:tcPr>
            <w:tcW w:w="7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to net cash provided by (used in) operating activities:</w:t>
            </w:r>
          </w:p>
        </w:tc>
        <w:tc>
          <w:tcPr>
            <w:tcW w:w="160" w:type="dxa"/>
            <w:vAlign w:val="bottom"/>
            <w:shd w:val="clear" w:color="auto" w:fill="CFF0FC"/>
          </w:tcPr>
          <w:p>
            <w:pPr>
              <w:spacing w:after="0"/>
              <w:rPr>
                <w:sz w:val="14"/>
                <w:szCs w:val="14"/>
                <w:color w:val="auto"/>
              </w:rPr>
            </w:pPr>
          </w:p>
        </w:tc>
        <w:tc>
          <w:tcPr>
            <w:tcW w:w="16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6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48"/>
        </w:trPr>
        <w:tc>
          <w:tcPr>
            <w:tcW w:w="73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Net change in unrealized (gains) losses on investments</w:t>
            </w:r>
          </w:p>
        </w:tc>
        <w:tc>
          <w:tcPr>
            <w:tcW w:w="160" w:type="dxa"/>
            <w:vAlign w:val="bottom"/>
          </w:tcPr>
          <w:p>
            <w:pPr>
              <w:spacing w:after="0"/>
              <w:rPr>
                <w:sz w:val="12"/>
                <w:szCs w:val="12"/>
                <w:color w:val="auto"/>
              </w:rPr>
            </w:pPr>
          </w:p>
        </w:tc>
        <w:tc>
          <w:tcPr>
            <w:tcW w:w="1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216,861</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(119,608)</w:t>
            </w:r>
          </w:p>
        </w:tc>
      </w:tr>
      <w:tr>
        <w:trPr>
          <w:trHeight w:val="149"/>
        </w:trPr>
        <w:tc>
          <w:tcPr>
            <w:tcW w:w="7300" w:type="dxa"/>
            <w:vAlign w:val="bottom"/>
            <w:shd w:val="clear" w:color="auto" w:fill="CFF0FC"/>
          </w:tcPr>
          <w:p>
            <w:pPr>
              <w:ind w:left="280"/>
              <w:spacing w:after="0" w:line="149" w:lineRule="exact"/>
              <w:rPr>
                <w:sz w:val="20"/>
                <w:szCs w:val="20"/>
                <w:color w:val="auto"/>
              </w:rPr>
            </w:pPr>
            <w:r>
              <w:rPr>
                <w:rFonts w:ascii="Times New Roman" w:cs="Times New Roman" w:eastAsia="Times New Roman" w:hAnsi="Times New Roman"/>
                <w:sz w:val="14"/>
                <w:szCs w:val="14"/>
                <w:color w:val="auto"/>
              </w:rPr>
              <w:t>Net change in unrealized (gains) losses on foreign currency transactions</w:t>
            </w:r>
          </w:p>
        </w:tc>
        <w:tc>
          <w:tcPr>
            <w:tcW w:w="160" w:type="dxa"/>
            <w:vAlign w:val="bottom"/>
            <w:shd w:val="clear" w:color="auto" w:fill="CFF0FC"/>
          </w:tcPr>
          <w:p>
            <w:pPr>
              <w:spacing w:after="0"/>
              <w:rPr>
                <w:sz w:val="12"/>
                <w:szCs w:val="12"/>
                <w:color w:val="auto"/>
              </w:rPr>
            </w:pPr>
          </w:p>
        </w:tc>
        <w:tc>
          <w:tcPr>
            <w:tcW w:w="188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(52,740)</w:t>
            </w:r>
          </w:p>
        </w:tc>
        <w:tc>
          <w:tcPr>
            <w:tcW w:w="180" w:type="dxa"/>
            <w:vAlign w:val="bottom"/>
            <w:shd w:val="clear" w:color="auto" w:fill="CFF0FC"/>
          </w:tcPr>
          <w:p>
            <w:pPr>
              <w:spacing w:after="0"/>
              <w:rPr>
                <w:sz w:val="12"/>
                <w:szCs w:val="12"/>
                <w:color w:val="auto"/>
              </w:rPr>
            </w:pPr>
          </w:p>
        </w:tc>
        <w:tc>
          <w:tcPr>
            <w:tcW w:w="1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137,408</w:t>
            </w:r>
          </w:p>
        </w:tc>
        <w:tc>
          <w:tcPr>
            <w:tcW w:w="100" w:type="dxa"/>
            <w:vAlign w:val="bottom"/>
            <w:shd w:val="clear" w:color="auto" w:fill="CFF0FC"/>
          </w:tcPr>
          <w:p>
            <w:pPr>
              <w:spacing w:after="0"/>
              <w:rPr>
                <w:sz w:val="12"/>
                <w:szCs w:val="12"/>
                <w:color w:val="auto"/>
              </w:rPr>
            </w:pPr>
          </w:p>
        </w:tc>
      </w:tr>
      <w:tr>
        <w:trPr>
          <w:trHeight w:val="148"/>
        </w:trPr>
        <w:tc>
          <w:tcPr>
            <w:tcW w:w="73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Net change in unrealized (gains) losses on foreign currency forward contracts</w:t>
            </w:r>
          </w:p>
        </w:tc>
        <w:tc>
          <w:tcPr>
            <w:tcW w:w="160" w:type="dxa"/>
            <w:vAlign w:val="bottom"/>
          </w:tcPr>
          <w:p>
            <w:pPr>
              <w:spacing w:after="0"/>
              <w:rPr>
                <w:sz w:val="12"/>
                <w:szCs w:val="12"/>
                <w:color w:val="auto"/>
              </w:rPr>
            </w:pPr>
          </w:p>
        </w:tc>
        <w:tc>
          <w:tcPr>
            <w:tcW w:w="18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7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(1,734)</w:t>
            </w:r>
          </w:p>
        </w:tc>
      </w:tr>
      <w:tr>
        <w:trPr>
          <w:trHeight w:val="148"/>
        </w:trPr>
        <w:tc>
          <w:tcPr>
            <w:tcW w:w="7300" w:type="dxa"/>
            <w:vAlign w:val="bottom"/>
            <w:shd w:val="clear" w:color="auto" w:fill="CFF0FC"/>
          </w:tcPr>
          <w:p>
            <w:pPr>
              <w:ind w:left="280"/>
              <w:spacing w:after="0" w:line="149" w:lineRule="exact"/>
              <w:rPr>
                <w:sz w:val="20"/>
                <w:szCs w:val="20"/>
                <w:color w:val="auto"/>
              </w:rPr>
            </w:pPr>
            <w:r>
              <w:rPr>
                <w:rFonts w:ascii="Times New Roman" w:cs="Times New Roman" w:eastAsia="Times New Roman" w:hAnsi="Times New Roman"/>
                <w:sz w:val="14"/>
                <w:szCs w:val="14"/>
                <w:color w:val="auto"/>
              </w:rPr>
              <w:t>Net realized (gains) losses on investments</w:t>
            </w:r>
          </w:p>
        </w:tc>
        <w:tc>
          <w:tcPr>
            <w:tcW w:w="160" w:type="dxa"/>
            <w:vAlign w:val="bottom"/>
            <w:shd w:val="clear" w:color="auto" w:fill="CFF0FC"/>
          </w:tcPr>
          <w:p>
            <w:pPr>
              <w:spacing w:after="0"/>
              <w:rPr>
                <w:sz w:val="12"/>
                <w:szCs w:val="12"/>
                <w:color w:val="auto"/>
              </w:rPr>
            </w:pPr>
          </w:p>
        </w:tc>
        <w:tc>
          <w:tcPr>
            <w:tcW w:w="188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(1,736)</w:t>
            </w:r>
          </w:p>
        </w:tc>
        <w:tc>
          <w:tcPr>
            <w:tcW w:w="180" w:type="dxa"/>
            <w:vAlign w:val="bottom"/>
            <w:shd w:val="clear" w:color="auto" w:fill="CFF0FC"/>
          </w:tcPr>
          <w:p>
            <w:pPr>
              <w:spacing w:after="0"/>
              <w:rPr>
                <w:sz w:val="12"/>
                <w:szCs w:val="12"/>
                <w:color w:val="auto"/>
              </w:rPr>
            </w:pPr>
          </w:p>
        </w:tc>
        <w:tc>
          <w:tcPr>
            <w:tcW w:w="17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(15,147)</w:t>
            </w:r>
          </w:p>
        </w:tc>
      </w:tr>
      <w:tr>
        <w:trPr>
          <w:trHeight w:val="148"/>
        </w:trPr>
        <w:tc>
          <w:tcPr>
            <w:tcW w:w="73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Net realized (gains) losses on foreign currency transactions</w:t>
            </w:r>
          </w:p>
        </w:tc>
        <w:tc>
          <w:tcPr>
            <w:tcW w:w="160" w:type="dxa"/>
            <w:vAlign w:val="bottom"/>
          </w:tcPr>
          <w:p>
            <w:pPr>
              <w:spacing w:after="0"/>
              <w:rPr>
                <w:sz w:val="12"/>
                <w:szCs w:val="12"/>
                <w:color w:val="auto"/>
              </w:rPr>
            </w:pPr>
          </w:p>
        </w:tc>
        <w:tc>
          <w:tcPr>
            <w:tcW w:w="1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180" w:type="dxa"/>
            <w:vAlign w:val="bottom"/>
          </w:tcPr>
          <w:p>
            <w:pPr>
              <w:spacing w:after="0"/>
              <w:rPr>
                <w:sz w:val="12"/>
                <w:szCs w:val="12"/>
                <w:color w:val="auto"/>
              </w:rPr>
            </w:pPr>
          </w:p>
        </w:tc>
        <w:tc>
          <w:tcPr>
            <w:tcW w:w="17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(66)</w:t>
            </w:r>
          </w:p>
        </w:tc>
      </w:tr>
      <w:tr>
        <w:trPr>
          <w:trHeight w:val="148"/>
        </w:trPr>
        <w:tc>
          <w:tcPr>
            <w:tcW w:w="7300" w:type="dxa"/>
            <w:vAlign w:val="bottom"/>
            <w:shd w:val="clear" w:color="auto" w:fill="CFF0FC"/>
          </w:tcPr>
          <w:p>
            <w:pPr>
              <w:ind w:left="280"/>
              <w:spacing w:after="0" w:line="149" w:lineRule="exact"/>
              <w:rPr>
                <w:sz w:val="20"/>
                <w:szCs w:val="20"/>
                <w:color w:val="auto"/>
              </w:rPr>
            </w:pPr>
            <w:r>
              <w:rPr>
                <w:rFonts w:ascii="Times New Roman" w:cs="Times New Roman" w:eastAsia="Times New Roman" w:hAnsi="Times New Roman"/>
                <w:sz w:val="14"/>
                <w:szCs w:val="14"/>
                <w:color w:val="auto"/>
              </w:rPr>
              <w:t>Net amortization of discount on investments</w:t>
            </w:r>
          </w:p>
        </w:tc>
        <w:tc>
          <w:tcPr>
            <w:tcW w:w="160" w:type="dxa"/>
            <w:vAlign w:val="bottom"/>
            <w:shd w:val="clear" w:color="auto" w:fill="CFF0FC"/>
          </w:tcPr>
          <w:p>
            <w:pPr>
              <w:spacing w:after="0"/>
              <w:rPr>
                <w:sz w:val="12"/>
                <w:szCs w:val="12"/>
                <w:color w:val="auto"/>
              </w:rPr>
            </w:pPr>
          </w:p>
        </w:tc>
        <w:tc>
          <w:tcPr>
            <w:tcW w:w="188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(31,561)</w:t>
            </w:r>
          </w:p>
        </w:tc>
        <w:tc>
          <w:tcPr>
            <w:tcW w:w="180" w:type="dxa"/>
            <w:vAlign w:val="bottom"/>
            <w:shd w:val="clear" w:color="auto" w:fill="CFF0FC"/>
          </w:tcPr>
          <w:p>
            <w:pPr>
              <w:spacing w:after="0"/>
              <w:rPr>
                <w:sz w:val="12"/>
                <w:szCs w:val="12"/>
                <w:color w:val="auto"/>
              </w:rPr>
            </w:pPr>
          </w:p>
        </w:tc>
        <w:tc>
          <w:tcPr>
            <w:tcW w:w="17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(50,528)</w:t>
            </w:r>
          </w:p>
        </w:tc>
      </w:tr>
      <w:tr>
        <w:trPr>
          <w:trHeight w:val="148"/>
        </w:trPr>
        <w:tc>
          <w:tcPr>
            <w:tcW w:w="73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Amortization of deferred financing costs</w:t>
            </w:r>
          </w:p>
        </w:tc>
        <w:tc>
          <w:tcPr>
            <w:tcW w:w="160" w:type="dxa"/>
            <w:vAlign w:val="bottom"/>
          </w:tcPr>
          <w:p>
            <w:pPr>
              <w:spacing w:after="0"/>
              <w:rPr>
                <w:sz w:val="12"/>
                <w:szCs w:val="12"/>
                <w:color w:val="auto"/>
              </w:rPr>
            </w:pPr>
          </w:p>
        </w:tc>
        <w:tc>
          <w:tcPr>
            <w:tcW w:w="1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7,930</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9,255</w:t>
            </w:r>
          </w:p>
        </w:tc>
        <w:tc>
          <w:tcPr>
            <w:tcW w:w="100" w:type="dxa"/>
            <w:vAlign w:val="bottom"/>
          </w:tcPr>
          <w:p>
            <w:pPr>
              <w:spacing w:after="0"/>
              <w:rPr>
                <w:sz w:val="12"/>
                <w:szCs w:val="12"/>
                <w:color w:val="auto"/>
              </w:rPr>
            </w:pPr>
          </w:p>
        </w:tc>
      </w:tr>
      <w:tr>
        <w:trPr>
          <w:trHeight w:val="149"/>
        </w:trPr>
        <w:tc>
          <w:tcPr>
            <w:tcW w:w="7300" w:type="dxa"/>
            <w:vAlign w:val="bottom"/>
            <w:shd w:val="clear" w:color="auto" w:fill="CFF0FC"/>
          </w:tcPr>
          <w:p>
            <w:pPr>
              <w:ind w:left="280"/>
              <w:spacing w:after="0" w:line="149" w:lineRule="exact"/>
              <w:rPr>
                <w:sz w:val="20"/>
                <w:szCs w:val="20"/>
                <w:color w:val="auto"/>
              </w:rPr>
            </w:pPr>
            <w:r>
              <w:rPr>
                <w:rFonts w:ascii="Times New Roman" w:cs="Times New Roman" w:eastAsia="Times New Roman" w:hAnsi="Times New Roman"/>
                <w:sz w:val="14"/>
                <w:szCs w:val="14"/>
                <w:color w:val="auto"/>
              </w:rPr>
              <w:t>Amortization of discount on debt</w:t>
            </w:r>
          </w:p>
        </w:tc>
        <w:tc>
          <w:tcPr>
            <w:tcW w:w="160" w:type="dxa"/>
            <w:vAlign w:val="bottom"/>
            <w:shd w:val="clear" w:color="auto" w:fill="CFF0FC"/>
          </w:tcPr>
          <w:p>
            <w:pPr>
              <w:spacing w:after="0"/>
              <w:rPr>
                <w:sz w:val="12"/>
                <w:szCs w:val="12"/>
                <w:color w:val="auto"/>
              </w:rPr>
            </w:pPr>
          </w:p>
        </w:tc>
        <w:tc>
          <w:tcPr>
            <w:tcW w:w="1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1,732</w:t>
            </w: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1,569</w:t>
            </w:r>
          </w:p>
        </w:tc>
        <w:tc>
          <w:tcPr>
            <w:tcW w:w="100" w:type="dxa"/>
            <w:vAlign w:val="bottom"/>
            <w:shd w:val="clear" w:color="auto" w:fill="CFF0FC"/>
          </w:tcPr>
          <w:p>
            <w:pPr>
              <w:spacing w:after="0"/>
              <w:rPr>
                <w:sz w:val="12"/>
                <w:szCs w:val="12"/>
                <w:color w:val="auto"/>
              </w:rPr>
            </w:pPr>
          </w:p>
        </w:tc>
      </w:tr>
      <w:tr>
        <w:trPr>
          <w:trHeight w:val="148"/>
        </w:trPr>
        <w:tc>
          <w:tcPr>
            <w:tcW w:w="73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Purchases and originations of investments, net</w:t>
            </w:r>
          </w:p>
        </w:tc>
        <w:tc>
          <w:tcPr>
            <w:tcW w:w="160" w:type="dxa"/>
            <w:vAlign w:val="bottom"/>
          </w:tcPr>
          <w:p>
            <w:pPr>
              <w:spacing w:after="0"/>
              <w:rPr>
                <w:sz w:val="12"/>
                <w:szCs w:val="12"/>
                <w:color w:val="auto"/>
              </w:rPr>
            </w:pPr>
          </w:p>
        </w:tc>
        <w:tc>
          <w:tcPr>
            <w:tcW w:w="1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(2,465,423)</w:t>
            </w:r>
          </w:p>
        </w:tc>
        <w:tc>
          <w:tcPr>
            <w:tcW w:w="180" w:type="dxa"/>
            <w:vAlign w:val="bottom"/>
          </w:tcPr>
          <w:p>
            <w:pPr>
              <w:spacing w:after="0"/>
              <w:rPr>
                <w:sz w:val="12"/>
                <w:szCs w:val="12"/>
                <w:color w:val="auto"/>
              </w:rPr>
            </w:pPr>
          </w:p>
        </w:tc>
        <w:tc>
          <w:tcPr>
            <w:tcW w:w="17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(2,047,677)</w:t>
            </w:r>
          </w:p>
        </w:tc>
      </w:tr>
      <w:tr>
        <w:trPr>
          <w:trHeight w:val="148"/>
        </w:trPr>
        <w:tc>
          <w:tcPr>
            <w:tcW w:w="7300" w:type="dxa"/>
            <w:vAlign w:val="bottom"/>
            <w:shd w:val="clear" w:color="auto" w:fill="CFF0FC"/>
          </w:tcPr>
          <w:p>
            <w:pPr>
              <w:ind w:left="280"/>
              <w:spacing w:after="0" w:line="149" w:lineRule="exact"/>
              <w:rPr>
                <w:sz w:val="20"/>
                <w:szCs w:val="20"/>
                <w:color w:val="auto"/>
              </w:rPr>
            </w:pPr>
            <w:r>
              <w:rPr>
                <w:rFonts w:ascii="Times New Roman" w:cs="Times New Roman" w:eastAsia="Times New Roman" w:hAnsi="Times New Roman"/>
                <w:sz w:val="14"/>
                <w:szCs w:val="14"/>
                <w:color w:val="auto"/>
              </w:rPr>
              <w:t>Proceeds from investments, net</w:t>
            </w:r>
          </w:p>
        </w:tc>
        <w:tc>
          <w:tcPr>
            <w:tcW w:w="160" w:type="dxa"/>
            <w:vAlign w:val="bottom"/>
            <w:shd w:val="clear" w:color="auto" w:fill="CFF0FC"/>
          </w:tcPr>
          <w:p>
            <w:pPr>
              <w:spacing w:after="0"/>
              <w:rPr>
                <w:sz w:val="12"/>
                <w:szCs w:val="12"/>
                <w:color w:val="auto"/>
              </w:rPr>
            </w:pPr>
          </w:p>
        </w:tc>
        <w:tc>
          <w:tcPr>
            <w:tcW w:w="1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34,722</w:t>
            </w: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168,912</w:t>
            </w:r>
          </w:p>
        </w:tc>
        <w:tc>
          <w:tcPr>
            <w:tcW w:w="100" w:type="dxa"/>
            <w:vAlign w:val="bottom"/>
            <w:shd w:val="clear" w:color="auto" w:fill="CFF0FC"/>
          </w:tcPr>
          <w:p>
            <w:pPr>
              <w:spacing w:after="0"/>
              <w:rPr>
                <w:sz w:val="12"/>
                <w:szCs w:val="12"/>
                <w:color w:val="auto"/>
              </w:rPr>
            </w:pPr>
          </w:p>
        </w:tc>
      </w:tr>
      <w:tr>
        <w:trPr>
          <w:trHeight w:val="148"/>
        </w:trPr>
        <w:tc>
          <w:tcPr>
            <w:tcW w:w="73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Repayments on investments</w:t>
            </w:r>
          </w:p>
        </w:tc>
        <w:tc>
          <w:tcPr>
            <w:tcW w:w="160" w:type="dxa"/>
            <w:vAlign w:val="bottom"/>
          </w:tcPr>
          <w:p>
            <w:pPr>
              <w:spacing w:after="0"/>
              <w:rPr>
                <w:sz w:val="12"/>
                <w:szCs w:val="12"/>
                <w:color w:val="auto"/>
              </w:rPr>
            </w:pPr>
          </w:p>
        </w:tc>
        <w:tc>
          <w:tcPr>
            <w:tcW w:w="1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1,190,862</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1,633,346</w:t>
            </w:r>
          </w:p>
        </w:tc>
        <w:tc>
          <w:tcPr>
            <w:tcW w:w="100" w:type="dxa"/>
            <w:vAlign w:val="bottom"/>
          </w:tcPr>
          <w:p>
            <w:pPr>
              <w:spacing w:after="0"/>
              <w:rPr>
                <w:sz w:val="12"/>
                <w:szCs w:val="12"/>
                <w:color w:val="auto"/>
              </w:rPr>
            </w:pPr>
          </w:p>
        </w:tc>
      </w:tr>
      <w:tr>
        <w:trPr>
          <w:trHeight w:val="148"/>
        </w:trPr>
        <w:tc>
          <w:tcPr>
            <w:tcW w:w="7300" w:type="dxa"/>
            <w:vAlign w:val="bottom"/>
            <w:shd w:val="clear" w:color="auto" w:fill="CFF0FC"/>
          </w:tcPr>
          <w:p>
            <w:pPr>
              <w:ind w:left="280"/>
              <w:spacing w:after="0" w:line="149" w:lineRule="exact"/>
              <w:rPr>
                <w:sz w:val="20"/>
                <w:szCs w:val="20"/>
                <w:color w:val="auto"/>
              </w:rPr>
            </w:pPr>
            <w:r>
              <w:rPr>
                <w:rFonts w:ascii="Times New Roman" w:cs="Times New Roman" w:eastAsia="Times New Roman" w:hAnsi="Times New Roman"/>
                <w:sz w:val="14"/>
                <w:szCs w:val="14"/>
                <w:color w:val="auto"/>
              </w:rPr>
              <w:t>Paid-in-kind interest</w:t>
            </w:r>
          </w:p>
        </w:tc>
        <w:tc>
          <w:tcPr>
            <w:tcW w:w="160" w:type="dxa"/>
            <w:vAlign w:val="bottom"/>
            <w:shd w:val="clear" w:color="auto" w:fill="CFF0FC"/>
          </w:tcPr>
          <w:p>
            <w:pPr>
              <w:spacing w:after="0"/>
              <w:rPr>
                <w:sz w:val="12"/>
                <w:szCs w:val="12"/>
                <w:color w:val="auto"/>
              </w:rPr>
            </w:pPr>
          </w:p>
        </w:tc>
        <w:tc>
          <w:tcPr>
            <w:tcW w:w="188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(48,012)</w:t>
            </w:r>
          </w:p>
        </w:tc>
        <w:tc>
          <w:tcPr>
            <w:tcW w:w="180" w:type="dxa"/>
            <w:vAlign w:val="bottom"/>
            <w:shd w:val="clear" w:color="auto" w:fill="CFF0FC"/>
          </w:tcPr>
          <w:p>
            <w:pPr>
              <w:spacing w:after="0"/>
              <w:rPr>
                <w:sz w:val="12"/>
                <w:szCs w:val="12"/>
                <w:color w:val="auto"/>
              </w:rPr>
            </w:pPr>
          </w:p>
        </w:tc>
        <w:tc>
          <w:tcPr>
            <w:tcW w:w="17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(49,042)</w:t>
            </w:r>
          </w:p>
        </w:tc>
      </w:tr>
      <w:tr>
        <w:trPr>
          <w:trHeight w:val="149"/>
        </w:trPr>
        <w:tc>
          <w:tcPr>
            <w:tcW w:w="73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7300" w:type="dxa"/>
            <w:vAlign w:val="bottom"/>
            <w:shd w:val="clear" w:color="auto" w:fill="CFF0FC"/>
          </w:tcPr>
          <w:p>
            <w:pPr>
              <w:ind w:left="280"/>
              <w:spacing w:after="0" w:line="149" w:lineRule="exact"/>
              <w:rPr>
                <w:sz w:val="20"/>
                <w:szCs w:val="20"/>
                <w:color w:val="auto"/>
              </w:rPr>
            </w:pPr>
            <w:r>
              <w:rPr>
                <w:rFonts w:ascii="Times New Roman" w:cs="Times New Roman" w:eastAsia="Times New Roman" w:hAnsi="Times New Roman"/>
                <w:sz w:val="14"/>
                <w:szCs w:val="14"/>
                <w:color w:val="auto"/>
              </w:rPr>
              <w:t>Interest and dividends receivable</w:t>
            </w:r>
          </w:p>
        </w:tc>
        <w:tc>
          <w:tcPr>
            <w:tcW w:w="160" w:type="dxa"/>
            <w:vAlign w:val="bottom"/>
            <w:shd w:val="clear" w:color="auto" w:fill="CFF0FC"/>
          </w:tcPr>
          <w:p>
            <w:pPr>
              <w:spacing w:after="0"/>
              <w:rPr>
                <w:sz w:val="12"/>
                <w:szCs w:val="12"/>
                <w:color w:val="auto"/>
              </w:rPr>
            </w:pPr>
          </w:p>
        </w:tc>
        <w:tc>
          <w:tcPr>
            <w:tcW w:w="188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(8,983)</w:t>
            </w:r>
          </w:p>
        </w:tc>
        <w:tc>
          <w:tcPr>
            <w:tcW w:w="180" w:type="dxa"/>
            <w:vAlign w:val="bottom"/>
            <w:shd w:val="clear" w:color="auto" w:fill="CFF0FC"/>
          </w:tcPr>
          <w:p>
            <w:pPr>
              <w:spacing w:after="0"/>
              <w:rPr>
                <w:sz w:val="12"/>
                <w:szCs w:val="12"/>
                <w:color w:val="auto"/>
              </w:rPr>
            </w:pPr>
          </w:p>
        </w:tc>
        <w:tc>
          <w:tcPr>
            <w:tcW w:w="17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(4,203)</w:t>
            </w:r>
          </w:p>
        </w:tc>
      </w:tr>
      <w:tr>
        <w:trPr>
          <w:trHeight w:val="148"/>
        </w:trPr>
        <w:tc>
          <w:tcPr>
            <w:tcW w:w="73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Interest receivable paid-in-kind</w:t>
            </w:r>
          </w:p>
        </w:tc>
        <w:tc>
          <w:tcPr>
            <w:tcW w:w="160" w:type="dxa"/>
            <w:vAlign w:val="bottom"/>
          </w:tcPr>
          <w:p>
            <w:pPr>
              <w:spacing w:after="0"/>
              <w:rPr>
                <w:sz w:val="12"/>
                <w:szCs w:val="12"/>
                <w:color w:val="auto"/>
              </w:rPr>
            </w:pPr>
          </w:p>
        </w:tc>
        <w:tc>
          <w:tcPr>
            <w:tcW w:w="1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(9,573)</w:t>
            </w:r>
          </w:p>
        </w:tc>
        <w:tc>
          <w:tcPr>
            <w:tcW w:w="180" w:type="dxa"/>
            <w:vAlign w:val="bottom"/>
          </w:tcPr>
          <w:p>
            <w:pPr>
              <w:spacing w:after="0"/>
              <w:rPr>
                <w:sz w:val="12"/>
                <w:szCs w:val="12"/>
                <w:color w:val="auto"/>
              </w:rPr>
            </w:pPr>
          </w:p>
        </w:tc>
        <w:tc>
          <w:tcPr>
            <w:tcW w:w="17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(1,214)</w:t>
            </w:r>
          </w:p>
        </w:tc>
      </w:tr>
      <w:tr>
        <w:trPr>
          <w:trHeight w:val="148"/>
        </w:trPr>
        <w:tc>
          <w:tcPr>
            <w:tcW w:w="7300" w:type="dxa"/>
            <w:vAlign w:val="bottom"/>
            <w:shd w:val="clear" w:color="auto" w:fill="CFF0FC"/>
          </w:tcPr>
          <w:p>
            <w:pPr>
              <w:ind w:left="280"/>
              <w:spacing w:after="0" w:line="149" w:lineRule="exact"/>
              <w:rPr>
                <w:sz w:val="20"/>
                <w:szCs w:val="20"/>
                <w:color w:val="auto"/>
              </w:rPr>
            </w:pPr>
            <w:r>
              <w:rPr>
                <w:rFonts w:ascii="Times New Roman" w:cs="Times New Roman" w:eastAsia="Times New Roman" w:hAnsi="Times New Roman"/>
                <w:sz w:val="14"/>
                <w:szCs w:val="14"/>
                <w:color w:val="auto"/>
              </w:rPr>
              <w:t>Prepaid expenses and other assets</w:t>
            </w:r>
          </w:p>
        </w:tc>
        <w:tc>
          <w:tcPr>
            <w:tcW w:w="160" w:type="dxa"/>
            <w:vAlign w:val="bottom"/>
            <w:shd w:val="clear" w:color="auto" w:fill="CFF0FC"/>
          </w:tcPr>
          <w:p>
            <w:pPr>
              <w:spacing w:after="0"/>
              <w:rPr>
                <w:sz w:val="12"/>
                <w:szCs w:val="12"/>
                <w:color w:val="auto"/>
              </w:rPr>
            </w:pPr>
          </w:p>
        </w:tc>
        <w:tc>
          <w:tcPr>
            <w:tcW w:w="188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(709)</w:t>
            </w:r>
          </w:p>
        </w:tc>
        <w:tc>
          <w:tcPr>
            <w:tcW w:w="180" w:type="dxa"/>
            <w:vAlign w:val="bottom"/>
            <w:shd w:val="clear" w:color="auto" w:fill="CFF0FC"/>
          </w:tcPr>
          <w:p>
            <w:pPr>
              <w:spacing w:after="0"/>
              <w:rPr>
                <w:sz w:val="12"/>
                <w:szCs w:val="12"/>
                <w:color w:val="auto"/>
              </w:rPr>
            </w:pPr>
          </w:p>
        </w:tc>
        <w:tc>
          <w:tcPr>
            <w:tcW w:w="17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(17,435)</w:t>
            </w:r>
          </w:p>
        </w:tc>
      </w:tr>
      <w:tr>
        <w:trPr>
          <w:trHeight w:val="148"/>
        </w:trPr>
        <w:tc>
          <w:tcPr>
            <w:tcW w:w="73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Management fees payable to affiliate</w:t>
            </w:r>
          </w:p>
        </w:tc>
        <w:tc>
          <w:tcPr>
            <w:tcW w:w="160" w:type="dxa"/>
            <w:vAlign w:val="bottom"/>
          </w:tcPr>
          <w:p>
            <w:pPr>
              <w:spacing w:after="0"/>
              <w:rPr>
                <w:sz w:val="12"/>
                <w:szCs w:val="12"/>
                <w:color w:val="auto"/>
              </w:rPr>
            </w:pPr>
          </w:p>
        </w:tc>
        <w:tc>
          <w:tcPr>
            <w:tcW w:w="1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1,393</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2,743</w:t>
            </w:r>
          </w:p>
        </w:tc>
        <w:tc>
          <w:tcPr>
            <w:tcW w:w="100" w:type="dxa"/>
            <w:vAlign w:val="bottom"/>
          </w:tcPr>
          <w:p>
            <w:pPr>
              <w:spacing w:after="0"/>
              <w:rPr>
                <w:sz w:val="12"/>
                <w:szCs w:val="12"/>
                <w:color w:val="auto"/>
              </w:rPr>
            </w:pPr>
          </w:p>
        </w:tc>
      </w:tr>
      <w:tr>
        <w:trPr>
          <w:trHeight w:val="149"/>
        </w:trPr>
        <w:tc>
          <w:tcPr>
            <w:tcW w:w="7300" w:type="dxa"/>
            <w:vAlign w:val="bottom"/>
            <w:shd w:val="clear" w:color="auto" w:fill="CFF0FC"/>
          </w:tcPr>
          <w:p>
            <w:pPr>
              <w:ind w:left="280"/>
              <w:spacing w:after="0" w:line="149" w:lineRule="exact"/>
              <w:rPr>
                <w:sz w:val="20"/>
                <w:szCs w:val="20"/>
                <w:color w:val="auto"/>
              </w:rPr>
            </w:pPr>
            <w:r>
              <w:rPr>
                <w:rFonts w:ascii="Times New Roman" w:cs="Times New Roman" w:eastAsia="Times New Roman" w:hAnsi="Times New Roman"/>
                <w:sz w:val="14"/>
                <w:szCs w:val="14"/>
                <w:color w:val="auto"/>
              </w:rPr>
              <w:t>Incentive fees on net investment income payable to affiliate</w:t>
            </w:r>
          </w:p>
        </w:tc>
        <w:tc>
          <w:tcPr>
            <w:tcW w:w="160" w:type="dxa"/>
            <w:vAlign w:val="bottom"/>
            <w:shd w:val="clear" w:color="auto" w:fill="CFF0FC"/>
          </w:tcPr>
          <w:p>
            <w:pPr>
              <w:spacing w:after="0"/>
              <w:rPr>
                <w:sz w:val="12"/>
                <w:szCs w:val="12"/>
                <w:color w:val="auto"/>
              </w:rPr>
            </w:pPr>
          </w:p>
        </w:tc>
        <w:tc>
          <w:tcPr>
            <w:tcW w:w="1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1,140</w:t>
            </w: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3,996</w:t>
            </w:r>
          </w:p>
        </w:tc>
        <w:tc>
          <w:tcPr>
            <w:tcW w:w="100" w:type="dxa"/>
            <w:vAlign w:val="bottom"/>
            <w:shd w:val="clear" w:color="auto" w:fill="CFF0FC"/>
          </w:tcPr>
          <w:p>
            <w:pPr>
              <w:spacing w:after="0"/>
              <w:rPr>
                <w:sz w:val="12"/>
                <w:szCs w:val="12"/>
                <w:color w:val="auto"/>
              </w:rPr>
            </w:pPr>
          </w:p>
        </w:tc>
      </w:tr>
      <w:tr>
        <w:trPr>
          <w:trHeight w:val="148"/>
        </w:trPr>
        <w:tc>
          <w:tcPr>
            <w:tcW w:w="73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Incentive fees on net capital gains accrued to affiliate</w:t>
            </w:r>
          </w:p>
        </w:tc>
        <w:tc>
          <w:tcPr>
            <w:tcW w:w="160" w:type="dxa"/>
            <w:vAlign w:val="bottom"/>
          </w:tcPr>
          <w:p>
            <w:pPr>
              <w:spacing w:after="0"/>
              <w:rPr>
                <w:sz w:val="12"/>
                <w:szCs w:val="12"/>
                <w:color w:val="auto"/>
              </w:rPr>
            </w:pPr>
          </w:p>
        </w:tc>
        <w:tc>
          <w:tcPr>
            <w:tcW w:w="1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(14,922)</w:t>
            </w:r>
          </w:p>
        </w:tc>
        <w:tc>
          <w:tcPr>
            <w:tcW w:w="180" w:type="dxa"/>
            <w:vAlign w:val="bottom"/>
          </w:tcPr>
          <w:p>
            <w:pPr>
              <w:spacing w:after="0"/>
              <w:rPr>
                <w:sz w:val="12"/>
                <w:szCs w:val="12"/>
                <w:color w:val="auto"/>
              </w:rPr>
            </w:pPr>
          </w:p>
        </w:tc>
        <w:tc>
          <w:tcPr>
            <w:tcW w:w="17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(3,811)</w:t>
            </w:r>
          </w:p>
        </w:tc>
      </w:tr>
      <w:tr>
        <w:trPr>
          <w:trHeight w:val="148"/>
        </w:trPr>
        <w:tc>
          <w:tcPr>
            <w:tcW w:w="7300" w:type="dxa"/>
            <w:vAlign w:val="bottom"/>
            <w:shd w:val="clear" w:color="auto" w:fill="CFF0FC"/>
          </w:tcPr>
          <w:p>
            <w:pPr>
              <w:ind w:left="280"/>
              <w:spacing w:after="0" w:line="149" w:lineRule="exact"/>
              <w:rPr>
                <w:sz w:val="20"/>
                <w:szCs w:val="20"/>
                <w:color w:val="auto"/>
              </w:rPr>
            </w:pPr>
            <w:r>
              <w:rPr>
                <w:rFonts w:ascii="Times New Roman" w:cs="Times New Roman" w:eastAsia="Times New Roman" w:hAnsi="Times New Roman"/>
                <w:sz w:val="14"/>
                <w:szCs w:val="14"/>
                <w:color w:val="auto"/>
              </w:rPr>
              <w:t>Other payables to affiliates</w:t>
            </w:r>
          </w:p>
        </w:tc>
        <w:tc>
          <w:tcPr>
            <w:tcW w:w="160" w:type="dxa"/>
            <w:vAlign w:val="bottom"/>
            <w:shd w:val="clear" w:color="auto" w:fill="CFF0FC"/>
          </w:tcPr>
          <w:p>
            <w:pPr>
              <w:spacing w:after="0"/>
              <w:rPr>
                <w:sz w:val="12"/>
                <w:szCs w:val="12"/>
                <w:color w:val="auto"/>
              </w:rPr>
            </w:pPr>
          </w:p>
        </w:tc>
        <w:tc>
          <w:tcPr>
            <w:tcW w:w="1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1,354</w:t>
            </w: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7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(204)</w:t>
            </w:r>
          </w:p>
        </w:tc>
      </w:tr>
      <w:tr>
        <w:trPr>
          <w:trHeight w:val="148"/>
        </w:trPr>
        <w:tc>
          <w:tcPr>
            <w:tcW w:w="73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Other liabilities</w:t>
            </w:r>
          </w:p>
        </w:tc>
        <w:tc>
          <w:tcPr>
            <w:tcW w:w="160" w:type="dxa"/>
            <w:vAlign w:val="bottom"/>
          </w:tcPr>
          <w:p>
            <w:pPr>
              <w:spacing w:after="0"/>
              <w:rPr>
                <w:sz w:val="12"/>
                <w:szCs w:val="12"/>
                <w:color w:val="auto"/>
              </w:rPr>
            </w:pPr>
          </w:p>
        </w:tc>
        <w:tc>
          <w:tcPr>
            <w:tcW w:w="1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(98,177)</w:t>
            </w:r>
          </w:p>
        </w:tc>
        <w:tc>
          <w:tcPr>
            <w:tcW w:w="180" w:type="dxa"/>
            <w:vAlign w:val="bottom"/>
          </w:tcPr>
          <w:p>
            <w:pPr>
              <w:spacing w:after="0"/>
              <w:rPr>
                <w:sz w:val="12"/>
                <w:szCs w:val="12"/>
                <w:color w:val="auto"/>
              </w:rPr>
            </w:pPr>
          </w:p>
        </w:tc>
        <w:tc>
          <w:tcPr>
            <w:tcW w:w="1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29,168</w:t>
            </w:r>
          </w:p>
        </w:tc>
        <w:tc>
          <w:tcPr>
            <w:tcW w:w="100" w:type="dxa"/>
            <w:vAlign w:val="bottom"/>
          </w:tcPr>
          <w:p>
            <w:pPr>
              <w:spacing w:after="0"/>
              <w:rPr>
                <w:sz w:val="12"/>
                <w:szCs w:val="12"/>
                <w:color w:val="auto"/>
              </w:rPr>
            </w:pPr>
          </w:p>
        </w:tc>
      </w:tr>
      <w:tr>
        <w:trPr>
          <w:trHeight w:val="20"/>
        </w:trPr>
        <w:tc>
          <w:tcPr>
            <w:tcW w:w="7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2"/>
        </w:trPr>
        <w:tc>
          <w:tcPr>
            <w:tcW w:w="7300" w:type="dxa"/>
            <w:vAlign w:val="bottom"/>
            <w:shd w:val="clear" w:color="auto" w:fill="CFF0FC"/>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Net Cash Provided by (Used in) Operating Activities</w:t>
            </w:r>
          </w:p>
        </w:tc>
        <w:tc>
          <w:tcPr>
            <w:tcW w:w="160" w:type="dxa"/>
            <w:vAlign w:val="bottom"/>
            <w:shd w:val="clear" w:color="auto" w:fill="CFF0FC"/>
          </w:tcPr>
          <w:p>
            <w:pPr>
              <w:spacing w:after="0"/>
              <w:rPr>
                <w:sz w:val="12"/>
                <w:szCs w:val="12"/>
                <w:color w:val="auto"/>
              </w:rPr>
            </w:pPr>
          </w:p>
        </w:tc>
        <w:tc>
          <w:tcPr>
            <w:tcW w:w="1880" w:type="dxa"/>
            <w:vAlign w:val="bottom"/>
            <w:gridSpan w:val="2"/>
            <w:shd w:val="clear" w:color="auto" w:fill="CFF0FC"/>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(1,005,323)</w:t>
            </w:r>
          </w:p>
        </w:tc>
        <w:tc>
          <w:tcPr>
            <w:tcW w:w="180" w:type="dxa"/>
            <w:vAlign w:val="bottom"/>
            <w:shd w:val="clear" w:color="auto" w:fill="CFF0FC"/>
          </w:tcPr>
          <w:p>
            <w:pPr>
              <w:spacing w:after="0"/>
              <w:rPr>
                <w:sz w:val="12"/>
                <w:szCs w:val="12"/>
                <w:color w:val="auto"/>
              </w:rPr>
            </w:pPr>
          </w:p>
        </w:tc>
        <w:tc>
          <w:tcPr>
            <w:tcW w:w="16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100,142</w:t>
            </w:r>
          </w:p>
        </w:tc>
        <w:tc>
          <w:tcPr>
            <w:tcW w:w="100" w:type="dxa"/>
            <w:vAlign w:val="bottom"/>
            <w:shd w:val="clear" w:color="auto" w:fill="CFF0FC"/>
          </w:tcPr>
          <w:p>
            <w:pPr>
              <w:spacing w:after="0"/>
              <w:rPr>
                <w:sz w:val="12"/>
                <w:szCs w:val="12"/>
                <w:color w:val="auto"/>
              </w:rPr>
            </w:pPr>
          </w:p>
        </w:tc>
      </w:tr>
      <w:tr>
        <w:trPr>
          <w:trHeight w:val="142"/>
        </w:trPr>
        <w:tc>
          <w:tcPr>
            <w:tcW w:w="730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6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tcPr>
          <w:p>
            <w:pPr>
              <w:spacing w:after="0"/>
              <w:rPr>
                <w:sz w:val="12"/>
                <w:szCs w:val="12"/>
                <w:color w:val="auto"/>
              </w:rPr>
            </w:pPr>
          </w:p>
        </w:tc>
        <w:tc>
          <w:tcPr>
            <w:tcW w:w="280" w:type="dxa"/>
            <w:vAlign w:val="bottom"/>
            <w:tcBorders>
              <w:top w:val="single" w:sz="8" w:color="CFF0FC"/>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r>
      <w:tr>
        <w:trPr>
          <w:trHeight w:val="148"/>
        </w:trPr>
        <w:tc>
          <w:tcPr>
            <w:tcW w:w="73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Borrowings on debt</w:t>
            </w:r>
          </w:p>
        </w:tc>
        <w:tc>
          <w:tcPr>
            <w:tcW w:w="160" w:type="dxa"/>
            <w:vAlign w:val="bottom"/>
            <w:shd w:val="clear" w:color="auto" w:fill="CFF0FC"/>
          </w:tcPr>
          <w:p>
            <w:pPr>
              <w:spacing w:after="0"/>
              <w:rPr>
                <w:sz w:val="12"/>
                <w:szCs w:val="12"/>
                <w:color w:val="auto"/>
              </w:rPr>
            </w:pPr>
          </w:p>
        </w:tc>
        <w:tc>
          <w:tcPr>
            <w:tcW w:w="1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4,019,735</w:t>
            </w: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2,817,248</w:t>
            </w:r>
          </w:p>
        </w:tc>
        <w:tc>
          <w:tcPr>
            <w:tcW w:w="100" w:type="dxa"/>
            <w:vAlign w:val="bottom"/>
            <w:shd w:val="clear" w:color="auto" w:fill="CFF0FC"/>
          </w:tcPr>
          <w:p>
            <w:pPr>
              <w:spacing w:after="0"/>
              <w:rPr>
                <w:sz w:val="12"/>
                <w:szCs w:val="12"/>
                <w:color w:val="auto"/>
              </w:rPr>
            </w:pPr>
          </w:p>
        </w:tc>
      </w:tr>
      <w:tr>
        <w:trPr>
          <w:trHeight w:val="148"/>
        </w:trPr>
        <w:tc>
          <w:tcPr>
            <w:tcW w:w="7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Repayments on debt</w:t>
            </w:r>
          </w:p>
        </w:tc>
        <w:tc>
          <w:tcPr>
            <w:tcW w:w="160" w:type="dxa"/>
            <w:vAlign w:val="bottom"/>
          </w:tcPr>
          <w:p>
            <w:pPr>
              <w:spacing w:after="0"/>
              <w:rPr>
                <w:sz w:val="12"/>
                <w:szCs w:val="12"/>
                <w:color w:val="auto"/>
              </w:rPr>
            </w:pPr>
          </w:p>
        </w:tc>
        <w:tc>
          <w:tcPr>
            <w:tcW w:w="1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(3,328,626)</w:t>
            </w:r>
          </w:p>
        </w:tc>
        <w:tc>
          <w:tcPr>
            <w:tcW w:w="180" w:type="dxa"/>
            <w:vAlign w:val="bottom"/>
          </w:tcPr>
          <w:p>
            <w:pPr>
              <w:spacing w:after="0"/>
              <w:rPr>
                <w:sz w:val="12"/>
                <w:szCs w:val="12"/>
                <w:color w:val="auto"/>
              </w:rPr>
            </w:pPr>
          </w:p>
        </w:tc>
        <w:tc>
          <w:tcPr>
            <w:tcW w:w="17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(2,652,081)</w:t>
            </w:r>
          </w:p>
        </w:tc>
      </w:tr>
      <w:tr>
        <w:trPr>
          <w:trHeight w:val="149"/>
        </w:trPr>
        <w:tc>
          <w:tcPr>
            <w:tcW w:w="73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Deferred financing costs</w:t>
            </w:r>
          </w:p>
        </w:tc>
        <w:tc>
          <w:tcPr>
            <w:tcW w:w="160" w:type="dxa"/>
            <w:vAlign w:val="bottom"/>
            <w:shd w:val="clear" w:color="auto" w:fill="CFF0FC"/>
          </w:tcPr>
          <w:p>
            <w:pPr>
              <w:spacing w:after="0"/>
              <w:rPr>
                <w:sz w:val="12"/>
                <w:szCs w:val="12"/>
                <w:color w:val="auto"/>
              </w:rPr>
            </w:pPr>
          </w:p>
        </w:tc>
        <w:tc>
          <w:tcPr>
            <w:tcW w:w="188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(17,335)</w:t>
            </w:r>
          </w:p>
        </w:tc>
        <w:tc>
          <w:tcPr>
            <w:tcW w:w="180" w:type="dxa"/>
            <w:vAlign w:val="bottom"/>
            <w:shd w:val="clear" w:color="auto" w:fill="CFF0FC"/>
          </w:tcPr>
          <w:p>
            <w:pPr>
              <w:spacing w:after="0"/>
              <w:rPr>
                <w:sz w:val="12"/>
                <w:szCs w:val="12"/>
                <w:color w:val="auto"/>
              </w:rPr>
            </w:pPr>
          </w:p>
        </w:tc>
        <w:tc>
          <w:tcPr>
            <w:tcW w:w="17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(20,450)</w:t>
            </w:r>
          </w:p>
        </w:tc>
      </w:tr>
      <w:tr>
        <w:trPr>
          <w:trHeight w:val="148"/>
        </w:trPr>
        <w:tc>
          <w:tcPr>
            <w:tcW w:w="7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Dividends paid to shareholders</w:t>
            </w:r>
          </w:p>
        </w:tc>
        <w:tc>
          <w:tcPr>
            <w:tcW w:w="160" w:type="dxa"/>
            <w:vAlign w:val="bottom"/>
          </w:tcPr>
          <w:p>
            <w:pPr>
              <w:spacing w:after="0"/>
              <w:rPr>
                <w:sz w:val="12"/>
                <w:szCs w:val="12"/>
                <w:color w:val="auto"/>
              </w:rPr>
            </w:pPr>
          </w:p>
        </w:tc>
        <w:tc>
          <w:tcPr>
            <w:tcW w:w="1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(250,527)</w:t>
            </w:r>
          </w:p>
        </w:tc>
        <w:tc>
          <w:tcPr>
            <w:tcW w:w="180" w:type="dxa"/>
            <w:vAlign w:val="bottom"/>
          </w:tcPr>
          <w:p>
            <w:pPr>
              <w:spacing w:after="0"/>
              <w:rPr>
                <w:sz w:val="12"/>
                <w:szCs w:val="12"/>
                <w:color w:val="auto"/>
              </w:rPr>
            </w:pPr>
          </w:p>
        </w:tc>
        <w:tc>
          <w:tcPr>
            <w:tcW w:w="17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(158,306)</w:t>
            </w:r>
          </w:p>
        </w:tc>
      </w:tr>
      <w:tr>
        <w:trPr>
          <w:trHeight w:val="149"/>
        </w:trPr>
        <w:tc>
          <w:tcPr>
            <w:tcW w:w="730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Capital calls</w:t>
            </w:r>
          </w:p>
        </w:tc>
        <w:tc>
          <w:tcPr>
            <w:tcW w:w="160" w:type="dxa"/>
            <w:vAlign w:val="bottom"/>
            <w:tcBorders>
              <w:bottom w:val="single" w:sz="8" w:color="auto"/>
            </w:tcBorders>
            <w:shd w:val="clear" w:color="auto" w:fill="CFF0FC"/>
          </w:tcPr>
          <w:p>
            <w:pPr>
              <w:spacing w:after="0"/>
              <w:rPr>
                <w:sz w:val="12"/>
                <w:szCs w:val="12"/>
                <w:color w:val="auto"/>
              </w:rPr>
            </w:pPr>
          </w:p>
        </w:tc>
        <w:tc>
          <w:tcPr>
            <w:tcW w:w="16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750,000</w:t>
            </w:r>
          </w:p>
        </w:tc>
        <w:tc>
          <w:tcPr>
            <w:tcW w:w="28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16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7300" w:type="dxa"/>
            <w:vAlign w:val="bottom"/>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Net Cash Provided by (Used in) Financing Activities</w:t>
            </w:r>
          </w:p>
        </w:tc>
        <w:tc>
          <w:tcPr>
            <w:tcW w:w="160" w:type="dxa"/>
            <w:vAlign w:val="bottom"/>
          </w:tcPr>
          <w:p>
            <w:pPr>
              <w:spacing w:after="0"/>
              <w:rPr>
                <w:sz w:val="12"/>
                <w:szCs w:val="12"/>
                <w:color w:val="auto"/>
              </w:rPr>
            </w:pPr>
          </w:p>
        </w:tc>
        <w:tc>
          <w:tcPr>
            <w:tcW w:w="16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1,173,247</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(13,589)</w:t>
            </w:r>
          </w:p>
        </w:tc>
      </w:tr>
      <w:tr>
        <w:trPr>
          <w:trHeight w:val="142"/>
        </w:trPr>
        <w:tc>
          <w:tcPr>
            <w:tcW w:w="7300" w:type="dxa"/>
            <w:vAlign w:val="bottom"/>
            <w:shd w:val="clear" w:color="auto" w:fill="CFF0FC"/>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Net Increase (Decrease) in Cash, Cash Equivalents and Restricted Cash</w:t>
            </w:r>
          </w:p>
        </w:tc>
        <w:tc>
          <w:tcPr>
            <w:tcW w:w="160" w:type="dxa"/>
            <w:vAlign w:val="bottom"/>
            <w:tcBorders>
              <w:top w:val="single" w:sz="8" w:color="auto"/>
            </w:tcBorders>
            <w:shd w:val="clear" w:color="auto" w:fill="CFF0FC"/>
          </w:tcPr>
          <w:p>
            <w:pPr>
              <w:spacing w:after="0"/>
              <w:rPr>
                <w:sz w:val="12"/>
                <w:szCs w:val="12"/>
                <w:color w:val="auto"/>
              </w:rPr>
            </w:pPr>
          </w:p>
        </w:tc>
        <w:tc>
          <w:tcPr>
            <w:tcW w:w="160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167,924</w:t>
            </w:r>
          </w:p>
        </w:tc>
        <w:tc>
          <w:tcPr>
            <w:tcW w:w="280" w:type="dxa"/>
            <w:vAlign w:val="bottom"/>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162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86,553</w:t>
            </w:r>
          </w:p>
        </w:tc>
        <w:tc>
          <w:tcPr>
            <w:tcW w:w="100" w:type="dxa"/>
            <w:vAlign w:val="bottom"/>
            <w:shd w:val="clear" w:color="auto" w:fill="CFF0FC"/>
          </w:tcPr>
          <w:p>
            <w:pPr>
              <w:spacing w:after="0"/>
              <w:rPr>
                <w:sz w:val="12"/>
                <w:szCs w:val="12"/>
                <w:color w:val="auto"/>
              </w:rPr>
            </w:pPr>
          </w:p>
        </w:tc>
      </w:tr>
      <w:tr>
        <w:trPr>
          <w:trHeight w:val="148"/>
        </w:trPr>
        <w:tc>
          <w:tcPr>
            <w:tcW w:w="7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cash equivalents and restricted cash, beginning of period</w:t>
            </w:r>
          </w:p>
        </w:tc>
        <w:tc>
          <w:tcPr>
            <w:tcW w:w="16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454,681</w:t>
            </w:r>
          </w:p>
        </w:tc>
        <w:tc>
          <w:tcPr>
            <w:tcW w:w="2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1,198,013</w:t>
            </w:r>
          </w:p>
        </w:tc>
        <w:tc>
          <w:tcPr>
            <w:tcW w:w="100" w:type="dxa"/>
            <w:vAlign w:val="bottom"/>
          </w:tcPr>
          <w:p>
            <w:pPr>
              <w:spacing w:after="0"/>
              <w:rPr>
                <w:sz w:val="12"/>
                <w:szCs w:val="12"/>
                <w:color w:val="auto"/>
              </w:rPr>
            </w:pPr>
          </w:p>
        </w:tc>
      </w:tr>
      <w:tr>
        <w:trPr>
          <w:trHeight w:val="182"/>
        </w:trPr>
        <w:tc>
          <w:tcPr>
            <w:tcW w:w="7300" w:type="dxa"/>
            <w:vAlign w:val="bottom"/>
            <w:tcBorders>
              <w:bottom w:val="single" w:sz="8" w:color="CFF0FC"/>
            </w:tcBorders>
            <w:shd w:val="clear" w:color="auto" w:fill="CFF0FC"/>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Cash, Cash Equivalents and Restricted Cash, End of Period</w:t>
            </w:r>
          </w:p>
        </w:tc>
        <w:tc>
          <w:tcPr>
            <w:tcW w:w="160" w:type="dxa"/>
            <w:vAlign w:val="bottom"/>
            <w:tcBorders>
              <w:bottom w:val="single" w:sz="8" w:color="auto"/>
            </w:tcBorders>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622,605</w:t>
            </w:r>
          </w:p>
        </w:tc>
        <w:tc>
          <w:tcPr>
            <w:tcW w:w="28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1,284,566</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29"/>
        </w:trPr>
        <w:tc>
          <w:tcPr>
            <w:tcW w:w="7300" w:type="dxa"/>
            <w:vAlign w:val="bottom"/>
          </w:tcPr>
          <w:p>
            <w:pPr>
              <w:spacing w:after="0" w:line="129" w:lineRule="exact"/>
              <w:rPr>
                <w:sz w:val="20"/>
                <w:szCs w:val="20"/>
                <w:color w:val="auto"/>
              </w:rPr>
            </w:pPr>
            <w:r>
              <w:rPr>
                <w:rFonts w:ascii="Times New Roman" w:cs="Times New Roman" w:eastAsia="Times New Roman" w:hAnsi="Times New Roman"/>
                <w:sz w:val="14"/>
                <w:szCs w:val="14"/>
                <w:color w:val="auto"/>
              </w:rPr>
              <w:t>Supplemental Information:</w:t>
            </w:r>
          </w:p>
        </w:tc>
        <w:tc>
          <w:tcPr>
            <w:tcW w:w="1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8"/>
        </w:trPr>
        <w:tc>
          <w:tcPr>
            <w:tcW w:w="7300" w:type="dxa"/>
            <w:vAlign w:val="bottom"/>
            <w:shd w:val="clear" w:color="auto" w:fill="CFF0FC"/>
          </w:tcPr>
          <w:p>
            <w:pPr>
              <w:ind w:left="280"/>
              <w:spacing w:after="0" w:line="149" w:lineRule="exact"/>
              <w:rPr>
                <w:sz w:val="20"/>
                <w:szCs w:val="20"/>
                <w:color w:val="auto"/>
              </w:rPr>
            </w:pPr>
            <w:r>
              <w:rPr>
                <w:rFonts w:ascii="Times New Roman" w:cs="Times New Roman" w:eastAsia="Times New Roman" w:hAnsi="Times New Roman"/>
                <w:sz w:val="14"/>
                <w:szCs w:val="14"/>
                <w:color w:val="auto"/>
              </w:rPr>
              <w:t>Interest paid during the period</w:t>
            </w:r>
          </w:p>
        </w:tc>
        <w:tc>
          <w:tcPr>
            <w:tcW w:w="16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198,491</w:t>
            </w: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176,868</w:t>
            </w:r>
          </w:p>
        </w:tc>
        <w:tc>
          <w:tcPr>
            <w:tcW w:w="100" w:type="dxa"/>
            <w:vAlign w:val="bottom"/>
            <w:shd w:val="clear" w:color="auto" w:fill="CFF0FC"/>
          </w:tcPr>
          <w:p>
            <w:pPr>
              <w:spacing w:after="0"/>
              <w:rPr>
                <w:sz w:val="12"/>
                <w:szCs w:val="12"/>
                <w:color w:val="auto"/>
              </w:rPr>
            </w:pPr>
          </w:p>
        </w:tc>
      </w:tr>
      <w:tr>
        <w:trPr>
          <w:trHeight w:val="149"/>
        </w:trPr>
        <w:tc>
          <w:tcPr>
            <w:tcW w:w="73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Excise and other taxes paid during the period</w:t>
            </w:r>
          </w:p>
        </w:tc>
        <w:tc>
          <w:tcPr>
            <w:tcW w:w="1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280" w:type="dxa"/>
            <w:vAlign w:val="bottom"/>
          </w:tcPr>
          <w:p>
            <w:pPr>
              <w:spacing w:after="0"/>
              <w:rPr>
                <w:sz w:val="12"/>
                <w:szCs w:val="12"/>
                <w:color w:val="auto"/>
              </w:rPr>
            </w:pPr>
          </w:p>
        </w:tc>
        <w:tc>
          <w:tcPr>
            <w:tcW w:w="1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2"/>
                <w:szCs w:val="12"/>
                <w:color w:val="auto"/>
              </w:rPr>
            </w:pPr>
          </w:p>
        </w:tc>
      </w:tr>
      <w:tr>
        <w:trPr>
          <w:trHeight w:val="148"/>
        </w:trPr>
        <w:tc>
          <w:tcPr>
            <w:tcW w:w="7300" w:type="dxa"/>
            <w:vAlign w:val="bottom"/>
            <w:shd w:val="clear" w:color="auto" w:fill="CFF0FC"/>
          </w:tcPr>
          <w:p>
            <w:pPr>
              <w:ind w:left="280"/>
              <w:spacing w:after="0" w:line="149" w:lineRule="exact"/>
              <w:rPr>
                <w:sz w:val="20"/>
                <w:szCs w:val="20"/>
                <w:color w:val="auto"/>
              </w:rPr>
            </w:pPr>
            <w:r>
              <w:rPr>
                <w:rFonts w:ascii="Times New Roman" w:cs="Times New Roman" w:eastAsia="Times New Roman" w:hAnsi="Times New Roman"/>
                <w:sz w:val="14"/>
                <w:szCs w:val="14"/>
                <w:color w:val="auto"/>
              </w:rPr>
              <w:t>Dividends declared during the period</w:t>
            </w:r>
          </w:p>
        </w:tc>
        <w:tc>
          <w:tcPr>
            <w:tcW w:w="16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344,453</w:t>
            </w: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296,409</w:t>
            </w:r>
          </w:p>
        </w:tc>
        <w:tc>
          <w:tcPr>
            <w:tcW w:w="100" w:type="dxa"/>
            <w:vAlign w:val="bottom"/>
            <w:shd w:val="clear" w:color="auto" w:fill="CFF0FC"/>
          </w:tcPr>
          <w:p>
            <w:pPr>
              <w:spacing w:after="0"/>
              <w:rPr>
                <w:sz w:val="12"/>
                <w:szCs w:val="12"/>
                <w:color w:val="auto"/>
              </w:rPr>
            </w:pPr>
          </w:p>
        </w:tc>
      </w:tr>
      <w:tr>
        <w:trPr>
          <w:trHeight w:val="148"/>
        </w:trPr>
        <w:tc>
          <w:tcPr>
            <w:tcW w:w="7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73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Non-Cash Financing Activities:</w:t>
            </w:r>
          </w:p>
        </w:tc>
        <w:tc>
          <w:tcPr>
            <w:tcW w:w="160" w:type="dxa"/>
            <w:vAlign w:val="bottom"/>
            <w:shd w:val="clear" w:color="auto" w:fill="CFF0FC"/>
          </w:tcPr>
          <w:p>
            <w:pPr>
              <w:spacing w:after="0"/>
              <w:rPr>
                <w:sz w:val="12"/>
                <w:szCs w:val="12"/>
                <w:color w:val="auto"/>
              </w:rPr>
            </w:pPr>
          </w:p>
        </w:tc>
        <w:tc>
          <w:tcPr>
            <w:tcW w:w="16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88"/>
        </w:trPr>
        <w:tc>
          <w:tcPr>
            <w:tcW w:w="7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Reinvestment of dividends during the period</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228,030</w:t>
            </w:r>
          </w:p>
        </w:tc>
        <w:tc>
          <w:tcPr>
            <w:tcW w:w="28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130,750</w:t>
            </w:r>
          </w:p>
        </w:tc>
        <w:tc>
          <w:tcPr>
            <w:tcW w:w="10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-1687830</wp:posOffset>
            </wp:positionV>
            <wp:extent cx="6858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-1687830</wp:posOffset>
            </wp:positionV>
            <wp:extent cx="6858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-1113155</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-1113155</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-710565</wp:posOffset>
            </wp:positionV>
            <wp:extent cx="6858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-693420</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-710565</wp:posOffset>
            </wp:positionV>
            <wp:extent cx="6858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-693420</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0" w:name="page21"/>
    <w:bookmarkEnd w:id="2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Sixth Street Lending Partners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(Amounts in thousands, unless otherwise indicated;</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for example, with the word "million" or otherwise)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Basis of Presentation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Organization</w:t>
      </w:r>
    </w:p>
    <w:p>
      <w:pPr>
        <w:spacing w:after="0" w:line="119"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8"/>
          <w:szCs w:val="18"/>
          <w:color w:val="auto"/>
        </w:rPr>
        <w:t>Sixth Street Lending Partners (the “Company”) is a Delaware statutory trust formed on April 5, 2022 (“Inception”). The Company was formed primarily to lend to, and selectively invest in, upper middle-market companies in the United States. The Company has elected to be regulated as a business development company (“BDC”) under the 1940 Act. In addition, for tax purposes, the Company has elected to be treated as a regulated investment company (“RIC”) under Subchapter M of the Internal Revenue Code of 1986, as amended (the “Code”). The Company is managed by Sixth Street Lending Partners Advisers, LLC (the “Adviser”).</w:t>
      </w:r>
    </w:p>
    <w:p>
      <w:pPr>
        <w:spacing w:after="0" w:line="7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On May 12, 2022, the Company formed a wholly-owned subsidiary, SSLP Lending, LLC, a Delaware limited liability company.</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On December 8, 2022, the Company formed a wholly-owned subsidiary, Sixth Street LP Holding II, LLC, a Delaware limited liability company.</w:t>
      </w:r>
    </w:p>
    <w:p>
      <w:pPr>
        <w:spacing w:after="0" w:line="117" w:lineRule="exact"/>
        <w:rPr>
          <w:sz w:val="20"/>
          <w:szCs w:val="20"/>
          <w:color w:val="auto"/>
        </w:rPr>
      </w:pPr>
    </w:p>
    <w:p>
      <w:pPr>
        <w:ind w:right="180" w:firstLine="255"/>
        <w:spacing w:after="0" w:line="282" w:lineRule="auto"/>
        <w:rPr>
          <w:sz w:val="20"/>
          <w:szCs w:val="20"/>
          <w:color w:val="auto"/>
        </w:rPr>
      </w:pPr>
      <w:r>
        <w:rPr>
          <w:rFonts w:ascii="Times New Roman" w:cs="Times New Roman" w:eastAsia="Times New Roman" w:hAnsi="Times New Roman"/>
          <w:sz w:val="18"/>
          <w:szCs w:val="18"/>
          <w:color w:val="auto"/>
        </w:rPr>
        <w:t>On December 21, 2023, the Company formed a wholly-owned subsidiary, Sixth Street Lending Partners Sub, LLC, a Cayman Islands limited liability company.</w:t>
      </w:r>
    </w:p>
    <w:p>
      <w:pPr>
        <w:spacing w:after="0" w:line="162" w:lineRule="exact"/>
        <w:rPr>
          <w:sz w:val="20"/>
          <w:szCs w:val="20"/>
          <w:color w:val="auto"/>
        </w:rPr>
      </w:pPr>
    </w:p>
    <w:p>
      <w:pPr>
        <w:ind w:firstLine="255"/>
        <w:spacing w:after="0" w:line="255" w:lineRule="auto"/>
        <w:rPr>
          <w:sz w:val="20"/>
          <w:szCs w:val="20"/>
          <w:color w:val="auto"/>
        </w:rPr>
      </w:pPr>
      <w:r>
        <w:rPr>
          <w:rFonts w:ascii="Times New Roman" w:cs="Times New Roman" w:eastAsia="Times New Roman" w:hAnsi="Times New Roman"/>
          <w:sz w:val="18"/>
          <w:szCs w:val="18"/>
          <w:color w:val="auto"/>
        </w:rPr>
        <w:t>The Company is conducting a private offering (the “Private Offering”) of its Common Shares of beneficial interest (the “Common Shares”) to accredited investors, as defined in Regulation D under the Securities Act of 1933, as amended (the “Securities Act”) in reliance on exemptions from the registration requirements of the Securities Act. Common Shares will be offered for subscription continuously throughout an initial closing period and may be offered from time to time thereafter. Each investor in the Private Offering will make a capital commitment (a “Capital Commitment”) to purchase Common Shares of the Company pursuant to a subscription agreement entered into with the Company. Investors will be required to fund drawdowns to purchase the Company’s Common Shares up to the amount of their respective Capital Commitments on an as-needed basis each time the Company delivers a notice to the investors.</w:t>
      </w:r>
    </w:p>
    <w:p>
      <w:pPr>
        <w:spacing w:after="0" w:line="189" w:lineRule="exact"/>
        <w:rPr>
          <w:sz w:val="20"/>
          <w:szCs w:val="20"/>
          <w:color w:val="auto"/>
        </w:rPr>
      </w:pPr>
    </w:p>
    <w:p>
      <w:pPr>
        <w:ind w:right="160" w:firstLine="255"/>
        <w:spacing w:after="0" w:line="282" w:lineRule="auto"/>
        <w:rPr>
          <w:sz w:val="20"/>
          <w:szCs w:val="20"/>
          <w:color w:val="auto"/>
        </w:rPr>
      </w:pPr>
      <w:r>
        <w:rPr>
          <w:rFonts w:ascii="Times New Roman" w:cs="Times New Roman" w:eastAsia="Times New Roman" w:hAnsi="Times New Roman"/>
          <w:sz w:val="18"/>
          <w:szCs w:val="18"/>
          <w:color w:val="auto"/>
        </w:rPr>
        <w:t>The Company completed its initial closing of Capital Commitments and commenced its loan origination and investment activities on August 31, 2022 (“Commencement of Operations”), the date of receipt of the initial drawdown from investors in the Private Offering.</w:t>
      </w:r>
    </w:p>
    <w:p>
      <w:pPr>
        <w:spacing w:after="0" w:line="162" w:lineRule="exact"/>
        <w:rPr>
          <w:sz w:val="20"/>
          <w:szCs w:val="20"/>
          <w:color w:val="auto"/>
        </w:rPr>
      </w:pPr>
    </w:p>
    <w:p>
      <w:pPr>
        <w:jc w:val="both"/>
        <w:ind w:right="40" w:firstLine="255"/>
        <w:spacing w:after="0" w:line="277" w:lineRule="auto"/>
        <w:rPr>
          <w:sz w:val="20"/>
          <w:szCs w:val="20"/>
          <w:color w:val="auto"/>
        </w:rPr>
      </w:pPr>
      <w:r>
        <w:rPr>
          <w:rFonts w:ascii="Times New Roman" w:cs="Times New Roman" w:eastAsia="Times New Roman" w:hAnsi="Times New Roman"/>
          <w:sz w:val="17"/>
          <w:szCs w:val="17"/>
          <w:color w:val="auto"/>
        </w:rPr>
        <w:t>On December 23, 2025, affiliates of Sixth Street, including the Company, and affiliates of Carlyle Group Inc. (“Carlyle”) entered into an amended and restated limited liability company agreement, as amended from time to time (the “Limited Liability Company Agreement”) to co-manage Structured Credit Partners JV, LLC (“SCP”), a joint venture focused on investing in broadly syndicated first lien senior secured loans, financed with long-term, non-mark-to-market, and predominantly investment grade rated CLO debt. The Company has 25.0% voting ownership in SCP and has commitments to fund, from time to time, capital of up to $100.0 million. Refer to Note 6, Fair Value of Financial Instruments, to these consolidated financial statements for further details.</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19" w:lineRule="exact"/>
        <w:rPr>
          <w:sz w:val="20"/>
          <w:szCs w:val="20"/>
          <w:color w:val="auto"/>
        </w:rPr>
      </w:pPr>
    </w:p>
    <w:p>
      <w:pPr>
        <w:ind w:right="200" w:firstLine="255"/>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are prepared in accordance with accounting principles generally accepted in the United States of America (“U.S. GAAP”), and include the accounts of the Company and its subsidiaries. In the opinion of management all adjustments considered necessary for the fair presentation of the consolidated financial statements for the periods presented have been included. The results of operations for interim periods are not indicative of results to be expected for the full year. All intercompany balances and transactions have been eliminated in consolidation.</w:t>
      </w:r>
    </w:p>
    <w:p>
      <w:pPr>
        <w:spacing w:after="0" w:line="183"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8"/>
          <w:szCs w:val="18"/>
          <w:color w:val="auto"/>
        </w:rPr>
        <w:t>Certain financial information that is normally included in annual financial statements, including certain financial statement footnotes, prepared in accordance with U.S. GAAP, is not required for interim reporting purposes and has been condensed or omitted herein. These consolidated financial statements should be read in conjunction with the Company’s consolidated financial statements and notes related thereto included in the Company’s Annual Report on Form 10-K for the year ended December 31, 2025, which was filed with the Securities and Exchange Commission (“SEC”), on February 13, 2026.</w:t>
      </w:r>
    </w:p>
    <w:p>
      <w:pPr>
        <w:spacing w:after="0" w:line="183" w:lineRule="exact"/>
        <w:rPr>
          <w:sz w:val="20"/>
          <w:szCs w:val="20"/>
          <w:color w:val="auto"/>
        </w:rPr>
      </w:pPr>
    </w:p>
    <w:p>
      <w:pPr>
        <w:ind w:right="920" w:firstLine="255"/>
        <w:spacing w:after="0" w:line="282" w:lineRule="auto"/>
        <w:rPr>
          <w:sz w:val="20"/>
          <w:szCs w:val="20"/>
          <w:color w:val="auto"/>
        </w:rPr>
      </w:pPr>
      <w:r>
        <w:rPr>
          <w:rFonts w:ascii="Times New Roman" w:cs="Times New Roman" w:eastAsia="Times New Roman" w:hAnsi="Times New Roman"/>
          <w:sz w:val="18"/>
          <w:szCs w:val="18"/>
          <w:color w:val="auto"/>
        </w:rPr>
        <w:t xml:space="preserve">The Company is an investment company and, therefore, applies the specialized accounting and reporting guidance in Accounting Standards Codification (“ASC”) Topic 946, </w:t>
      </w:r>
      <w:r>
        <w:rPr>
          <w:rFonts w:ascii="Times New Roman" w:cs="Times New Roman" w:eastAsia="Times New Roman" w:hAnsi="Times New Roman"/>
          <w:sz w:val="18"/>
          <w:szCs w:val="18"/>
          <w:i w:val="1"/>
          <w:iCs w:val="1"/>
          <w:color w:val="auto"/>
        </w:rPr>
        <w:t>Financial Services – Investment Companies.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i w:val="1"/>
          <w:iCs w:val="1"/>
          <w:color w:val="auto"/>
        </w:rPr>
        <w:t>Fiscal Year End</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Company’s fiscal year ends on December 31.</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Actual amounts could differ from those estimates and such differences could be material.</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19" w:lineRule="exact"/>
        <w:rPr>
          <w:sz w:val="20"/>
          <w:szCs w:val="20"/>
          <w:color w:val="auto"/>
        </w:rPr>
      </w:pPr>
    </w:p>
    <w:p>
      <w:pPr>
        <w:ind w:right="100" w:firstLine="255"/>
        <w:spacing w:after="0" w:line="261" w:lineRule="auto"/>
        <w:rPr>
          <w:sz w:val="20"/>
          <w:szCs w:val="20"/>
          <w:color w:val="auto"/>
        </w:rPr>
      </w:pPr>
      <w:r>
        <w:rPr>
          <w:rFonts w:ascii="Times New Roman" w:cs="Times New Roman" w:eastAsia="Times New Roman" w:hAnsi="Times New Roman"/>
          <w:sz w:val="18"/>
          <w:szCs w:val="18"/>
          <w:color w:val="auto"/>
        </w:rPr>
        <w:t>Cash and cash equivalents may consist of demand deposits, highly liquid investments (e.g., money market funds, U.S. Treasury notes, and similar type instruments) with original maturities of three months or less, and restricted cash pledged as collateral for certain centrally cleared derivative instruments. Cash and cash equivalents denominated in U.S. dollars are carried at cost, which approximates fair value. The Company deposits its cash and cash equivalents with highly-rated banking corporations and, at times, cash deposits may exceed the insured limits under applicable law.</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 at Fair Value</w:t>
      </w:r>
    </w:p>
    <w:p>
      <w:pPr>
        <w:spacing w:after="0" w:line="119" w:lineRule="exact"/>
        <w:rPr>
          <w:sz w:val="20"/>
          <w:szCs w:val="20"/>
          <w:color w:val="auto"/>
        </w:rPr>
      </w:pPr>
    </w:p>
    <w:p>
      <w:pPr>
        <w:ind w:right="20" w:firstLine="255"/>
        <w:spacing w:after="0" w:line="258" w:lineRule="auto"/>
        <w:rPr>
          <w:sz w:val="20"/>
          <w:szCs w:val="20"/>
          <w:color w:val="auto"/>
        </w:rPr>
      </w:pPr>
      <w:r>
        <w:rPr>
          <w:rFonts w:ascii="Times New Roman" w:cs="Times New Roman" w:eastAsia="Times New Roman" w:hAnsi="Times New Roman"/>
          <w:sz w:val="18"/>
          <w:szCs w:val="18"/>
          <w:color w:val="auto"/>
        </w:rPr>
        <w:t>Loan originations are recorded on the date of the binding commitment, which is generally the funding date. Investment transactions purchased through the secondary markets are recorded on the trade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w:t>
      </w:r>
    </w:p>
    <w:p>
      <w:pPr>
        <w:spacing w:after="0" w:line="183" w:lineRule="exact"/>
        <w:rPr>
          <w:sz w:val="20"/>
          <w:szCs w:val="20"/>
          <w:color w:val="auto"/>
        </w:rPr>
      </w:pPr>
    </w:p>
    <w:p>
      <w:pPr>
        <w:ind w:right="340" w:firstLine="255"/>
        <w:spacing w:after="0" w:line="256" w:lineRule="auto"/>
        <w:rPr>
          <w:sz w:val="20"/>
          <w:szCs w:val="20"/>
          <w:color w:val="auto"/>
        </w:rPr>
      </w:pPr>
      <w:r>
        <w:rPr>
          <w:rFonts w:ascii="Times New Roman" w:cs="Times New Roman" w:eastAsia="Times New Roman" w:hAnsi="Times New Roman"/>
          <w:sz w:val="18"/>
          <w:szCs w:val="18"/>
          <w:color w:val="auto"/>
        </w:rPr>
        <w:t>Investments for which market quotations are readily available are typically valued at those market quotations. To validate market quotations, the Company utilizes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the Company’s Board of Trustees (the “Board”), based on, among other things, the input of the Adviser, the Company’s Audit Committee and independent third-party valuation firms engaged at the direction of the Company's Board of Trustees.</w:t>
      </w:r>
    </w:p>
    <w:p>
      <w:pPr>
        <w:spacing w:after="0" w:line="187" w:lineRule="exact"/>
        <w:rPr>
          <w:sz w:val="20"/>
          <w:szCs w:val="20"/>
          <w:color w:val="auto"/>
        </w:rPr>
      </w:pPr>
    </w:p>
    <w:p>
      <w:pPr>
        <w:ind w:firstLine="255"/>
        <w:spacing w:after="0" w:line="255" w:lineRule="auto"/>
        <w:rPr>
          <w:sz w:val="20"/>
          <w:szCs w:val="20"/>
          <w:color w:val="auto"/>
        </w:rPr>
      </w:pPr>
      <w:r>
        <w:rPr>
          <w:rFonts w:ascii="Times New Roman" w:cs="Times New Roman" w:eastAsia="Times New Roman" w:hAnsi="Times New Roman"/>
          <w:sz w:val="18"/>
          <w:szCs w:val="18"/>
          <w:color w:val="auto"/>
        </w:rPr>
        <w:t>As part of the valuation process, the Board takes into account relevant factors in determining the fair value of the Company's investments, including and in combination of: the estimated enterprise value of a portfolio company (that is, the total value of the portfolio company’s net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and overall changes in the interest rate environment and the credit markets that may affect the price at which similar investments may be made in the future. When an external event such as a purchase transaction, public offering or subsequent equity sale occurs, the Board considers whether the pricing indicated by the external event corroborates its valuation.</w:t>
      </w:r>
    </w:p>
    <w:p>
      <w:pPr>
        <w:spacing w:after="0" w:line="1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Board undertakes a multi-step valuation process, which includes, among other procedures, the following:</w:t>
      </w:r>
    </w:p>
    <w:p>
      <w:pPr>
        <w:spacing w:after="0" w:line="117" w:lineRule="exact"/>
        <w:rPr>
          <w:sz w:val="20"/>
          <w:szCs w:val="20"/>
          <w:color w:val="auto"/>
        </w:rPr>
      </w:pPr>
    </w:p>
    <w:p>
      <w:pPr>
        <w:ind w:left="520" w:right="60" w:hanging="257"/>
        <w:spacing w:after="0" w:line="282"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valuation process begins with each investment being initially valued by the investment professionals responsible for the portfolio investment in conjunction with the portfolio management team.</w:t>
      </w:r>
    </w:p>
    <w:p>
      <w:pPr>
        <w:spacing w:after="0" w:line="53" w:lineRule="exact"/>
        <w:rPr>
          <w:rFonts w:ascii="Times New Roman" w:cs="Times New Roman" w:eastAsia="Times New Roman" w:hAnsi="Times New Roman"/>
          <w:sz w:val="18"/>
          <w:szCs w:val="18"/>
          <w:color w:val="auto"/>
        </w:rPr>
      </w:pPr>
    </w:p>
    <w:p>
      <w:pPr>
        <w:ind w:left="520" w:right="380" w:hanging="257"/>
        <w:spacing w:after="0" w:line="282"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Adviser’s management reviews the preliminary valuations with the investment professionals. Agreed upon valuation recommendations are presented to the Audit Committee.</w:t>
      </w:r>
    </w:p>
    <w:p>
      <w:pPr>
        <w:spacing w:after="0" w:line="53"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reviews the valuations presented and recommends values for each investment to the Board.</w:t>
      </w:r>
    </w:p>
    <w:p>
      <w:pPr>
        <w:spacing w:after="0" w:line="117" w:lineRule="exact"/>
        <w:rPr>
          <w:rFonts w:ascii="Times New Roman" w:cs="Times New Roman" w:eastAsia="Times New Roman" w:hAnsi="Times New Roman"/>
          <w:sz w:val="18"/>
          <w:szCs w:val="18"/>
          <w:color w:val="auto"/>
        </w:rPr>
      </w:pPr>
    </w:p>
    <w:p>
      <w:pPr>
        <w:ind w:left="520" w:right="80" w:hanging="257"/>
        <w:spacing w:after="0" w:line="266"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 including independent third-party valuation firms engaged at the direction of the Board.</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Company conducts this valuation process on a quarterly basis.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4" w:right="359" w:bottom="1440" w:gutter="0" w:footer="0" w:header="0"/>
        </w:sectPr>
      </w:pPr>
    </w:p>
    <w:bookmarkStart w:id="22" w:name="page23"/>
    <w:bookmarkEnd w:id="22"/>
    <w:p>
      <w:pPr>
        <w:ind w:right="140" w:firstLine="255"/>
        <w:spacing w:after="0" w:line="258" w:lineRule="auto"/>
        <w:rPr>
          <w:sz w:val="20"/>
          <w:szCs w:val="20"/>
          <w:color w:val="auto"/>
        </w:rPr>
      </w:pPr>
      <w:r>
        <w:rPr>
          <w:rFonts w:ascii="Times New Roman" w:cs="Times New Roman" w:eastAsia="Times New Roman" w:hAnsi="Times New Roman"/>
          <w:sz w:val="18"/>
          <w:szCs w:val="18"/>
          <w:color w:val="auto"/>
        </w:rPr>
        <w:t>The Board has engaged independent third-party valuation firms to perform certain limited procedures that the Board has identified and requested them to perform in connection with the valuation process of investments for which no market quotations are readily available. At September 30, 2026, the independent third-party valuation firms performed their procedures over substantially all of the Company’s investments. Upon completion of such limited procedures, the third-party valuation firms concluded that the fair value, as determined by the Board, of those investments subjected to their limited procedures, appeared reasonable.</w:t>
      </w:r>
    </w:p>
    <w:p>
      <w:pPr>
        <w:spacing w:after="0" w:line="181" w:lineRule="exact"/>
        <w:rPr>
          <w:sz w:val="20"/>
          <w:szCs w:val="20"/>
          <w:color w:val="auto"/>
        </w:rPr>
      </w:pPr>
    </w:p>
    <w:p>
      <w:pPr>
        <w:ind w:right="60" w:firstLine="255"/>
        <w:spacing w:after="0" w:line="255" w:lineRule="auto"/>
        <w:rPr>
          <w:sz w:val="20"/>
          <w:szCs w:val="20"/>
          <w:color w:val="auto"/>
        </w:rPr>
      </w:pPr>
      <w:r>
        <w:rPr>
          <w:rFonts w:ascii="Times New Roman" w:cs="Times New Roman" w:eastAsia="Times New Roman" w:hAnsi="Times New Roman"/>
          <w:sz w:val="18"/>
          <w:szCs w:val="18"/>
          <w:color w:val="auto"/>
        </w:rPr>
        <w:t xml:space="preserve">The Company applies Financial Accounting Standards Board Accounting Standards Codification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(“ASC Topic 820”), as amended, which establishes a framework for measuring fair value in accordance with U.S. GAAP and required disclosures of fair value measurements. ASC Topic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Topic 820, the Company considers its principal market to be the market that has the greatest volume and level of activity. ASC Topic 820 specifies a fair value hierarchy that prioritizes and ranks the level of observability of inputs used in determination of fair value. In accordance with ASC Topic 820, these levels are summarized below:</w:t>
      </w:r>
    </w:p>
    <w:p>
      <w:pPr>
        <w:spacing w:after="0" w:line="79" w:lineRule="exact"/>
        <w:rPr>
          <w:sz w:val="20"/>
          <w:szCs w:val="20"/>
          <w:color w:val="auto"/>
        </w:rPr>
      </w:pPr>
    </w:p>
    <w:p>
      <w:pPr>
        <w:ind w:left="520" w:hanging="257"/>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1—Valuations based on quoted prices in active markets for identical assets or liabilities that the Company has the ability to access.</w:t>
      </w:r>
    </w:p>
    <w:p>
      <w:pPr>
        <w:spacing w:after="0" w:line="117" w:lineRule="exact"/>
        <w:rPr>
          <w:rFonts w:ascii="Times New Roman" w:cs="Times New Roman" w:eastAsia="Times New Roman" w:hAnsi="Times New Roman"/>
          <w:sz w:val="18"/>
          <w:szCs w:val="18"/>
          <w:color w:val="auto"/>
        </w:rPr>
      </w:pPr>
    </w:p>
    <w:p>
      <w:pPr>
        <w:ind w:left="520" w:right="580" w:hanging="257"/>
        <w:spacing w:after="0" w:line="282"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2—Valuations based on quoted prices in markets that are not active or for which all significant inputs are observable, either directly or indirectly.</w:t>
      </w:r>
    </w:p>
    <w:p>
      <w:pPr>
        <w:spacing w:after="0" w:line="53"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3—Valuations based on inputs that are unobservable and significant to the overall fair value measurement.</w:t>
      </w:r>
    </w:p>
    <w:p>
      <w:pPr>
        <w:spacing w:after="0" w:line="225" w:lineRule="exact"/>
        <w:rPr>
          <w:sz w:val="20"/>
          <w:szCs w:val="20"/>
          <w:color w:val="auto"/>
        </w:rPr>
      </w:pPr>
    </w:p>
    <w:p>
      <w:pPr>
        <w:ind w:right="140" w:firstLine="255"/>
        <w:spacing w:after="0" w:line="254" w:lineRule="auto"/>
        <w:rPr>
          <w:sz w:val="20"/>
          <w:szCs w:val="20"/>
          <w:color w:val="auto"/>
        </w:rPr>
      </w:pPr>
      <w:r>
        <w:rPr>
          <w:rFonts w:ascii="Times New Roman" w:cs="Times New Roman" w:eastAsia="Times New Roman" w:hAnsi="Times New Roman"/>
          <w:sz w:val="18"/>
          <w:szCs w:val="18"/>
          <w:color w:val="auto"/>
        </w:rPr>
        <w:t>Transfers between levels, if any, are recognized at the beginning of the quarter in which the transfers occur. In addition to using the above inputs in investment valuations, the Company applies the valuation policy approved by its Board that is consistent with ASC Topic 820. Consistent with the valuation policy, the Company evaluates the source of inputs, including any markets in which its investments are trading (or any markets in which securities with similar attributes are trading), in determining fair value. When a security is valued based on prices provided by reputable dealers or pricing services (that is, broker quotes), the Company subjects those prices to various additional criteria in making the determination as to whether a particular investment would qualify for treatment as a Level 2 or Level 3 investment. For example, the Company reviews pricing provided by dealers or pricing services in order to determine if observable market information is being used, versus unobservable inputs. Some additional factors considered include the number of prices obtained as well as an assessment as to their quality, such as the depth of the relevant market relative to the size of the Company’s position.</w:t>
      </w:r>
    </w:p>
    <w:p>
      <w:pPr>
        <w:spacing w:after="0" w:line="188" w:lineRule="exact"/>
        <w:rPr>
          <w:sz w:val="20"/>
          <w:szCs w:val="20"/>
          <w:color w:val="auto"/>
        </w:rPr>
      </w:pPr>
    </w:p>
    <w:p>
      <w:pPr>
        <w:ind w:right="100" w:firstLine="255"/>
        <w:spacing w:after="0" w:line="256" w:lineRule="auto"/>
        <w:rPr>
          <w:sz w:val="20"/>
          <w:szCs w:val="20"/>
          <w:color w:val="auto"/>
        </w:rPr>
      </w:pPr>
      <w:r>
        <w:rPr>
          <w:rFonts w:ascii="Times New Roman" w:cs="Times New Roman" w:eastAsia="Times New Roman" w:hAnsi="Times New Roman"/>
          <w:sz w:val="18"/>
          <w:szCs w:val="18"/>
          <w:color w:val="auto"/>
        </w:rPr>
        <w:t>Due to the inherent uncertainty of determining the fair value of investments that do not have a readily available market value, the fair value of the Company’s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w:t>
      </w:r>
    </w:p>
    <w:p>
      <w:pPr>
        <w:spacing w:after="0" w:line="187" w:lineRule="exact"/>
        <w:rPr>
          <w:sz w:val="20"/>
          <w:szCs w:val="20"/>
          <w:color w:val="auto"/>
        </w:rPr>
      </w:pPr>
    </w:p>
    <w:p>
      <w:pPr>
        <w:ind w:right="120" w:firstLine="255"/>
        <w:spacing w:after="0" w:line="266" w:lineRule="auto"/>
        <w:rPr>
          <w:sz w:val="20"/>
          <w:szCs w:val="20"/>
          <w:color w:val="auto"/>
        </w:rPr>
      </w:pPr>
      <w:r>
        <w:rPr>
          <w:rFonts w:ascii="Times New Roman" w:cs="Times New Roman" w:eastAsia="Times New Roman" w:hAnsi="Times New Roman"/>
          <w:sz w:val="18"/>
          <w:szCs w:val="18"/>
          <w:color w:val="auto"/>
        </w:rPr>
        <w:t>In addition, changes in the market environment including the impact of changes in broader market indices and credit spreads and other events that may occur over the life of the investments may cause the gains or losses ultimately realized on these investments to be different than the unrealized gains or losses reflected herein.</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and Derivative Instruments</w:t>
      </w:r>
    </w:p>
    <w:p>
      <w:pPr>
        <w:spacing w:after="0" w:line="227"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color w:val="auto"/>
        </w:rPr>
        <w:t>The Company recognizes all derivative instruments as assets or liabilities at fair value in its consolidated financial statements, pursuant to ASC Topic 815 Derivatives and Hedging, further clarified by the FASB’s issuance of the Accounting Standards Update (“ASU”) No. 2017-12, Derivatives and Hedging, which was adopted in 2019 by the Company. For all derivative instruments designated in a hedge accounting relationship, the entire change in the fair value of the hedging instrument shall be recorded in the same line item of the Consolidated Statements of Operations as the hedged item. The Company uses certain interest rate swaps as derivative instruments to hedge the Company’s fixed rate debt, and therefore both the periodic payment and the change in fair value for the effective hedge, if applicable, will be recognized as components of interest expense in the Consolidated Statements of Operations. For derivative contracts entered into by the Company that are not designated in a hedge accounting relationship, the Company presents changes in the fair value through current period earnings.</w:t>
      </w:r>
    </w:p>
    <w:p>
      <w:pPr>
        <w:spacing w:after="0" w:line="192" w:lineRule="exact"/>
        <w:rPr>
          <w:sz w:val="20"/>
          <w:szCs w:val="20"/>
          <w:color w:val="auto"/>
        </w:rPr>
      </w:pPr>
    </w:p>
    <w:p>
      <w:pPr>
        <w:ind w:right="680" w:firstLine="255"/>
        <w:spacing w:after="0" w:line="282" w:lineRule="auto"/>
        <w:rPr>
          <w:sz w:val="20"/>
          <w:szCs w:val="20"/>
          <w:color w:val="auto"/>
        </w:rPr>
      </w:pPr>
      <w:r>
        <w:rPr>
          <w:rFonts w:ascii="Times New Roman" w:cs="Times New Roman" w:eastAsia="Times New Roman" w:hAnsi="Times New Roman"/>
          <w:sz w:val="18"/>
          <w:szCs w:val="18"/>
          <w:color w:val="auto"/>
        </w:rPr>
        <w:t>In the normal course of business, the Company has commitments and risks resulting from its investment transactions, which may include those involving derivative instruments. Derivative instruments are measured in terms of the notional contract amount and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23" w:name="page24"/>
    <w:bookmarkEnd w:id="23"/>
    <w:p>
      <w:pPr>
        <w:ind w:right="100"/>
        <w:spacing w:after="0" w:line="258" w:lineRule="auto"/>
        <w:rPr>
          <w:sz w:val="20"/>
          <w:szCs w:val="20"/>
          <w:color w:val="auto"/>
        </w:rPr>
      </w:pPr>
      <w:r>
        <w:rPr>
          <w:rFonts w:ascii="Times New Roman" w:cs="Times New Roman" w:eastAsia="Times New Roman" w:hAnsi="Times New Roman"/>
          <w:sz w:val="18"/>
          <w:szCs w:val="18"/>
          <w:color w:val="auto"/>
        </w:rPr>
        <w:t>derive their value based upon one or more underlying instruments. While the notional amount gives some indication of the Company’s derivative activity, it generally is not exchanged, but is only used as the basis on which interest and other payments are exchanged. Derivative instruments are subject to various risks similar to non-derivative instruments including market, credit, liquidity, and operational risks. The Company manages these risks on an aggregate basis as part of its risk management process. Derivatives, including the Company’s interest rate swaps, for which broker quotes are available are typically valued at those broker quotes.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Offsetting Assets and Liabilities</w:t>
      </w:r>
    </w:p>
    <w:p>
      <w:pPr>
        <w:spacing w:after="0" w:line="119"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8"/>
          <w:szCs w:val="18"/>
          <w:color w:val="auto"/>
        </w:rPr>
        <w:t>Foreign currency forward contract and interest rate swap receivables or payables pending settlement are offset, and the net amount is included with receivable or payable for foreign currency forward contracts or interest rate swaps in the Consolidated Balance Sheets when, and only when, they are with the same counterparty, the Company has the legal right to offset the recognized amounts, and it intends to either settle on a net basis or realize the asset and settle the liability simultaneously.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Foreign currency amounts are translated into U.S. dollars on the following basis:</w:t>
      </w:r>
    </w:p>
    <w:p>
      <w:pPr>
        <w:spacing w:after="0" w:line="117" w:lineRule="exact"/>
        <w:rPr>
          <w:sz w:val="20"/>
          <w:szCs w:val="20"/>
          <w:color w:val="auto"/>
        </w:rPr>
      </w:pPr>
    </w:p>
    <w:p>
      <w:pPr>
        <w:ind w:left="520" w:right="600" w:hanging="257"/>
        <w:spacing w:after="0" w:line="282"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market value of investments, outstanding debt on revolving credit facilities, other assets and liabilities: at the spot exchange rate on the last business day of the period; and</w:t>
      </w:r>
    </w:p>
    <w:p>
      <w:pPr>
        <w:spacing w:after="0" w:line="53" w:lineRule="exact"/>
        <w:rPr>
          <w:rFonts w:ascii="Times New Roman" w:cs="Times New Roman" w:eastAsia="Times New Roman" w:hAnsi="Times New Roman"/>
          <w:sz w:val="18"/>
          <w:szCs w:val="18"/>
          <w:color w:val="auto"/>
        </w:rPr>
      </w:pPr>
    </w:p>
    <w:p>
      <w:pPr>
        <w:ind w:left="520" w:right="20" w:hanging="257"/>
        <w:spacing w:after="0" w:line="282"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and sales of investments, borrowings and repayments of such borrowings, income and expenses: at the rates of exchange prevailing on the respective dates of such transactions.</w:t>
      </w:r>
    </w:p>
    <w:p>
      <w:pPr>
        <w:spacing w:after="0" w:line="162" w:lineRule="exact"/>
        <w:rPr>
          <w:sz w:val="20"/>
          <w:szCs w:val="20"/>
          <w:color w:val="auto"/>
        </w:rPr>
      </w:pPr>
    </w:p>
    <w:p>
      <w:pPr>
        <w:ind w:right="120" w:firstLine="255"/>
        <w:spacing w:after="0" w:line="255" w:lineRule="auto"/>
        <w:rPr>
          <w:sz w:val="20"/>
          <w:szCs w:val="20"/>
          <w:color w:val="auto"/>
        </w:rPr>
      </w:pPr>
      <w:r>
        <w:rPr>
          <w:rFonts w:ascii="Times New Roman" w:cs="Times New Roman" w:eastAsia="Times New Roman" w:hAnsi="Times New Roman"/>
          <w:sz w:val="18"/>
          <w:szCs w:val="18"/>
          <w:color w:val="auto"/>
        </w:rPr>
        <w:t>Although net assets and fair values are presented based on the applicable foreign exchange rates described above, the Company does not isolate that portion of the results of operations resulting from changes in foreign exchange rates on investments from the fluctuations arising from changes in fair values of investments held. Such fluctuations are included with the net realized and unrealized gain or loss from investments. The Company’s current approach to hedging the foreign currency exposure in its non-U.S. dollar denominated investments is primarily to borrow the par amount in local currency under the Company’s Subscription Facility and Revolving Credit Facility (“Credit Facilities”) to fund these investments. Fluctuations arising from the translation of foreign currency borrowings are included with the net change in unrealized gains (losses) on translation of assets and liabilities in foreign currencies on the Consolidated Statements of Operations.</w:t>
      </w:r>
    </w:p>
    <w:p>
      <w:pPr>
        <w:spacing w:after="0" w:line="189" w:lineRule="exact"/>
        <w:rPr>
          <w:sz w:val="20"/>
          <w:szCs w:val="20"/>
          <w:color w:val="auto"/>
        </w:rPr>
      </w:pPr>
    </w:p>
    <w:p>
      <w:pPr>
        <w:ind w:right="160" w:firstLine="255"/>
        <w:spacing w:after="0" w:line="282" w:lineRule="auto"/>
        <w:rPr>
          <w:sz w:val="20"/>
          <w:szCs w:val="20"/>
          <w:color w:val="auto"/>
        </w:rPr>
      </w:pPr>
      <w:r>
        <w:rPr>
          <w:rFonts w:ascii="Times New Roman" w:cs="Times New Roman" w:eastAsia="Times New Roman" w:hAnsi="Times New Roman"/>
          <w:sz w:val="18"/>
          <w:szCs w:val="18"/>
          <w:color w:val="auto"/>
        </w:rPr>
        <w:t>Investments denominated in foreign currencies and foreign currency transactions may involve certain considerations and risks not typically associated with those of domestic origin, including unanticipated movements in the value of the foreign currency relative to the U.S. dollar.</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Organization and Offering Expenses</w:t>
      </w:r>
    </w:p>
    <w:p>
      <w:pPr>
        <w:spacing w:after="0" w:line="119" w:lineRule="exact"/>
        <w:rPr>
          <w:sz w:val="20"/>
          <w:szCs w:val="20"/>
          <w:color w:val="auto"/>
        </w:rPr>
      </w:pPr>
    </w:p>
    <w:p>
      <w:pPr>
        <w:jc w:val="both"/>
        <w:ind w:right="120" w:firstLine="255"/>
        <w:spacing w:after="0" w:line="266" w:lineRule="auto"/>
        <w:rPr>
          <w:sz w:val="20"/>
          <w:szCs w:val="20"/>
          <w:color w:val="auto"/>
        </w:rPr>
      </w:pPr>
      <w:r>
        <w:rPr>
          <w:rFonts w:ascii="Times New Roman" w:cs="Times New Roman" w:eastAsia="Times New Roman" w:hAnsi="Times New Roman"/>
          <w:sz w:val="18"/>
          <w:szCs w:val="18"/>
          <w:color w:val="auto"/>
        </w:rPr>
        <w:t>Organization and offering costs will be borne by the Company and have been advanced from the Adviser subject to recoupment. Costs associated with the organization of the Company have been expensed as incurred, subject to the limitation described below. These expenses consist primarily of legal fees and other costs of organizing the Company.</w:t>
      </w:r>
    </w:p>
    <w:p>
      <w:pPr>
        <w:spacing w:after="0" w:line="176" w:lineRule="exact"/>
        <w:rPr>
          <w:sz w:val="20"/>
          <w:szCs w:val="20"/>
          <w:color w:val="auto"/>
        </w:rPr>
      </w:pPr>
    </w:p>
    <w:p>
      <w:pPr>
        <w:jc w:val="both"/>
        <w:ind w:right="260" w:firstLine="255"/>
        <w:spacing w:after="0" w:line="266" w:lineRule="auto"/>
        <w:rPr>
          <w:sz w:val="20"/>
          <w:szCs w:val="20"/>
          <w:color w:val="auto"/>
        </w:rPr>
      </w:pPr>
      <w:r>
        <w:rPr>
          <w:rFonts w:ascii="Times New Roman" w:cs="Times New Roman" w:eastAsia="Times New Roman" w:hAnsi="Times New Roman"/>
          <w:sz w:val="18"/>
          <w:szCs w:val="18"/>
          <w:color w:val="auto"/>
        </w:rPr>
        <w:t>Costs associated with the offering of Common Shares of the Company will be capitalized as deferred offering expenses on the Consolidated Balance Sheet and amortized over a twelve-month period from incurrence. These expenses consist primarily of legal fees and other costs incurred in connection with the Company’s private offering of its Common Shares.</w:t>
      </w:r>
    </w:p>
    <w:p>
      <w:pPr>
        <w:spacing w:after="0" w:line="176" w:lineRule="exact"/>
        <w:rPr>
          <w:sz w:val="20"/>
          <w:szCs w:val="20"/>
          <w:color w:val="auto"/>
        </w:rPr>
      </w:pPr>
    </w:p>
    <w:p>
      <w:pPr>
        <w:ind w:firstLine="255"/>
        <w:spacing w:after="0" w:line="255" w:lineRule="auto"/>
        <w:rPr>
          <w:sz w:val="20"/>
          <w:szCs w:val="20"/>
          <w:color w:val="auto"/>
        </w:rPr>
      </w:pPr>
      <w:r>
        <w:rPr>
          <w:rFonts w:ascii="Times New Roman" w:cs="Times New Roman" w:eastAsia="Times New Roman" w:hAnsi="Times New Roman"/>
          <w:sz w:val="18"/>
          <w:szCs w:val="18"/>
          <w:color w:val="auto"/>
        </w:rPr>
        <w:t>The Company will not bear more than an amount equal to 0.10% of the aggregate Commitments of the Company for organization and offering expenses in connection with the offering of Common Shares. If actual organization and offering costs incurred exceed 0.10% of the Company’s total Capital Commitments, the Adviser or its affiliates will bear the excess costs. To the extent that the Company’s Capital Commitments later increase, the Adviser or its affiliates may be reimbursed for past payments of excess organization and offering costs made on the Company’s behalf, provided that the total organization and offering costs borne by the Company do not exceed 0.10% of total Capital Commitments and provided further that the Adviser or its affiliates may not be reimbursed for payment of excess organization and offering expenses that were incurred more than three years prior to the proposed reimbursement.</w:t>
      </w:r>
    </w:p>
    <w:p>
      <w:pPr>
        <w:spacing w:after="0" w:line="189" w:lineRule="exact"/>
        <w:rPr>
          <w:sz w:val="20"/>
          <w:szCs w:val="20"/>
          <w:color w:val="auto"/>
        </w:rPr>
      </w:pPr>
    </w:p>
    <w:p>
      <w:pPr>
        <w:ind w:right="40" w:firstLine="255"/>
        <w:spacing w:after="0" w:line="266" w:lineRule="auto"/>
        <w:rPr>
          <w:sz w:val="20"/>
          <w:szCs w:val="20"/>
          <w:color w:val="auto"/>
        </w:rPr>
      </w:pPr>
      <w:r>
        <w:rPr>
          <w:rFonts w:ascii="Times New Roman" w:cs="Times New Roman" w:eastAsia="Times New Roman" w:hAnsi="Times New Roman"/>
          <w:sz w:val="18"/>
          <w:szCs w:val="18"/>
          <w:color w:val="auto"/>
        </w:rPr>
        <w:t>As of September 30, 2026 and December 31, 2025, there were no expenses borne by the Adviser subject to future recoupment. Any sales load, platform fees, servicing fees or similar fees or expenses charged directly to an investor in an offering by a placement agent or similar party will not be considered organization or offering expenses of the Company for purposes of the Company’s cap on organization and offering expenses.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color w:val="auto"/>
        </w:rPr>
        <w:t>Debt Issuance Costs</w:t>
      </w:r>
    </w:p>
    <w:p>
      <w:pPr>
        <w:spacing w:after="0" w:line="119" w:lineRule="exact"/>
        <w:rPr>
          <w:sz w:val="20"/>
          <w:szCs w:val="20"/>
          <w:color w:val="auto"/>
        </w:rPr>
      </w:pPr>
    </w:p>
    <w:p>
      <w:pPr>
        <w:ind w:right="200" w:firstLine="255"/>
        <w:spacing w:after="0" w:line="266" w:lineRule="auto"/>
        <w:rPr>
          <w:sz w:val="20"/>
          <w:szCs w:val="20"/>
          <w:color w:val="auto"/>
        </w:rPr>
      </w:pPr>
      <w:r>
        <w:rPr>
          <w:rFonts w:ascii="Times New Roman" w:cs="Times New Roman" w:eastAsia="Times New Roman" w:hAnsi="Times New Roman"/>
          <w:sz w:val="18"/>
          <w:szCs w:val="18"/>
          <w:color w:val="auto"/>
        </w:rPr>
        <w:t>The Company records origination and other expenses related to its debt obligations as deferred financing costs, which are presented as a direct deduction from the carrying value of the related debt liability. These expenses are deferred and amortized using the effective interest method, or straight-line method, over the stated maturity of the debt obligation.</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and Dividend Income Recognition</w:t>
      </w:r>
    </w:p>
    <w:p>
      <w:pPr>
        <w:spacing w:after="0" w:line="119" w:lineRule="exact"/>
        <w:rPr>
          <w:sz w:val="20"/>
          <w:szCs w:val="20"/>
          <w:color w:val="auto"/>
        </w:rPr>
      </w:pPr>
    </w:p>
    <w:p>
      <w:pPr>
        <w:ind w:right="100" w:firstLine="255"/>
        <w:spacing w:after="0" w:line="266" w:lineRule="auto"/>
        <w:rPr>
          <w:sz w:val="20"/>
          <w:szCs w:val="20"/>
          <w:color w:val="auto"/>
        </w:rPr>
      </w:pPr>
      <w:r>
        <w:rPr>
          <w:rFonts w:ascii="Times New Roman" w:cs="Times New Roman" w:eastAsia="Times New Roman" w:hAnsi="Times New Roman"/>
          <w:sz w:val="18"/>
          <w:szCs w:val="18"/>
          <w:color w:val="auto"/>
        </w:rPr>
        <w:t>Interest income is recorded on an accrual basis and includes the amortization of discounts and premiums. Discounts and premiums to par value on securities purchased or originated are amortized into interest income over the contractual life of the respective security using the effective interest method. The amortized cost of investments represents the original cost adjusted for the amortization of discounts and premiums, if any.</w:t>
      </w:r>
    </w:p>
    <w:p>
      <w:pPr>
        <w:spacing w:after="0" w:line="176" w:lineRule="exact"/>
        <w:rPr>
          <w:sz w:val="20"/>
          <w:szCs w:val="20"/>
          <w:color w:val="auto"/>
        </w:rPr>
      </w:pPr>
    </w:p>
    <w:p>
      <w:pPr>
        <w:ind w:right="180" w:firstLine="255"/>
        <w:spacing w:after="0" w:line="282" w:lineRule="auto"/>
        <w:rPr>
          <w:sz w:val="20"/>
          <w:szCs w:val="20"/>
          <w:color w:val="auto"/>
        </w:rPr>
      </w:pPr>
      <w:r>
        <w:rPr>
          <w:rFonts w:ascii="Times New Roman" w:cs="Times New Roman" w:eastAsia="Times New Roman" w:hAnsi="Times New Roman"/>
          <w:sz w:val="18"/>
          <w:szCs w:val="18"/>
          <w:color w:val="auto"/>
        </w:rPr>
        <w:t>Unless providing services in connection with an investment, such as syndication, structuring or diligence, all or a portion of any loan fees received by the Company will be deferred and amortized over the investment’s life using the effective interest method.</w:t>
      </w:r>
    </w:p>
    <w:p>
      <w:pPr>
        <w:spacing w:after="0" w:line="162" w:lineRule="exact"/>
        <w:rPr>
          <w:sz w:val="20"/>
          <w:szCs w:val="20"/>
          <w:color w:val="auto"/>
        </w:rPr>
      </w:pPr>
    </w:p>
    <w:p>
      <w:pPr>
        <w:ind w:right="20" w:firstLine="255"/>
        <w:spacing w:after="0" w:line="256" w:lineRule="auto"/>
        <w:rPr>
          <w:sz w:val="20"/>
          <w:szCs w:val="20"/>
          <w:color w:val="auto"/>
        </w:rPr>
      </w:pPr>
      <w:r>
        <w:rPr>
          <w:rFonts w:ascii="Times New Roman" w:cs="Times New Roman" w:eastAsia="Times New Roman" w:hAnsi="Times New Roman"/>
          <w:sz w:val="18"/>
          <w:szCs w:val="18"/>
          <w:color w:val="auto"/>
        </w:rPr>
        <w:t>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w:t>
      </w:r>
    </w:p>
    <w:p>
      <w:pPr>
        <w:spacing w:after="0" w:line="187" w:lineRule="exact"/>
        <w:rPr>
          <w:sz w:val="20"/>
          <w:szCs w:val="20"/>
          <w:color w:val="auto"/>
        </w:rPr>
      </w:pPr>
    </w:p>
    <w:p>
      <w:pPr>
        <w:ind w:firstLine="255"/>
        <w:spacing w:after="0" w:line="266" w:lineRule="auto"/>
        <w:rPr>
          <w:sz w:val="20"/>
          <w:szCs w:val="20"/>
          <w:color w:val="auto"/>
        </w:rPr>
      </w:pPr>
      <w:r>
        <w:rPr>
          <w:rFonts w:ascii="Times New Roman" w:cs="Times New Roman" w:eastAsia="Times New Roman" w:hAnsi="Times New Roman"/>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publicly-traded portfolio companies.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119" w:lineRule="exact"/>
        <w:rPr>
          <w:sz w:val="20"/>
          <w:szCs w:val="20"/>
          <w:color w:val="auto"/>
        </w:rPr>
      </w:pPr>
    </w:p>
    <w:p>
      <w:pPr>
        <w:ind w:right="140" w:firstLine="255"/>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receive fees for services provided to portfolio companies by the Adviser. The services that the Adviser provides vary by investment, but may include syndication, structuring, arranger, diligence fees, or other service-based fees and fees for providing managerial assistance to our portfolio companies and are recognized as revenue when earned.</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per share</w:t>
      </w:r>
    </w:p>
    <w:p>
      <w:pPr>
        <w:spacing w:after="0" w:line="119" w:lineRule="exact"/>
        <w:rPr>
          <w:sz w:val="20"/>
          <w:szCs w:val="20"/>
          <w:color w:val="auto"/>
        </w:rPr>
      </w:pPr>
    </w:p>
    <w:p>
      <w:pPr>
        <w:ind w:right="80" w:firstLine="255"/>
        <w:spacing w:after="0" w:line="258" w:lineRule="auto"/>
        <w:rPr>
          <w:sz w:val="20"/>
          <w:szCs w:val="20"/>
          <w:color w:val="auto"/>
        </w:rPr>
      </w:pPr>
      <w:r>
        <w:rPr>
          <w:rFonts w:ascii="Times New Roman" w:cs="Times New Roman" w:eastAsia="Times New Roman" w:hAnsi="Times New Roman"/>
          <w:sz w:val="18"/>
          <w:szCs w:val="18"/>
          <w:color w:val="auto"/>
        </w:rPr>
        <w:t>The Company’s earnings per share (“EPS”) amounts have been computed based on the weighted-average number of Common Shares outstanding for the period. Basic EPS is computed by dividing net increase (decrease) in net assets resulting from operations by the weighted average number of Common Shares outstanding during the period. Diluted EPS is computed by dividing net increase (decrease) in net assets resulting from operations by the weighted average number of Common Shares assuming all potential shares had been issued and the additional Common Shares were dilutive. Diluted EPS reflects the potential dilution, using the if-converted method for convertible debt, which could occur if all potentially dilutive securities were exercised.</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Reimbursement of Transaction-Related Expenses</w:t>
      </w:r>
    </w:p>
    <w:p>
      <w:pPr>
        <w:spacing w:after="0" w:line="119" w:lineRule="exact"/>
        <w:rPr>
          <w:sz w:val="20"/>
          <w:szCs w:val="20"/>
          <w:color w:val="auto"/>
        </w:rPr>
      </w:pPr>
    </w:p>
    <w:p>
      <w:pPr>
        <w:ind w:right="60" w:firstLine="255"/>
        <w:spacing w:after="0" w:line="261" w:lineRule="auto"/>
        <w:rPr>
          <w:sz w:val="20"/>
          <w:szCs w:val="20"/>
          <w:color w:val="auto"/>
        </w:rPr>
      </w:pPr>
      <w:r>
        <w:rPr>
          <w:rFonts w:ascii="Times New Roman" w:cs="Times New Roman" w:eastAsia="Times New Roman" w:hAnsi="Times New Roman"/>
          <w:sz w:val="18"/>
          <w:szCs w:val="18"/>
          <w:color w:val="auto"/>
        </w:rPr>
        <w:t>The Company may receive reimbursement for certain transaction-related expenses in pursuing investments. Transaction-related expenses, which are expected to be reimbursed by third parties, are typically deferred until the transaction is consummated and are recorded in Prepaid expenses and other assets on the date incurred. The transaction-related costs of pursuing investments not otherwise reimbursed are borne by the Company and for successfully completed investments included as a component of the investment’s cost basis.</w:t>
      </w:r>
    </w:p>
    <w:p>
      <w:pPr>
        <w:spacing w:after="0" w:line="180" w:lineRule="exact"/>
        <w:rPr>
          <w:sz w:val="20"/>
          <w:szCs w:val="20"/>
          <w:color w:val="auto"/>
        </w:rPr>
      </w:pPr>
    </w:p>
    <w:p>
      <w:pPr>
        <w:ind w:right="120" w:firstLine="255"/>
        <w:spacing w:after="0" w:line="282" w:lineRule="auto"/>
        <w:rPr>
          <w:sz w:val="20"/>
          <w:szCs w:val="20"/>
          <w:color w:val="auto"/>
        </w:rPr>
      </w:pPr>
      <w:r>
        <w:rPr>
          <w:rFonts w:ascii="Times New Roman" w:cs="Times New Roman" w:eastAsia="Times New Roman" w:hAnsi="Times New Roman"/>
          <w:sz w:val="18"/>
          <w:szCs w:val="18"/>
          <w:color w:val="auto"/>
        </w:rPr>
        <w:t>Cash advances received in respect of transaction-related expenses are recorded as Cash and cash equivalents with an offset to Other liabilities or Other payables to affiliates. Other liabilities or Other payables to affiliates are relieved as reimbursable expenses are incurred.</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 Including Excise Taxes</w:t>
      </w:r>
    </w:p>
    <w:p>
      <w:pPr>
        <w:spacing w:after="0" w:line="119" w:lineRule="exact"/>
        <w:rPr>
          <w:sz w:val="20"/>
          <w:szCs w:val="20"/>
          <w:color w:val="auto"/>
        </w:rPr>
      </w:pPr>
    </w:p>
    <w:p>
      <w:pPr>
        <w:ind w:right="80" w:firstLine="255"/>
        <w:spacing w:after="0" w:line="261" w:lineRule="auto"/>
        <w:rPr>
          <w:sz w:val="20"/>
          <w:szCs w:val="20"/>
          <w:color w:val="auto"/>
        </w:rPr>
      </w:pPr>
      <w:r>
        <w:rPr>
          <w:rFonts w:ascii="Times New Roman" w:cs="Times New Roman" w:eastAsia="Times New Roman" w:hAnsi="Times New Roman"/>
          <w:sz w:val="18"/>
          <w:szCs w:val="18"/>
          <w:color w:val="auto"/>
        </w:rPr>
        <w:t>The Company has elected to be treated as a RIC under Subchapter M of the Code, and the Company intends to operate in a manner so as to continue to qualify for the tax treatment applicable to RICs. To qualify as a RIC, the Company must, among other things, distribute to its shareholders in each taxable year generally at least 90% of its investment company taxable income, as defined by the Code, and net tax-exempt income for that taxable year. To maintain its RIC status, the Company, among other things, has made and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4" w:right="359" w:bottom="1440" w:gutter="0" w:footer="0" w:header="0"/>
        </w:sectPr>
      </w:pPr>
    </w:p>
    <w:bookmarkStart w:id="25" w:name="page26"/>
    <w:bookmarkEnd w:id="25"/>
    <w:p>
      <w:pPr>
        <w:ind w:right="100"/>
        <w:spacing w:after="0" w:line="282" w:lineRule="auto"/>
        <w:rPr>
          <w:sz w:val="20"/>
          <w:szCs w:val="20"/>
          <w:color w:val="auto"/>
        </w:rPr>
      </w:pPr>
      <w:r>
        <w:rPr>
          <w:rFonts w:ascii="Times New Roman" w:cs="Times New Roman" w:eastAsia="Times New Roman" w:hAnsi="Times New Roman"/>
          <w:sz w:val="18"/>
          <w:szCs w:val="18"/>
          <w:color w:val="auto"/>
        </w:rPr>
        <w:t>intends to continue to make the requisite distributions to its shareholders, which generally relieves the Company from corporate-level U.S. federal income taxes.</w:t>
      </w:r>
    </w:p>
    <w:p>
      <w:pPr>
        <w:spacing w:after="0" w:line="162" w:lineRule="exact"/>
        <w:rPr>
          <w:sz w:val="20"/>
          <w:szCs w:val="20"/>
          <w:color w:val="auto"/>
        </w:rPr>
      </w:pPr>
    </w:p>
    <w:p>
      <w:pPr>
        <w:ind w:right="20" w:firstLine="255"/>
        <w:spacing w:after="0" w:line="258" w:lineRule="auto"/>
        <w:rPr>
          <w:sz w:val="20"/>
          <w:szCs w:val="20"/>
          <w:color w:val="auto"/>
        </w:rPr>
      </w:pPr>
      <w:r>
        <w:rPr>
          <w:rFonts w:ascii="Times New Roman" w:cs="Times New Roman" w:eastAsia="Times New Roman" w:hAnsi="Times New Roman"/>
          <w:sz w:val="18"/>
          <w:szCs w:val="18"/>
          <w:color w:val="auto"/>
        </w:rPr>
        <w:t>The Company evaluates tax positions taken or expected to be taken in the course of preparing its financial statements to determine whether the tax positions are “more-likely-than-not” to be sustained by the applicable tax authority. Tax positions not deemed to meet the “more-likely-than-not” threshold are reserved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w:t>
      </w:r>
    </w:p>
    <w:p>
      <w:pPr>
        <w:spacing w:after="0" w:line="183"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8"/>
          <w:szCs w:val="18"/>
          <w:color w:val="auto"/>
        </w:rPr>
        <w:t>Depending on the level of taxable income earned in a tax year, the Company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the Company determines that the estimated current year annual taxable income will be in excess of estimated current year dividend distributions from such income, the Company accrues excise tax on estimated excess taxable income.</w:t>
      </w:r>
    </w:p>
    <w:p>
      <w:pPr>
        <w:spacing w:after="0" w:line="180" w:lineRule="exact"/>
        <w:rPr>
          <w:sz w:val="20"/>
          <w:szCs w:val="20"/>
          <w:color w:val="auto"/>
        </w:rPr>
      </w:pPr>
    </w:p>
    <w:p>
      <w:pPr>
        <w:ind w:firstLine="255"/>
        <w:spacing w:after="0" w:line="266" w:lineRule="auto"/>
        <w:rPr>
          <w:sz w:val="20"/>
          <w:szCs w:val="20"/>
          <w:color w:val="auto"/>
        </w:rPr>
      </w:pPr>
      <w:r>
        <w:rPr>
          <w:rFonts w:ascii="Times New Roman" w:cs="Times New Roman" w:eastAsia="Times New Roman" w:hAnsi="Times New Roman"/>
          <w:sz w:val="18"/>
          <w:szCs w:val="18"/>
          <w:color w:val="auto"/>
        </w:rPr>
        <w:t>For both the three and nine months ended September 30, 2026, the Company recorded a net expense of less than $0.1 million for U.S. federal excise tax and other taxes. For the three and nine months ended September 30, 2025, the Company recorded no net expense and a net expense of less than $0.1 million, respectively, for U.S. federal excise tax and other taxes.</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For both the three and nine months ended September 30, 2026, there was no recorded deferred tax liability. For both the three and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2025, the Company recorded no provision pertaining to net unrealized gains from its investments. For both the three and nine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2025, the Company recognized a tax provision of $1.1 million, pertaining to net realized gains from one of its investments.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 to Common Shareholders</w:t>
      </w:r>
    </w:p>
    <w:p>
      <w:pPr>
        <w:spacing w:after="0" w:line="119" w:lineRule="exact"/>
        <w:rPr>
          <w:sz w:val="20"/>
          <w:szCs w:val="20"/>
          <w:color w:val="auto"/>
        </w:rPr>
      </w:pPr>
    </w:p>
    <w:p>
      <w:pPr>
        <w:ind w:right="180" w:firstLine="255"/>
        <w:spacing w:after="0" w:line="266" w:lineRule="auto"/>
        <w:rPr>
          <w:sz w:val="20"/>
          <w:szCs w:val="20"/>
          <w:color w:val="auto"/>
        </w:rPr>
      </w:pPr>
      <w:r>
        <w:rPr>
          <w:rFonts w:ascii="Times New Roman" w:cs="Times New Roman" w:eastAsia="Times New Roman" w:hAnsi="Times New Roman"/>
          <w:sz w:val="18"/>
          <w:szCs w:val="18"/>
          <w:color w:val="auto"/>
        </w:rPr>
        <w:t>Dividends to common shareholders are recorded on the record date. The amount to be paid out as a dividend is determined by the Board and is generally based upon the earnings estimated by the Adviser. Net realized long-term capital gains, if any, would generally be distributed at least annually, although the Company may decide to retain such capital gains.</w:t>
      </w:r>
    </w:p>
    <w:p>
      <w:pPr>
        <w:spacing w:after="0" w:line="176" w:lineRule="exact"/>
        <w:rPr>
          <w:sz w:val="20"/>
          <w:szCs w:val="20"/>
          <w:color w:val="auto"/>
        </w:rPr>
      </w:pPr>
    </w:p>
    <w:p>
      <w:pPr>
        <w:ind w:right="20" w:firstLine="255"/>
        <w:spacing w:after="0" w:line="258" w:lineRule="auto"/>
        <w:rPr>
          <w:sz w:val="20"/>
          <w:szCs w:val="20"/>
          <w:color w:val="auto"/>
        </w:rPr>
      </w:pPr>
      <w:r>
        <w:rPr>
          <w:rFonts w:ascii="Times New Roman" w:cs="Times New Roman" w:eastAsia="Times New Roman" w:hAnsi="Times New Roman"/>
          <w:sz w:val="18"/>
          <w:szCs w:val="18"/>
          <w:color w:val="auto"/>
        </w:rPr>
        <w:t>The Company has adopted a dividend reinvestment plan that provides for reinvestment of any dividends declared in cash on behalf of shareholders, unless a shareholder elects to receive cash. As a result, if the Board authorizes and declares a cash dividend, then the shareholders who have not “opted out” of the dividend reinvestment plan will have their cash dividends automatically reinvested in additional shares of the Company’s Common Shares, rather than receiving the cash dividend. The Company expects to use newly issued shares to satisfy the dividend reinvestment plan. See Note 11 for further information related to dividends.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227" w:lineRule="exact"/>
        <w:rPr>
          <w:sz w:val="20"/>
          <w:szCs w:val="20"/>
          <w:color w:val="auto"/>
        </w:rPr>
      </w:pPr>
    </w:p>
    <w:p>
      <w:pPr>
        <w:jc w:val="both"/>
        <w:ind w:right="220" w:firstLine="255"/>
        <w:spacing w:after="0" w:line="266" w:lineRule="auto"/>
        <w:rPr>
          <w:sz w:val="20"/>
          <w:szCs w:val="20"/>
          <w:color w:val="auto"/>
        </w:rPr>
      </w:pPr>
      <w:r>
        <w:rPr>
          <w:rFonts w:ascii="Times New Roman" w:cs="Times New Roman" w:eastAsia="Times New Roman" w:hAnsi="Times New Roman"/>
          <w:sz w:val="18"/>
          <w:szCs w:val="18"/>
          <w:color w:val="auto"/>
        </w:rPr>
        <w:t>The Company has one reportable segment: Investment Activity. The Investment Activity segment generates revenue primarily in the form of interest income from the investments it holds. In addition, the Company may generate income from dividends on equity investments, capital gains on the sale of investments and various loan origination and other fees.</w:t>
      </w:r>
    </w:p>
    <w:p>
      <w:pPr>
        <w:spacing w:after="0" w:line="176" w:lineRule="exact"/>
        <w:rPr>
          <w:sz w:val="20"/>
          <w:szCs w:val="20"/>
          <w:color w:val="auto"/>
        </w:rPr>
      </w:pPr>
    </w:p>
    <w:p>
      <w:pPr>
        <w:ind w:right="500" w:firstLine="255"/>
        <w:spacing w:after="0" w:line="282" w:lineRule="auto"/>
        <w:rPr>
          <w:sz w:val="20"/>
          <w:szCs w:val="20"/>
          <w:color w:val="auto"/>
        </w:rPr>
      </w:pPr>
      <w:r>
        <w:rPr>
          <w:rFonts w:ascii="Times New Roman" w:cs="Times New Roman" w:eastAsia="Times New Roman" w:hAnsi="Times New Roman"/>
          <w:sz w:val="18"/>
          <w:szCs w:val="18"/>
          <w:color w:val="auto"/>
        </w:rPr>
        <w:t>The Company’s chief operating decision maker (the “CODM”) is comprised of the senior executive committee that includes the Chief Executive Officer, Chief Financial Officer, and the Deputy Chief Financial Officer.</w:t>
      </w:r>
    </w:p>
    <w:p>
      <w:pPr>
        <w:spacing w:after="0" w:line="162" w:lineRule="exact"/>
        <w:rPr>
          <w:sz w:val="20"/>
          <w:szCs w:val="20"/>
          <w:color w:val="auto"/>
        </w:rPr>
      </w:pPr>
    </w:p>
    <w:p>
      <w:pPr>
        <w:ind w:right="80" w:firstLine="255"/>
        <w:spacing w:after="0" w:line="266" w:lineRule="auto"/>
        <w:rPr>
          <w:sz w:val="20"/>
          <w:szCs w:val="20"/>
          <w:color w:val="auto"/>
        </w:rPr>
      </w:pPr>
      <w:r>
        <w:rPr>
          <w:rFonts w:ascii="Times New Roman" w:cs="Times New Roman" w:eastAsia="Times New Roman" w:hAnsi="Times New Roman"/>
          <w:sz w:val="18"/>
          <w:szCs w:val="18"/>
          <w:color w:val="auto"/>
        </w:rPr>
        <w:t>The CODM uses the net increase (decrease) in net assets resulting from operations to evaluate income generated from segment investment activities. The evaluation and assessment of this metric is used in implementing investment policy decisions, strategic initiatives, managing the company’s portfolio, evaluation of the company’s distribution policy and assessing the performance of the portfolio.</w:t>
      </w:r>
    </w:p>
    <w:p>
      <w:pPr>
        <w:spacing w:after="0" w:line="176" w:lineRule="exact"/>
        <w:rPr>
          <w:sz w:val="20"/>
          <w:szCs w:val="20"/>
          <w:color w:val="auto"/>
        </w:rPr>
      </w:pPr>
    </w:p>
    <w:p>
      <w:pPr>
        <w:ind w:right="280" w:firstLine="255"/>
        <w:spacing w:after="0" w:line="261" w:lineRule="auto"/>
        <w:rPr>
          <w:sz w:val="20"/>
          <w:szCs w:val="20"/>
          <w:color w:val="auto"/>
        </w:rPr>
      </w:pPr>
      <w:r>
        <w:rPr>
          <w:rFonts w:ascii="Times New Roman" w:cs="Times New Roman" w:eastAsia="Times New Roman" w:hAnsi="Times New Roman"/>
          <w:sz w:val="18"/>
          <w:szCs w:val="18"/>
          <w:color w:val="auto"/>
        </w:rPr>
        <w:t>The accounting policies of the Investment Activity segment are the same as those described in the summary of significant accounting policies. The CODM assesses performance for the segment and determines how to allocate resources based on the net increase (decrease) in net assets resulting from operations that also is reported on the Consolidated Statement of Operations. Significant segment expenses are reported as total expenses on the Consolidated Statement of Operations. The measure of segment assets is reported on the consolidated balance sheet as total assets.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Standards and Regulatory Updates</w:t>
      </w:r>
    </w:p>
    <w:p>
      <w:pPr>
        <w:spacing w:after="0" w:line="227" w:lineRule="exact"/>
        <w:rPr>
          <w:sz w:val="20"/>
          <w:szCs w:val="20"/>
          <w:color w:val="auto"/>
        </w:rPr>
      </w:pPr>
    </w:p>
    <w:p>
      <w:pPr>
        <w:ind w:right="160" w:firstLine="255"/>
        <w:spacing w:after="0" w:line="282" w:lineRule="auto"/>
        <w:rPr>
          <w:sz w:val="20"/>
          <w:szCs w:val="20"/>
          <w:color w:val="auto"/>
        </w:rPr>
      </w:pPr>
      <w:r>
        <w:rPr>
          <w:rFonts w:ascii="Times New Roman" w:cs="Times New Roman" w:eastAsia="Times New Roman" w:hAnsi="Times New Roman"/>
          <w:sz w:val="18"/>
          <w:szCs w:val="18"/>
          <w:color w:val="auto"/>
        </w:rPr>
        <w:t>In November 2025, the FASB issued ASU No. 2025-09, “Derivatives and Hedging (Topic 815): Hedge Accounting Improvements”, which intends to more closely align hedge accounting with the economics of an entity’s risk management activities.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26" w:name="page27"/>
    <w:bookmarkEnd w:id="26"/>
    <w:p>
      <w:pPr>
        <w:ind w:right="60"/>
        <w:spacing w:after="0" w:line="282" w:lineRule="auto"/>
        <w:rPr>
          <w:sz w:val="20"/>
          <w:szCs w:val="20"/>
          <w:color w:val="auto"/>
        </w:rPr>
      </w:pPr>
      <w:r>
        <w:rPr>
          <w:rFonts w:ascii="Times New Roman" w:cs="Times New Roman" w:eastAsia="Times New Roman" w:hAnsi="Times New Roman"/>
          <w:sz w:val="18"/>
          <w:szCs w:val="18"/>
          <w:color w:val="auto"/>
        </w:rPr>
        <w:t>This update is effective for annual periods beginning after December 15, 2026, including interim periods within those fiscal years, though early adoption is permitted. The Company does not expect this update to have a material effect on the Company’s consolidated financial statements.</w:t>
      </w:r>
    </w:p>
    <w:p>
      <w:pPr>
        <w:spacing w:after="0" w:line="162"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8"/>
          <w:szCs w:val="18"/>
          <w:color w:val="auto"/>
        </w:rPr>
        <w:t>In March 2026, the FASB issued ASU No. 2025-11, “Interim Reporting (Topic 270): Narrow-Scope Improvements (“ASU 2025-11”)”, which intends to improve the guidance in Topic 270, Interim Reporting, in order to improve navigability of required interim disclosures and clarify when that guidance is applicable. This update is effective for interim periods in fiscal years beginning after December 15, 2027. The Company does not expect this update to have a material effect on the Company’s consolidated financial statements.</w:t>
      </w:r>
    </w:p>
    <w:p>
      <w:pPr>
        <w:spacing w:after="0" w:line="180"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8"/>
          <w:szCs w:val="18"/>
          <w:color w:val="auto"/>
        </w:rPr>
        <w:t>In March 2026, the FASB issued ASU No. 2025-12, “Codification Improvements”, which is part of a standing project to address suggestions received from stakeholders that intends to clarify accounting guidance, correct errors and make technical corrections to the Accounting Standards Codification. This update is effective for interim periods in fiscal years beginning after December 15, 2026, though early adoption is permitted. The Company does not expect this update to have a material effect on the Company’s consolidated financial statements.</w:t>
      </w:r>
    </w:p>
    <w:p>
      <w:pPr>
        <w:spacing w:after="0" w:line="112" w:lineRule="exact"/>
        <w:rPr>
          <w:sz w:val="20"/>
          <w:szCs w:val="20"/>
          <w:color w:val="auto"/>
        </w:rPr>
      </w:pPr>
    </w:p>
    <w:p>
      <w:pPr>
        <w:ind w:right="60" w:firstLine="255"/>
        <w:spacing w:after="0" w:line="258" w:lineRule="auto"/>
        <w:rPr>
          <w:sz w:val="20"/>
          <w:szCs w:val="20"/>
          <w:color w:val="auto"/>
        </w:rPr>
      </w:pPr>
      <w:r>
        <w:rPr>
          <w:rFonts w:ascii="Times New Roman" w:cs="Times New Roman" w:eastAsia="Times New Roman" w:hAnsi="Times New Roman"/>
          <w:sz w:val="18"/>
          <w:szCs w:val="18"/>
          <w:color w:val="auto"/>
        </w:rPr>
        <w:t>In September 2026, the FASB issued ASU No. 2026-03, “ Fair Value Measurement (Topic 820): Investment Companies with Equity Securities Subject to Contractual Sale Restrictions (“ASU 2026-03”)”, which requires investment companies to reflect the effect of contractual sale restrictions in the fair value measurement of equity securities. The guidance is effective for fiscal years beginning after December 15, 2027, with early adoption permitted. The Company early adopted ASU 2026-03 prospectively as of September 30, 2026, which did not have a material impact on its consolidated financial statements.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Agreements and Related Party Transactions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Administration Agreement</w:t>
      </w:r>
    </w:p>
    <w:p>
      <w:pPr>
        <w:spacing w:after="0" w:line="119" w:lineRule="exact"/>
        <w:rPr>
          <w:sz w:val="20"/>
          <w:szCs w:val="20"/>
          <w:color w:val="auto"/>
        </w:rPr>
      </w:pPr>
    </w:p>
    <w:p>
      <w:pPr>
        <w:ind w:right="20" w:firstLine="255"/>
        <w:spacing w:after="0" w:line="256" w:lineRule="auto"/>
        <w:rPr>
          <w:sz w:val="20"/>
          <w:szCs w:val="20"/>
          <w:color w:val="auto"/>
        </w:rPr>
      </w:pPr>
      <w:r>
        <w:rPr>
          <w:rFonts w:ascii="Times New Roman" w:cs="Times New Roman" w:eastAsia="Times New Roman" w:hAnsi="Times New Roman"/>
          <w:sz w:val="18"/>
          <w:szCs w:val="18"/>
          <w:color w:val="auto"/>
        </w:rPr>
        <w:t>On June 28, 2022, the Company entered into the Administration Agreement with the Adviser. Under the terms of the Administration Agreement, the Adviser provides administrative services to the Company. These services include providing office space, equipment and office services, maintaining financial records, preparing reports to shareholders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the Company pays or reimburses the Adviser for certain expenses incurred by any such affiliates or third parties for work done on its behalf.</w:t>
      </w:r>
    </w:p>
    <w:p>
      <w:pPr>
        <w:spacing w:after="0" w:line="187" w:lineRule="exact"/>
        <w:rPr>
          <w:sz w:val="20"/>
          <w:szCs w:val="20"/>
          <w:color w:val="auto"/>
        </w:rPr>
      </w:pPr>
    </w:p>
    <w:p>
      <w:pPr>
        <w:ind w:firstLine="255"/>
        <w:spacing w:after="0" w:line="266" w:lineRule="auto"/>
        <w:rPr>
          <w:sz w:val="20"/>
          <w:szCs w:val="20"/>
          <w:color w:val="auto"/>
        </w:rPr>
      </w:pPr>
      <w:r>
        <w:rPr>
          <w:rFonts w:ascii="Times New Roman" w:cs="Times New Roman" w:eastAsia="Times New Roman" w:hAnsi="Times New Roman"/>
          <w:sz w:val="18"/>
          <w:szCs w:val="18"/>
          <w:color w:val="auto"/>
        </w:rPr>
        <w:t>In November 2026, the Board renewed the Administration Agreement. Unless earlier terminated as described below, the Administration Agreement will remain in effect until November 2027, and may be extended subject to required approvals. The Administration Agreement may be terminated by either party without penalty on 60 days’ written notice to the other party.</w:t>
      </w:r>
    </w:p>
    <w:p>
      <w:pPr>
        <w:spacing w:after="0" w:line="176" w:lineRule="exact"/>
        <w:rPr>
          <w:sz w:val="20"/>
          <w:szCs w:val="20"/>
          <w:color w:val="auto"/>
        </w:rPr>
      </w:pPr>
    </w:p>
    <w:p>
      <w:pPr>
        <w:ind w:right="60" w:firstLine="255"/>
        <w:spacing w:after="0" w:line="253" w:lineRule="auto"/>
        <w:rPr>
          <w:sz w:val="20"/>
          <w:szCs w:val="20"/>
          <w:color w:val="auto"/>
        </w:rPr>
      </w:pPr>
      <w:r>
        <w:rPr>
          <w:rFonts w:ascii="Times New Roman" w:cs="Times New Roman" w:eastAsia="Times New Roman" w:hAnsi="Times New Roman"/>
          <w:sz w:val="18"/>
          <w:szCs w:val="18"/>
          <w:color w:val="auto"/>
        </w:rPr>
        <w:t>No person who is an officer, trustee or employee of the Adviser or its affiliates and who serves as a trustee of the Company receives any compensation from the Company for his or her services as a trustee. However, the Company reimburses the Adviser (or its affiliates) for the allocable portion of the costs of compensation, benefits, and related administrative expenses of our officers who provide operational and administrative services to us pursuant to the Administration Agreement, their respective staffs and other professionals who provide services to us (including, in each case, employees of the Adviser or an affiliate). Such reimbursable amounts include the allocable portion of the compensation paid by the Adviser or its affiliates to the Company’s Chief Financial Officer, Chief Compliance Officer, and other professionals who provide operational and administrative services to us pursuant to the Administration Agreement, including individuals who provide “back office” or “middle office” financial, operational, legal and/or compliance services to us. The Company reimburses the Adviser (or its affiliates) for the allocable portion of the compensation paid by the Adviser (or its affiliates) to such individuals based on the percentage of time those individuals devote, on an estimated basis, to the business and affairs of the Company and in acting on behalf of the Company. The Company may also reimburse the Adviser or its affiliates for the allocable portion of overhead expenses (including rent, office equipment and utilities) attributable thereto. Trustees who are not affiliated with the Adviser receive compensation for their services and reimbursement of expenses incurred to attend meetings.</w:t>
      </w:r>
    </w:p>
    <w:p>
      <w:pPr>
        <w:spacing w:after="0" w:line="190" w:lineRule="exact"/>
        <w:rPr>
          <w:sz w:val="20"/>
          <w:szCs w:val="20"/>
          <w:color w:val="auto"/>
        </w:rPr>
      </w:pPr>
    </w:p>
    <w:p>
      <w:pPr>
        <w:ind w:right="140" w:firstLine="255"/>
        <w:spacing w:after="0" w:line="261" w:lineRule="auto"/>
        <w:rPr>
          <w:sz w:val="20"/>
          <w:szCs w:val="20"/>
          <w:color w:val="auto"/>
        </w:rPr>
      </w:pPr>
      <w:r>
        <w:rPr>
          <w:rFonts w:ascii="Times New Roman" w:cs="Times New Roman" w:eastAsia="Times New Roman" w:hAnsi="Times New Roman"/>
          <w:sz w:val="18"/>
          <w:szCs w:val="18"/>
          <w:color w:val="auto"/>
        </w:rPr>
        <w:t>For the three and nine months ended September 30, 2026, the Company incurred expenses of $1.1 million and $3.4 million, respectively, for administrative services payable to the Adviser under the terms of the Administration Agreement, which is included in other general and administrative expenses in the Consolidated Statements of Operations. For the three and nine months ended September 30, 2025, the Company incurred $1.1 million and $3.1 million, respectively for administrative services payable to the Adviser under the terms of the Administration Agreement.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color w:val="auto"/>
        </w:rPr>
        <w:t>Investment Advisory Agreement</w:t>
      </w:r>
    </w:p>
    <w:p>
      <w:pPr>
        <w:spacing w:after="0" w:line="119"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On June 28, 2022, the Company entered into the Investment Advisory Agreement with the Adviser. Under the terms of the Investment Advisory Agreement, the Adviser provides investment advisory services to the Company. The Adviser’s services under the Investment Advisory Agreement are not exclusive, and the Adviser is free to furnish similar or other services to others so long as its services to the Company are not impaired. Under the terms of the Investment Advisory Agreement, the Company will pay the Adviser a base management fee (the “Management Fee”) and may also pay an incentive fee (the “Incentive Fee”).</w:t>
      </w:r>
    </w:p>
    <w:p>
      <w:pPr>
        <w:spacing w:after="0" w:line="183" w:lineRule="exact"/>
        <w:rPr>
          <w:sz w:val="20"/>
          <w:szCs w:val="20"/>
          <w:color w:val="auto"/>
        </w:rPr>
      </w:pPr>
    </w:p>
    <w:p>
      <w:pPr>
        <w:jc w:val="both"/>
        <w:ind w:right="240" w:firstLine="255"/>
        <w:spacing w:after="0" w:line="266" w:lineRule="auto"/>
        <w:rPr>
          <w:sz w:val="20"/>
          <w:szCs w:val="20"/>
          <w:color w:val="auto"/>
        </w:rPr>
      </w:pPr>
      <w:r>
        <w:rPr>
          <w:rFonts w:ascii="Times New Roman" w:cs="Times New Roman" w:eastAsia="Times New Roman" w:hAnsi="Times New Roman"/>
          <w:sz w:val="18"/>
          <w:szCs w:val="18"/>
          <w:color w:val="auto"/>
        </w:rPr>
        <w:t>In November 2026, the Board renewed the Investment Advisory Agreement. Unless earlier terminated as described below, the Investment Advisory Agreement will remain in effect until November 2027, and may be extended subject to required approvals. The Investment Advisory Agreement may be terminated by either party without penalty on 60 days’ written notice to the other party.</w:t>
      </w:r>
    </w:p>
    <w:p>
      <w:pPr>
        <w:spacing w:after="0" w:line="176"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8"/>
          <w:szCs w:val="18"/>
          <w:color w:val="auto"/>
        </w:rPr>
        <w:t>The Management Fee is calculated at an annual rate of 1.25% of the Company’s gross assets, payable quarterly in arrears. The Management Fee will be calculated based on the average value of the Company’s gross assets at the end of the two most recently completed calendar quarters, and appropriately adjusted for any share issuances or repurchases during the current calendar quarter. Management Fees for any partial month or quarter will be appropriately prorated.</w:t>
      </w:r>
    </w:p>
    <w:p>
      <w:pPr>
        <w:spacing w:after="0" w:line="180" w:lineRule="exact"/>
        <w:rPr>
          <w:sz w:val="20"/>
          <w:szCs w:val="20"/>
          <w:color w:val="auto"/>
        </w:rPr>
      </w:pPr>
    </w:p>
    <w:p>
      <w:pPr>
        <w:ind w:right="60" w:firstLine="255"/>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2026, Management Fees (gross of waivers) were $29.3 million and $83.8 million, respectively. For the three and nine months ended September 30, 2025, Management Fees (gross of waivers) were $28.1 million and $79.9 million, respectively.</w:t>
      </w:r>
    </w:p>
    <w:p>
      <w:pPr>
        <w:spacing w:after="0" w:line="162" w:lineRule="exact"/>
        <w:rPr>
          <w:sz w:val="20"/>
          <w:szCs w:val="20"/>
          <w:color w:val="auto"/>
        </w:rPr>
      </w:pPr>
    </w:p>
    <w:p>
      <w:pPr>
        <w:ind w:right="20" w:firstLine="255"/>
        <w:spacing w:after="0" w:line="256" w:lineRule="auto"/>
        <w:rPr>
          <w:sz w:val="20"/>
          <w:szCs w:val="20"/>
          <w:color w:val="auto"/>
        </w:rPr>
      </w:pPr>
      <w:r>
        <w:rPr>
          <w:rFonts w:ascii="Times New Roman" w:cs="Times New Roman" w:eastAsia="Times New Roman" w:hAnsi="Times New Roman"/>
          <w:sz w:val="18"/>
          <w:szCs w:val="18"/>
          <w:color w:val="auto"/>
        </w:rPr>
        <w:t>Prior to any Exchange Listing that may occur, the Adviser will waive its right to receive Management Fees in excess of the sum of 1.00% of the Company’s average aggregate drawn capital (including capital drawn to pay Company expenses) as of the end of the two most recently completed calendar quarters, appropriately adjusted for any share issuances or repurchases during the relevant calendar quarter. The fee waiver will terminate if and when the Company consummates an Exchange Listing. For the three and nine months ended September 30, 2026, Management Fees of $17.6 million and $51.3 million, respectively, have been waived. For the three and nine months ended September 30, 2025, Management Fees of $17.9 million and $50.1 million, respectively, have been waived.</w:t>
      </w:r>
    </w:p>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Incentive Fee consists of two parts, as follows:</w:t>
      </w:r>
    </w:p>
    <w:p>
      <w:pPr>
        <w:spacing w:after="0" w:line="117" w:lineRule="exact"/>
        <w:rPr>
          <w:sz w:val="20"/>
          <w:szCs w:val="20"/>
          <w:color w:val="auto"/>
        </w:rPr>
      </w:pPr>
    </w:p>
    <w:p>
      <w:pPr>
        <w:ind w:left="520" w:right="80" w:hanging="257"/>
        <w:spacing w:after="0" w:line="266"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component, payable at the end of each quarter in arrears, equals 100% of the excess of pre-Incentive Fee net investment income in excess of a 1.5% quarterly hurdle rate, until the Adviser has received 12.5% (17.5% subsequent to an Exchange Listing) of total net investment income for that quarter, and 12.5% (17.5% subsequent to an Exchange Listing) of all remaining pre-Incentive Fee net investment income for that quarter.</w:t>
      </w:r>
    </w:p>
    <w:p>
      <w:pPr>
        <w:spacing w:after="0" w:line="67" w:lineRule="exact"/>
        <w:rPr>
          <w:rFonts w:ascii="Times New Roman" w:cs="Times New Roman" w:eastAsia="Times New Roman" w:hAnsi="Times New Roman"/>
          <w:sz w:val="18"/>
          <w:szCs w:val="18"/>
          <w:color w:val="auto"/>
        </w:rPr>
      </w:pPr>
    </w:p>
    <w:p>
      <w:pPr>
        <w:ind w:left="520" w:right="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Pre-Incentive Fee net investment income means dividends (including reinvested dividends), interest and fee income accrued by the Company during the calendar quarter, minus the Company’s operating expenses for the quarter (including the Management Fee, expenses payable under the Administration Agreement to the Administrator, and any interest expense and dividends paid on any issued and outstanding preferred shares, but excluding the Incentive Fee). Pre-Incentive Fee net investment income includes, in the case of investments with a deferred interest feature (such as original issue discount, debt instruments with pay-in-kind interest and zero coupon securities), accrued income that the Company has not yet received in cash. Pre-Incentive Fee net investment income does not include any realized capital gains, realized capital losses or unrealized capital appreciation or depreciation.</w:t>
      </w:r>
    </w:p>
    <w:p>
      <w:pPr>
        <w:spacing w:after="0" w:line="80" w:lineRule="exact"/>
        <w:rPr>
          <w:rFonts w:ascii="Times New Roman" w:cs="Times New Roman" w:eastAsia="Times New Roman" w:hAnsi="Times New Roman"/>
          <w:sz w:val="18"/>
          <w:szCs w:val="18"/>
          <w:color w:val="auto"/>
        </w:rPr>
      </w:pPr>
    </w:p>
    <w:p>
      <w:pPr>
        <w:ind w:left="520" w:hanging="257"/>
        <w:spacing w:after="0" w:line="253"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component, payable at the end of each fiscal year in arrears, prior to an Exchange Listing, equal 12.5% of cumulative realized capital gains from the inception of the Company to the end of such fiscal year, less the aggregate amount of any previously paid capital gain Incentive Fee for prior periods (the “Capital Gains Fee”). In the determination of the second component of the Incentive Fee, any unrealized gains/(losses) specifically related to the foreign currency denominated borrowings of non-US dollar denominated investments is offset against any associated unrealized gains/(losses) related to foreign currency denominated investments. Following an Exchange Listing, the Capital Gains Fee will equal a weighted percentage of the Company’s realized capital gains, if any, on a cumulative basis as between the inception of the Company to an Exchange Listing and from such Exchange Listing to the end of such fiscal year. The weighted percentage is intended to ensure that for each fiscal year following an Exchange Listing, the portion of the Company’s realized capital gains that accrued prior to an Exchange Listing will be subject to an Incentive Fee rate of 12.5% and the portion of the Company’s realized capital gains that accrued following an Exchange Listing will be subject to an Incentive Fee rate of 17.5%.</w:t>
      </w:r>
    </w:p>
    <w:p>
      <w:pPr>
        <w:spacing w:after="0" w:line="194" w:lineRule="exact"/>
        <w:rPr>
          <w:sz w:val="20"/>
          <w:szCs w:val="20"/>
          <w:color w:val="auto"/>
        </w:rPr>
      </w:pPr>
    </w:p>
    <w:p>
      <w:pPr>
        <w:ind w:right="420" w:firstLine="255"/>
        <w:spacing w:after="0" w:line="282" w:lineRule="auto"/>
        <w:rPr>
          <w:sz w:val="20"/>
          <w:szCs w:val="20"/>
          <w:color w:val="auto"/>
        </w:rPr>
      </w:pPr>
      <w:r>
        <w:rPr>
          <w:rFonts w:ascii="Times New Roman" w:cs="Times New Roman" w:eastAsia="Times New Roman" w:hAnsi="Times New Roman"/>
          <w:sz w:val="18"/>
          <w:szCs w:val="18"/>
          <w:color w:val="auto"/>
        </w:rPr>
        <w:t>For purposes of determining whether pre-Incentive Fee net investment income exceeds the hurdle rate, pre-Incentive Fee net investment income is expressed as a rate of return on the average daily hurdle calculation value throughout the immediately preceding calendar quarter.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4" w:right="359" w:bottom="1440" w:gutter="0" w:footer="0" w:header="0"/>
        </w:sectPr>
      </w:pPr>
    </w:p>
    <w:bookmarkStart w:id="28" w:name="page29"/>
    <w:bookmarkEnd w:id="28"/>
    <w:p>
      <w:pPr>
        <w:ind w:right="200" w:firstLine="255"/>
        <w:spacing w:after="0" w:line="282" w:lineRule="auto"/>
        <w:rPr>
          <w:sz w:val="20"/>
          <w:szCs w:val="20"/>
          <w:color w:val="auto"/>
        </w:rPr>
      </w:pPr>
      <w:r>
        <w:rPr>
          <w:rFonts w:ascii="Times New Roman" w:cs="Times New Roman" w:eastAsia="Times New Roman" w:hAnsi="Times New Roman"/>
          <w:sz w:val="18"/>
          <w:szCs w:val="18"/>
          <w:color w:val="auto"/>
        </w:rPr>
        <w:t>Section 205(b)(3) of the Investment Advisers Act of 1940, as amended, or the Advisers Act, prohibits the Adviser from receiving the payment of fees on unrealized gains until those gains are realized, if ever. There can be no assurance that such unrealized gains will be realized in the future.</w:t>
      </w:r>
    </w:p>
    <w:p>
      <w:pPr>
        <w:spacing w:after="0" w:line="162" w:lineRule="exact"/>
        <w:rPr>
          <w:sz w:val="20"/>
          <w:szCs w:val="20"/>
          <w:color w:val="auto"/>
        </w:rPr>
      </w:pPr>
    </w:p>
    <w:p>
      <w:pPr>
        <w:ind w:right="160" w:firstLine="255"/>
        <w:spacing w:after="0" w:line="266" w:lineRule="auto"/>
        <w:rPr>
          <w:sz w:val="20"/>
          <w:szCs w:val="20"/>
          <w:color w:val="auto"/>
        </w:rPr>
      </w:pPr>
      <w:r>
        <w:rPr>
          <w:rFonts w:ascii="Times New Roman" w:cs="Times New Roman" w:eastAsia="Times New Roman" w:hAnsi="Times New Roman"/>
          <w:sz w:val="18"/>
          <w:szCs w:val="18"/>
          <w:color w:val="auto"/>
        </w:rPr>
        <w:t>An “Exchange Listing” is a quotation or listing of the Company’s securities on a national securities exchange (including through an initial public offering) or a sale of all or substantially all of our assets to, or a merger or other liquidity transaction with, an entity in which the Company’s shareholders receive shares of a publicly-traded company which continues to be managed by the Adviser or an affiliate thereof.</w:t>
      </w:r>
    </w:p>
    <w:p>
      <w:pPr>
        <w:spacing w:after="0" w:line="176" w:lineRule="exact"/>
        <w:rPr>
          <w:sz w:val="20"/>
          <w:szCs w:val="20"/>
          <w:color w:val="auto"/>
        </w:rPr>
      </w:pPr>
    </w:p>
    <w:p>
      <w:pPr>
        <w:ind w:right="100" w:firstLine="255"/>
        <w:spacing w:after="0" w:line="258" w:lineRule="auto"/>
        <w:rPr>
          <w:sz w:val="20"/>
          <w:szCs w:val="20"/>
          <w:color w:val="auto"/>
        </w:rPr>
      </w:pPr>
      <w:r>
        <w:rPr>
          <w:rFonts w:ascii="Times New Roman" w:cs="Times New Roman" w:eastAsia="Times New Roman" w:hAnsi="Times New Roman"/>
          <w:sz w:val="18"/>
          <w:szCs w:val="18"/>
          <w:color w:val="auto"/>
        </w:rPr>
        <w:t>For the three and nine months ended September 30, 2026, Incentive Fees on net investment income were $21.0 million and $59.8 million, respectively. For the three and nine months ended September 30, 2026, the Company had no accrual and an accrual of $(14.9) million, respectively, related to capital gains fees. For the three and nine months ended September 30, 2025, Incentive Fees on net investment income were $20.2 million and $62.6 million, respectively. For the three and nine months ended September 30, 2025, the Company had an accrual of $(1.0) million and $(3.8) million, respectively, related to Capital Gains Fees. As of September 30, 2026, the Capital Gains Fees are not contractually payable to the Adviser.</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Expense Support Agreement</w:t>
      </w:r>
    </w:p>
    <w:p>
      <w:pPr>
        <w:spacing w:after="0" w:line="119" w:lineRule="exact"/>
        <w:rPr>
          <w:sz w:val="20"/>
          <w:szCs w:val="20"/>
          <w:color w:val="auto"/>
        </w:rPr>
      </w:pPr>
    </w:p>
    <w:p>
      <w:pPr>
        <w:ind w:firstLine="255"/>
        <w:spacing w:after="0" w:line="253" w:lineRule="auto"/>
        <w:rPr>
          <w:sz w:val="20"/>
          <w:szCs w:val="20"/>
          <w:color w:val="auto"/>
        </w:rPr>
      </w:pPr>
      <w:r>
        <w:rPr>
          <w:rFonts w:ascii="Times New Roman" w:cs="Times New Roman" w:eastAsia="Times New Roman" w:hAnsi="Times New Roman"/>
          <w:sz w:val="18"/>
          <w:szCs w:val="18"/>
          <w:color w:val="auto"/>
        </w:rPr>
        <w:t>On June 28, 2022, the Company entered into an expense support and conditional reimbursement agreement (the “Expense Support Agreement”) with the Adviser. The Expense Support Agreement provides that, at such times as the Adviser determines, the Adviser may pay certain expenses of the Company, provided that no portion of the payment will be used to pay any interest (each an “Expense Payment”). Such Expense Payment will be made in any combination of cash or other immediately available funds no later than forty-five days after a written commitment from the Adviser to pay such expense, and/or by an offset against amounts due from us to the Adviser or its affiliates. Following any calendar quarter in which Available Operating Funds (as defined in the Expense Support Agreement) exceed the cumulative distributions accrued to the Company’s shareholders based on distributions declared with respect to record dates occurring in such calendar quarter (such amount referred to as the “Excess Operating Funds”), the Company shall pay such Excess Operating Funds, or a portion thereof (each, a “Reimbursement Payment”), to the Adviser until such time as all Expense Payments made by the Adviser to us within three years prior to the last business day of such calendar quarter have been reimbursed. The amount of the Reimbursement Payment for any calendar quarter shall equal the lesser of (i) the Excess Operating Funds in such quarter and (ii) the aggregate amount of all Expense Payments made by the Adviser to us within three years prior to the last business day of such calendar quarter that have not been previously reimbursed by us to the Adviser. The Adviser may waive its right to receive all or a portion of any Reimbursement Payment in any particular calendar quarter, so that such Reimbursement Payment may be reimbursable in a future calendar quarter.</w:t>
      </w:r>
    </w:p>
    <w:p>
      <w:pPr>
        <w:spacing w:after="0" w:line="187" w:lineRule="exact"/>
        <w:rPr>
          <w:sz w:val="20"/>
          <w:szCs w:val="20"/>
          <w:color w:val="auto"/>
        </w:rPr>
      </w:pPr>
    </w:p>
    <w:p>
      <w:pPr>
        <w:ind w:right="240" w:firstLine="255"/>
        <w:spacing w:after="0" w:line="282" w:lineRule="auto"/>
        <w:rPr>
          <w:sz w:val="20"/>
          <w:szCs w:val="20"/>
          <w:color w:val="auto"/>
        </w:rPr>
      </w:pPr>
      <w:r>
        <w:rPr>
          <w:rFonts w:ascii="Times New Roman" w:cs="Times New Roman" w:eastAsia="Times New Roman" w:hAnsi="Times New Roman"/>
          <w:sz w:val="18"/>
          <w:szCs w:val="18"/>
          <w:color w:val="auto"/>
        </w:rPr>
        <w:t>As of September 30, 2026 and 2025, the Adviser had not provided any written commitments for Expense Payments. The Company has not made any Reimbursement Payments to the Adviser. The Company may or may not reimburse remaining expenses in the future.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w:t>
      </w:r>
    </w:p>
    <w:p>
      <w:pPr>
        <w:spacing w:after="0" w:line="119" w:lineRule="exact"/>
        <w:rPr>
          <w:sz w:val="20"/>
          <w:szCs w:val="20"/>
          <w:color w:val="auto"/>
        </w:rPr>
      </w:pPr>
    </w:p>
    <w:p>
      <w:pPr>
        <w:ind w:right="180" w:firstLine="255"/>
        <w:spacing w:after="0" w:line="282" w:lineRule="auto"/>
        <w:rPr>
          <w:sz w:val="20"/>
          <w:szCs w:val="20"/>
          <w:color w:val="auto"/>
        </w:rPr>
      </w:pPr>
      <w:r>
        <w:rPr>
          <w:rFonts w:ascii="Times New Roman" w:cs="Times New Roman" w:eastAsia="Times New Roman" w:hAnsi="Times New Roman"/>
          <w:sz w:val="18"/>
          <w:szCs w:val="18"/>
          <w:color w:val="auto"/>
        </w:rPr>
        <w:t>We have entered into a License Agreement with Austin IP, LLC that grants us a non-exclusive, royalty-free license to use the mark “Sixth Street” and any derivative thereof.</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Investments at Fair Value</w:t>
      </w:r>
    </w:p>
    <w:p>
      <w:pPr>
        <w:spacing w:after="0" w:line="121" w:lineRule="exact"/>
        <w:rPr>
          <w:sz w:val="20"/>
          <w:szCs w:val="20"/>
          <w:color w:val="auto"/>
        </w:rPr>
      </w:pPr>
    </w:p>
    <w:p>
      <w:pPr>
        <w:ind w:right="60" w:firstLine="255"/>
        <w:spacing w:after="0" w:line="255" w:lineRule="auto"/>
        <w:rPr>
          <w:sz w:val="20"/>
          <w:szCs w:val="20"/>
          <w:color w:val="auto"/>
        </w:rPr>
      </w:pPr>
      <w:r>
        <w:rPr>
          <w:rFonts w:ascii="Times New Roman" w:cs="Times New Roman" w:eastAsia="Times New Roman" w:hAnsi="Times New Roman"/>
          <w:sz w:val="18"/>
          <w:szCs w:val="18"/>
          <w:color w:val="auto"/>
        </w:rPr>
        <w:t>Under the 1940 Act, the Company is required to separately identify non-controlled investments where it owns 5% or more of a portfolio company’s outstanding voting securities as investments in “affiliated” companies. In addition, under the 1940 Act, the Company is required to separately identify investments where it owns more than 25% of a portfolio company’s outstanding voting securities and/or had the power to exercise control over the management or policies of such portfolio company as investments in “controlled” companies. Detailed information with respect to the Company’s non-controlled, non-affiliated; non-controlled, affiliated; and controlled, affiliated investments is contained in the accompanying Consolidated Financial Statements, including the Consolidated Schedules of Investments. The information in the tables below is presented on an aggregate portfolio basis, without regard to whether they are non-controlled, non-affiliated; non-controlled, affiliated; or controlled, affiliated investments.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29" w:name="page30"/>
    <w:bookmarkEnd w:id="29"/>
    <w:p>
      <w:pPr>
        <w:ind w:left="260"/>
        <w:spacing w:after="0"/>
        <w:rPr>
          <w:sz w:val="20"/>
          <w:szCs w:val="20"/>
          <w:color w:val="auto"/>
        </w:rPr>
      </w:pPr>
      <w:r>
        <w:rPr>
          <w:rFonts w:ascii="Times New Roman" w:cs="Times New Roman" w:eastAsia="Times New Roman" w:hAnsi="Times New Roman"/>
          <w:sz w:val="18"/>
          <w:szCs w:val="18"/>
          <w:color w:val="auto"/>
        </w:rPr>
        <w:t>Investments at fair value consisted of the following at September 30, 2026 and December 31, 2025:</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3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3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 xml:space="preserve">Amortized Cost </w:t>
            </w:r>
            <w:r>
              <w:rPr>
                <w:rFonts w:ascii="Times New Roman" w:cs="Times New Roman" w:eastAsia="Times New Roman" w:hAnsi="Times New Roman"/>
                <w:sz w:val="19"/>
                <w:szCs w:val="19"/>
                <w:b w:val="1"/>
                <w:bCs w:val="1"/>
                <w:color w:val="auto"/>
                <w:vertAlign w:val="superscript"/>
              </w:rPr>
              <w:t>(1)</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jc w:val="center"/>
              <w:ind w:right="76"/>
              <w:spacing w:after="0" w:line="118" w:lineRule="exact"/>
              <w:rPr>
                <w:sz w:val="20"/>
                <w:szCs w:val="20"/>
                <w:color w:val="auto"/>
              </w:rPr>
            </w:pPr>
            <w:r>
              <w:rPr>
                <w:rFonts w:ascii="Times New Roman" w:cs="Times New Roman" w:eastAsia="Times New Roman" w:hAnsi="Times New Roman"/>
                <w:sz w:val="13"/>
                <w:szCs w:val="13"/>
                <w:b w:val="1"/>
                <w:bCs w:val="1"/>
                <w:color w:val="auto"/>
              </w:rPr>
              <w:t>Net Unrealized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8,687,827</w:t>
            </w: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8,658,565</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(29,262)</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40,483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Mezzanine debt investments</w:t>
            </w:r>
          </w:p>
        </w:tc>
        <w:tc>
          <w:tcPr>
            <w:tcW w:w="126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234,779</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240,077</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213,814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234,048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Joint venture investments</w:t>
            </w:r>
          </w:p>
        </w:tc>
        <w:tc>
          <w:tcPr>
            <w:tcW w:w="1260" w:type="dxa"/>
            <w:vAlign w:val="bottom"/>
            <w:tcBorders>
              <w:bottom w:val="single" w:sz="8" w:color="CFF0FC"/>
              <w:right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37,832</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40,007</w:t>
            </w: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9,214,253</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9,213,180</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(1,073)</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3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 xml:space="preserve">Amortized Cost </w:t>
            </w:r>
            <w:r>
              <w:rPr>
                <w:rFonts w:ascii="Times New Roman" w:cs="Times New Roman" w:eastAsia="Times New Roman" w:hAnsi="Times New Roman"/>
                <w:sz w:val="19"/>
                <w:szCs w:val="19"/>
                <w:b w:val="1"/>
                <w:bCs w:val="1"/>
                <w:color w:val="auto"/>
                <w:vertAlign w:val="superscript"/>
              </w:rPr>
              <w:t>(1)</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jc w:val="center"/>
              <w:ind w:right="56"/>
              <w:spacing w:after="0" w:line="118" w:lineRule="exact"/>
              <w:rPr>
                <w:sz w:val="20"/>
                <w:szCs w:val="20"/>
                <w:color w:val="auto"/>
              </w:rPr>
            </w:pPr>
            <w:r>
              <w:rPr>
                <w:rFonts w:ascii="Times New Roman" w:cs="Times New Roman" w:eastAsia="Times New Roman" w:hAnsi="Times New Roman"/>
                <w:sz w:val="13"/>
                <w:szCs w:val="13"/>
                <w:b w:val="1"/>
                <w:bCs w:val="1"/>
                <w:color w:val="auto"/>
              </w:rPr>
              <w:t>Net Unrealized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7,483,884</w:t>
            </w: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7,659,912</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176,028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35,279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37,383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Mezzanine debt investments</w:t>
            </w:r>
          </w:p>
        </w:tc>
        <w:tc>
          <w:tcPr>
            <w:tcW w:w="126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215,194</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222,366</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1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158,509</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188,993</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7,892,866</w:t>
            </w: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8,108,654</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215,788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6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-1327785</wp:posOffset>
            </wp:positionV>
            <wp:extent cx="5143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-1327785</wp:posOffset>
            </wp:positionV>
            <wp:extent cx="5143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-1327785</wp:posOffset>
            </wp:positionV>
            <wp:extent cx="5143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-24765</wp:posOffset>
            </wp:positionV>
            <wp:extent cx="5143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-7620</wp:posOffset>
            </wp:positionV>
            <wp:extent cx="5143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-24765</wp:posOffset>
            </wp:positionV>
            <wp:extent cx="5143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-7620</wp:posOffset>
            </wp:positionV>
            <wp:extent cx="5143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45" w:lineRule="exact"/>
        <w:rPr>
          <w:sz w:val="20"/>
          <w:szCs w:val="20"/>
          <w:color w:val="auto"/>
        </w:rPr>
      </w:pPr>
    </w:p>
    <w:p>
      <w:pPr>
        <w:ind w:left="520" w:hanging="512"/>
        <w:spacing w:after="0" w:line="282"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amortized cost represents the original cost adjusted for the amortization of discounts or premiums, as applicable, on debt investments using the effective interest method.</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industry composition of investments at fair value at September 30, 2026 and December 31, 2025 is as follows:</w:t>
      </w:r>
    </w:p>
    <w:p>
      <w:pPr>
        <w:spacing w:after="0" w:line="219"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5580" w:type="dxa"/>
            <w:vAlign w:val="bottom"/>
          </w:tcPr>
          <w:p>
            <w:pPr>
              <w:spacing w:after="0"/>
              <w:rPr>
                <w:sz w:val="15"/>
                <w:szCs w:val="15"/>
                <w:color w:val="auto"/>
              </w:rPr>
            </w:pPr>
          </w:p>
        </w:tc>
        <w:tc>
          <w:tcPr>
            <w:tcW w:w="16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80" w:type="dxa"/>
            <w:vAlign w:val="bottom"/>
          </w:tcPr>
          <w:p>
            <w:pPr>
              <w:spacing w:after="0"/>
              <w:rPr>
                <w:sz w:val="15"/>
                <w:szCs w:val="15"/>
                <w:color w:val="auto"/>
              </w:rPr>
            </w:pPr>
          </w:p>
        </w:tc>
        <w:tc>
          <w:tcPr>
            <w:tcW w:w="17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80" w:type="dxa"/>
            <w:vAlign w:val="bottom"/>
          </w:tcPr>
          <w:p>
            <w:pPr>
              <w:spacing w:after="0"/>
              <w:rPr>
                <w:sz w:val="15"/>
                <w:szCs w:val="15"/>
                <w:color w:val="auto"/>
              </w:rPr>
            </w:pPr>
          </w:p>
        </w:tc>
      </w:tr>
      <w:tr>
        <w:trPr>
          <w:trHeight w:val="210"/>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Automotive</w:t>
            </w:r>
          </w:p>
        </w:tc>
        <w:tc>
          <w:tcPr>
            <w:tcW w:w="1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3.3%</w:t>
            </w:r>
          </w:p>
        </w:tc>
        <w:tc>
          <w:tcPr>
            <w:tcW w:w="1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Business Services</w:t>
            </w:r>
          </w:p>
        </w:tc>
        <w:tc>
          <w:tcPr>
            <w:tcW w:w="1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20.9%</w:t>
            </w:r>
          </w:p>
        </w:tc>
        <w:tc>
          <w:tcPr>
            <w:tcW w:w="1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19.7%</w:t>
            </w:r>
          </w:p>
        </w:tc>
      </w:tr>
      <w:tr>
        <w:trPr>
          <w:trHeight w:val="216"/>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Chemicals</w:t>
            </w:r>
          </w:p>
        </w:tc>
        <w:tc>
          <w:tcPr>
            <w:tcW w:w="1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0.4%</w:t>
            </w:r>
          </w:p>
        </w:tc>
        <w:tc>
          <w:tcPr>
            <w:tcW w:w="1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Communications</w:t>
            </w:r>
          </w:p>
        </w:tc>
        <w:tc>
          <w:tcPr>
            <w:tcW w:w="1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w:t>
            </w:r>
          </w:p>
        </w:tc>
        <w:tc>
          <w:tcPr>
            <w:tcW w:w="1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Education</w:t>
            </w:r>
          </w:p>
        </w:tc>
        <w:tc>
          <w:tcPr>
            <w:tcW w:w="1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3.7%</w:t>
            </w:r>
          </w:p>
        </w:tc>
        <w:tc>
          <w:tcPr>
            <w:tcW w:w="1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Electronics</w:t>
            </w:r>
          </w:p>
        </w:tc>
        <w:tc>
          <w:tcPr>
            <w:tcW w:w="1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w:t>
            </w:r>
          </w:p>
        </w:tc>
        <w:tc>
          <w:tcPr>
            <w:tcW w:w="1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Services</w:t>
            </w:r>
          </w:p>
        </w:tc>
        <w:tc>
          <w:tcPr>
            <w:tcW w:w="1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0.4%</w:t>
            </w:r>
          </w:p>
        </w:tc>
        <w:tc>
          <w:tcPr>
            <w:tcW w:w="1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0.4%</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Healthcare</w:t>
            </w:r>
          </w:p>
        </w:tc>
        <w:tc>
          <w:tcPr>
            <w:tcW w:w="1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14.3%</w:t>
            </w:r>
          </w:p>
        </w:tc>
        <w:tc>
          <w:tcPr>
            <w:tcW w:w="1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Hotel, Gaming and Leisure</w:t>
            </w:r>
          </w:p>
        </w:tc>
        <w:tc>
          <w:tcPr>
            <w:tcW w:w="1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8.3%</w:t>
            </w:r>
          </w:p>
        </w:tc>
        <w:tc>
          <w:tcPr>
            <w:tcW w:w="1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Human Resource Support Services</w:t>
            </w:r>
          </w:p>
        </w:tc>
        <w:tc>
          <w:tcPr>
            <w:tcW w:w="1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w:t>
            </w:r>
          </w:p>
        </w:tc>
        <w:tc>
          <w:tcPr>
            <w:tcW w:w="1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Internet Services</w:t>
            </w:r>
          </w:p>
        </w:tc>
        <w:tc>
          <w:tcPr>
            <w:tcW w:w="1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8.5%</w:t>
            </w:r>
          </w:p>
        </w:tc>
        <w:tc>
          <w:tcPr>
            <w:tcW w:w="1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Manufacturing</w:t>
            </w:r>
          </w:p>
        </w:tc>
        <w:tc>
          <w:tcPr>
            <w:tcW w:w="1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w:t>
            </w:r>
          </w:p>
        </w:tc>
        <w:tc>
          <w:tcPr>
            <w:tcW w:w="1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Oil, Gas and Consumable Fuels</w:t>
            </w:r>
          </w:p>
        </w:tc>
        <w:tc>
          <w:tcPr>
            <w:tcW w:w="1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1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55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4"/>
                <w:szCs w:val="24"/>
                <w:color w:val="auto"/>
                <w:vertAlign w:val="superscript"/>
              </w:rPr>
              <w:t>(2)</w:t>
            </w:r>
          </w:p>
        </w:tc>
        <w:tc>
          <w:tcPr>
            <w:tcW w:w="1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w:t>
            </w:r>
          </w:p>
        </w:tc>
        <w:tc>
          <w:tcPr>
            <w:tcW w:w="1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Pharmaceuticals</w:t>
            </w:r>
          </w:p>
        </w:tc>
        <w:tc>
          <w:tcPr>
            <w:tcW w:w="1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5.3%</w:t>
            </w:r>
          </w:p>
        </w:tc>
        <w:tc>
          <w:tcPr>
            <w:tcW w:w="1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55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Real Estate </w:t>
            </w:r>
            <w:r>
              <w:rPr>
                <w:rFonts w:ascii="Times New Roman" w:cs="Times New Roman" w:eastAsia="Times New Roman" w:hAnsi="Times New Roman"/>
                <w:sz w:val="24"/>
                <w:szCs w:val="24"/>
                <w:color w:val="auto"/>
                <w:vertAlign w:val="superscript"/>
              </w:rPr>
              <w:t>(1)</w:t>
            </w:r>
          </w:p>
        </w:tc>
        <w:tc>
          <w:tcPr>
            <w:tcW w:w="1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Retail and Consumer Products</w:t>
            </w:r>
          </w:p>
        </w:tc>
        <w:tc>
          <w:tcPr>
            <w:tcW w:w="1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9.7%</w:t>
            </w:r>
          </w:p>
        </w:tc>
        <w:tc>
          <w:tcPr>
            <w:tcW w:w="1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Transportation</w:t>
            </w:r>
          </w:p>
        </w:tc>
        <w:tc>
          <w:tcPr>
            <w:tcW w:w="1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w:t>
            </w:r>
          </w:p>
        </w:tc>
        <w:tc>
          <w:tcPr>
            <w:tcW w:w="1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w:t>
            </w:r>
          </w:p>
        </w:tc>
      </w:tr>
      <w:tr>
        <w:trPr>
          <w:trHeight w:val="20"/>
        </w:trPr>
        <w:tc>
          <w:tcPr>
            <w:tcW w:w="558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0"/>
        </w:trPr>
        <w:tc>
          <w:tcPr>
            <w:tcW w:w="55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5580" w:type="dxa"/>
            <w:vAlign w:val="bottom"/>
            <w:tcBorders>
              <w:top w:val="single" w:sz="8" w:color="CFF0FC"/>
            </w:tcBorders>
            <w:shd w:val="clear" w:color="auto" w:fill="CFF0FC"/>
          </w:tcPr>
          <w:p>
            <w:pPr>
              <w:spacing w:after="0" w:line="20" w:lineRule="exact"/>
              <w:rPr>
                <w:sz w:val="1"/>
                <w:szCs w:val="1"/>
                <w:color w:val="auto"/>
              </w:rPr>
            </w:pPr>
          </w:p>
        </w:tc>
        <w:tc>
          <w:tcPr>
            <w:tcW w:w="16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-24765</wp:posOffset>
            </wp:positionV>
            <wp:extent cx="11112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-7620</wp:posOffset>
            </wp:positionV>
            <wp:extent cx="11112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-24765</wp:posOffset>
            </wp:positionV>
            <wp:extent cx="11176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-7620</wp:posOffset>
            </wp:positionV>
            <wp:extent cx="11176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218"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color w:val="auto"/>
        </w:rPr>
        <w:t>Value rounds to less than 0.1%.</w:t>
      </w:r>
    </w:p>
    <w:p>
      <w:pPr>
        <w:spacing w:after="0" w:line="50"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8"/>
          <w:szCs w:val="18"/>
          <w:color w:val="auto"/>
        </w:rPr>
        <w:t>Includes joint venture investments.</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28" w:right="459" w:bottom="1440" w:gutter="0" w:footer="0" w:header="0"/>
        </w:sectPr>
      </w:pPr>
    </w:p>
    <w:bookmarkStart w:id="30" w:name="page31"/>
    <w:bookmarkEnd w:id="30"/>
    <w:p>
      <w:pPr>
        <w:ind w:left="260"/>
        <w:spacing w:after="0"/>
        <w:rPr>
          <w:sz w:val="20"/>
          <w:szCs w:val="20"/>
          <w:color w:val="auto"/>
        </w:rPr>
      </w:pPr>
      <w:r>
        <w:rPr>
          <w:rFonts w:ascii="Times New Roman" w:cs="Times New Roman" w:eastAsia="Times New Roman" w:hAnsi="Times New Roman"/>
          <w:sz w:val="18"/>
          <w:szCs w:val="18"/>
          <w:color w:val="auto"/>
        </w:rPr>
        <w:t>The geographic composition of investments at fair value at September 30, 2026 and December 31, 2025 is as follows:</w:t>
      </w:r>
    </w:p>
    <w:p>
      <w:pPr>
        <w:spacing w:after="0" w:line="219"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5620" w:type="dxa"/>
            <w:vAlign w:val="bottom"/>
          </w:tcPr>
          <w:p>
            <w:pPr>
              <w:spacing w:after="0"/>
              <w:rPr>
                <w:sz w:val="15"/>
                <w:szCs w:val="15"/>
                <w:color w:val="auto"/>
              </w:rPr>
            </w:pPr>
          </w:p>
        </w:tc>
        <w:tc>
          <w:tcPr>
            <w:tcW w:w="202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7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09"/>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70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5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Midwest</w:t>
            </w:r>
          </w:p>
        </w:tc>
        <w:tc>
          <w:tcPr>
            <w:tcW w:w="2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16.7%</w:t>
            </w: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56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Northeast</w:t>
            </w:r>
          </w:p>
        </w:tc>
        <w:tc>
          <w:tcPr>
            <w:tcW w:w="2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10.8%</w:t>
            </w:r>
          </w:p>
        </w:tc>
        <w:tc>
          <w:tcPr>
            <w:tcW w:w="1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5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South</w:t>
            </w:r>
          </w:p>
        </w:tc>
        <w:tc>
          <w:tcPr>
            <w:tcW w:w="2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19.2%</w:t>
            </w: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19.1%</w:t>
            </w:r>
          </w:p>
        </w:tc>
      </w:tr>
      <w:tr>
        <w:trPr>
          <w:trHeight w:val="216"/>
        </w:trPr>
        <w:tc>
          <w:tcPr>
            <w:tcW w:w="56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West</w:t>
            </w:r>
          </w:p>
        </w:tc>
        <w:tc>
          <w:tcPr>
            <w:tcW w:w="2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28.8%</w:t>
            </w:r>
          </w:p>
        </w:tc>
        <w:tc>
          <w:tcPr>
            <w:tcW w:w="1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24.2%</w:t>
            </w:r>
          </w:p>
        </w:tc>
      </w:tr>
      <w:tr>
        <w:trPr>
          <w:trHeight w:val="216"/>
        </w:trPr>
        <w:tc>
          <w:tcPr>
            <w:tcW w:w="56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Canada </w:t>
            </w:r>
            <w:r>
              <w:rPr>
                <w:rFonts w:ascii="Times New Roman" w:cs="Times New Roman" w:eastAsia="Times New Roman" w:hAnsi="Times New Roman"/>
                <w:sz w:val="24"/>
                <w:szCs w:val="24"/>
                <w:color w:val="auto"/>
                <w:vertAlign w:val="superscript"/>
              </w:rPr>
              <w:t>(1)</w:t>
            </w:r>
          </w:p>
        </w:tc>
        <w:tc>
          <w:tcPr>
            <w:tcW w:w="2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0.6%</w:t>
            </w: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56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Finland </w:t>
            </w:r>
            <w:r>
              <w:rPr>
                <w:rFonts w:ascii="Times New Roman" w:cs="Times New Roman" w:eastAsia="Times New Roman" w:hAnsi="Times New Roman"/>
                <w:sz w:val="24"/>
                <w:szCs w:val="24"/>
                <w:color w:val="auto"/>
                <w:vertAlign w:val="superscript"/>
              </w:rPr>
              <w:t>(1)</w:t>
            </w:r>
          </w:p>
        </w:tc>
        <w:tc>
          <w:tcPr>
            <w:tcW w:w="2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c>
          <w:tcPr>
            <w:tcW w:w="1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c>
          <w:tcPr>
            <w:tcW w:w="2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w:t>
            </w: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Germany</w:t>
            </w:r>
          </w:p>
        </w:tc>
        <w:tc>
          <w:tcPr>
            <w:tcW w:w="2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1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Italy</w:t>
            </w:r>
          </w:p>
        </w:tc>
        <w:tc>
          <w:tcPr>
            <w:tcW w:w="2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w:t>
            </w: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Netherlands</w:t>
            </w:r>
          </w:p>
        </w:tc>
        <w:tc>
          <w:tcPr>
            <w:tcW w:w="2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0.1%</w:t>
            </w:r>
          </w:p>
        </w:tc>
        <w:tc>
          <w:tcPr>
            <w:tcW w:w="1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Norway</w:t>
            </w:r>
          </w:p>
        </w:tc>
        <w:tc>
          <w:tcPr>
            <w:tcW w:w="2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w:t>
            </w: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Sweden</w:t>
            </w:r>
          </w:p>
        </w:tc>
        <w:tc>
          <w:tcPr>
            <w:tcW w:w="2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1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Switzerland</w:t>
            </w:r>
          </w:p>
        </w:tc>
        <w:tc>
          <w:tcPr>
            <w:tcW w:w="2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2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6.6%</w:t>
            </w:r>
          </w:p>
        </w:tc>
        <w:tc>
          <w:tcPr>
            <w:tcW w:w="1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8.9%</w:t>
            </w:r>
          </w:p>
        </w:tc>
      </w:tr>
      <w:tr>
        <w:trPr>
          <w:trHeight w:val="20"/>
        </w:trPr>
        <w:tc>
          <w:tcPr>
            <w:tcW w:w="5620" w:type="dxa"/>
            <w:vAlign w:val="bottom"/>
            <w:shd w:val="clear" w:color="auto" w:fill="CFF0FC"/>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09"/>
        </w:trPr>
        <w:tc>
          <w:tcPr>
            <w:tcW w:w="56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562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-170815</wp:posOffset>
            </wp:positionV>
            <wp:extent cx="11112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-170815</wp:posOffset>
            </wp:positionV>
            <wp:extent cx="11176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245"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color w:val="auto"/>
        </w:rPr>
        <w:t>Value rounds to less than 0.1%.</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Derivatives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Swaps</w:t>
      </w:r>
    </w:p>
    <w:p>
      <w:pPr>
        <w:spacing w:after="0" w:line="119" w:lineRule="exact"/>
        <w:rPr>
          <w:sz w:val="20"/>
          <w:szCs w:val="20"/>
          <w:color w:val="auto"/>
        </w:rPr>
      </w:pPr>
    </w:p>
    <w:p>
      <w:pPr>
        <w:ind w:right="160" w:firstLine="255"/>
        <w:spacing w:after="0" w:line="266" w:lineRule="auto"/>
        <w:rPr>
          <w:sz w:val="20"/>
          <w:szCs w:val="20"/>
          <w:color w:val="auto"/>
        </w:rPr>
      </w:pPr>
      <w:r>
        <w:rPr>
          <w:rFonts w:ascii="Times New Roman" w:cs="Times New Roman" w:eastAsia="Times New Roman" w:hAnsi="Times New Roman"/>
          <w:sz w:val="18"/>
          <w:szCs w:val="18"/>
          <w:color w:val="auto"/>
        </w:rPr>
        <w:t>The Company may enter into interest rate swap transactions from time to time to hedge fixed rate debt obligations and certain fixed rate debt investments. The Company’s interest rate swaps are all with one counterparty and are centrally cleared through a registered commodities exchange. Refer to the Consolidated Schedule of Investments for additional disclosure regarding these interest rate swaps.</w:t>
      </w:r>
    </w:p>
    <w:p>
      <w:pPr>
        <w:spacing w:after="0" w:line="176" w:lineRule="exact"/>
        <w:rPr>
          <w:sz w:val="20"/>
          <w:szCs w:val="20"/>
          <w:color w:val="auto"/>
        </w:rPr>
      </w:pPr>
    </w:p>
    <w:p>
      <w:pPr>
        <w:jc w:val="both"/>
        <w:ind w:right="60" w:firstLine="255"/>
        <w:spacing w:after="0" w:line="266" w:lineRule="auto"/>
        <w:rPr>
          <w:sz w:val="20"/>
          <w:szCs w:val="20"/>
          <w:color w:val="auto"/>
        </w:rPr>
      </w:pPr>
      <w:r>
        <w:rPr>
          <w:rFonts w:ascii="Times New Roman" w:cs="Times New Roman" w:eastAsia="Times New Roman" w:hAnsi="Times New Roman"/>
          <w:sz w:val="18"/>
          <w:szCs w:val="18"/>
          <w:color w:val="auto"/>
        </w:rPr>
        <w:t>Cash flows related to the Company's derivatives are included within operating activities on the Consolidated Statements of Cash Flows. The following tables present the amounts paid and received on the Company’s interest rate swap transactions, excluding upfront fees, for the three and nine months ended September 30, 2026 and 2025, respectively:</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340" w:type="dxa"/>
            <w:vAlign w:val="bottom"/>
            <w:tcBorders>
              <w:bottom w:val="single" w:sz="8" w:color="auto"/>
            </w:tcBorders>
            <w:gridSpan w:val="9"/>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2026</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260" w:type="dxa"/>
            <w:vAlign w:val="bottom"/>
            <w:tcBorders>
              <w:bottom w:val="single" w:sz="8" w:color="auto"/>
            </w:tcBorders>
            <w:gridSpan w:val="8"/>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2026</w:t>
            </w:r>
          </w:p>
        </w:tc>
        <w:tc>
          <w:tcPr>
            <w:tcW w:w="100" w:type="dxa"/>
            <w:vAlign w:val="bottom"/>
          </w:tcPr>
          <w:p>
            <w:pPr>
              <w:spacing w:after="0"/>
              <w:rPr>
                <w:sz w:val="15"/>
                <w:szCs w:val="15"/>
                <w:color w:val="auto"/>
              </w:rPr>
            </w:pPr>
          </w:p>
        </w:tc>
      </w:tr>
      <w:tr>
        <w:trPr>
          <w:trHeight w:val="183"/>
        </w:trPr>
        <w:tc>
          <w:tcPr>
            <w:tcW w:w="1700" w:type="dxa"/>
            <w:vAlign w:val="bottom"/>
          </w:tcPr>
          <w:p>
            <w:pPr>
              <w:spacing w:after="0"/>
              <w:rPr>
                <w:sz w:val="15"/>
                <w:szCs w:val="15"/>
                <w:color w:val="auto"/>
              </w:rPr>
            </w:pPr>
          </w:p>
        </w:tc>
        <w:tc>
          <w:tcPr>
            <w:tcW w:w="10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Paid</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Received</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Net</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Paid</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Received</w:t>
            </w: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5"/>
                <w:szCs w:val="15"/>
                <w:color w:val="auto"/>
              </w:rPr>
            </w:pPr>
          </w:p>
        </w:tc>
      </w:tr>
      <w:tr>
        <w:trPr>
          <w:trHeight w:val="196"/>
        </w:trPr>
        <w:tc>
          <w:tcPr>
            <w:tcW w:w="1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rate swap</w:t>
            </w:r>
          </w:p>
        </w:tc>
        <w:tc>
          <w:tcPr>
            <w:tcW w:w="136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3/11/2029 $</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600,000</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right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(9,474)</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9,750</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16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(28,093)</w:t>
            </w:r>
          </w:p>
        </w:tc>
        <w:tc>
          <w:tcPr>
            <w:tcW w:w="160" w:type="dxa"/>
            <w:vAlign w:val="bottom"/>
            <w:tcBorders>
              <w:lef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29,250</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1,157</w:t>
            </w:r>
          </w:p>
        </w:tc>
        <w:tc>
          <w:tcPr>
            <w:tcW w:w="100" w:type="dxa"/>
            <w:vAlign w:val="bottom"/>
            <w:shd w:val="clear" w:color="auto" w:fill="CFF0FC"/>
          </w:tcPr>
          <w:p>
            <w:pPr>
              <w:spacing w:after="0"/>
              <w:rPr>
                <w:sz w:val="17"/>
                <w:szCs w:val="17"/>
                <w:color w:val="auto"/>
              </w:rPr>
            </w:pPr>
          </w:p>
        </w:tc>
      </w:tr>
      <w:tr>
        <w:trPr>
          <w:trHeight w:val="203"/>
        </w:trPr>
        <w:tc>
          <w:tcPr>
            <w:tcW w:w="1700" w:type="dxa"/>
            <w:vAlign w:val="bottom"/>
          </w:tcPr>
          <w:p>
            <w:pPr>
              <w:spacing w:after="0"/>
              <w:rPr>
                <w:sz w:val="20"/>
                <w:szCs w:val="20"/>
                <w:color w:val="auto"/>
              </w:rPr>
            </w:pPr>
            <w:r>
              <w:rPr>
                <w:rFonts w:ascii="Times New Roman" w:cs="Times New Roman" w:eastAsia="Times New Roman" w:hAnsi="Times New Roman"/>
                <w:sz w:val="16"/>
                <w:szCs w:val="16"/>
                <w:color w:val="auto"/>
              </w:rPr>
              <w:t>Interest rate swap</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3/11/2029</w:t>
            </w: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(2,259)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2,438</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(6,697)</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7,313</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w:t>
            </w:r>
          </w:p>
        </w:tc>
        <w:tc>
          <w:tcPr>
            <w:tcW w:w="100" w:type="dxa"/>
            <w:vAlign w:val="bottom"/>
          </w:tcPr>
          <w:p>
            <w:pPr>
              <w:spacing w:after="0"/>
              <w:rPr>
                <w:sz w:val="17"/>
                <w:szCs w:val="17"/>
                <w:color w:val="auto"/>
              </w:rPr>
            </w:pPr>
          </w:p>
        </w:tc>
      </w:tr>
      <w:tr>
        <w:trPr>
          <w:trHeight w:val="203"/>
        </w:trPr>
        <w:tc>
          <w:tcPr>
            <w:tcW w:w="1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rate swap</w:t>
            </w:r>
          </w:p>
        </w:tc>
        <w:tc>
          <w:tcPr>
            <w:tcW w:w="1080" w:type="dxa"/>
            <w:vAlign w:val="bottom"/>
            <w:tcBorders>
              <w:right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1/15/2030</w:t>
            </w:r>
          </w:p>
        </w:tc>
        <w:tc>
          <w:tcPr>
            <w:tcW w:w="2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600,000</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tcBorders>
              <w:right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(9,527)</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8,625</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(902)</w:t>
            </w:r>
          </w:p>
        </w:tc>
        <w:tc>
          <w:tcPr>
            <w:tcW w:w="1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(28,250)</w:t>
            </w:r>
          </w:p>
        </w:tc>
        <w:tc>
          <w:tcPr>
            <w:tcW w:w="160" w:type="dxa"/>
            <w:vAlign w:val="bottom"/>
            <w:tcBorders>
              <w:lef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25,875</w:t>
            </w:r>
          </w:p>
        </w:tc>
        <w:tc>
          <w:tcPr>
            <w:tcW w:w="160" w:type="dxa"/>
            <w:vAlign w:val="bottom"/>
            <w:tcBorders>
              <w:right w:val="single" w:sz="8" w:color="CFF0FC"/>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(2,375)</w:t>
            </w:r>
          </w:p>
        </w:tc>
      </w:tr>
      <w:tr>
        <w:trPr>
          <w:trHeight w:val="202"/>
        </w:trPr>
        <w:tc>
          <w:tcPr>
            <w:tcW w:w="1700" w:type="dxa"/>
            <w:vAlign w:val="bottom"/>
          </w:tcPr>
          <w:p>
            <w:pPr>
              <w:spacing w:after="0"/>
              <w:rPr>
                <w:sz w:val="20"/>
                <w:szCs w:val="20"/>
                <w:color w:val="auto"/>
              </w:rPr>
            </w:pPr>
            <w:r>
              <w:rPr>
                <w:rFonts w:ascii="Times New Roman" w:cs="Times New Roman" w:eastAsia="Times New Roman" w:hAnsi="Times New Roman"/>
                <w:sz w:val="16"/>
                <w:szCs w:val="16"/>
                <w:color w:val="auto"/>
              </w:rPr>
              <w:t>Interest rate swap</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7/15/2030</w:t>
            </w: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750,000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(10,876)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11,484</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(32,366)</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34,452</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2,086</w:t>
            </w:r>
          </w:p>
        </w:tc>
        <w:tc>
          <w:tcPr>
            <w:tcW w:w="100" w:type="dxa"/>
            <w:vAlign w:val="bottom"/>
          </w:tcPr>
          <w:p>
            <w:pPr>
              <w:spacing w:after="0"/>
              <w:rPr>
                <w:sz w:val="17"/>
                <w:szCs w:val="17"/>
                <w:color w:val="auto"/>
              </w:rPr>
            </w:pPr>
          </w:p>
        </w:tc>
      </w:tr>
      <w:tr>
        <w:trPr>
          <w:trHeight w:val="203"/>
        </w:trPr>
        <w:tc>
          <w:tcPr>
            <w:tcW w:w="1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rate swap</w:t>
            </w:r>
          </w:p>
        </w:tc>
        <w:tc>
          <w:tcPr>
            <w:tcW w:w="1080" w:type="dxa"/>
            <w:vAlign w:val="bottom"/>
            <w:tcBorders>
              <w:right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12/15/2031</w:t>
            </w:r>
          </w:p>
        </w:tc>
        <w:tc>
          <w:tcPr>
            <w:tcW w:w="2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750,000</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tcBorders>
              <w:right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(486)</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542</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6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(486)</w:t>
            </w:r>
          </w:p>
        </w:tc>
        <w:tc>
          <w:tcPr>
            <w:tcW w:w="160" w:type="dxa"/>
            <w:vAlign w:val="bottom"/>
            <w:tcBorders>
              <w:lef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542</w:t>
            </w:r>
          </w:p>
        </w:tc>
        <w:tc>
          <w:tcPr>
            <w:tcW w:w="160" w:type="dxa"/>
            <w:vAlign w:val="bottom"/>
            <w:tcBorders>
              <w:right w:val="single" w:sz="8" w:color="CFF0FC"/>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shd w:val="clear" w:color="auto" w:fill="CFF0FC"/>
          </w:tcPr>
          <w:p>
            <w:pPr>
              <w:spacing w:after="0"/>
              <w:rPr>
                <w:sz w:val="17"/>
                <w:szCs w:val="17"/>
                <w:color w:val="auto"/>
              </w:rPr>
            </w:pPr>
          </w:p>
        </w:tc>
      </w:tr>
      <w:tr>
        <w:trPr>
          <w:trHeight w:val="20"/>
        </w:trPr>
        <w:tc>
          <w:tcPr>
            <w:tcW w:w="1700" w:type="dxa"/>
            <w:vAlign w:val="bottom"/>
            <w:shd w:val="clear" w:color="auto" w:fill="CFF0FC"/>
          </w:tcPr>
          <w:p>
            <w:pPr>
              <w:spacing w:after="0" w:line="20" w:lineRule="exact"/>
              <w:rPr>
                <w:sz w:val="1"/>
                <w:szCs w:val="1"/>
                <w:color w:val="auto"/>
              </w:rPr>
            </w:pPr>
          </w:p>
        </w:tc>
        <w:tc>
          <w:tcPr>
            <w:tcW w:w="1080" w:type="dxa"/>
            <w:vAlign w:val="bottom"/>
            <w:tcBorders>
              <w:right w:val="single" w:sz="8" w:color="CFF0FC"/>
            </w:tcBorders>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tcBorders>
              <w:left w:val="single" w:sz="8" w:color="CFF0FC"/>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tcBorders>
              <w:right w:val="single" w:sz="8" w:color="CFF0FC"/>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17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80" w:type="dxa"/>
            <w:vAlign w:val="bottom"/>
          </w:tcPr>
          <w:p>
            <w:pPr>
              <w:spacing w:after="0"/>
              <w:rPr>
                <w:sz w:val="17"/>
                <w:szCs w:val="17"/>
                <w:color w:val="auto"/>
              </w:rPr>
            </w:pPr>
          </w:p>
        </w:tc>
        <w:tc>
          <w:tcPr>
            <w:tcW w:w="280" w:type="dxa"/>
            <w:vAlign w:val="bottom"/>
          </w:tcPr>
          <w:p>
            <w:pPr>
              <w:jc w:val="right"/>
              <w:ind w:right="124"/>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2,850,000</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(32,622)</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32,839</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(95,892)</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97,432</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1,540</w:t>
            </w:r>
          </w:p>
        </w:tc>
        <w:tc>
          <w:tcPr>
            <w:tcW w:w="100" w:type="dxa"/>
            <w:vAlign w:val="bottom"/>
          </w:tcPr>
          <w:p>
            <w:pPr>
              <w:spacing w:after="0"/>
              <w:rPr>
                <w:sz w:val="17"/>
                <w:szCs w:val="17"/>
                <w:color w:val="auto"/>
              </w:rPr>
            </w:pPr>
          </w:p>
        </w:tc>
      </w:tr>
      <w:tr>
        <w:trPr>
          <w:trHeight w:val="20"/>
        </w:trPr>
        <w:tc>
          <w:tcPr>
            <w:tcW w:w="17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93"/>
        </w:trPr>
        <w:tc>
          <w:tcPr>
            <w:tcW w:w="1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9"/>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2025</w:t>
            </w:r>
          </w:p>
        </w:tc>
        <w:tc>
          <w:tcPr>
            <w:tcW w:w="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8"/>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2025</w:t>
            </w:r>
          </w:p>
        </w:tc>
        <w:tc>
          <w:tcPr>
            <w:tcW w:w="100" w:type="dxa"/>
            <w:vAlign w:val="bottom"/>
          </w:tcPr>
          <w:p>
            <w:pPr>
              <w:spacing w:after="0"/>
              <w:rPr>
                <w:sz w:val="24"/>
                <w:szCs w:val="24"/>
                <w:color w:val="auto"/>
              </w:rPr>
            </w:pPr>
          </w:p>
        </w:tc>
      </w:tr>
      <w:tr>
        <w:trPr>
          <w:trHeight w:val="183"/>
        </w:trPr>
        <w:tc>
          <w:tcPr>
            <w:tcW w:w="1700" w:type="dxa"/>
            <w:vAlign w:val="bottom"/>
          </w:tcPr>
          <w:p>
            <w:pPr>
              <w:spacing w:after="0"/>
              <w:rPr>
                <w:sz w:val="15"/>
                <w:szCs w:val="15"/>
                <w:color w:val="auto"/>
              </w:rPr>
            </w:pPr>
          </w:p>
        </w:tc>
        <w:tc>
          <w:tcPr>
            <w:tcW w:w="10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Paid</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Received</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Net</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Paid</w:t>
            </w: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Received</w:t>
            </w: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5"/>
                <w:szCs w:val="15"/>
                <w:color w:val="auto"/>
              </w:rPr>
            </w:pPr>
          </w:p>
        </w:tc>
      </w:tr>
      <w:tr>
        <w:trPr>
          <w:trHeight w:val="196"/>
        </w:trPr>
        <w:tc>
          <w:tcPr>
            <w:tcW w:w="1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rate swap</w:t>
            </w:r>
          </w:p>
        </w:tc>
        <w:tc>
          <w:tcPr>
            <w:tcW w:w="136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3/11/2029 $</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600,000</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(10,544)</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9,750</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shd w:val="clear" w:color="auto" w:fill="CFF0FC"/>
          </w:tcPr>
          <w:p>
            <w:pPr>
              <w:spacing w:after="0"/>
              <w:rPr>
                <w:sz w:val="17"/>
                <w:szCs w:val="17"/>
                <w:color w:val="auto"/>
              </w:rPr>
            </w:pPr>
          </w:p>
        </w:tc>
        <w:tc>
          <w:tcPr>
            <w:tcW w:w="82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(794)</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(31,245)</w:t>
            </w:r>
          </w:p>
        </w:tc>
        <w:tc>
          <w:tcPr>
            <w:tcW w:w="240" w:type="dxa"/>
            <w:vAlign w:val="bottom"/>
            <w:tcBorders>
              <w:lef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29,250</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(1,995)</w:t>
            </w:r>
          </w:p>
        </w:tc>
      </w:tr>
      <w:tr>
        <w:trPr>
          <w:trHeight w:val="203"/>
        </w:trPr>
        <w:tc>
          <w:tcPr>
            <w:tcW w:w="1700" w:type="dxa"/>
            <w:vAlign w:val="bottom"/>
          </w:tcPr>
          <w:p>
            <w:pPr>
              <w:spacing w:after="0"/>
              <w:rPr>
                <w:sz w:val="20"/>
                <w:szCs w:val="20"/>
                <w:color w:val="auto"/>
              </w:rPr>
            </w:pPr>
            <w:r>
              <w:rPr>
                <w:rFonts w:ascii="Times New Roman" w:cs="Times New Roman" w:eastAsia="Times New Roman" w:hAnsi="Times New Roman"/>
                <w:sz w:val="16"/>
                <w:szCs w:val="16"/>
                <w:color w:val="auto"/>
              </w:rPr>
              <w:t>Interest rate swap</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3/11/2029</w:t>
            </w: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(2,526)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2,438</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(88)</w:t>
            </w:r>
          </w:p>
        </w:tc>
        <w:tc>
          <w:tcPr>
            <w:tcW w:w="16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(7,485)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7,313</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(172)</w:t>
            </w:r>
          </w:p>
        </w:tc>
      </w:tr>
      <w:tr>
        <w:trPr>
          <w:trHeight w:val="203"/>
        </w:trPr>
        <w:tc>
          <w:tcPr>
            <w:tcW w:w="1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rate swap</w:t>
            </w:r>
          </w:p>
        </w:tc>
        <w:tc>
          <w:tcPr>
            <w:tcW w:w="1080" w:type="dxa"/>
            <w:vAlign w:val="bottom"/>
            <w:tcBorders>
              <w:right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1/15/2030</w:t>
            </w:r>
          </w:p>
        </w:tc>
        <w:tc>
          <w:tcPr>
            <w:tcW w:w="2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600,000</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(10,597)</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8,625</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(1,972)</w:t>
            </w:r>
          </w:p>
        </w:tc>
        <w:tc>
          <w:tcPr>
            <w:tcW w:w="1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(31,402)</w:t>
            </w:r>
          </w:p>
        </w:tc>
        <w:tc>
          <w:tcPr>
            <w:tcW w:w="160" w:type="dxa"/>
            <w:vAlign w:val="bottom"/>
            <w:tcBorders>
              <w:lef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25,875</w:t>
            </w:r>
          </w:p>
        </w:tc>
        <w:tc>
          <w:tcPr>
            <w:tcW w:w="160" w:type="dxa"/>
            <w:vAlign w:val="bottom"/>
            <w:tcBorders>
              <w:right w:val="single" w:sz="8" w:color="CFF0FC"/>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(5,527)</w:t>
            </w:r>
          </w:p>
        </w:tc>
      </w:tr>
      <w:tr>
        <w:trPr>
          <w:trHeight w:val="203"/>
        </w:trPr>
        <w:tc>
          <w:tcPr>
            <w:tcW w:w="1700" w:type="dxa"/>
            <w:vAlign w:val="bottom"/>
          </w:tcPr>
          <w:p>
            <w:pPr>
              <w:spacing w:after="0"/>
              <w:rPr>
                <w:sz w:val="20"/>
                <w:szCs w:val="20"/>
                <w:color w:val="auto"/>
              </w:rPr>
            </w:pPr>
            <w:r>
              <w:rPr>
                <w:rFonts w:ascii="Times New Roman" w:cs="Times New Roman" w:eastAsia="Times New Roman" w:hAnsi="Times New Roman"/>
                <w:sz w:val="16"/>
                <w:szCs w:val="16"/>
                <w:color w:val="auto"/>
              </w:rPr>
              <w:t>Interest rate swap</w:t>
            </w:r>
          </w:p>
        </w:tc>
        <w:tc>
          <w:tcPr>
            <w:tcW w:w="10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7/15/2030</w:t>
            </w: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750,000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(12,212)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11,484</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(728)</w:t>
            </w:r>
          </w:p>
        </w:tc>
        <w:tc>
          <w:tcPr>
            <w:tcW w:w="16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(33,781)</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32,156</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(1,625)</w:t>
            </w:r>
          </w:p>
        </w:tc>
      </w:tr>
      <w:tr>
        <w:trPr>
          <w:trHeight w:val="20"/>
        </w:trPr>
        <w:tc>
          <w:tcPr>
            <w:tcW w:w="17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17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8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2,100,000</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(35,879)</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32,297</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shd w:val="clear" w:color="auto" w:fill="CFF0FC"/>
          </w:tcPr>
          <w:p>
            <w:pPr>
              <w:spacing w:after="0"/>
              <w:rPr>
                <w:sz w:val="18"/>
                <w:szCs w:val="18"/>
                <w:color w:val="auto"/>
              </w:rPr>
            </w:pPr>
          </w:p>
        </w:tc>
        <w:tc>
          <w:tcPr>
            <w:tcW w:w="82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(3,582)</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(103,913)</w:t>
            </w:r>
          </w:p>
        </w:tc>
        <w:tc>
          <w:tcPr>
            <w:tcW w:w="240" w:type="dxa"/>
            <w:vAlign w:val="bottom"/>
            <w:tcBorders>
              <w:lef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94,594</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(9,319)</w:t>
            </w:r>
          </w:p>
        </w:tc>
      </w:tr>
      <w:tr>
        <w:trPr>
          <w:trHeight w:val="20"/>
        </w:trPr>
        <w:tc>
          <w:tcPr>
            <w:tcW w:w="170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2482215</wp:posOffset>
            </wp:positionH>
            <wp:positionV relativeFrom="paragraph">
              <wp:posOffset>-1302385</wp:posOffset>
            </wp:positionV>
            <wp:extent cx="6858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-1302385</wp:posOffset>
            </wp:positionV>
            <wp:extent cx="6858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-1302385</wp:posOffset>
            </wp:positionV>
            <wp:extent cx="6858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-1302385</wp:posOffset>
            </wp:positionV>
            <wp:extent cx="6858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-1302385</wp:posOffset>
            </wp:positionV>
            <wp:extent cx="6858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-1302385</wp:posOffset>
            </wp:positionV>
            <wp:extent cx="6858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-1302385</wp:posOffset>
            </wp:positionV>
            <wp:extent cx="6858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-25400</wp:posOffset>
            </wp:positionV>
            <wp:extent cx="6858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-8255</wp:posOffset>
            </wp:positionV>
            <wp:extent cx="6858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-25400</wp:posOffset>
            </wp:positionV>
            <wp:extent cx="6858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-8255</wp:posOffset>
            </wp:positionV>
            <wp:extent cx="6858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-25400</wp:posOffset>
            </wp:positionV>
            <wp:extent cx="6858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-8255</wp:posOffset>
            </wp:positionV>
            <wp:extent cx="6858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-25400</wp:posOffset>
            </wp:positionV>
            <wp:extent cx="6858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-8255</wp:posOffset>
            </wp:positionV>
            <wp:extent cx="6858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-25400</wp:posOffset>
            </wp:positionV>
            <wp:extent cx="6858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-8255</wp:posOffset>
            </wp:positionV>
            <wp:extent cx="6858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-25400</wp:posOffset>
            </wp:positionV>
            <wp:extent cx="6858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-8255</wp:posOffset>
            </wp:positionV>
            <wp:extent cx="6858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8"/>
          <w:szCs w:val="18"/>
          <w:color w:val="auto"/>
        </w:rPr>
        <w:t>For the three and nine months ended September 30, 2026, the Company recognized $61.9 million and $101.2 million, respectively, of unrealized losses on interest rate swaps designated as hedging instruments in the Consolidated Statements of Operations. For the three and nine months ended September 30, 2026, this amount was offset by a decrease of $14.0 million and $28.0 million, respectively, for a change in carrying value of the 2029 Notes, a decrease of $14.6 million and $24.3 million, respectively, for a change in carrying value of the January 2030 Notes, a decrease of $23.2 million and $38.8 million, respectively, for a change in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6"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carrying value of the July 2030 Notes and a decrease of $10.1 million and $10.1 million, respectively, for a change in carrying value of the 2031 Notes.</w:t>
      </w:r>
    </w:p>
    <w:p>
      <w:pPr>
        <w:spacing w:after="0" w:line="225"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8"/>
          <w:szCs w:val="18"/>
          <w:color w:val="auto"/>
        </w:rPr>
        <w:t>For the three and nine months ended September 30, 2025, the Company recognized $3.3 million and $60.0 million, respectively, of unrealized gains on interest rate swaps designated as hedging instruments in the Consolidated Statements of Operations. For the three and nine months ended September 30, 2025, this amount was offset by an increase of $0.5 million and $17.2 million, respectively, for a change in the carrying value of the 2029 Notes. For the three and nine months ended September 30, 2025, this amount was offset by an increase of $1.8 million and $19.3 million, respectively, for a change in the carrying value of the January 2030 Notes. For the three and nine months ended September 30, 2025, this amount was offset by an increase of $1.1 million and $23.5 million, respectively, for a change in the carrying value of the July 2030 Notes.</w:t>
      </w:r>
    </w:p>
    <w:p>
      <w:pPr>
        <w:spacing w:after="0" w:line="187" w:lineRule="exact"/>
        <w:rPr>
          <w:sz w:val="20"/>
          <w:szCs w:val="20"/>
          <w:color w:val="auto"/>
        </w:rPr>
      </w:pPr>
    </w:p>
    <w:p>
      <w:pPr>
        <w:ind w:right="80" w:firstLine="255"/>
        <w:spacing w:after="0" w:line="256" w:lineRule="auto"/>
        <w:rPr>
          <w:sz w:val="20"/>
          <w:szCs w:val="20"/>
          <w:color w:val="auto"/>
        </w:rPr>
      </w:pPr>
      <w:r>
        <w:rPr>
          <w:rFonts w:ascii="Times New Roman" w:cs="Times New Roman" w:eastAsia="Times New Roman" w:hAnsi="Times New Roman"/>
          <w:sz w:val="18"/>
          <w:szCs w:val="18"/>
          <w:color w:val="auto"/>
        </w:rPr>
        <w:t>As of September 30, 2026, the swap transactions had a fair value of $(70.3) million which is netted against cash collateral of $147.5 million. Cash is pledged as collateral under the Company’s derivative agreements and is included in restricted cash as a component of cash and cash equivalents on the Company’s Consolidated Balance Sheet. As of September 30, 2026, the derivatives had a fair value of $77.2 million. As of December 31, 2025, the swap transactions had a fair value of $30.9 million, which is netted against cash collateral of $47.7 million on the Company's Consolidated Balance Sheet. Cash is pledged as collateral under the Company’s derivative agreements and is included in restricted cash as a component of cash and cash equivalents on the Company's Consolidated Balance Sheet. As of December 31, 2025, the derivatives had a fair value of $78.6 million.</w:t>
      </w:r>
    </w:p>
    <w:p>
      <w:pPr>
        <w:spacing w:after="0" w:line="187"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The Company is required under the terms of its derivatives agreements to pledge assets as collateral to secure its obligations underlying the derivatives. The amount of collateral required varies over time based on the mark-to-market value, notional amount and remaining term of the derivatives, and may exceed the amount owed by the Company on a mark-to-market basis. Any failure by the Company to fulfill any collateral requirement (e.g., a so-called “margin call”) may result in a default. In the event of a default by a counterparty, the Company would be an unsecured creditor to the extent of any such overcollateralization.</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Company may enter into other derivative instruments and incur other exposures with the same or other counterparties in the future.</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of Financial Instruments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tables present fair value measurements of investments as of September 30, 2026 and December 31, 2025:</w:t>
      </w:r>
    </w:p>
    <w:p>
      <w:pPr>
        <w:spacing w:after="0" w:line="219" w:lineRule="exact"/>
        <w:rPr>
          <w:sz w:val="20"/>
          <w:szCs w:val="20"/>
          <w:color w:val="auto"/>
        </w:rPr>
      </w:pPr>
    </w:p>
    <w:tbl>
      <w:tblPr>
        <w:tblLayout w:type="fixed"/>
        <w:tblInd w:w="960" w:type="dxa"/>
        <w:tblCellMar>
          <w:top w:w="0" w:type="dxa"/>
          <w:left w:w="0" w:type="dxa"/>
          <w:bottom w:w="0" w:type="dxa"/>
          <w:right w:w="0" w:type="dxa"/>
        </w:tblCellMar>
      </w:tblPr>
      <w:tr>
        <w:trPr>
          <w:trHeight w:val="173"/>
        </w:trPr>
        <w:tc>
          <w:tcPr>
            <w:tcW w:w="3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7"/>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 Hierarchy at September 30, 2026</w:t>
            </w: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3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2"/>
                <w:szCs w:val="12"/>
                <w:color w:val="auto"/>
              </w:rPr>
            </w:pPr>
          </w:p>
        </w:tc>
      </w:tr>
      <w:tr>
        <w:trPr>
          <w:trHeight w:val="210"/>
        </w:trPr>
        <w:tc>
          <w:tcPr>
            <w:tcW w:w="3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1660" w:type="dxa"/>
            <w:vAlign w:val="bottom"/>
            <w:gridSpan w:val="2"/>
            <w:shd w:val="clear" w:color="auto" w:fill="CFF0FC"/>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202,988</w:t>
            </w:r>
          </w:p>
        </w:tc>
        <w:tc>
          <w:tcPr>
            <w:tcW w:w="18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8,455,577</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8,658,565</w:t>
            </w:r>
          </w:p>
        </w:tc>
        <w:tc>
          <w:tcPr>
            <w:tcW w:w="80" w:type="dxa"/>
            <w:vAlign w:val="bottom"/>
            <w:shd w:val="clear" w:color="auto" w:fill="CFF0FC"/>
          </w:tcPr>
          <w:p>
            <w:pPr>
              <w:spacing w:after="0"/>
              <w:rPr>
                <w:sz w:val="18"/>
                <w:szCs w:val="18"/>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40,478</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40,483</w:t>
            </w:r>
          </w:p>
        </w:tc>
        <w:tc>
          <w:tcPr>
            <w:tcW w:w="80" w:type="dxa"/>
            <w:vAlign w:val="bottom"/>
          </w:tcPr>
          <w:p>
            <w:pPr>
              <w:spacing w:after="0"/>
              <w:rPr>
                <w:sz w:val="18"/>
                <w:szCs w:val="18"/>
                <w:color w:val="auto"/>
              </w:rPr>
            </w:pPr>
          </w:p>
        </w:tc>
      </w:tr>
      <w:tr>
        <w:trPr>
          <w:trHeight w:val="216"/>
        </w:trPr>
        <w:tc>
          <w:tcPr>
            <w:tcW w:w="3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Mezzanine debt investments</w:t>
            </w:r>
          </w:p>
        </w:tc>
        <w:tc>
          <w:tcPr>
            <w:tcW w:w="7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240,077</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240,077</w:t>
            </w:r>
          </w:p>
        </w:tc>
        <w:tc>
          <w:tcPr>
            <w:tcW w:w="80" w:type="dxa"/>
            <w:vAlign w:val="bottom"/>
            <w:shd w:val="clear" w:color="auto" w:fill="CFF0FC"/>
          </w:tcPr>
          <w:p>
            <w:pPr>
              <w:spacing w:after="0"/>
              <w:rPr>
                <w:sz w:val="18"/>
                <w:szCs w:val="18"/>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234,048</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234,048</w:t>
            </w:r>
          </w:p>
        </w:tc>
        <w:tc>
          <w:tcPr>
            <w:tcW w:w="80" w:type="dxa"/>
            <w:vAlign w:val="bottom"/>
          </w:tcPr>
          <w:p>
            <w:pPr>
              <w:spacing w:after="0"/>
              <w:rPr>
                <w:sz w:val="18"/>
                <w:szCs w:val="18"/>
                <w:color w:val="auto"/>
              </w:rPr>
            </w:pPr>
          </w:p>
        </w:tc>
      </w:tr>
      <w:tr>
        <w:trPr>
          <w:trHeight w:val="216"/>
        </w:trPr>
        <w:tc>
          <w:tcPr>
            <w:tcW w:w="3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Joint venture investments</w:t>
            </w:r>
          </w:p>
        </w:tc>
        <w:tc>
          <w:tcPr>
            <w:tcW w:w="76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right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40,007</w:t>
            </w:r>
          </w:p>
        </w:tc>
        <w:tc>
          <w:tcPr>
            <w:tcW w:w="1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40,007</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31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Total investments at fair value</w:t>
            </w:r>
          </w:p>
        </w:tc>
        <w:tc>
          <w:tcPr>
            <w:tcW w:w="1660" w:type="dxa"/>
            <w:vAlign w:val="bottom"/>
            <w:gridSpan w:val="2"/>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202,993</w:t>
            </w:r>
          </w:p>
        </w:tc>
        <w:tc>
          <w:tcPr>
            <w:tcW w:w="1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9,010,187</w:t>
            </w:r>
          </w:p>
        </w:tc>
        <w:tc>
          <w:tcPr>
            <w:tcW w:w="18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9,213,180</w:t>
            </w:r>
          </w:p>
        </w:tc>
        <w:tc>
          <w:tcPr>
            <w:tcW w:w="80" w:type="dxa"/>
            <w:vAlign w:val="bottom"/>
          </w:tcPr>
          <w:p>
            <w:pPr>
              <w:spacing w:after="0"/>
              <w:rPr>
                <w:sz w:val="18"/>
                <w:szCs w:val="18"/>
                <w:color w:val="auto"/>
              </w:rPr>
            </w:pPr>
          </w:p>
        </w:tc>
      </w:tr>
      <w:tr>
        <w:trPr>
          <w:trHeight w:val="216"/>
        </w:trPr>
        <w:tc>
          <w:tcPr>
            <w:tcW w:w="3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7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(70,295)</w:t>
            </w: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(70,295)</w:t>
            </w:r>
          </w:p>
        </w:tc>
      </w:tr>
      <w:tr>
        <w:trPr>
          <w:trHeight w:val="20"/>
        </w:trPr>
        <w:tc>
          <w:tcPr>
            <w:tcW w:w="3180" w:type="dxa"/>
            <w:vAlign w:val="bottom"/>
            <w:shd w:val="clear" w:color="auto" w:fill="CFF0FC"/>
          </w:tcPr>
          <w:p>
            <w:pPr>
              <w:spacing w:after="0" w:line="20" w:lineRule="exact"/>
              <w:rPr>
                <w:sz w:val="1"/>
                <w:szCs w:val="1"/>
                <w:color w:val="auto"/>
              </w:rPr>
            </w:pPr>
          </w:p>
        </w:tc>
        <w:tc>
          <w:tcPr>
            <w:tcW w:w="76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10"/>
        </w:trPr>
        <w:tc>
          <w:tcPr>
            <w:tcW w:w="31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60" w:type="dxa"/>
            <w:vAlign w:val="bottom"/>
          </w:tcPr>
          <w:p>
            <w:pPr>
              <w:spacing w:after="0"/>
              <w:rPr>
                <w:sz w:val="18"/>
                <w:szCs w:val="18"/>
                <w:color w:val="auto"/>
              </w:rPr>
            </w:pPr>
          </w:p>
        </w:tc>
        <w:tc>
          <w:tcPr>
            <w:tcW w:w="900" w:type="dxa"/>
            <w:vAlign w:val="bottom"/>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132,698</w:t>
            </w:r>
          </w:p>
        </w:tc>
        <w:tc>
          <w:tcPr>
            <w:tcW w:w="1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9,010,187</w:t>
            </w:r>
          </w:p>
        </w:tc>
        <w:tc>
          <w:tcPr>
            <w:tcW w:w="18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9,142,885</w:t>
            </w:r>
          </w:p>
        </w:tc>
        <w:tc>
          <w:tcPr>
            <w:tcW w:w="80" w:type="dxa"/>
            <w:vAlign w:val="bottom"/>
          </w:tcPr>
          <w:p>
            <w:pPr>
              <w:spacing w:after="0"/>
              <w:rPr>
                <w:sz w:val="18"/>
                <w:szCs w:val="18"/>
                <w:color w:val="auto"/>
              </w:rPr>
            </w:pPr>
          </w:p>
        </w:tc>
      </w:tr>
      <w:tr>
        <w:trPr>
          <w:trHeight w:val="20"/>
        </w:trPr>
        <w:tc>
          <w:tcPr>
            <w:tcW w:w="3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45"/>
        </w:trPr>
        <w:tc>
          <w:tcPr>
            <w:tcW w:w="3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7"/>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 Hierarchy at December 31, 2025</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42"/>
        </w:trPr>
        <w:tc>
          <w:tcPr>
            <w:tcW w:w="3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2"/>
                <w:szCs w:val="12"/>
                <w:color w:val="auto"/>
              </w:rPr>
            </w:pPr>
          </w:p>
        </w:tc>
      </w:tr>
      <w:tr>
        <w:trPr>
          <w:trHeight w:val="209"/>
        </w:trPr>
        <w:tc>
          <w:tcPr>
            <w:tcW w:w="3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1660" w:type="dxa"/>
            <w:vAlign w:val="bottom"/>
            <w:gridSpan w:val="2"/>
            <w:shd w:val="clear" w:color="auto" w:fill="CFF0FC"/>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260,984</w:t>
            </w:r>
          </w:p>
        </w:tc>
        <w:tc>
          <w:tcPr>
            <w:tcW w:w="18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7,398,928</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7,659,912</w:t>
            </w:r>
          </w:p>
        </w:tc>
        <w:tc>
          <w:tcPr>
            <w:tcW w:w="80" w:type="dxa"/>
            <w:vAlign w:val="bottom"/>
            <w:shd w:val="clear" w:color="auto" w:fill="CFF0FC"/>
          </w:tcPr>
          <w:p>
            <w:pPr>
              <w:spacing w:after="0"/>
              <w:rPr>
                <w:sz w:val="18"/>
                <w:szCs w:val="18"/>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37,160</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37,383</w:t>
            </w:r>
          </w:p>
        </w:tc>
        <w:tc>
          <w:tcPr>
            <w:tcW w:w="80" w:type="dxa"/>
            <w:vAlign w:val="bottom"/>
          </w:tcPr>
          <w:p>
            <w:pPr>
              <w:spacing w:after="0"/>
              <w:rPr>
                <w:sz w:val="18"/>
                <w:szCs w:val="18"/>
                <w:color w:val="auto"/>
              </w:rPr>
            </w:pPr>
          </w:p>
        </w:tc>
      </w:tr>
      <w:tr>
        <w:trPr>
          <w:trHeight w:val="216"/>
        </w:trPr>
        <w:tc>
          <w:tcPr>
            <w:tcW w:w="3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Mezzanine debt investments</w:t>
            </w:r>
          </w:p>
        </w:tc>
        <w:tc>
          <w:tcPr>
            <w:tcW w:w="7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222,366</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222,366</w:t>
            </w:r>
          </w:p>
        </w:tc>
        <w:tc>
          <w:tcPr>
            <w:tcW w:w="80" w:type="dxa"/>
            <w:vAlign w:val="bottom"/>
            <w:shd w:val="clear" w:color="auto" w:fill="CFF0FC"/>
          </w:tcPr>
          <w:p>
            <w:pPr>
              <w:spacing w:after="0"/>
              <w:rPr>
                <w:sz w:val="18"/>
                <w:szCs w:val="18"/>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76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188,993</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188,993</w:t>
            </w:r>
          </w:p>
        </w:tc>
        <w:tc>
          <w:tcPr>
            <w:tcW w:w="80" w:type="dxa"/>
            <w:vAlign w:val="bottom"/>
          </w:tcPr>
          <w:p>
            <w:pPr>
              <w:spacing w:after="0"/>
              <w:rPr>
                <w:sz w:val="18"/>
                <w:szCs w:val="18"/>
                <w:color w:val="auto"/>
              </w:rPr>
            </w:pPr>
          </w:p>
        </w:tc>
      </w:tr>
      <w:tr>
        <w:trPr>
          <w:trHeight w:val="210"/>
        </w:trPr>
        <w:tc>
          <w:tcPr>
            <w:tcW w:w="31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Total investments at fair value</w:t>
            </w:r>
          </w:p>
        </w:tc>
        <w:tc>
          <w:tcPr>
            <w:tcW w:w="1660" w:type="dxa"/>
            <w:vAlign w:val="bottom"/>
            <w:gridSpan w:val="2"/>
            <w:shd w:val="clear" w:color="auto" w:fill="CFF0FC"/>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261,207</w:t>
            </w:r>
          </w:p>
        </w:tc>
        <w:tc>
          <w:tcPr>
            <w:tcW w:w="18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7,847,447</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8,108,654</w:t>
            </w:r>
          </w:p>
        </w:tc>
        <w:tc>
          <w:tcPr>
            <w:tcW w:w="80" w:type="dxa"/>
            <w:vAlign w:val="bottom"/>
            <w:shd w:val="clear" w:color="auto" w:fill="CFF0FC"/>
          </w:tcPr>
          <w:p>
            <w:pPr>
              <w:spacing w:after="0"/>
              <w:rPr>
                <w:sz w:val="18"/>
                <w:szCs w:val="18"/>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76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30,932</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30,932</w:t>
            </w:r>
          </w:p>
        </w:tc>
        <w:tc>
          <w:tcPr>
            <w:tcW w:w="80" w:type="dxa"/>
            <w:vAlign w:val="bottom"/>
          </w:tcPr>
          <w:p>
            <w:pPr>
              <w:spacing w:after="0"/>
              <w:rPr>
                <w:sz w:val="18"/>
                <w:szCs w:val="18"/>
                <w:color w:val="auto"/>
              </w:rPr>
            </w:pPr>
          </w:p>
        </w:tc>
      </w:tr>
      <w:tr>
        <w:trPr>
          <w:trHeight w:val="230"/>
        </w:trPr>
        <w:tc>
          <w:tcPr>
            <w:tcW w:w="31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292,139</w:t>
            </w:r>
          </w:p>
        </w:tc>
        <w:tc>
          <w:tcPr>
            <w:tcW w:w="18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7,847,447</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8,139,586</w:t>
            </w:r>
          </w:p>
        </w:tc>
        <w:tc>
          <w:tcPr>
            <w:tcW w:w="80" w:type="dxa"/>
            <w:vAlign w:val="bottom"/>
            <w:shd w:val="clear" w:color="auto" w:fill="CFF0FC"/>
          </w:tcPr>
          <w:p>
            <w:pPr>
              <w:spacing w:after="0"/>
              <w:rPr>
                <w:sz w:val="19"/>
                <w:szCs w:val="19"/>
                <w:color w:val="auto"/>
              </w:rPr>
            </w:pPr>
          </w:p>
        </w:tc>
      </w:tr>
      <w:tr>
        <w:trPr>
          <w:trHeight w:val="20"/>
        </w:trPr>
        <w:tc>
          <w:tcPr>
            <w:tcW w:w="318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-1799590</wp:posOffset>
            </wp:positionV>
            <wp:extent cx="5143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-1799590</wp:posOffset>
            </wp:positionV>
            <wp:extent cx="5143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-1799590</wp:posOffset>
            </wp:positionV>
            <wp:extent cx="5143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-1799590</wp:posOffset>
            </wp:positionV>
            <wp:extent cx="5143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-1516380</wp:posOffset>
            </wp:positionV>
            <wp:extent cx="51435"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-1516380</wp:posOffset>
            </wp:positionV>
            <wp:extent cx="51435"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-1516380</wp:posOffset>
            </wp:positionV>
            <wp:extent cx="51435"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-1516380</wp:posOffset>
            </wp:positionV>
            <wp:extent cx="51435"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-24765</wp:posOffset>
            </wp:positionV>
            <wp:extent cx="51435"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-8255</wp:posOffset>
            </wp:positionV>
            <wp:extent cx="51435"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-24765</wp:posOffset>
            </wp:positionV>
            <wp:extent cx="51435"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-8255</wp:posOffset>
            </wp:positionV>
            <wp:extent cx="51435"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-24765</wp:posOffset>
            </wp:positionV>
            <wp:extent cx="51435"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-8255</wp:posOffset>
            </wp:positionV>
            <wp:extent cx="51435"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-24765</wp:posOffset>
            </wp:positionV>
            <wp:extent cx="51435"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-8255</wp:posOffset>
            </wp:positionV>
            <wp:extent cx="51435"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Transfers between levels, if any, are recognized at the beginning of the quarter in which the transfers occur.</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8" w:right="399" w:bottom="1440" w:gutter="0" w:footer="0" w:header="0"/>
        </w:sectPr>
      </w:pPr>
    </w:p>
    <w:bookmarkStart w:id="32" w:name="page33"/>
    <w:bookmarkEnd w:id="32"/>
    <w:p>
      <w:pPr>
        <w:ind w:right="20" w:firstLine="255"/>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changes in the fair value of investments for which Level 3 inputs were used to determine the fair value as of and for the three and nine months ended September 30, 2026:</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0" w:type="dxa"/>
            <w:vAlign w:val="bottom"/>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As of and for the Three Months Ended</w:t>
            </w: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First-lien</w:t>
            </w:r>
          </w:p>
        </w:tc>
        <w:tc>
          <w:tcPr>
            <w:tcW w:w="100" w:type="dxa"/>
            <w:vAlign w:val="bottom"/>
          </w:tcPr>
          <w:p>
            <w:pPr>
              <w:spacing w:after="0"/>
              <w:rPr>
                <w:sz w:val="10"/>
                <w:szCs w:val="10"/>
                <w:color w:val="auto"/>
              </w:rPr>
            </w:pPr>
          </w:p>
        </w:tc>
        <w:tc>
          <w:tcPr>
            <w:tcW w:w="820" w:type="dxa"/>
            <w:vAlign w:val="bottom"/>
          </w:tcPr>
          <w:p>
            <w:pPr>
              <w:jc w:val="center"/>
              <w:ind w:right="15"/>
              <w:spacing w:after="0" w:line="118" w:lineRule="exact"/>
              <w:rPr>
                <w:sz w:val="20"/>
                <w:szCs w:val="20"/>
                <w:color w:val="auto"/>
              </w:rPr>
            </w:pPr>
            <w:r>
              <w:rPr>
                <w:rFonts w:ascii="Times New Roman" w:cs="Times New Roman" w:eastAsia="Times New Roman" w:hAnsi="Times New Roman"/>
                <w:sz w:val="13"/>
                <w:szCs w:val="13"/>
                <w:b w:val="1"/>
                <w:bCs w:val="1"/>
                <w:color w:val="auto"/>
              </w:rPr>
              <w:t>Second-lien</w:t>
            </w:r>
          </w:p>
        </w:tc>
        <w:tc>
          <w:tcPr>
            <w:tcW w:w="220" w:type="dxa"/>
            <w:vAlign w:val="bottom"/>
          </w:tcPr>
          <w:p>
            <w:pPr>
              <w:spacing w:after="0"/>
              <w:rPr>
                <w:sz w:val="10"/>
                <w:szCs w:val="10"/>
                <w:color w:val="auto"/>
              </w:rPr>
            </w:pPr>
          </w:p>
        </w:tc>
        <w:tc>
          <w:tcPr>
            <w:tcW w:w="82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Mezzanine</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60" w:type="dxa"/>
            <w:vAlign w:val="bottom"/>
          </w:tcPr>
          <w:p>
            <w:pPr>
              <w:spacing w:after="0"/>
              <w:rPr>
                <w:sz w:val="10"/>
                <w:szCs w:val="10"/>
                <w:color w:val="auto"/>
              </w:rPr>
            </w:pPr>
          </w:p>
        </w:tc>
        <w:tc>
          <w:tcPr>
            <w:tcW w:w="1040" w:type="dxa"/>
            <w:vAlign w:val="bottom"/>
            <w:gridSpan w:val="2"/>
            <w:vMerge w:val="restart"/>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Joint venture</w:t>
            </w: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debt</w:t>
            </w:r>
          </w:p>
        </w:tc>
        <w:tc>
          <w:tcPr>
            <w:tcW w:w="100" w:type="dxa"/>
            <w:vAlign w:val="bottom"/>
          </w:tcPr>
          <w:p>
            <w:pPr>
              <w:spacing w:after="0"/>
              <w:rPr>
                <w:sz w:val="12"/>
                <w:szCs w:val="12"/>
                <w:color w:val="auto"/>
              </w:rPr>
            </w:pPr>
          </w:p>
        </w:tc>
        <w:tc>
          <w:tcPr>
            <w:tcW w:w="820" w:type="dxa"/>
            <w:vAlign w:val="bottom"/>
          </w:tcPr>
          <w:p>
            <w:pPr>
              <w:jc w:val="center"/>
              <w:ind w:right="15"/>
              <w:spacing w:after="0" w:line="149" w:lineRule="exact"/>
              <w:rPr>
                <w:sz w:val="20"/>
                <w:szCs w:val="20"/>
                <w:color w:val="auto"/>
              </w:rPr>
            </w:pPr>
            <w:r>
              <w:rPr>
                <w:rFonts w:ascii="Times New Roman" w:cs="Times New Roman" w:eastAsia="Times New Roman" w:hAnsi="Times New Roman"/>
                <w:sz w:val="14"/>
                <w:szCs w:val="14"/>
                <w:b w:val="1"/>
                <w:bCs w:val="1"/>
                <w:color w:val="auto"/>
              </w:rPr>
              <w:t>debt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center"/>
              <w:ind w:right="53"/>
              <w:spacing w:after="0" w:line="149" w:lineRule="exact"/>
              <w:rPr>
                <w:sz w:val="20"/>
                <w:szCs w:val="20"/>
                <w:color w:val="auto"/>
              </w:rPr>
            </w:pPr>
            <w:r>
              <w:rPr>
                <w:rFonts w:ascii="Times New Roman" w:cs="Times New Roman" w:eastAsia="Times New Roman" w:hAnsi="Times New Roman"/>
                <w:sz w:val="14"/>
                <w:szCs w:val="14"/>
                <w:b w:val="1"/>
                <w:bCs w:val="1"/>
                <w:color w:val="auto"/>
              </w:rPr>
              <w:t>debt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20" w:type="dxa"/>
            <w:vAlign w:val="bottom"/>
          </w:tcPr>
          <w:p>
            <w:pPr>
              <w:spacing w:after="0"/>
              <w:rPr>
                <w:sz w:val="15"/>
                <w:szCs w:val="15"/>
                <w:color w:val="auto"/>
              </w:rPr>
            </w:pPr>
          </w:p>
        </w:tc>
        <w:tc>
          <w:tcPr>
            <w:tcW w:w="8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80" w:type="dxa"/>
            <w:vAlign w:val="bottom"/>
          </w:tcPr>
          <w:p>
            <w:pPr>
              <w:spacing w:after="0"/>
              <w:rPr>
                <w:sz w:val="15"/>
                <w:szCs w:val="15"/>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7,983,771</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38,571</w:t>
            </w:r>
          </w:p>
        </w:tc>
        <w:tc>
          <w:tcPr>
            <w:tcW w:w="380" w:type="dxa"/>
            <w:vAlign w:val="bottom"/>
            <w:gridSpan w:val="2"/>
            <w:shd w:val="clear" w:color="auto" w:fill="CFF0FC"/>
          </w:tcPr>
          <w:p>
            <w:pPr>
              <w:jc w:val="right"/>
              <w:ind w:right="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230,594</w:t>
            </w:r>
          </w:p>
        </w:tc>
        <w:tc>
          <w:tcPr>
            <w:tcW w:w="340" w:type="dxa"/>
            <w:vAlign w:val="bottom"/>
            <w:gridSpan w:val="2"/>
            <w:shd w:val="clear" w:color="auto" w:fill="CFF0FC"/>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174,484</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26,925</w:t>
            </w:r>
          </w:p>
        </w:tc>
        <w:tc>
          <w:tcPr>
            <w:tcW w:w="4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8,454,345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Purchases or originations</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968,557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54,687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1,035,372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Repayments / redemptions</w:t>
            </w: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(467,291)</w:t>
            </w: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(467,291)</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Sales proceeds</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Paid-in-kind interest</w:t>
            </w: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7,996</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6,528</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16,628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unrealized gains (losses)</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(49,895)</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(41,624)</w:t>
            </w:r>
          </w:p>
        </w:tc>
        <w:tc>
          <w:tcPr>
            <w:tcW w:w="0" w:type="dxa"/>
            <w:vAlign w:val="bottom"/>
          </w:tcPr>
          <w:p>
            <w:pPr>
              <w:spacing w:after="0"/>
              <w:rPr>
                <w:sz w:val="1"/>
                <w:szCs w:val="1"/>
                <w:color w:val="auto"/>
              </w:rPr>
            </w:pPr>
          </w:p>
        </w:tc>
      </w:tr>
      <w:tr>
        <w:trPr>
          <w:trHeight w:val="216"/>
        </w:trPr>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realized gains (losses)</w:t>
            </w: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amortization of discount on securities</w:t>
            </w:r>
          </w:p>
        </w:tc>
        <w:tc>
          <w:tcPr>
            <w:tcW w:w="6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12,242</w:t>
            </w:r>
          </w:p>
        </w:tc>
        <w:tc>
          <w:tcPr>
            <w:tcW w:w="1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12,560</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6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Balance, End of Period</w:t>
            </w:r>
          </w:p>
        </w:tc>
        <w:tc>
          <w:tcPr>
            <w:tcW w:w="6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8,455,577</w:t>
            </w:r>
          </w:p>
        </w:tc>
        <w:tc>
          <w:tcPr>
            <w:tcW w:w="1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40,478</w:t>
            </w: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ind w:right="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240,077</w:t>
            </w:r>
          </w:p>
        </w:tc>
        <w:tc>
          <w:tcPr>
            <w:tcW w:w="1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234,048</w:t>
            </w:r>
          </w:p>
        </w:tc>
        <w:tc>
          <w:tcPr>
            <w:tcW w:w="1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40,007</w:t>
            </w:r>
          </w:p>
        </w:tc>
        <w:tc>
          <w:tcPr>
            <w:tcW w:w="1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9,010,187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3459480</wp:posOffset>
            </wp:positionH>
            <wp:positionV relativeFrom="paragraph">
              <wp:posOffset>-25400</wp:posOffset>
            </wp:positionV>
            <wp:extent cx="6858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-8255</wp:posOffset>
            </wp:positionV>
            <wp:extent cx="6858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-170815</wp:posOffset>
            </wp:positionV>
            <wp:extent cx="6858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-25400</wp:posOffset>
            </wp:positionV>
            <wp:extent cx="6858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-8255</wp:posOffset>
            </wp:positionV>
            <wp:extent cx="6858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-170815</wp:posOffset>
            </wp:positionV>
            <wp:extent cx="6858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-25400</wp:posOffset>
            </wp:positionV>
            <wp:extent cx="6858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-8255</wp:posOffset>
            </wp:positionV>
            <wp:extent cx="6858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-170815</wp:posOffset>
            </wp:positionV>
            <wp:extent cx="6858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-25400</wp:posOffset>
            </wp:positionV>
            <wp:extent cx="6858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-8255</wp:posOffset>
            </wp:positionV>
            <wp:extent cx="6858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-170815</wp:posOffset>
            </wp:positionV>
            <wp:extent cx="6858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-25400</wp:posOffset>
            </wp:positionV>
            <wp:extent cx="6858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-8255</wp:posOffset>
            </wp:positionV>
            <wp:extent cx="6858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-170815</wp:posOffset>
            </wp:positionV>
            <wp:extent cx="6858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520" w:type="dxa"/>
            <w:vAlign w:val="bottom"/>
            <w:gridSpan w:val="8"/>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As of and for the Nine Months Ended</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6"/>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5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First-lien</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Second-lien</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Mezzanine</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60" w:type="dxa"/>
            <w:vAlign w:val="bottom"/>
          </w:tcPr>
          <w:p>
            <w:pPr>
              <w:spacing w:after="0"/>
              <w:rPr>
                <w:sz w:val="10"/>
                <w:szCs w:val="10"/>
                <w:color w:val="auto"/>
              </w:rPr>
            </w:pP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Joint venture</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debt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debt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debt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restart"/>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7,398,928</w:t>
            </w:r>
          </w:p>
        </w:tc>
        <w:tc>
          <w:tcPr>
            <w:tcW w:w="10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37,160</w:t>
            </w:r>
          </w:p>
        </w:tc>
        <w:tc>
          <w:tcPr>
            <w:tcW w:w="8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222,366</w:t>
            </w:r>
          </w:p>
        </w:tc>
        <w:tc>
          <w:tcPr>
            <w:tcW w:w="12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188,993</w:t>
            </w:r>
          </w:p>
        </w:tc>
        <w:tc>
          <w:tcPr>
            <w:tcW w:w="120" w:type="dxa"/>
            <w:vAlign w:val="bottom"/>
            <w:shd w:val="clear" w:color="auto" w:fill="CFF0FC"/>
          </w:tcPr>
          <w:p>
            <w:pPr>
              <w:spacing w:after="0"/>
              <w:rPr>
                <w:sz w:val="18"/>
                <w:szCs w:val="18"/>
                <w:color w:val="auto"/>
              </w:rPr>
            </w:pP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7,847,447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Purchases or originations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2,359,802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54,687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37,832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2,452,321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Repayments / redemptions</w:t>
            </w:r>
          </w:p>
        </w:tc>
        <w:tc>
          <w:tcPr>
            <w:tcW w:w="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(1,151,751)</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(1,151,751)</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Sales proceeds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(3,098)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(3,098)</w:t>
            </w:r>
          </w:p>
        </w:tc>
        <w:tc>
          <w:tcPr>
            <w:tcW w:w="0" w:type="dxa"/>
            <w:vAlign w:val="bottom"/>
          </w:tcPr>
          <w:p>
            <w:pPr>
              <w:spacing w:after="0"/>
              <w:rPr>
                <w:sz w:val="1"/>
                <w:szCs w:val="1"/>
                <w:color w:val="auto"/>
              </w:rPr>
            </w:pPr>
          </w:p>
        </w:tc>
      </w:tr>
      <w:tr>
        <w:trPr>
          <w:trHeight w:val="216"/>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Paid-in-kind interest</w:t>
            </w:r>
          </w:p>
        </w:tc>
        <w:tc>
          <w:tcPr>
            <w:tcW w:w="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23,936</w:t>
            </w: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4,258</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19,158</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47,970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unrealized gains (losses)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(201,070)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(1,874)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(10,250)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(212,453)</w:t>
            </w:r>
          </w:p>
        </w:tc>
        <w:tc>
          <w:tcPr>
            <w:tcW w:w="0" w:type="dxa"/>
            <w:vAlign w:val="bottom"/>
          </w:tcPr>
          <w:p>
            <w:pPr>
              <w:spacing w:after="0"/>
              <w:rPr>
                <w:sz w:val="1"/>
                <w:szCs w:val="1"/>
                <w:color w:val="auto"/>
              </w:rPr>
            </w:pPr>
          </w:p>
        </w:tc>
      </w:tr>
      <w:tr>
        <w:trPr>
          <w:trHeight w:val="216"/>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realized gains (losses)</w:t>
            </w:r>
          </w:p>
        </w:tc>
        <w:tc>
          <w:tcPr>
            <w:tcW w:w="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Net amortization of discount on securities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28,574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540" w:type="dxa"/>
            <w:vAlign w:val="bottom"/>
            <w:tcBorders>
              <w:top w:val="single" w:sz="8" w:color="CFF0FC"/>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Balance, End of Period</w:t>
            </w:r>
          </w:p>
        </w:tc>
        <w:tc>
          <w:tcPr>
            <w:tcW w:w="540" w:type="dxa"/>
            <w:vAlign w:val="bottom"/>
            <w:tcBorders>
              <w:top w:val="single" w:sz="8" w:color="CFF0FC"/>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8,455,577</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60" w:type="dxa"/>
            <w:vAlign w:val="bottom"/>
            <w:tcBorders>
              <w:top w:val="single" w:sz="8" w:color="CFF0FC"/>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40,478</w:t>
            </w:r>
          </w:p>
        </w:tc>
        <w:tc>
          <w:tcPr>
            <w:tcW w:w="80" w:type="dxa"/>
            <w:vAlign w:val="bottom"/>
            <w:tcBorders>
              <w:top w:val="single" w:sz="8" w:color="CFF0FC"/>
              <w:bottom w:val="single" w:sz="8" w:color="CFF0FC"/>
            </w:tcBorders>
            <w:shd w:val="clear" w:color="auto" w:fill="CFF0FC"/>
          </w:tcPr>
          <w:p>
            <w:pPr>
              <w:spacing w:after="0"/>
              <w:rPr>
                <w:sz w:val="21"/>
                <w:szCs w:val="21"/>
                <w:color w:val="auto"/>
              </w:rPr>
            </w:pP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240,077</w:t>
            </w: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60" w:type="dxa"/>
            <w:vAlign w:val="bottom"/>
            <w:tcBorders>
              <w:top w:val="single" w:sz="8" w:color="CFF0FC"/>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234,048</w:t>
            </w: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60" w:type="dxa"/>
            <w:vAlign w:val="bottom"/>
            <w:tcBorders>
              <w:top w:val="single" w:sz="8" w:color="CFF0FC"/>
              <w:bottom w:val="single" w:sz="8" w:color="CFF0FC"/>
            </w:tcBorders>
            <w:shd w:val="clear" w:color="auto" w:fill="CFF0FC"/>
          </w:tcPr>
          <w:p>
            <w:pPr>
              <w:spacing w:after="0"/>
              <w:rPr>
                <w:sz w:val="21"/>
                <w:szCs w:val="21"/>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40,007</w:t>
            </w:r>
          </w:p>
        </w:tc>
        <w:tc>
          <w:tcPr>
            <w:tcW w:w="180" w:type="dxa"/>
            <w:vAlign w:val="bottom"/>
            <w:tcBorders>
              <w:top w:val="single" w:sz="8" w:color="CFF0FC"/>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9,010,187</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-24765</wp:posOffset>
            </wp:positionV>
            <wp:extent cx="6858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-7620</wp:posOffset>
            </wp:positionV>
            <wp:extent cx="6858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-170815</wp:posOffset>
            </wp:positionV>
            <wp:extent cx="6858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-24765</wp:posOffset>
            </wp:positionV>
            <wp:extent cx="6858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-7620</wp:posOffset>
            </wp:positionV>
            <wp:extent cx="6858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-170815</wp:posOffset>
            </wp:positionV>
            <wp:extent cx="6858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-24765</wp:posOffset>
            </wp:positionV>
            <wp:extent cx="6858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-7620</wp:posOffset>
            </wp:positionV>
            <wp:extent cx="6858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-170815</wp:posOffset>
            </wp:positionV>
            <wp:extent cx="6858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-24765</wp:posOffset>
            </wp:positionV>
            <wp:extent cx="6858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-7620</wp:posOffset>
            </wp:positionV>
            <wp:extent cx="6858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-170815</wp:posOffset>
            </wp:positionV>
            <wp:extent cx="6858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-24765</wp:posOffset>
            </wp:positionV>
            <wp:extent cx="6858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-7620</wp:posOffset>
            </wp:positionV>
            <wp:extent cx="6858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-170815</wp:posOffset>
            </wp:positionV>
            <wp:extent cx="6858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right="20" w:firstLine="255"/>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changes in the fair value of investments for which Level 3 inputs were used to determine the fair value as of and for the three and nine months ended September 30, 2025:</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60" w:type="dxa"/>
            <w:vAlign w:val="bottom"/>
            <w:gridSpan w:val="8"/>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As of and for the Three Months Ended</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0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2"/>
          </w:tcPr>
          <w:p>
            <w:pPr>
              <w:jc w:val="center"/>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First-lien</w:t>
            </w:r>
          </w:p>
        </w:tc>
        <w:tc>
          <w:tcPr>
            <w:tcW w:w="120" w:type="dxa"/>
            <w:vAlign w:val="bottom"/>
          </w:tcPr>
          <w:p>
            <w:pPr>
              <w:spacing w:after="0"/>
              <w:rPr>
                <w:sz w:val="10"/>
                <w:szCs w:val="10"/>
                <w:color w:val="auto"/>
              </w:rPr>
            </w:pPr>
          </w:p>
        </w:tc>
        <w:tc>
          <w:tcPr>
            <w:tcW w:w="880" w:type="dxa"/>
            <w:vAlign w:val="bottom"/>
          </w:tcPr>
          <w:p>
            <w:pPr>
              <w:jc w:val="center"/>
              <w:ind w:right="36"/>
              <w:spacing w:after="0" w:line="118" w:lineRule="exact"/>
              <w:rPr>
                <w:sz w:val="20"/>
                <w:szCs w:val="20"/>
                <w:color w:val="auto"/>
              </w:rPr>
            </w:pPr>
            <w:r>
              <w:rPr>
                <w:rFonts w:ascii="Times New Roman" w:cs="Times New Roman" w:eastAsia="Times New Roman" w:hAnsi="Times New Roman"/>
                <w:sz w:val="13"/>
                <w:szCs w:val="13"/>
                <w:b w:val="1"/>
                <w:bCs w:val="1"/>
                <w:color w:val="auto"/>
              </w:rPr>
              <w:t>Second-lien</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Mezzanine</w:t>
            </w:r>
          </w:p>
        </w:tc>
        <w:tc>
          <w:tcPr>
            <w:tcW w:w="100" w:type="dxa"/>
            <w:vAlign w:val="bottom"/>
          </w:tcPr>
          <w:p>
            <w:pPr>
              <w:spacing w:after="0"/>
              <w:rPr>
                <w:sz w:val="10"/>
                <w:szCs w:val="10"/>
                <w:color w:val="auto"/>
              </w:rPr>
            </w:pPr>
          </w:p>
        </w:tc>
        <w:tc>
          <w:tcPr>
            <w:tcW w:w="102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debt</w:t>
            </w:r>
          </w:p>
        </w:tc>
        <w:tc>
          <w:tcPr>
            <w:tcW w:w="120" w:type="dxa"/>
            <w:vAlign w:val="bottom"/>
          </w:tcPr>
          <w:p>
            <w:pPr>
              <w:spacing w:after="0"/>
              <w:rPr>
                <w:sz w:val="12"/>
                <w:szCs w:val="12"/>
                <w:color w:val="auto"/>
              </w:rPr>
            </w:pPr>
          </w:p>
        </w:tc>
        <w:tc>
          <w:tcPr>
            <w:tcW w:w="880" w:type="dxa"/>
            <w:vAlign w:val="bottom"/>
          </w:tcPr>
          <w:p>
            <w:pPr>
              <w:jc w:val="center"/>
              <w:ind w:right="36"/>
              <w:spacing w:after="0" w:line="149" w:lineRule="exact"/>
              <w:rPr>
                <w:sz w:val="20"/>
                <w:szCs w:val="20"/>
                <w:color w:val="auto"/>
              </w:rPr>
            </w:pPr>
            <w:r>
              <w:rPr>
                <w:rFonts w:ascii="Times New Roman" w:cs="Times New Roman" w:eastAsia="Times New Roman" w:hAnsi="Times New Roman"/>
                <w:sz w:val="14"/>
                <w:szCs w:val="14"/>
                <w:b w:val="1"/>
                <w:bCs w:val="1"/>
                <w:color w:val="auto"/>
              </w:rPr>
              <w:t>debt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debt</w:t>
            </w: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0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6,838,709</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32,265</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210,092</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159,301</w:t>
            </w:r>
          </w:p>
        </w:tc>
        <w:tc>
          <w:tcPr>
            <w:tcW w:w="14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7,240,367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Purchases or originations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740,004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740,037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Repayments / redemptions</w:t>
            </w:r>
          </w:p>
        </w:tc>
        <w:tc>
          <w:tcPr>
            <w:tcW w:w="1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(532,927)</w:t>
            </w: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(532,927)</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Sales proceeds</w:t>
            </w:r>
          </w:p>
        </w:tc>
        <w:tc>
          <w:tcPr>
            <w:tcW w:w="1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(654)</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(12,706)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(13,360)</w:t>
            </w:r>
          </w:p>
        </w:tc>
        <w:tc>
          <w:tcPr>
            <w:tcW w:w="0" w:type="dxa"/>
            <w:vAlign w:val="bottom"/>
          </w:tcPr>
          <w:p>
            <w:pPr>
              <w:spacing w:after="0"/>
              <w:rPr>
                <w:sz w:val="1"/>
                <w:szCs w:val="1"/>
                <w:color w:val="auto"/>
              </w:rPr>
            </w:pPr>
          </w:p>
        </w:tc>
      </w:tr>
      <w:tr>
        <w:trPr>
          <w:trHeight w:val="216"/>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Paid-in-kind interest</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12,070</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5,653</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19,011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unrealized gains (losses)</w:t>
            </w:r>
          </w:p>
        </w:tc>
        <w:tc>
          <w:tcPr>
            <w:tcW w:w="1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(26,040)</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(19,331)</w:t>
            </w:r>
          </w:p>
        </w:tc>
        <w:tc>
          <w:tcPr>
            <w:tcW w:w="0" w:type="dxa"/>
            <w:vAlign w:val="bottom"/>
          </w:tcPr>
          <w:p>
            <w:pPr>
              <w:spacing w:after="0"/>
              <w:rPr>
                <w:sz w:val="1"/>
                <w:szCs w:val="1"/>
                <w:color w:val="auto"/>
              </w:rPr>
            </w:pPr>
          </w:p>
        </w:tc>
      </w:tr>
      <w:tr>
        <w:trPr>
          <w:trHeight w:val="216"/>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realized gains (losses)</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6,148</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Net amortization of discount on securities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060" w:type="dxa"/>
            <w:vAlign w:val="bottom"/>
            <w:tcBorders>
              <w:top w:val="single" w:sz="8" w:color="CFF0FC"/>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b w:val="1"/>
                <w:bCs w:val="1"/>
                <w:color w:val="auto"/>
              </w:rPr>
              <w:t>Balance, End of Period</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7,048,863</w:t>
            </w:r>
          </w:p>
        </w:tc>
        <w:tc>
          <w:tcPr>
            <w:tcW w:w="240" w:type="dxa"/>
            <w:vAlign w:val="bottom"/>
            <w:tcBorders>
              <w:top w:val="single" w:sz="8" w:color="CFF0FC"/>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33,986</w:t>
            </w:r>
          </w:p>
        </w:tc>
        <w:tc>
          <w:tcPr>
            <w:tcW w:w="240" w:type="dxa"/>
            <w:vAlign w:val="bottom"/>
            <w:tcBorders>
              <w:top w:val="single" w:sz="8" w:color="CFF0FC"/>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215,843</w:t>
            </w:r>
          </w:p>
        </w:tc>
        <w:tc>
          <w:tcPr>
            <w:tcW w:w="260" w:type="dxa"/>
            <w:vAlign w:val="bottom"/>
            <w:tcBorders>
              <w:top w:val="single" w:sz="8" w:color="CFF0FC"/>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159,242</w:t>
            </w:r>
          </w:p>
        </w:tc>
        <w:tc>
          <w:tcPr>
            <w:tcW w:w="140" w:type="dxa"/>
            <w:vAlign w:val="bottom"/>
            <w:tcBorders>
              <w:top w:val="single" w:sz="8" w:color="CFF0FC"/>
              <w:bottom w:val="single" w:sz="8" w:color="CFF0FC"/>
            </w:tcBorders>
            <w:shd w:val="clear" w:color="auto" w:fill="CFF0FC"/>
          </w:tcPr>
          <w:p>
            <w:pPr>
              <w:spacing w:after="0"/>
              <w:rPr>
                <w:sz w:val="21"/>
                <w:szCs w:val="21"/>
                <w:color w:val="auto"/>
              </w:rPr>
            </w:pPr>
          </w:p>
        </w:tc>
        <w:tc>
          <w:tcPr>
            <w:tcW w:w="80" w:type="dxa"/>
            <w:vAlign w:val="bottom"/>
            <w:tcBorders>
              <w:top w:val="single" w:sz="8" w:color="CFF0FC"/>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7,457,934</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628"/>
        </w:trPr>
        <w:tc>
          <w:tcPr>
            <w:tcW w:w="5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ind w:right="355"/>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0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-933450</wp:posOffset>
            </wp:positionV>
            <wp:extent cx="7747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-916940</wp:posOffset>
            </wp:positionV>
            <wp:extent cx="7747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-1079500</wp:posOffset>
            </wp:positionV>
            <wp:extent cx="7747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-933450</wp:posOffset>
            </wp:positionV>
            <wp:extent cx="7747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-916940</wp:posOffset>
            </wp:positionV>
            <wp:extent cx="7747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-1079500</wp:posOffset>
            </wp:positionV>
            <wp:extent cx="7747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-933450</wp:posOffset>
            </wp:positionV>
            <wp:extent cx="6858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-916940</wp:posOffset>
            </wp:positionV>
            <wp:extent cx="6858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-1079500</wp:posOffset>
            </wp:positionV>
            <wp:extent cx="6858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-933450</wp:posOffset>
            </wp:positionV>
            <wp:extent cx="6858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-916940</wp:posOffset>
            </wp:positionV>
            <wp:extent cx="6858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-1079500</wp:posOffset>
            </wp:positionV>
            <wp:extent cx="6858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-916940</wp:posOffset>
            </wp:positionV>
            <wp:extent cx="6858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3" w:name="page34"/>
    <w:bookmarkEnd w:id="33"/>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520" w:type="dxa"/>
            <w:vAlign w:val="bottom"/>
            <w:gridSpan w:val="9"/>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As of and for the Nine Months Ended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First-lien</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tcPr>
          <w:p>
            <w:pPr>
              <w:jc w:val="center"/>
              <w:ind w:right="228"/>
              <w:spacing w:after="0" w:line="118" w:lineRule="exact"/>
              <w:rPr>
                <w:sz w:val="20"/>
                <w:szCs w:val="20"/>
                <w:color w:val="auto"/>
              </w:rPr>
            </w:pPr>
            <w:r>
              <w:rPr>
                <w:rFonts w:ascii="Times New Roman" w:cs="Times New Roman" w:eastAsia="Times New Roman" w:hAnsi="Times New Roman"/>
                <w:sz w:val="13"/>
                <w:szCs w:val="13"/>
                <w:b w:val="1"/>
                <w:bCs w:val="1"/>
                <w:color w:val="auto"/>
              </w:rPr>
              <w:t>Second-lien</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center"/>
              <w:ind w:right="35"/>
              <w:spacing w:after="0" w:line="118" w:lineRule="exact"/>
              <w:rPr>
                <w:sz w:val="20"/>
                <w:szCs w:val="20"/>
                <w:color w:val="auto"/>
              </w:rPr>
            </w:pPr>
            <w:r>
              <w:rPr>
                <w:rFonts w:ascii="Times New Roman" w:cs="Times New Roman" w:eastAsia="Times New Roman" w:hAnsi="Times New Roman"/>
                <w:sz w:val="13"/>
                <w:szCs w:val="13"/>
                <w:b w:val="1"/>
                <w:bCs w:val="1"/>
                <w:color w:val="auto"/>
              </w:rPr>
              <w:t>Mezzanine</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debt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28"/>
              <w:spacing w:after="0" w:line="149" w:lineRule="exact"/>
              <w:rPr>
                <w:sz w:val="20"/>
                <w:szCs w:val="20"/>
                <w:color w:val="auto"/>
              </w:rPr>
            </w:pPr>
            <w:r>
              <w:rPr>
                <w:rFonts w:ascii="Times New Roman" w:cs="Times New Roman" w:eastAsia="Times New Roman" w:hAnsi="Times New Roman"/>
                <w:sz w:val="14"/>
                <w:szCs w:val="14"/>
                <w:b w:val="1"/>
                <w:bCs w:val="1"/>
                <w:color w:val="auto"/>
              </w:rPr>
              <w:t>debt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debt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6,728,411</w:t>
            </w:r>
          </w:p>
        </w:tc>
        <w:tc>
          <w:tcPr>
            <w:tcW w:w="16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93,469</w:t>
            </w:r>
          </w:p>
        </w:tc>
        <w:tc>
          <w:tcPr>
            <w:tcW w:w="16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123,184</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154,511</w:t>
            </w:r>
          </w:p>
        </w:tc>
        <w:tc>
          <w:tcPr>
            <w:tcW w:w="14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7,099,575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Purchases or originations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1,799,501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19,198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76,440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1,899,236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Repayments / redemptions</w:t>
            </w:r>
          </w:p>
        </w:tc>
        <w:tc>
          <w:tcPr>
            <w:tcW w:w="1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(1,548,022)</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(83,916)</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(1,631,938)</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Sales proceeds</w:t>
            </w: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(116,074)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(24,468)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(140,542)</w:t>
            </w:r>
          </w:p>
        </w:tc>
        <w:tc>
          <w:tcPr>
            <w:tcW w:w="0" w:type="dxa"/>
            <w:vAlign w:val="bottom"/>
          </w:tcPr>
          <w:p>
            <w:pPr>
              <w:spacing w:after="0"/>
              <w:rPr>
                <w:sz w:val="1"/>
                <w:szCs w:val="1"/>
                <w:color w:val="auto"/>
              </w:rPr>
            </w:pPr>
          </w:p>
        </w:tc>
      </w:tr>
      <w:tr>
        <w:trPr>
          <w:trHeight w:val="216"/>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Paid-in-kind interest</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32,081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13,362</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48,897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unrealized gains (losses)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108,458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(3,769)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realized gains (losses)</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13,337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13,862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Net amortization of discount on securities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43,983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140" w:type="dxa"/>
            <w:vAlign w:val="bottom"/>
            <w:tcBorders>
              <w:top w:val="single" w:sz="8" w:color="CFF0FC"/>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b w:val="1"/>
                <w:bCs w:val="1"/>
                <w:color w:val="auto"/>
              </w:rPr>
              <w:t>Balance, End of Period</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7,048,863</w:t>
            </w:r>
          </w:p>
        </w:tc>
        <w:tc>
          <w:tcPr>
            <w:tcW w:w="160" w:type="dxa"/>
            <w:vAlign w:val="bottom"/>
            <w:tcBorders>
              <w:top w:val="single" w:sz="8" w:color="CFF0FC"/>
              <w:bottom w:val="single" w:sz="8" w:color="CFF0FC"/>
            </w:tcBorders>
            <w:shd w:val="clear" w:color="auto" w:fill="CFF0FC"/>
          </w:tcPr>
          <w:p>
            <w:pPr>
              <w:spacing w:after="0"/>
              <w:rPr>
                <w:sz w:val="21"/>
                <w:szCs w:val="21"/>
                <w:color w:val="auto"/>
              </w:rPr>
            </w:pP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33,986</w:t>
            </w:r>
          </w:p>
        </w:tc>
        <w:tc>
          <w:tcPr>
            <w:tcW w:w="160" w:type="dxa"/>
            <w:vAlign w:val="bottom"/>
            <w:tcBorders>
              <w:top w:val="single" w:sz="8" w:color="CFF0FC"/>
              <w:bottom w:val="single" w:sz="8" w:color="CFF0FC"/>
            </w:tcBorders>
            <w:shd w:val="clear" w:color="auto" w:fill="CFF0FC"/>
          </w:tcPr>
          <w:p>
            <w:pPr>
              <w:spacing w:after="0"/>
              <w:rPr>
                <w:sz w:val="21"/>
                <w:szCs w:val="21"/>
                <w:color w:val="auto"/>
              </w:rPr>
            </w:pP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215,843</w:t>
            </w:r>
          </w:p>
        </w:tc>
        <w:tc>
          <w:tcPr>
            <w:tcW w:w="260" w:type="dxa"/>
            <w:vAlign w:val="bottom"/>
            <w:tcBorders>
              <w:top w:val="single" w:sz="8" w:color="CFF0FC"/>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159,242</w:t>
            </w:r>
          </w:p>
        </w:tc>
        <w:tc>
          <w:tcPr>
            <w:tcW w:w="140" w:type="dxa"/>
            <w:vAlign w:val="bottom"/>
            <w:tcBorders>
              <w:top w:val="single" w:sz="8" w:color="CFF0FC"/>
              <w:bottom w:val="single" w:sz="8" w:color="CFF0FC"/>
            </w:tcBorders>
            <w:shd w:val="clear" w:color="auto" w:fill="CFF0FC"/>
          </w:tcPr>
          <w:p>
            <w:pPr>
              <w:spacing w:after="0"/>
              <w:rPr>
                <w:sz w:val="21"/>
                <w:szCs w:val="21"/>
                <w:color w:val="auto"/>
              </w:rPr>
            </w:pPr>
          </w:p>
        </w:tc>
        <w:tc>
          <w:tcPr>
            <w:tcW w:w="80" w:type="dxa"/>
            <w:vAlign w:val="bottom"/>
            <w:tcBorders>
              <w:top w:val="single" w:sz="8" w:color="CFF0FC"/>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7,457,934</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-25400</wp:posOffset>
            </wp:positionV>
            <wp:extent cx="7683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-8255</wp:posOffset>
            </wp:positionV>
            <wp:extent cx="76835"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-170815</wp:posOffset>
            </wp:positionV>
            <wp:extent cx="7683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-25400</wp:posOffset>
            </wp:positionV>
            <wp:extent cx="7747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-8255</wp:posOffset>
            </wp:positionV>
            <wp:extent cx="7747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-170815</wp:posOffset>
            </wp:positionV>
            <wp:extent cx="7747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-25400</wp:posOffset>
            </wp:positionV>
            <wp:extent cx="6858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-8255</wp:posOffset>
            </wp:positionV>
            <wp:extent cx="6858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-170815</wp:posOffset>
            </wp:positionV>
            <wp:extent cx="6858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-25400</wp:posOffset>
            </wp:positionV>
            <wp:extent cx="6858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-8255</wp:posOffset>
            </wp:positionV>
            <wp:extent cx="6858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-170815</wp:posOffset>
            </wp:positionV>
            <wp:extent cx="6858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right="60" w:firstLine="255"/>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with respect to the net change in unrealized gains or losses on investments for which Level 3 inputs were used in determining fair value that are still held by the Company at September 30, 2026 and September 30, 2025:</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Net Change in Unrealized</w:t>
            </w:r>
          </w:p>
        </w:tc>
        <w:tc>
          <w:tcPr>
            <w:tcW w:w="200" w:type="dxa"/>
            <w:vAlign w:val="bottom"/>
          </w:tcPr>
          <w:p>
            <w:pPr>
              <w:spacing w:after="0"/>
              <w:rPr>
                <w:sz w:val="13"/>
                <w:szCs w:val="13"/>
                <w:color w:val="auto"/>
              </w:rPr>
            </w:pPr>
          </w:p>
        </w:tc>
        <w:tc>
          <w:tcPr>
            <w:tcW w:w="2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Net Change in Unrealized</w:t>
            </w:r>
          </w:p>
        </w:tc>
      </w:tr>
      <w:tr>
        <w:trPr>
          <w:trHeight w:val="148"/>
        </w:trPr>
        <w:tc>
          <w:tcPr>
            <w:tcW w:w="6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8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Gains or (Losses)</w:t>
            </w:r>
          </w:p>
        </w:tc>
        <w:tc>
          <w:tcPr>
            <w:tcW w:w="200" w:type="dxa"/>
            <w:vAlign w:val="bottom"/>
          </w:tcPr>
          <w:p>
            <w:pPr>
              <w:spacing w:after="0"/>
              <w:rPr>
                <w:sz w:val="12"/>
                <w:szCs w:val="12"/>
                <w:color w:val="auto"/>
              </w:rPr>
            </w:pPr>
          </w:p>
        </w:tc>
        <w:tc>
          <w:tcPr>
            <w:tcW w:w="23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Gains or (Losses)</w:t>
            </w:r>
          </w:p>
        </w:tc>
      </w:tr>
      <w:tr>
        <w:trPr>
          <w:trHeight w:val="149"/>
        </w:trPr>
        <w:tc>
          <w:tcPr>
            <w:tcW w:w="6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8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00" w:type="dxa"/>
            <w:vAlign w:val="bottom"/>
          </w:tcPr>
          <w:p>
            <w:pPr>
              <w:spacing w:after="0"/>
              <w:rPr>
                <w:sz w:val="12"/>
                <w:szCs w:val="12"/>
                <w:color w:val="auto"/>
              </w:rPr>
            </w:pPr>
          </w:p>
        </w:tc>
        <w:tc>
          <w:tcPr>
            <w:tcW w:w="23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For the Three Months Ended</w:t>
            </w:r>
          </w:p>
        </w:tc>
      </w:tr>
      <w:tr>
        <w:trPr>
          <w:trHeight w:val="148"/>
        </w:trPr>
        <w:tc>
          <w:tcPr>
            <w:tcW w:w="6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8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 2026 on</w:t>
            </w:r>
          </w:p>
        </w:tc>
        <w:tc>
          <w:tcPr>
            <w:tcW w:w="200" w:type="dxa"/>
            <w:vAlign w:val="bottom"/>
          </w:tcPr>
          <w:p>
            <w:pPr>
              <w:spacing w:after="0"/>
              <w:rPr>
                <w:sz w:val="12"/>
                <w:szCs w:val="12"/>
                <w:color w:val="auto"/>
              </w:rPr>
            </w:pPr>
          </w:p>
        </w:tc>
        <w:tc>
          <w:tcPr>
            <w:tcW w:w="23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 2025 on</w:t>
            </w:r>
          </w:p>
        </w:tc>
      </w:tr>
      <w:tr>
        <w:trPr>
          <w:trHeight w:val="148"/>
        </w:trPr>
        <w:tc>
          <w:tcPr>
            <w:tcW w:w="6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8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Investments Held at</w:t>
            </w:r>
          </w:p>
        </w:tc>
        <w:tc>
          <w:tcPr>
            <w:tcW w:w="200" w:type="dxa"/>
            <w:vAlign w:val="bottom"/>
          </w:tcPr>
          <w:p>
            <w:pPr>
              <w:spacing w:after="0"/>
              <w:rPr>
                <w:sz w:val="12"/>
                <w:szCs w:val="12"/>
                <w:color w:val="auto"/>
              </w:rPr>
            </w:pPr>
          </w:p>
        </w:tc>
        <w:tc>
          <w:tcPr>
            <w:tcW w:w="23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Investments Held at</w:t>
            </w:r>
          </w:p>
        </w:tc>
      </w:tr>
      <w:tr>
        <w:trPr>
          <w:trHeight w:val="173"/>
        </w:trPr>
        <w:tc>
          <w:tcPr>
            <w:tcW w:w="60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00" w:type="dxa"/>
            <w:vAlign w:val="bottom"/>
          </w:tcPr>
          <w:p>
            <w:pPr>
              <w:spacing w:after="0"/>
              <w:rPr>
                <w:sz w:val="15"/>
                <w:szCs w:val="15"/>
                <w:color w:val="auto"/>
              </w:rPr>
            </w:pPr>
          </w:p>
        </w:tc>
      </w:tr>
      <w:tr>
        <w:trPr>
          <w:trHeight w:val="210"/>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2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(35,107)</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(11,664)</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180" w:type="dxa"/>
            <w:vAlign w:val="bottom"/>
          </w:tcPr>
          <w:p>
            <w:pPr>
              <w:spacing w:after="0"/>
              <w:rPr>
                <w:sz w:val="18"/>
                <w:szCs w:val="18"/>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Pr>
          <w:p>
            <w:pPr>
              <w:spacing w:after="0"/>
              <w:rPr>
                <w:sz w:val="18"/>
                <w:szCs w:val="18"/>
                <w:color w:val="auto"/>
              </w:rPr>
            </w:pPr>
          </w:p>
        </w:tc>
      </w:tr>
      <w:tr>
        <w:trPr>
          <w:trHeight w:val="216"/>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Mezzanine debt investments</w:t>
            </w:r>
          </w:p>
        </w:tc>
        <w:tc>
          <w:tcPr>
            <w:tcW w:w="180" w:type="dxa"/>
            <w:vAlign w:val="bottom"/>
            <w:shd w:val="clear" w:color="auto" w:fill="CFF0FC"/>
          </w:tcPr>
          <w:p>
            <w:pPr>
              <w:spacing w:after="0"/>
              <w:rPr>
                <w:sz w:val="18"/>
                <w:szCs w:val="18"/>
                <w:color w:val="auto"/>
              </w:rPr>
            </w:pPr>
          </w:p>
        </w:tc>
        <w:tc>
          <w:tcPr>
            <w:tcW w:w="2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2,810</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180" w:type="dxa"/>
            <w:vAlign w:val="bottom"/>
          </w:tcPr>
          <w:p>
            <w:pPr>
              <w:spacing w:after="0"/>
              <w:rPr>
                <w:sz w:val="18"/>
                <w:szCs w:val="18"/>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11,104</w:t>
            </w:r>
          </w:p>
        </w:tc>
        <w:tc>
          <w:tcPr>
            <w:tcW w:w="100" w:type="dxa"/>
            <w:vAlign w:val="bottom"/>
          </w:tcPr>
          <w:p>
            <w:pPr>
              <w:spacing w:after="0"/>
              <w:rPr>
                <w:sz w:val="18"/>
                <w:szCs w:val="18"/>
                <w:color w:val="auto"/>
              </w:rPr>
            </w:pPr>
          </w:p>
        </w:tc>
      </w:tr>
      <w:tr>
        <w:trPr>
          <w:trHeight w:val="216"/>
        </w:trPr>
        <w:tc>
          <w:tcPr>
            <w:tcW w:w="6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Joint venture investments</w:t>
            </w:r>
          </w:p>
        </w:tc>
        <w:tc>
          <w:tcPr>
            <w:tcW w:w="180" w:type="dxa"/>
            <w:vAlign w:val="bottom"/>
            <w:tcBorders>
              <w:bottom w:val="single" w:sz="8" w:color="auto"/>
            </w:tcBorders>
            <w:shd w:val="clear" w:color="auto" w:fill="CFF0FC"/>
          </w:tcPr>
          <w:p>
            <w:pPr>
              <w:spacing w:after="0"/>
              <w:rPr>
                <w:sz w:val="18"/>
                <w:szCs w:val="18"/>
                <w:color w:val="auto"/>
              </w:rPr>
            </w:pPr>
          </w:p>
        </w:tc>
        <w:tc>
          <w:tcPr>
            <w:tcW w:w="2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2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2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2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(26,836)</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(316)</w:t>
            </w:r>
          </w:p>
        </w:tc>
      </w:tr>
      <w:tr>
        <w:trPr>
          <w:trHeight w:val="20"/>
        </w:trPr>
        <w:tc>
          <w:tcPr>
            <w:tcW w:w="6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-170815</wp:posOffset>
            </wp:positionV>
            <wp:extent cx="6858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99" w:lineRule="exact"/>
        <w:rPr>
          <w:sz w:val="20"/>
          <w:szCs w:val="20"/>
          <w:color w:val="auto"/>
        </w:rPr>
      </w:pPr>
    </w:p>
    <w:p>
      <w:pPr>
        <w:jc w:val="center"/>
        <w:ind w:left="6140"/>
        <w:spacing w:after="0"/>
        <w:rPr>
          <w:sz w:val="20"/>
          <w:szCs w:val="20"/>
          <w:color w:val="auto"/>
        </w:rPr>
      </w:pPr>
      <w:r>
        <w:rPr>
          <w:rFonts w:ascii="Times New Roman" w:cs="Times New Roman" w:eastAsia="Times New Roman" w:hAnsi="Times New Roman"/>
          <w:sz w:val="14"/>
          <w:szCs w:val="14"/>
          <w:b w:val="1"/>
          <w:bCs w:val="1"/>
          <w:color w:val="auto"/>
        </w:rPr>
        <w:t>Net Change in Unrealized</w:t>
      </w:r>
    </w:p>
    <w:p>
      <w:pPr>
        <w:jc w:val="center"/>
        <w:ind w:left="6140"/>
        <w:spacing w:after="0" w:line="229" w:lineRule="auto"/>
        <w:rPr>
          <w:sz w:val="20"/>
          <w:szCs w:val="20"/>
          <w:color w:val="auto"/>
        </w:rPr>
      </w:pPr>
      <w:r>
        <w:rPr>
          <w:rFonts w:ascii="Times New Roman" w:cs="Times New Roman" w:eastAsia="Times New Roman" w:hAnsi="Times New Roman"/>
          <w:sz w:val="14"/>
          <w:szCs w:val="14"/>
          <w:b w:val="1"/>
          <w:bCs w:val="1"/>
          <w:color w:val="auto"/>
        </w:rPr>
        <w:t>Gains or (Losses)</w:t>
      </w:r>
    </w:p>
    <w:p>
      <w:pPr>
        <w:jc w:val="center"/>
        <w:ind w:left="6140"/>
        <w:spacing w:after="0" w:line="221" w:lineRule="auto"/>
        <w:rPr>
          <w:sz w:val="20"/>
          <w:szCs w:val="20"/>
          <w:color w:val="auto"/>
        </w:rPr>
      </w:pPr>
      <w:r>
        <w:rPr>
          <w:rFonts w:ascii="Times New Roman" w:cs="Times New Roman" w:eastAsia="Times New Roman" w:hAnsi="Times New Roman"/>
          <w:sz w:val="14"/>
          <w:szCs w:val="14"/>
          <w:b w:val="1"/>
          <w:bCs w:val="1"/>
          <w:color w:val="auto"/>
        </w:rPr>
        <w:t>For the Nine Months Ended</w:t>
      </w:r>
    </w:p>
    <w:p>
      <w:pPr>
        <w:jc w:val="center"/>
        <w:ind w:left="6140"/>
        <w:spacing w:after="0" w:line="222" w:lineRule="auto"/>
        <w:rPr>
          <w:sz w:val="20"/>
          <w:szCs w:val="20"/>
          <w:color w:val="auto"/>
        </w:rPr>
      </w:pPr>
      <w:r>
        <w:rPr>
          <w:rFonts w:ascii="Times New Roman" w:cs="Times New Roman" w:eastAsia="Times New Roman" w:hAnsi="Times New Roman"/>
          <w:sz w:val="14"/>
          <w:szCs w:val="14"/>
          <w:b w:val="1"/>
          <w:bCs w:val="1"/>
          <w:color w:val="auto"/>
        </w:rPr>
        <w:t>September 30, 2026 on</w:t>
      </w:r>
    </w:p>
    <w:p>
      <w:pPr>
        <w:jc w:val="center"/>
        <w:ind w:left="6140"/>
        <w:spacing w:after="0" w:line="221" w:lineRule="auto"/>
        <w:rPr>
          <w:sz w:val="20"/>
          <w:szCs w:val="20"/>
          <w:color w:val="auto"/>
        </w:rPr>
      </w:pPr>
      <w:r>
        <w:rPr>
          <w:rFonts w:ascii="Times New Roman" w:cs="Times New Roman" w:eastAsia="Times New Roman" w:hAnsi="Times New Roman"/>
          <w:sz w:val="14"/>
          <w:szCs w:val="14"/>
          <w:b w:val="1"/>
          <w:bCs w:val="1"/>
          <w:color w:val="auto"/>
        </w:rPr>
        <w:t>Investments Held at</w:t>
      </w:r>
    </w:p>
    <w:p>
      <w:pPr>
        <w:jc w:val="center"/>
        <w:ind w:left="6140"/>
        <w:spacing w:after="0" w:line="232" w:lineRule="auto"/>
        <w:rPr>
          <w:sz w:val="20"/>
          <w:szCs w:val="20"/>
          <w:color w:val="auto"/>
        </w:rPr>
      </w:pPr>
      <w:r>
        <w:rPr>
          <w:rFonts w:ascii="Times New Roman" w:cs="Times New Roman" w:eastAsia="Times New Roman" w:hAnsi="Times New Roman"/>
          <w:sz w:val="14"/>
          <w:szCs w:val="14"/>
          <w:b w:val="1"/>
          <w:bCs w:val="1"/>
          <w:color w:val="auto"/>
        </w:rPr>
        <w:t>September 30, 2026</w:t>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jc w:val="center"/>
        <w:ind w:right="460"/>
        <w:spacing w:after="0" w:line="227" w:lineRule="auto"/>
        <w:rPr>
          <w:sz w:val="20"/>
          <w:szCs w:val="20"/>
          <w:color w:val="auto"/>
        </w:rPr>
      </w:pPr>
      <w:r>
        <w:rPr>
          <w:rFonts w:ascii="Times New Roman" w:cs="Times New Roman" w:eastAsia="Times New Roman" w:hAnsi="Times New Roman"/>
          <w:sz w:val="14"/>
          <w:szCs w:val="14"/>
          <w:b w:val="1"/>
          <w:bCs w:val="1"/>
          <w:color w:val="auto"/>
        </w:rPr>
        <w:t>Net Change in Unrealized Gains or (Losses) For the Nine Months Ended September 30, 2025 on Investments Held at September 30, 2025</w:t>
      </w:r>
    </w:p>
    <w:p>
      <w:pPr>
        <w:spacing w:after="0" w:line="22" w:lineRule="exact"/>
        <w:rPr>
          <w:sz w:val="20"/>
          <w:szCs w:val="20"/>
          <w:color w:val="auto"/>
        </w:rPr>
      </w:pPr>
    </w:p>
    <w:p>
      <w:pPr>
        <w:sectPr>
          <w:pgSz w:w="11900" w:h="16838" w:orient="portrait"/>
          <w:cols w:equalWidth="0" w:num="2">
            <w:col w:w="8340" w:space="720"/>
            <w:col w:w="218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38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84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First-lien debt investments</w:t>
            </w:r>
          </w:p>
        </w:tc>
        <w:tc>
          <w:tcPr>
            <w:tcW w:w="3120" w:type="dxa"/>
            <w:vAlign w:val="bottom"/>
            <w:gridSpan w:val="2"/>
            <w:shd w:val="clear" w:color="auto" w:fill="CFF0FC"/>
          </w:tcPr>
          <w:p>
            <w:pPr>
              <w:jc w:val="right"/>
              <w:ind w:right="8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FF0FC"/>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(193,245)</w:t>
            </w:r>
          </w:p>
        </w:tc>
        <w:tc>
          <w:tcPr>
            <w:tcW w:w="960" w:type="dxa"/>
            <w:vAlign w:val="bottom"/>
            <w:shd w:val="clear" w:color="auto" w:fill="CFF0FC"/>
          </w:tcPr>
          <w:p>
            <w:pPr>
              <w:jc w:val="right"/>
              <w:ind w:right="77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141,297</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2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(1,434)</w:t>
            </w:r>
          </w:p>
        </w:tc>
        <w:tc>
          <w:tcPr>
            <w:tcW w:w="9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Mezzanine debt investments</w:t>
            </w:r>
          </w:p>
        </w:tc>
        <w:tc>
          <w:tcPr>
            <w:tcW w:w="2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(1,874)</w:t>
            </w:r>
          </w:p>
        </w:tc>
        <w:tc>
          <w:tcPr>
            <w:tcW w:w="9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2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(10,250)</w:t>
            </w:r>
          </w:p>
        </w:tc>
        <w:tc>
          <w:tcPr>
            <w:tcW w:w="9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Joint venture investments</w:t>
            </w:r>
          </w:p>
        </w:tc>
        <w:tc>
          <w:tcPr>
            <w:tcW w:w="222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28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12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(204,628)</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22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34</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840" w:type="dxa"/>
            <w:vAlign w:val="bottom"/>
          </w:tcPr>
          <w:p>
            <w:pPr>
              <w:spacing w:after="0"/>
              <w:rPr>
                <w:sz w:val="24"/>
                <w:szCs w:val="24"/>
                <w:color w:val="auto"/>
              </w:rPr>
            </w:pPr>
          </w:p>
        </w:tc>
        <w:tc>
          <w:tcPr>
            <w:tcW w:w="222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84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-1079500</wp:posOffset>
            </wp:positionV>
            <wp:extent cx="6858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4" w:name="page35"/>
    <w:bookmarkEnd w:id="34"/>
    <w:p>
      <w:pPr>
        <w:ind w:right="20" w:firstLine="255"/>
        <w:spacing w:after="0" w:line="266" w:lineRule="auto"/>
        <w:rPr>
          <w:sz w:val="20"/>
          <w:szCs w:val="20"/>
          <w:color w:val="auto"/>
        </w:rPr>
      </w:pPr>
      <w:r>
        <w:rPr>
          <w:rFonts w:ascii="Times New Roman" w:cs="Times New Roman" w:eastAsia="Times New Roman" w:hAnsi="Times New Roman"/>
          <w:sz w:val="18"/>
          <w:szCs w:val="18"/>
          <w:color w:val="auto"/>
        </w:rPr>
        <w:t>The following tables present the fair value of Level 3 Investments at fair value and the significant unobservable inputs used in the valuations as of September 30, 2026 and December 31, 2025. The tables are not intended to be all-inclusive, but instead capture the significant unobservable inputs relevant to the Company’s determination of fair values.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60" w:type="dxa"/>
            <w:vAlign w:val="bottom"/>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Valuation</w:t>
            </w:r>
          </w:p>
        </w:tc>
        <w:tc>
          <w:tcPr>
            <w:tcW w:w="100" w:type="dxa"/>
            <w:vAlign w:val="bottom"/>
          </w:tcPr>
          <w:p>
            <w:pPr>
              <w:spacing w:after="0"/>
              <w:rPr>
                <w:sz w:val="10"/>
                <w:szCs w:val="10"/>
                <w:color w:val="auto"/>
              </w:rPr>
            </w:pPr>
          </w:p>
        </w:tc>
        <w:tc>
          <w:tcPr>
            <w:tcW w:w="188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1840" w:type="dxa"/>
            <w:vAlign w:val="bottom"/>
            <w:vMerge w:val="restart"/>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Range (Weighted</w:t>
            </w:r>
          </w:p>
        </w:tc>
        <w:tc>
          <w:tcPr>
            <w:tcW w:w="100" w:type="dxa"/>
            <w:vAlign w:val="bottom"/>
          </w:tcPr>
          <w:p>
            <w:pPr>
              <w:spacing w:after="0"/>
              <w:rPr>
                <w:sz w:val="10"/>
                <w:szCs w:val="10"/>
                <w:color w:val="auto"/>
              </w:rPr>
            </w:pPr>
          </w:p>
        </w:tc>
        <w:tc>
          <w:tcPr>
            <w:tcW w:w="16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Impact to Valuation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gridSpan w:val="3"/>
            <w:vMerge w:val="continue"/>
          </w:tcPr>
          <w:p>
            <w:pPr>
              <w:spacing w:after="0"/>
              <w:rPr>
                <w:sz w:val="12"/>
                <w:szCs w:val="12"/>
                <w:color w:val="auto"/>
              </w:rPr>
            </w:pPr>
          </w:p>
        </w:tc>
        <w:tc>
          <w:tcPr>
            <w:tcW w:w="18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from an</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Technique</w:t>
            </w:r>
          </w:p>
        </w:tc>
        <w:tc>
          <w:tcPr>
            <w:tcW w:w="100" w:type="dxa"/>
            <w:vAlign w:val="bottom"/>
          </w:tcPr>
          <w:p>
            <w:pPr>
              <w:spacing w:after="0"/>
              <w:rPr>
                <w:sz w:val="15"/>
                <w:szCs w:val="15"/>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Input</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5"/>
                <w:szCs w:val="15"/>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Increase to Input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First-lien debt investments</w:t>
            </w:r>
          </w:p>
        </w:tc>
        <w:tc>
          <w:tcPr>
            <w:tcW w:w="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8,455,577</w:t>
            </w:r>
          </w:p>
        </w:tc>
        <w:tc>
          <w:tcPr>
            <w:tcW w:w="1900" w:type="dxa"/>
            <w:vAlign w:val="bottom"/>
            <w:gridSpan w:val="2"/>
            <w:shd w:val="clear" w:color="auto" w:fill="CFF0FC"/>
          </w:tcPr>
          <w:p>
            <w:pPr>
              <w:ind w:left="240"/>
              <w:spacing w:after="0" w:line="196" w:lineRule="exact"/>
              <w:rPr>
                <w:sz w:val="20"/>
                <w:szCs w:val="20"/>
                <w:color w:val="auto"/>
              </w:rPr>
            </w:pPr>
            <w:r>
              <w:rPr>
                <w:rFonts w:ascii="Times New Roman" w:cs="Times New Roman" w:eastAsia="Times New Roman" w:hAnsi="Times New Roman"/>
                <w:sz w:val="16"/>
                <w:szCs w:val="16"/>
                <w:color w:val="auto"/>
              </w:rPr>
              <w:t xml:space="preserve">Income approach </w:t>
            </w:r>
            <w:r>
              <w:rPr>
                <w:rFonts w:ascii="Times New Roman" w:cs="Times New Roman" w:eastAsia="Times New Roman" w:hAnsi="Times New Roman"/>
                <w:sz w:val="21"/>
                <w:szCs w:val="21"/>
                <w:color w:val="auto"/>
                <w:vertAlign w:val="superscript"/>
              </w:rPr>
              <w:t>(1)</w:t>
            </w:r>
          </w:p>
        </w:tc>
        <w:tc>
          <w:tcPr>
            <w:tcW w:w="1980" w:type="dxa"/>
            <w:vAlign w:val="bottom"/>
            <w:gridSpan w:val="4"/>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Discount rate</w:t>
            </w:r>
          </w:p>
        </w:tc>
        <w:tc>
          <w:tcPr>
            <w:tcW w:w="1840" w:type="dxa"/>
            <w:vAlign w:val="bottom"/>
            <w:shd w:val="clear" w:color="auto" w:fill="CFF0FC"/>
          </w:tcPr>
          <w:p>
            <w:pPr>
              <w:jc w:val="center"/>
              <w:ind w:right="81"/>
              <w:spacing w:after="0"/>
              <w:rPr>
                <w:sz w:val="20"/>
                <w:szCs w:val="20"/>
                <w:color w:val="auto"/>
              </w:rPr>
            </w:pPr>
            <w:r>
              <w:rPr>
                <w:rFonts w:ascii="Times New Roman" w:cs="Times New Roman" w:eastAsia="Times New Roman" w:hAnsi="Times New Roman"/>
                <w:sz w:val="16"/>
                <w:szCs w:val="16"/>
                <w:color w:val="auto"/>
              </w:rPr>
              <w:t>8.0% — 27.5% (11.2%)</w:t>
            </w:r>
          </w:p>
        </w:tc>
        <w:tc>
          <w:tcPr>
            <w:tcW w:w="17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Decrease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Second-lien debt investments</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40,478</w:t>
            </w:r>
          </w:p>
        </w:tc>
        <w:tc>
          <w:tcPr>
            <w:tcW w:w="190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Income approach</w:t>
            </w:r>
          </w:p>
        </w:tc>
        <w:tc>
          <w:tcPr>
            <w:tcW w:w="198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auto"/>
              </w:rPr>
              <w:t>Discount rate</w:t>
            </w:r>
          </w:p>
        </w:tc>
        <w:tc>
          <w:tcPr>
            <w:tcW w:w="1840" w:type="dxa"/>
            <w:vAlign w:val="bottom"/>
          </w:tcPr>
          <w:p>
            <w:pPr>
              <w:jc w:val="center"/>
              <w:ind w:right="81"/>
              <w:spacing w:after="0"/>
              <w:rPr>
                <w:sz w:val="20"/>
                <w:szCs w:val="20"/>
                <w:color w:val="auto"/>
              </w:rPr>
            </w:pPr>
            <w:r>
              <w:rPr>
                <w:rFonts w:ascii="Times New Roman" w:cs="Times New Roman" w:eastAsia="Times New Roman" w:hAnsi="Times New Roman"/>
                <w:sz w:val="16"/>
                <w:szCs w:val="16"/>
                <w:color w:val="auto"/>
              </w:rPr>
              <w:t>16.3% — 17.7% (16.8%)</w:t>
            </w:r>
          </w:p>
        </w:tc>
        <w:tc>
          <w:tcPr>
            <w:tcW w:w="17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Decrease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Mezzanine debt investments</w:t>
            </w:r>
          </w:p>
        </w:tc>
        <w:tc>
          <w:tcPr>
            <w:tcW w:w="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240,077</w:t>
            </w:r>
          </w:p>
        </w:tc>
        <w:tc>
          <w:tcPr>
            <w:tcW w:w="19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Income approach</w:t>
            </w:r>
          </w:p>
        </w:tc>
        <w:tc>
          <w:tcPr>
            <w:tcW w:w="1980" w:type="dxa"/>
            <w:vAlign w:val="bottom"/>
            <w:gridSpan w:val="4"/>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Discount rate</w:t>
            </w:r>
          </w:p>
        </w:tc>
        <w:tc>
          <w:tcPr>
            <w:tcW w:w="1840" w:type="dxa"/>
            <w:vAlign w:val="bottom"/>
            <w:shd w:val="clear" w:color="auto" w:fill="CFF0FC"/>
          </w:tcPr>
          <w:p>
            <w:pPr>
              <w:jc w:val="center"/>
              <w:ind w:right="81"/>
              <w:spacing w:after="0"/>
              <w:rPr>
                <w:sz w:val="20"/>
                <w:szCs w:val="20"/>
                <w:color w:val="auto"/>
              </w:rPr>
            </w:pPr>
            <w:r>
              <w:rPr>
                <w:rFonts w:ascii="Times New Roman" w:cs="Times New Roman" w:eastAsia="Times New Roman" w:hAnsi="Times New Roman"/>
                <w:sz w:val="16"/>
                <w:szCs w:val="16"/>
                <w:color w:val="auto"/>
              </w:rPr>
              <w:t>11.5% — 11.5% (11.5%)</w:t>
            </w:r>
          </w:p>
        </w:tc>
        <w:tc>
          <w:tcPr>
            <w:tcW w:w="17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Decrease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Equity investments</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117,258</w:t>
            </w:r>
          </w:p>
        </w:tc>
        <w:tc>
          <w:tcPr>
            <w:tcW w:w="190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Income approach</w:t>
            </w:r>
          </w:p>
        </w:tc>
        <w:tc>
          <w:tcPr>
            <w:tcW w:w="198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auto"/>
              </w:rPr>
              <w:t>Discount rate</w:t>
            </w:r>
          </w:p>
        </w:tc>
        <w:tc>
          <w:tcPr>
            <w:tcW w:w="1840" w:type="dxa"/>
            <w:vAlign w:val="bottom"/>
          </w:tcPr>
          <w:p>
            <w:pPr>
              <w:jc w:val="center"/>
              <w:ind w:right="81"/>
              <w:spacing w:after="0"/>
              <w:rPr>
                <w:sz w:val="20"/>
                <w:szCs w:val="20"/>
                <w:color w:val="auto"/>
              </w:rPr>
            </w:pPr>
            <w:r>
              <w:rPr>
                <w:rFonts w:ascii="Times New Roman" w:cs="Times New Roman" w:eastAsia="Times New Roman" w:hAnsi="Times New Roman"/>
                <w:sz w:val="16"/>
                <w:szCs w:val="16"/>
                <w:color w:val="auto"/>
              </w:rPr>
              <w:t>15.2% — 19.2% (17.7%)</w:t>
            </w:r>
          </w:p>
        </w:tc>
        <w:tc>
          <w:tcPr>
            <w:tcW w:w="17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Decrease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Equity investments</w:t>
            </w:r>
          </w:p>
        </w:tc>
        <w:tc>
          <w:tcPr>
            <w:tcW w:w="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116,790</w:t>
            </w:r>
          </w:p>
        </w:tc>
        <w:tc>
          <w:tcPr>
            <w:tcW w:w="19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Market Multiple</w:t>
            </w:r>
          </w:p>
        </w:tc>
        <w:tc>
          <w:tcPr>
            <w:tcW w:w="1980" w:type="dxa"/>
            <w:vAlign w:val="bottom"/>
            <w:gridSpan w:val="4"/>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Comparable multiple</w:t>
            </w:r>
          </w:p>
        </w:tc>
        <w:tc>
          <w:tcPr>
            <w:tcW w:w="1840" w:type="dxa"/>
            <w:vAlign w:val="bottom"/>
            <w:shd w:val="clear" w:color="auto" w:fill="CFF0FC"/>
          </w:tcPr>
          <w:p>
            <w:pPr>
              <w:jc w:val="center"/>
              <w:ind w:right="81"/>
              <w:spacing w:after="0"/>
              <w:rPr>
                <w:sz w:val="20"/>
                <w:szCs w:val="20"/>
                <w:color w:val="auto"/>
              </w:rPr>
            </w:pPr>
            <w:r>
              <w:rPr>
                <w:rFonts w:ascii="Times New Roman" w:cs="Times New Roman" w:eastAsia="Times New Roman" w:hAnsi="Times New Roman"/>
                <w:sz w:val="16"/>
                <w:szCs w:val="16"/>
                <w:color w:val="auto"/>
              </w:rPr>
              <w:t>10.4x — 24.0x (15.0x)</w:t>
            </w:r>
          </w:p>
        </w:tc>
        <w:tc>
          <w:tcPr>
            <w:tcW w:w="17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Increase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Joint venture investments</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40,007</w:t>
            </w:r>
          </w:p>
        </w:tc>
        <w:tc>
          <w:tcPr>
            <w:tcW w:w="190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Income approach</w:t>
            </w:r>
          </w:p>
        </w:tc>
        <w:tc>
          <w:tcPr>
            <w:tcW w:w="198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auto"/>
              </w:rPr>
              <w:t>Discount rate</w:t>
            </w:r>
          </w:p>
        </w:tc>
        <w:tc>
          <w:tcPr>
            <w:tcW w:w="1840" w:type="dxa"/>
            <w:vAlign w:val="bottom"/>
          </w:tcPr>
          <w:p>
            <w:pPr>
              <w:jc w:val="center"/>
              <w:ind w:right="81"/>
              <w:spacing w:after="0"/>
              <w:rPr>
                <w:sz w:val="20"/>
                <w:szCs w:val="20"/>
                <w:color w:val="auto"/>
              </w:rPr>
            </w:pPr>
            <w:r>
              <w:rPr>
                <w:rFonts w:ascii="Times New Roman" w:cs="Times New Roman" w:eastAsia="Times New Roman" w:hAnsi="Times New Roman"/>
                <w:sz w:val="16"/>
                <w:szCs w:val="16"/>
                <w:color w:val="auto"/>
              </w:rPr>
              <w:t>13.0% — 13.0% (13.0%)</w:t>
            </w:r>
          </w:p>
        </w:tc>
        <w:tc>
          <w:tcPr>
            <w:tcW w:w="17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9,010,187</w:t>
            </w: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-24765</wp:posOffset>
            </wp:positionV>
            <wp:extent cx="7683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-7620</wp:posOffset>
            </wp:positionV>
            <wp:extent cx="7683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70" w:lineRule="exact"/>
        <w:rPr>
          <w:sz w:val="20"/>
          <w:szCs w:val="20"/>
          <w:color w:val="auto"/>
        </w:rPr>
      </w:pPr>
    </w:p>
    <w:p>
      <w:pPr>
        <w:ind w:left="1020" w:right="80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$38.0 million of first-lien debt investments which were valued using an asset waterfall and $30.9 million of first-lien debt investments which were valued using a comparable market price.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9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4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Valuation</w:t>
            </w:r>
          </w:p>
        </w:tc>
        <w:tc>
          <w:tcPr>
            <w:tcW w:w="120" w:type="dxa"/>
            <w:vAlign w:val="bottom"/>
          </w:tcPr>
          <w:p>
            <w:pPr>
              <w:spacing w:after="0"/>
              <w:rPr>
                <w:sz w:val="10"/>
                <w:szCs w:val="10"/>
                <w:color w:val="auto"/>
              </w:rPr>
            </w:pPr>
          </w:p>
        </w:tc>
        <w:tc>
          <w:tcPr>
            <w:tcW w:w="192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1860" w:type="dxa"/>
            <w:vAlign w:val="bottom"/>
            <w:gridSpan w:val="3"/>
            <w:vMerge w:val="restart"/>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Range (Weighted</w:t>
            </w:r>
          </w:p>
        </w:tc>
        <w:tc>
          <w:tcPr>
            <w:tcW w:w="120" w:type="dxa"/>
            <w:vAlign w:val="bottom"/>
          </w:tcPr>
          <w:p>
            <w:pPr>
              <w:spacing w:after="0"/>
              <w:rPr>
                <w:sz w:val="10"/>
                <w:szCs w:val="10"/>
                <w:color w:val="auto"/>
              </w:rPr>
            </w:pPr>
          </w:p>
        </w:tc>
        <w:tc>
          <w:tcPr>
            <w:tcW w:w="15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Impact to Valuation</w:t>
            </w:r>
          </w:p>
        </w:tc>
        <w:tc>
          <w:tcPr>
            <w:tcW w:w="0" w:type="dxa"/>
            <w:vAlign w:val="bottom"/>
          </w:tcPr>
          <w:p>
            <w:pPr>
              <w:spacing w:after="0"/>
              <w:rPr>
                <w:sz w:val="1"/>
                <w:szCs w:val="1"/>
                <w:color w:val="auto"/>
              </w:rPr>
            </w:pPr>
          </w:p>
        </w:tc>
      </w:tr>
      <w:tr>
        <w:trPr>
          <w:trHeight w:val="148"/>
        </w:trPr>
        <w:tc>
          <w:tcPr>
            <w:tcW w:w="2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3"/>
            <w:vMerge w:val="continue"/>
          </w:tcPr>
          <w:p>
            <w:pPr>
              <w:spacing w:after="0"/>
              <w:rPr>
                <w:sz w:val="12"/>
                <w:szCs w:val="12"/>
                <w:color w:val="auto"/>
              </w:rPr>
            </w:pPr>
          </w:p>
        </w:tc>
        <w:tc>
          <w:tcPr>
            <w:tcW w:w="18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from an</w:t>
            </w:r>
          </w:p>
        </w:tc>
        <w:tc>
          <w:tcPr>
            <w:tcW w:w="0" w:type="dxa"/>
            <w:vAlign w:val="bottom"/>
          </w:tcPr>
          <w:p>
            <w:pPr>
              <w:spacing w:after="0"/>
              <w:rPr>
                <w:sz w:val="1"/>
                <w:szCs w:val="1"/>
                <w:color w:val="auto"/>
              </w:rPr>
            </w:pPr>
          </w:p>
        </w:tc>
      </w:tr>
      <w:tr>
        <w:trPr>
          <w:trHeight w:val="173"/>
        </w:trPr>
        <w:tc>
          <w:tcPr>
            <w:tcW w:w="29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Technique</w:t>
            </w:r>
          </w:p>
        </w:tc>
        <w:tc>
          <w:tcPr>
            <w:tcW w:w="120" w:type="dxa"/>
            <w:vAlign w:val="bottom"/>
          </w:tcPr>
          <w:p>
            <w:pPr>
              <w:spacing w:after="0"/>
              <w:rPr>
                <w:sz w:val="15"/>
                <w:szCs w:val="15"/>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Input</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left="21"/>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7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Increase to Input</w:t>
            </w:r>
          </w:p>
        </w:tc>
        <w:tc>
          <w:tcPr>
            <w:tcW w:w="0" w:type="dxa"/>
            <w:vAlign w:val="bottom"/>
          </w:tcPr>
          <w:p>
            <w:pPr>
              <w:spacing w:after="0"/>
              <w:rPr>
                <w:sz w:val="1"/>
                <w:szCs w:val="1"/>
                <w:color w:val="auto"/>
              </w:rPr>
            </w:pPr>
          </w:p>
        </w:tc>
      </w:tr>
      <w:tr>
        <w:trPr>
          <w:trHeight w:val="196"/>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First-lien debt investments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7,398,928</w:t>
            </w:r>
          </w:p>
        </w:tc>
        <w:tc>
          <w:tcPr>
            <w:tcW w:w="1680" w:type="dxa"/>
            <w:vAlign w:val="bottom"/>
            <w:gridSpan w:val="2"/>
            <w:shd w:val="clear" w:color="auto" w:fill="CFF0FC"/>
          </w:tcPr>
          <w:p>
            <w:pPr>
              <w:ind w:left="120"/>
              <w:spacing w:after="0" w:line="196" w:lineRule="exact"/>
              <w:rPr>
                <w:sz w:val="20"/>
                <w:szCs w:val="20"/>
                <w:color w:val="auto"/>
              </w:rPr>
            </w:pPr>
            <w:r>
              <w:rPr>
                <w:rFonts w:ascii="Times New Roman" w:cs="Times New Roman" w:eastAsia="Times New Roman" w:hAnsi="Times New Roman"/>
                <w:sz w:val="16"/>
                <w:szCs w:val="16"/>
                <w:color w:val="auto"/>
              </w:rPr>
              <w:t xml:space="preserve">Income approach </w:t>
            </w:r>
            <w:r>
              <w:rPr>
                <w:rFonts w:ascii="Times New Roman" w:cs="Times New Roman" w:eastAsia="Times New Roman" w:hAnsi="Times New Roman"/>
                <w:sz w:val="21"/>
                <w:szCs w:val="21"/>
                <w:color w:val="auto"/>
                <w:vertAlign w:val="superscript"/>
              </w:rPr>
              <w:t>(1)</w:t>
            </w:r>
          </w:p>
        </w:tc>
        <w:tc>
          <w:tcPr>
            <w:tcW w:w="2040" w:type="dxa"/>
            <w:vAlign w:val="bottom"/>
            <w:gridSpan w:val="4"/>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Discount rate</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 17.5%</w:t>
            </w:r>
          </w:p>
        </w:tc>
        <w:tc>
          <w:tcPr>
            <w:tcW w:w="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(9.8%)</w:t>
            </w:r>
          </w:p>
        </w:tc>
        <w:tc>
          <w:tcPr>
            <w:tcW w:w="12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Decrease</w:t>
            </w:r>
          </w:p>
        </w:tc>
        <w:tc>
          <w:tcPr>
            <w:tcW w:w="0" w:type="dxa"/>
            <w:vAlign w:val="bottom"/>
          </w:tcPr>
          <w:p>
            <w:pPr>
              <w:spacing w:after="0"/>
              <w:rPr>
                <w:sz w:val="1"/>
                <w:szCs w:val="1"/>
                <w:color w:val="auto"/>
              </w:rPr>
            </w:pPr>
          </w:p>
        </w:tc>
      </w:tr>
      <w:tr>
        <w:trPr>
          <w:trHeight w:val="203"/>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Second-lien debt investments</w:t>
            </w:r>
          </w:p>
        </w:tc>
        <w:tc>
          <w:tcPr>
            <w:tcW w:w="10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37,160</w:t>
            </w:r>
          </w:p>
        </w:tc>
        <w:tc>
          <w:tcPr>
            <w:tcW w:w="16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Income approach</w:t>
            </w:r>
          </w:p>
        </w:tc>
        <w:tc>
          <w:tcPr>
            <w:tcW w:w="204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auto"/>
              </w:rPr>
              <w:t>Discount rate</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14.1%</w:t>
            </w:r>
          </w:p>
        </w:tc>
        <w:tc>
          <w:tcPr>
            <w:tcW w:w="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(13.6%)</w:t>
            </w:r>
          </w:p>
        </w:tc>
        <w:tc>
          <w:tcPr>
            <w:tcW w:w="120" w:type="dxa"/>
            <w:vAlign w:val="bottom"/>
          </w:tcPr>
          <w:p>
            <w:pPr>
              <w:spacing w:after="0"/>
              <w:rPr>
                <w:sz w:val="17"/>
                <w:szCs w:val="17"/>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6"/>
                <w:szCs w:val="16"/>
                <w:color w:val="auto"/>
              </w:rPr>
              <w:t>Decrease</w:t>
            </w:r>
          </w:p>
        </w:tc>
        <w:tc>
          <w:tcPr>
            <w:tcW w:w="0" w:type="dxa"/>
            <w:vAlign w:val="bottom"/>
          </w:tcPr>
          <w:p>
            <w:pPr>
              <w:spacing w:after="0"/>
              <w:rPr>
                <w:sz w:val="1"/>
                <w:szCs w:val="1"/>
                <w:color w:val="auto"/>
              </w:rPr>
            </w:pPr>
          </w:p>
        </w:tc>
      </w:tr>
      <w:tr>
        <w:trPr>
          <w:trHeight w:val="203"/>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Mezzanine debt investments</w:t>
            </w:r>
          </w:p>
        </w:tc>
        <w:tc>
          <w:tcPr>
            <w:tcW w:w="1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222,366</w:t>
            </w:r>
          </w:p>
        </w:tc>
        <w:tc>
          <w:tcPr>
            <w:tcW w:w="16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Income approach</w:t>
            </w:r>
          </w:p>
        </w:tc>
        <w:tc>
          <w:tcPr>
            <w:tcW w:w="2040" w:type="dxa"/>
            <w:vAlign w:val="bottom"/>
            <w:gridSpan w:val="4"/>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Discount rate</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 10.8%</w:t>
            </w:r>
          </w:p>
        </w:tc>
        <w:tc>
          <w:tcPr>
            <w:tcW w:w="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Decrease</w:t>
            </w:r>
          </w:p>
        </w:tc>
        <w:tc>
          <w:tcPr>
            <w:tcW w:w="0" w:type="dxa"/>
            <w:vAlign w:val="bottom"/>
          </w:tcPr>
          <w:p>
            <w:pPr>
              <w:spacing w:after="0"/>
              <w:rPr>
                <w:sz w:val="1"/>
                <w:szCs w:val="1"/>
                <w:color w:val="auto"/>
              </w:rPr>
            </w:pPr>
          </w:p>
        </w:tc>
      </w:tr>
      <w:tr>
        <w:trPr>
          <w:trHeight w:val="203"/>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Equity investments</w:t>
            </w:r>
          </w:p>
        </w:tc>
        <w:tc>
          <w:tcPr>
            <w:tcW w:w="10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188,993</w:t>
            </w:r>
          </w:p>
        </w:tc>
        <w:tc>
          <w:tcPr>
            <w:tcW w:w="1680" w:type="dxa"/>
            <w:vAlign w:val="bottom"/>
            <w:gridSpan w:val="2"/>
          </w:tcPr>
          <w:p>
            <w:pPr>
              <w:ind w:left="120"/>
              <w:spacing w:after="0" w:line="203" w:lineRule="exact"/>
              <w:rPr>
                <w:sz w:val="20"/>
                <w:szCs w:val="20"/>
                <w:color w:val="auto"/>
              </w:rPr>
            </w:pPr>
            <w:r>
              <w:rPr>
                <w:rFonts w:ascii="Times New Roman" w:cs="Times New Roman" w:eastAsia="Times New Roman" w:hAnsi="Times New Roman"/>
                <w:sz w:val="16"/>
                <w:szCs w:val="16"/>
                <w:color w:val="auto"/>
              </w:rPr>
              <w:t xml:space="preserve">Market Multiple </w:t>
            </w:r>
            <w:r>
              <w:rPr>
                <w:rFonts w:ascii="Times New Roman" w:cs="Times New Roman" w:eastAsia="Times New Roman" w:hAnsi="Times New Roman"/>
                <w:sz w:val="21"/>
                <w:szCs w:val="21"/>
                <w:color w:val="auto"/>
                <w:vertAlign w:val="superscript"/>
              </w:rPr>
              <w:t>(2)</w:t>
            </w:r>
          </w:p>
        </w:tc>
        <w:tc>
          <w:tcPr>
            <w:tcW w:w="204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auto"/>
              </w:rPr>
              <w:t>Comparable multiple</w:t>
            </w:r>
          </w:p>
        </w:tc>
        <w:tc>
          <w:tcPr>
            <w:tcW w:w="1860" w:type="dxa"/>
            <w:vAlign w:val="bottom"/>
            <w:gridSpan w:val="3"/>
          </w:tcPr>
          <w:p>
            <w:pPr>
              <w:jc w:val="center"/>
              <w:ind w:right="59"/>
              <w:spacing w:after="0"/>
              <w:rPr>
                <w:sz w:val="20"/>
                <w:szCs w:val="20"/>
                <w:color w:val="auto"/>
              </w:rPr>
            </w:pPr>
            <w:r>
              <w:rPr>
                <w:rFonts w:ascii="Times New Roman" w:cs="Times New Roman" w:eastAsia="Times New Roman" w:hAnsi="Times New Roman"/>
                <w:sz w:val="16"/>
                <w:szCs w:val="16"/>
                <w:color w:val="auto"/>
              </w:rPr>
              <w:t>2.8x — 25.0x (13.5x)</w:t>
            </w:r>
          </w:p>
        </w:tc>
        <w:tc>
          <w:tcPr>
            <w:tcW w:w="120" w:type="dxa"/>
            <w:vAlign w:val="bottom"/>
          </w:tcPr>
          <w:p>
            <w:pPr>
              <w:spacing w:after="0"/>
              <w:rPr>
                <w:sz w:val="17"/>
                <w:szCs w:val="17"/>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6"/>
                <w:szCs w:val="16"/>
                <w:color w:val="auto"/>
              </w:rPr>
              <w:t>Increase</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9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7,847,447</w:t>
            </w:r>
          </w:p>
        </w:tc>
        <w:tc>
          <w:tcPr>
            <w:tcW w:w="1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5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5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2456815</wp:posOffset>
            </wp:positionH>
            <wp:positionV relativeFrom="paragraph">
              <wp:posOffset>-24765</wp:posOffset>
            </wp:positionV>
            <wp:extent cx="76835"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-7620</wp:posOffset>
            </wp:positionV>
            <wp:extent cx="7683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286" w:lineRule="exact"/>
        <w:rPr>
          <w:sz w:val="20"/>
          <w:szCs w:val="20"/>
          <w:color w:val="auto"/>
        </w:rPr>
      </w:pPr>
    </w:p>
    <w:p>
      <w:pPr>
        <w:ind w:left="1020" w:right="80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$50.8 million of first-lien debt investments which were valued using an asset waterfall and $60.9 million of first-lien debt investments which were valued using a comparable market price.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$81.4 million of equity investments which were valued using a discounted cash flow analysis.</w:t>
      </w:r>
    </w:p>
    <w:p>
      <w:pPr>
        <w:spacing w:after="0" w:line="225" w:lineRule="exact"/>
        <w:rPr>
          <w:sz w:val="20"/>
          <w:szCs w:val="20"/>
          <w:color w:val="auto"/>
        </w:rPr>
      </w:pPr>
    </w:p>
    <w:p>
      <w:pPr>
        <w:ind w:right="260" w:firstLine="255"/>
        <w:spacing w:after="0" w:line="258" w:lineRule="auto"/>
        <w:rPr>
          <w:sz w:val="20"/>
          <w:szCs w:val="20"/>
          <w:color w:val="auto"/>
        </w:rPr>
      </w:pPr>
      <w:r>
        <w:rPr>
          <w:rFonts w:ascii="Times New Roman" w:cs="Times New Roman" w:eastAsia="Times New Roman" w:hAnsi="Times New Roman"/>
          <w:sz w:val="18"/>
          <w:szCs w:val="18"/>
          <w:color w:val="auto"/>
        </w:rPr>
        <w:t>The Company typically determines the fair value of its performing Level 3 debt investments utilizing a yield analysis. In a yield analysis, a price is ascribed for each investment based upon an assessment of current and expected market yields for similar investments and risk profiles. Additional consideration is given to the expected life, portfolio company performance since close, and other terms and risks associated with an investment. Among other factors, a determinant of risk is the amount of leverage used by the portfolio company relative to the total enterprise value of the company, and the rights and remedies of our investment within each portfolio company’s capital structure.</w:t>
      </w:r>
    </w:p>
    <w:p>
      <w:pPr>
        <w:spacing w:after="0" w:line="183" w:lineRule="exact"/>
        <w:rPr>
          <w:sz w:val="20"/>
          <w:szCs w:val="20"/>
          <w:color w:val="auto"/>
        </w:rPr>
      </w:pPr>
    </w:p>
    <w:p>
      <w:pPr>
        <w:ind w:right="220" w:firstLine="255"/>
        <w:spacing w:after="0" w:line="256" w:lineRule="auto"/>
        <w:rPr>
          <w:sz w:val="20"/>
          <w:szCs w:val="20"/>
          <w:color w:val="auto"/>
        </w:rPr>
      </w:pPr>
      <w:r>
        <w:rPr>
          <w:rFonts w:ascii="Times New Roman" w:cs="Times New Roman" w:eastAsia="Times New Roman" w:hAnsi="Times New Roman"/>
          <w:sz w:val="18"/>
          <w:szCs w:val="18"/>
          <w:color w:val="auto"/>
        </w:rPr>
        <w:t>Significant unobservable quantitative inputs typically considered in the fair value measurement of the Company’s Level 3 debt investments primarily include current market yields, including relevant market indices, but may also include quotes from brokers, dealers, and pricing services as indicated by comparable investments. If debt investments are credit impaired, an enterprise value analysis may be used to value such debt investments; however, in addition to the methods outlined above, other methods such as a liquidation or wind-down analysis may be utilized to estimate enterprise value. For the Company’s Level 3 equity investments, multiples of similar companies’ revenues, earnings before income taxes, depreciation and amortization (“EBITDA”) or some combination thereof and comparable market transactions are typically used.</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Structured Credit Partners JV, LLC (“SCP”)</w:t>
      </w:r>
    </w:p>
    <w:p>
      <w:pPr>
        <w:spacing w:after="0" w:line="227" w:lineRule="exact"/>
        <w:rPr>
          <w:sz w:val="20"/>
          <w:szCs w:val="20"/>
          <w:color w:val="auto"/>
        </w:rPr>
      </w:pPr>
    </w:p>
    <w:p>
      <w:pPr>
        <w:ind w:right="380" w:firstLine="255"/>
        <w:spacing w:after="0" w:line="266" w:lineRule="auto"/>
        <w:rPr>
          <w:sz w:val="20"/>
          <w:szCs w:val="20"/>
          <w:color w:val="auto"/>
        </w:rPr>
      </w:pPr>
      <w:r>
        <w:rPr>
          <w:rFonts w:ascii="Times New Roman" w:cs="Times New Roman" w:eastAsia="Times New Roman" w:hAnsi="Times New Roman"/>
          <w:sz w:val="18"/>
          <w:szCs w:val="18"/>
          <w:color w:val="auto"/>
        </w:rPr>
        <w:t>On December 23, 2025, affiliates of Sixth Street, including the Company and affiliates of Carlyle entered into the Limited Liability Company Agreement to co-manage SCP, a joint venture focused on investing in broadly syndicated first lien senior secured loans, financed with long-term, non-mark-to-market, and predominantly investment grade rated CLO debt managed by affiliates of Sixth Street or Carlyle on a no-fee basis.</w:t>
      </w:r>
    </w:p>
    <w:p>
      <w:pPr>
        <w:spacing w:after="0" w:line="176" w:lineRule="exact"/>
        <w:rPr>
          <w:sz w:val="20"/>
          <w:szCs w:val="20"/>
          <w:color w:val="auto"/>
        </w:rPr>
      </w:pPr>
    </w:p>
    <w:p>
      <w:pPr>
        <w:ind w:right="100" w:firstLine="255"/>
        <w:spacing w:after="0" w:line="261" w:lineRule="auto"/>
        <w:rPr>
          <w:sz w:val="20"/>
          <w:szCs w:val="20"/>
          <w:color w:val="auto"/>
        </w:rPr>
      </w:pPr>
      <w:r>
        <w:rPr>
          <w:rFonts w:ascii="Times New Roman" w:cs="Times New Roman" w:eastAsia="Times New Roman" w:hAnsi="Times New Roman"/>
          <w:sz w:val="18"/>
          <w:szCs w:val="18"/>
          <w:color w:val="auto"/>
        </w:rPr>
        <w:t>Sixth Street affiliates own 50.0% of the equity interests in SCP and Carlyle affiliates own 50.0%, with investment decisions requiring approval by representatives of both the Sixth Street affiliates and the Carlyle affiliates. Equity contributions will be called from each member on a pro-rata basis, based on their equity commitments. Funding of such commitments requires the approval of SCP's board of managers, including the board members appointed by the Company. SCP's board of managers consists of an equal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5" w:name="page36"/>
    <w:bookmarkEnd w:id="35"/>
    <w:p>
      <w:pPr>
        <w:ind w:right="100"/>
        <w:spacing w:after="0" w:line="258" w:lineRule="auto"/>
        <w:rPr>
          <w:sz w:val="20"/>
          <w:szCs w:val="20"/>
          <w:color w:val="auto"/>
        </w:rPr>
      </w:pPr>
      <w:r>
        <w:rPr>
          <w:rFonts w:ascii="Times New Roman" w:cs="Times New Roman" w:eastAsia="Times New Roman" w:hAnsi="Times New Roman"/>
          <w:sz w:val="18"/>
          <w:szCs w:val="18"/>
          <w:color w:val="auto"/>
        </w:rPr>
        <w:t>number of representatives appointed by the Sixth Street-affiliated members of SCP and the Carlyle-affiliated members of SCP. Portfolio construction and investment decisions must be unanimously approved by SCP’s investment committee, as delegated by the board of managers of SCP. Our investment in SCP is made with certain of our affiliates in accordance with the terms of the exemptive relief that we received from the SEC. Because the Company does not own more than 25% of the voting interests of SCP, the Company does not believe that it has control over SCP for accounting purposes under U.S. GAAP or for purposes of the 1940 Act and therefore, does not consolidate SCP.</w:t>
      </w:r>
    </w:p>
    <w:p>
      <w:pPr>
        <w:spacing w:after="0" w:line="183"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8"/>
          <w:szCs w:val="18"/>
          <w:color w:val="auto"/>
        </w:rPr>
        <w:t>As of September 30, 2026, SCP had total capital commitments of $600.0 million comprised of $100.0 million of capital commitments from Sixth Street Lending Partners, $200.0 million of capital commitments from Sixth Street Specialty Lending, Inc., $150.0 million of capital commitments from Carlyle Secured Lending, Inc., and $150.0 million of capital commitments from Carlyle Credit Solutions, Inc., with all members of SCP having equal voting control.</w:t>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of September 30, 2026, SCP had the following contributed capital and unfunded commitments from its members:</w:t>
      </w:r>
    </w:p>
    <w:p>
      <w:pPr>
        <w:spacing w:after="0" w:line="57" w:lineRule="exact"/>
        <w:rPr>
          <w:sz w:val="20"/>
          <w:szCs w:val="20"/>
          <w:color w:val="auto"/>
        </w:rPr>
      </w:pPr>
    </w:p>
    <w:tbl>
      <w:tblPr>
        <w:tblLayout w:type="fixed"/>
        <w:tblInd w:w="960" w:type="dxa"/>
        <w:tblCellMar>
          <w:top w:w="0" w:type="dxa"/>
          <w:left w:w="0" w:type="dxa"/>
          <w:bottom w:w="0" w:type="dxa"/>
          <w:right w:w="0" w:type="dxa"/>
        </w:tblCellMar>
      </w:tblPr>
      <w:tr>
        <w:trPr>
          <w:trHeight w:val="173"/>
        </w:trPr>
        <w:tc>
          <w:tcPr>
            <w:tcW w:w="6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1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September 30, 2026</w:t>
            </w:r>
          </w:p>
        </w:tc>
      </w:tr>
      <w:tr>
        <w:trPr>
          <w:trHeight w:val="209"/>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contributed capital by Sixth Street Lending Partners</w:t>
            </w:r>
          </w:p>
        </w:tc>
        <w:tc>
          <w:tcPr>
            <w:tcW w:w="320" w:type="dxa"/>
            <w:vAlign w:val="bottom"/>
            <w:tcBorders>
              <w:top w:val="single" w:sz="8" w:color="auto"/>
            </w:tcBorders>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2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37,832</w:t>
            </w:r>
          </w:p>
        </w:tc>
        <w:tc>
          <w:tcPr>
            <w:tcW w:w="80" w:type="dxa"/>
            <w:vAlign w:val="bottom"/>
            <w:shd w:val="clear" w:color="auto" w:fill="CFF0FC"/>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Total contributed capital by Sixth Street Specialty Lending, Inc.</w:t>
            </w:r>
          </w:p>
        </w:tc>
        <w:tc>
          <w:tcPr>
            <w:tcW w:w="32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75,641</w:t>
            </w:r>
          </w:p>
        </w:tc>
        <w:tc>
          <w:tcPr>
            <w:tcW w:w="80" w:type="dxa"/>
            <w:vAlign w:val="bottom"/>
          </w:tcPr>
          <w:p>
            <w:pPr>
              <w:spacing w:after="0"/>
              <w:rPr>
                <w:sz w:val="18"/>
                <w:szCs w:val="18"/>
                <w:color w:val="auto"/>
              </w:rPr>
            </w:pPr>
          </w:p>
        </w:tc>
      </w:tr>
      <w:tr>
        <w:trPr>
          <w:trHeight w:val="216"/>
        </w:trPr>
        <w:tc>
          <w:tcPr>
            <w:tcW w:w="6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contributed capital by Carlyle</w:t>
            </w:r>
          </w:p>
        </w:tc>
        <w:tc>
          <w:tcPr>
            <w:tcW w:w="320" w:type="dxa"/>
            <w:vAlign w:val="bottom"/>
            <w:tcBorders>
              <w:bottom w:val="single" w:sz="8" w:color="auto"/>
            </w:tcBorders>
            <w:shd w:val="clear" w:color="auto" w:fill="CFF0FC"/>
          </w:tcPr>
          <w:p>
            <w:pPr>
              <w:spacing w:after="0"/>
              <w:rPr>
                <w:sz w:val="18"/>
                <w:szCs w:val="18"/>
                <w:color w:val="auto"/>
              </w:rPr>
            </w:pPr>
          </w:p>
        </w:tc>
        <w:tc>
          <w:tcPr>
            <w:tcW w:w="2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113,473</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 contributed capital</w:t>
            </w: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226,946</w:t>
            </w:r>
          </w:p>
        </w:tc>
        <w:tc>
          <w:tcPr>
            <w:tcW w:w="80" w:type="dxa"/>
            <w:vAlign w:val="bottom"/>
          </w:tcPr>
          <w:p>
            <w:pPr>
              <w:spacing w:after="0"/>
              <w:rPr>
                <w:sz w:val="18"/>
                <w:szCs w:val="18"/>
                <w:color w:val="auto"/>
              </w:rPr>
            </w:pPr>
          </w:p>
        </w:tc>
      </w:tr>
      <w:tr>
        <w:trPr>
          <w:trHeight w:val="20"/>
        </w:trPr>
        <w:tc>
          <w:tcPr>
            <w:tcW w:w="6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68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Total unfunded commitments by Sixth Street Lending Partners</w:t>
            </w:r>
          </w:p>
        </w:tc>
        <w:tc>
          <w:tcPr>
            <w:tcW w:w="320" w:type="dxa"/>
            <w:vAlign w:val="bottom"/>
            <w:shd w:val="clear" w:color="auto" w:fill="CFF0FC"/>
          </w:tcPr>
          <w:p>
            <w:pPr>
              <w:spacing w:after="0"/>
              <w:rPr>
                <w:sz w:val="17"/>
                <w:szCs w:val="17"/>
                <w:color w:val="auto"/>
              </w:rPr>
            </w:pPr>
          </w:p>
        </w:tc>
        <w:tc>
          <w:tcPr>
            <w:tcW w:w="20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62,169</w:t>
            </w:r>
          </w:p>
        </w:tc>
        <w:tc>
          <w:tcPr>
            <w:tcW w:w="80" w:type="dxa"/>
            <w:vAlign w:val="bottom"/>
            <w:shd w:val="clear" w:color="auto" w:fill="CFF0FC"/>
          </w:tcPr>
          <w:p>
            <w:pPr>
              <w:spacing w:after="0"/>
              <w:rPr>
                <w:sz w:val="17"/>
                <w:szCs w:val="17"/>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Total unfunded commitments by Sixth Street Specialty Lending, Inc.</w:t>
            </w:r>
          </w:p>
        </w:tc>
        <w:tc>
          <w:tcPr>
            <w:tcW w:w="32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124,360</w:t>
            </w:r>
          </w:p>
        </w:tc>
        <w:tc>
          <w:tcPr>
            <w:tcW w:w="80" w:type="dxa"/>
            <w:vAlign w:val="bottom"/>
          </w:tcPr>
          <w:p>
            <w:pPr>
              <w:spacing w:after="0"/>
              <w:rPr>
                <w:sz w:val="18"/>
                <w:szCs w:val="18"/>
                <w:color w:val="auto"/>
              </w:rPr>
            </w:pPr>
          </w:p>
        </w:tc>
      </w:tr>
      <w:tr>
        <w:trPr>
          <w:trHeight w:val="216"/>
        </w:trPr>
        <w:tc>
          <w:tcPr>
            <w:tcW w:w="6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unfunded commitments by Carlyle</w:t>
            </w:r>
          </w:p>
        </w:tc>
        <w:tc>
          <w:tcPr>
            <w:tcW w:w="320" w:type="dxa"/>
            <w:vAlign w:val="bottom"/>
            <w:tcBorders>
              <w:bottom w:val="single" w:sz="8" w:color="auto"/>
            </w:tcBorders>
            <w:shd w:val="clear" w:color="auto" w:fill="CFF0FC"/>
          </w:tcPr>
          <w:p>
            <w:pPr>
              <w:spacing w:after="0"/>
              <w:rPr>
                <w:sz w:val="18"/>
                <w:szCs w:val="18"/>
                <w:color w:val="auto"/>
              </w:rPr>
            </w:pPr>
          </w:p>
        </w:tc>
        <w:tc>
          <w:tcPr>
            <w:tcW w:w="2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186,529</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 unfunded commitments</w:t>
            </w: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373,058</w:t>
            </w:r>
          </w:p>
        </w:tc>
        <w:tc>
          <w:tcPr>
            <w:tcW w:w="80" w:type="dxa"/>
            <w:vAlign w:val="bottom"/>
          </w:tcPr>
          <w:p>
            <w:pPr>
              <w:spacing w:after="0"/>
              <w:rPr>
                <w:sz w:val="18"/>
                <w:szCs w:val="18"/>
                <w:color w:val="auto"/>
              </w:rPr>
            </w:pPr>
          </w:p>
        </w:tc>
      </w:tr>
      <w:tr>
        <w:trPr>
          <w:trHeight w:val="20"/>
        </w:trPr>
        <w:tc>
          <w:tcPr>
            <w:tcW w:w="6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6477000</wp:posOffset>
            </wp:positionH>
            <wp:positionV relativeFrom="paragraph">
              <wp:posOffset>-753745</wp:posOffset>
            </wp:positionV>
            <wp:extent cx="51435"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-170815</wp:posOffset>
            </wp:positionV>
            <wp:extent cx="51435"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right="40" w:firstLine="255"/>
        <w:spacing w:after="0" w:line="256" w:lineRule="auto"/>
        <w:rPr>
          <w:sz w:val="20"/>
          <w:szCs w:val="20"/>
          <w:color w:val="auto"/>
        </w:rPr>
      </w:pPr>
      <w:r>
        <w:rPr>
          <w:rFonts w:ascii="Times New Roman" w:cs="Times New Roman" w:eastAsia="Times New Roman" w:hAnsi="Times New Roman"/>
          <w:sz w:val="18"/>
          <w:szCs w:val="18"/>
          <w:color w:val="auto"/>
        </w:rPr>
        <w:t>As of September 30, 2026, SCP had six subsidiaries. The wholly owned subsidiaries include; (i) Carlyle US CLO 2026-3, Ltd., a Cayman Islands corporation; (ii) Carlyle US CLO 2026-B, Ltd., a Cayman Islands corporation; (iii) Sixth Street CLO 32, Ltd., a Cayman Islands corporation; (iv) Sixth Street CLO 33, Ltd., a Cayman Islands corporation and (v) Carlyle CLO 2026-D, Ltd., a Cayman Islands corporation. Sixth Street SCP Warehouse 4, Ltd., a Cayman Islands corporation is a majority owned subsidiary. Each subsidiary primarily invests in broadly syndicated loans. As SCP has a controlling financial interest in all subsidiaries, they are consolidated in SCP’s unaudited consolidated financial statements commencing from the date of their respective formation.</w:t>
      </w:r>
    </w:p>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Below is selected consolidated balance sheet information for SCP as of September 30, 2026:</w:t>
      </w:r>
    </w:p>
    <w:p>
      <w:pPr>
        <w:spacing w:after="0" w:line="70" w:lineRule="exact"/>
        <w:rPr>
          <w:sz w:val="20"/>
          <w:szCs w:val="20"/>
          <w:color w:val="auto"/>
        </w:rPr>
      </w:pPr>
    </w:p>
    <w:tbl>
      <w:tblPr>
        <w:tblLayout w:type="fixed"/>
        <w:tblInd w:w="920" w:type="dxa"/>
        <w:tblCellMar>
          <w:top w:w="0" w:type="dxa"/>
          <w:left w:w="0" w:type="dxa"/>
          <w:bottom w:w="0" w:type="dxa"/>
          <w:right w:w="0" w:type="dxa"/>
        </w:tblCellMar>
      </w:tblPr>
      <w:tr>
        <w:trPr>
          <w:trHeight w:val="190"/>
        </w:trPr>
        <w:tc>
          <w:tcPr>
            <w:tcW w:w="54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September 30, 2026</w:t>
            </w:r>
          </w:p>
        </w:tc>
      </w:tr>
      <w:tr>
        <w:trPr>
          <w:trHeight w:val="185"/>
        </w:trPr>
        <w:tc>
          <w:tcPr>
            <w:tcW w:w="54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(unaudited)</w:t>
            </w:r>
          </w:p>
        </w:tc>
      </w:tr>
      <w:tr>
        <w:trPr>
          <w:trHeight w:val="210"/>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Selected Consolidated Balance Sheet Information:</w:t>
            </w:r>
          </w:p>
        </w:tc>
        <w:tc>
          <w:tcPr>
            <w:tcW w:w="150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204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 at fair value (amortized cost of $2,138,270)</w:t>
            </w:r>
          </w:p>
        </w:tc>
        <w:tc>
          <w:tcPr>
            <w:tcW w:w="18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2,135,823</w:t>
            </w:r>
          </w:p>
        </w:tc>
        <w:tc>
          <w:tcPr>
            <w:tcW w:w="80" w:type="dxa"/>
            <w:vAlign w:val="bottom"/>
            <w:shd w:val="clear" w:color="auto" w:fill="CFF0FC"/>
          </w:tcPr>
          <w:p>
            <w:pPr>
              <w:spacing w:after="0"/>
              <w:rPr>
                <w:sz w:val="18"/>
                <w:szCs w:val="18"/>
                <w:color w:val="auto"/>
              </w:rPr>
            </w:pPr>
          </w:p>
        </w:tc>
      </w:tr>
      <w:tr>
        <w:trPr>
          <w:trHeight w:val="216"/>
        </w:trPr>
        <w:tc>
          <w:tcPr>
            <w:tcW w:w="54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Cash and cash equivalents </w:t>
            </w:r>
            <w:r>
              <w:rPr>
                <w:rFonts w:ascii="Times New Roman" w:cs="Times New Roman" w:eastAsia="Times New Roman" w:hAnsi="Times New Roman"/>
                <w:sz w:val="24"/>
                <w:szCs w:val="24"/>
                <w:color w:val="auto"/>
                <w:vertAlign w:val="superscript"/>
              </w:rPr>
              <w:t>(1)</w:t>
            </w: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460,529</w:t>
            </w:r>
          </w:p>
        </w:tc>
        <w:tc>
          <w:tcPr>
            <w:tcW w:w="80" w:type="dxa"/>
            <w:vAlign w:val="bottom"/>
          </w:tcPr>
          <w:p>
            <w:pPr>
              <w:spacing w:after="0"/>
              <w:rPr>
                <w:sz w:val="18"/>
                <w:szCs w:val="18"/>
                <w:color w:val="auto"/>
              </w:rPr>
            </w:pPr>
          </w:p>
        </w:tc>
      </w:tr>
      <w:tr>
        <w:trPr>
          <w:trHeight w:val="216"/>
        </w:trPr>
        <w:tc>
          <w:tcPr>
            <w:tcW w:w="5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5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2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31,896</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54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2,628,248</w:t>
            </w:r>
          </w:p>
        </w:tc>
        <w:tc>
          <w:tcPr>
            <w:tcW w:w="80" w:type="dxa"/>
            <w:vAlign w:val="bottom"/>
          </w:tcPr>
          <w:p>
            <w:pPr>
              <w:spacing w:after="0"/>
              <w:rPr>
                <w:sz w:val="18"/>
                <w:szCs w:val="18"/>
                <w:color w:val="auto"/>
              </w:rPr>
            </w:pPr>
          </w:p>
        </w:tc>
      </w:tr>
      <w:tr>
        <w:trPr>
          <w:trHeight w:val="20"/>
        </w:trPr>
        <w:tc>
          <w:tcPr>
            <w:tcW w:w="54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54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Members' Equity</w:t>
            </w:r>
          </w:p>
        </w:tc>
        <w:tc>
          <w:tcPr>
            <w:tcW w:w="15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0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Secured borrowings</w:t>
            </w:r>
          </w:p>
        </w:tc>
        <w:tc>
          <w:tcPr>
            <w:tcW w:w="1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1,991,070</w:t>
            </w:r>
          </w:p>
        </w:tc>
        <w:tc>
          <w:tcPr>
            <w:tcW w:w="80" w:type="dxa"/>
            <w:vAlign w:val="bottom"/>
          </w:tcPr>
          <w:p>
            <w:pPr>
              <w:spacing w:after="0"/>
              <w:rPr>
                <w:sz w:val="18"/>
                <w:szCs w:val="18"/>
                <w:color w:val="auto"/>
              </w:rPr>
            </w:pPr>
          </w:p>
        </w:tc>
      </w:tr>
      <w:tr>
        <w:trPr>
          <w:trHeight w:val="216"/>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payable</w:t>
            </w:r>
          </w:p>
        </w:tc>
        <w:tc>
          <w:tcPr>
            <w:tcW w:w="15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14,850</w:t>
            </w:r>
          </w:p>
        </w:tc>
        <w:tc>
          <w:tcPr>
            <w:tcW w:w="80" w:type="dxa"/>
            <w:vAlign w:val="bottom"/>
            <w:shd w:val="clear" w:color="auto" w:fill="CFF0FC"/>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396,839</w:t>
            </w:r>
          </w:p>
        </w:tc>
        <w:tc>
          <w:tcPr>
            <w:tcW w:w="80" w:type="dxa"/>
            <w:vAlign w:val="bottom"/>
          </w:tcPr>
          <w:p>
            <w:pPr>
              <w:spacing w:after="0"/>
              <w:rPr>
                <w:sz w:val="18"/>
                <w:szCs w:val="18"/>
                <w:color w:val="auto"/>
              </w:rPr>
            </w:pPr>
          </w:p>
        </w:tc>
      </w:tr>
      <w:tr>
        <w:trPr>
          <w:trHeight w:val="216"/>
        </w:trPr>
        <w:tc>
          <w:tcPr>
            <w:tcW w:w="546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Members' equity </w:t>
            </w:r>
            <w:r>
              <w:rPr>
                <w:rFonts w:ascii="Times New Roman" w:cs="Times New Roman" w:eastAsia="Times New Roman" w:hAnsi="Times New Roman"/>
                <w:sz w:val="24"/>
                <w:szCs w:val="24"/>
                <w:color w:val="auto"/>
                <w:vertAlign w:val="superscript"/>
              </w:rPr>
              <w:t>(2)</w:t>
            </w:r>
          </w:p>
        </w:tc>
        <w:tc>
          <w:tcPr>
            <w:tcW w:w="15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224,023</w:t>
            </w:r>
          </w:p>
        </w:tc>
        <w:tc>
          <w:tcPr>
            <w:tcW w:w="80" w:type="dxa"/>
            <w:vAlign w:val="bottom"/>
            <w:shd w:val="clear" w:color="auto" w:fill="CFF0FC"/>
          </w:tcPr>
          <w:p>
            <w:pPr>
              <w:spacing w:after="0"/>
              <w:rPr>
                <w:sz w:val="18"/>
                <w:szCs w:val="18"/>
                <w:color w:val="auto"/>
              </w:rPr>
            </w:pPr>
          </w:p>
        </w:tc>
      </w:tr>
      <w:tr>
        <w:trPr>
          <w:trHeight w:val="216"/>
        </w:trPr>
        <w:tc>
          <w:tcPr>
            <w:tcW w:w="54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Non-controlling interest </w:t>
            </w:r>
            <w:r>
              <w:rPr>
                <w:rFonts w:ascii="Times New Roman" w:cs="Times New Roman" w:eastAsia="Times New Roman" w:hAnsi="Times New Roman"/>
                <w:sz w:val="24"/>
                <w:szCs w:val="24"/>
                <w:color w:val="auto"/>
                <w:vertAlign w:val="superscript"/>
              </w:rPr>
              <w:t>(3)</w:t>
            </w:r>
          </w:p>
        </w:tc>
        <w:tc>
          <w:tcPr>
            <w:tcW w:w="15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80" w:type="dxa"/>
            <w:vAlign w:val="bottom"/>
          </w:tcPr>
          <w:p>
            <w:pPr>
              <w:spacing w:after="0"/>
              <w:rPr>
                <w:sz w:val="18"/>
                <w:szCs w:val="18"/>
                <w:color w:val="auto"/>
              </w:rPr>
            </w:pPr>
          </w:p>
        </w:tc>
      </w:tr>
      <w:tr>
        <w:trPr>
          <w:trHeight w:val="229"/>
        </w:trPr>
        <w:tc>
          <w:tcPr>
            <w:tcW w:w="5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Total Liabilities and Members' Equity</w:t>
            </w:r>
          </w:p>
        </w:tc>
        <w:tc>
          <w:tcPr>
            <w:tcW w:w="18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2,628,248</w:t>
            </w:r>
          </w:p>
        </w:tc>
        <w:tc>
          <w:tcPr>
            <w:tcW w:w="80" w:type="dxa"/>
            <w:vAlign w:val="bottom"/>
            <w:shd w:val="clear" w:color="auto" w:fill="CFF0FC"/>
          </w:tcPr>
          <w:p>
            <w:pPr>
              <w:spacing w:after="0"/>
              <w:rPr>
                <w:sz w:val="19"/>
                <w:szCs w:val="19"/>
                <w:color w:val="auto"/>
              </w:rPr>
            </w:pPr>
          </w:p>
        </w:tc>
      </w:tr>
      <w:tr>
        <w:trPr>
          <w:trHeight w:val="20"/>
        </w:trPr>
        <w:tc>
          <w:tcPr>
            <w:tcW w:w="5460" w:type="dxa"/>
            <w:vAlign w:val="bottom"/>
            <w:tcBorders>
              <w:top w:val="single" w:sz="8" w:color="CFF0FC"/>
            </w:tcBorders>
            <w:shd w:val="clear" w:color="auto" w:fill="CFF0FC"/>
          </w:tcPr>
          <w:p>
            <w:pPr>
              <w:spacing w:after="0" w:line="20" w:lineRule="exact"/>
              <w:rPr>
                <w:sz w:val="1"/>
                <w:szCs w:val="1"/>
                <w:color w:val="auto"/>
              </w:rPr>
            </w:pPr>
          </w:p>
        </w:tc>
        <w:tc>
          <w:tcPr>
            <w:tcW w:w="150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6511290</wp:posOffset>
            </wp:positionH>
            <wp:positionV relativeFrom="paragraph">
              <wp:posOffset>-1165225</wp:posOffset>
            </wp:positionV>
            <wp:extent cx="5143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-25400</wp:posOffset>
            </wp:positionV>
            <wp:extent cx="51435"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-8255</wp:posOffset>
            </wp:positionV>
            <wp:extent cx="51435"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70"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30, 2026, $39,609 of SCP's cash and cash equivalents was restricted.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30, 2026, the fair value of the Company's ownership interest in the members' equity was $40,007.</w:t>
      </w:r>
    </w:p>
    <w:p>
      <w:pPr>
        <w:spacing w:after="0" w:line="117" w:lineRule="exact"/>
        <w:rPr>
          <w:rFonts w:ascii="Times New Roman" w:cs="Times New Roman" w:eastAsia="Times New Roman" w:hAnsi="Times New Roman"/>
          <w:sz w:val="18"/>
          <w:szCs w:val="18"/>
          <w:color w:val="auto"/>
        </w:rPr>
      </w:pPr>
    </w:p>
    <w:p>
      <w:pPr>
        <w:ind w:left="1020" w:right="70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30, 2026, a third-party investor had a 5% economic interest in Sixth Street SCP Warehouse 4, Ltd., a consolidated subsidiary of SCP.</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8" w:right="379" w:bottom="1440" w:gutter="0" w:footer="0" w:header="0"/>
        </w:sectPr>
      </w:pPr>
    </w:p>
    <w:bookmarkStart w:id="36" w:name="page37"/>
    <w:bookmarkEnd w:id="36"/>
    <w:p>
      <w:pPr>
        <w:ind w:left="260"/>
        <w:spacing w:after="0"/>
        <w:rPr>
          <w:sz w:val="20"/>
          <w:szCs w:val="20"/>
          <w:color w:val="auto"/>
        </w:rPr>
      </w:pPr>
      <w:r>
        <w:rPr>
          <w:rFonts w:ascii="Times New Roman" w:cs="Times New Roman" w:eastAsia="Times New Roman" w:hAnsi="Times New Roman"/>
          <w:sz w:val="18"/>
          <w:szCs w:val="18"/>
          <w:color w:val="auto"/>
        </w:rPr>
        <w:t>Below is selected consolidated statement of operations information for SCP for the three and nine months ended September 30, 2026:</w:t>
      </w:r>
    </w:p>
    <w:p>
      <w:pPr>
        <w:spacing w:after="0" w:line="286" w:lineRule="exact"/>
        <w:rPr>
          <w:sz w:val="20"/>
          <w:szCs w:val="20"/>
          <w:color w:val="auto"/>
        </w:rPr>
      </w:pPr>
    </w:p>
    <w:tbl>
      <w:tblPr>
        <w:tblLayout w:type="fixed"/>
        <w:tblInd w:w="74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Selected Consolidated Statement of Operations Information:</w:t>
            </w:r>
          </w:p>
        </w:tc>
        <w:tc>
          <w:tcPr>
            <w:tcW w:w="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Total Investment Income</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27,942</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18,169</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2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18,573</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Investment Income</w:t>
            </w:r>
          </w:p>
        </w:tc>
        <w:tc>
          <w:tcPr>
            <w:tcW w:w="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9,369</w:t>
            </w:r>
          </w:p>
        </w:tc>
        <w:tc>
          <w:tcPr>
            <w:tcW w:w="2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14,801</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unrealized gains (losses) on investments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realized gains (losses) on investments</w:t>
            </w:r>
          </w:p>
        </w:tc>
        <w:tc>
          <w:tcPr>
            <w:tcW w:w="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Increase (Decrease) in Net Assets Resulting from Operations</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11,793</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 attributable to non-controlling interest</w:t>
            </w:r>
          </w:p>
        </w:tc>
        <w:tc>
          <w:tcPr>
            <w:tcW w:w="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860" w:type="dxa"/>
            <w:vAlign w:val="bottom"/>
          </w:tcPr>
          <w:p>
            <w:pPr>
              <w:ind w:left="100"/>
              <w:spacing w:after="0" w:line="188" w:lineRule="exact"/>
              <w:rPr>
                <w:sz w:val="20"/>
                <w:szCs w:val="20"/>
                <w:color w:val="auto"/>
              </w:rPr>
            </w:pPr>
            <w:r>
              <w:rPr>
                <w:rFonts w:ascii="Times New Roman" w:cs="Times New Roman" w:eastAsia="Times New Roman" w:hAnsi="Times New Roman"/>
                <w:sz w:val="18"/>
                <w:szCs w:val="18"/>
                <w:b w:val="1"/>
                <w:bCs w:val="1"/>
                <w:color w:val="auto"/>
              </w:rPr>
              <w:t>Increase (Decrease) in Net Assets Resulting from Operations Attributable</w:t>
            </w:r>
          </w:p>
        </w:tc>
        <w:tc>
          <w:tcPr>
            <w:tcW w:w="1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11,757</w:t>
            </w:r>
          </w:p>
        </w:tc>
        <w:tc>
          <w:tcPr>
            <w:tcW w:w="4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12,597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6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b w:val="1"/>
                <w:bCs w:val="1"/>
                <w:color w:val="auto"/>
              </w:rPr>
              <w:t>to Members</w:t>
            </w:r>
          </w:p>
        </w:tc>
        <w:tc>
          <w:tcPr>
            <w:tcW w:w="160" w:type="dxa"/>
            <w:vAlign w:val="bottom"/>
            <w:gridSpan w:val="2"/>
            <w:vMerge w:val="continue"/>
          </w:tcPr>
          <w:p>
            <w:pPr>
              <w:spacing w:after="0"/>
              <w:rPr>
                <w:sz w:val="17"/>
                <w:szCs w:val="17"/>
                <w:color w:val="auto"/>
              </w:rPr>
            </w:pPr>
          </w:p>
        </w:tc>
        <w:tc>
          <w:tcPr>
            <w:tcW w:w="1620" w:type="dxa"/>
            <w:vAlign w:val="bottom"/>
            <w:vMerge w:val="continue"/>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15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-1139825</wp:posOffset>
            </wp:positionV>
            <wp:extent cx="60325"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-1139825</wp:posOffset>
            </wp:positionV>
            <wp:extent cx="6858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-848360</wp:posOffset>
            </wp:positionV>
            <wp:extent cx="6032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-848360</wp:posOffset>
            </wp:positionV>
            <wp:extent cx="6858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-565150</wp:posOffset>
            </wp:positionV>
            <wp:extent cx="6032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-565150</wp:posOffset>
            </wp:positionV>
            <wp:extent cx="6858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-282575</wp:posOffset>
            </wp:positionV>
            <wp:extent cx="6032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-282575</wp:posOffset>
            </wp:positionV>
            <wp:extent cx="6858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60" w:firstLine="255"/>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2026, SCP declared $9.8 million and $15.5 million, respectively, in distributions, of which $1.6 million and $2.6 million, respectively, was recognized as dividend income in the Company's Consolidated Statements of Operations. As of September 30, 2026, the daily weighted average yield on our investment in Structured Credit Partners JV, LLC was 20.3%.</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Below is a summary of SCP's portfolio as of September 30, 2026:</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340" w:type="dxa"/>
            <w:vAlign w:val="bottom"/>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85"/>
        </w:trPr>
        <w:tc>
          <w:tcPr>
            <w:tcW w:w="3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140" w:type="dxa"/>
            <w:vAlign w:val="bottom"/>
            <w:gridSpan w:val="2"/>
          </w:tcPr>
          <w:p>
            <w:pPr>
              <w:spacing w:after="0"/>
              <w:rPr>
                <w:sz w:val="16"/>
                <w:szCs w:val="16"/>
                <w:color w:val="auto"/>
              </w:rPr>
            </w:pPr>
          </w:p>
        </w:tc>
      </w:tr>
      <w:tr>
        <w:trPr>
          <w:trHeight w:val="210"/>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2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 xml:space="preserve">Total investments </w:t>
            </w:r>
            <w:r>
              <w:rPr>
                <w:rFonts w:ascii="Times New Roman" w:cs="Times New Roman" w:eastAsia="Times New Roman" w:hAnsi="Times New Roman"/>
                <w:sz w:val="24"/>
                <w:szCs w:val="24"/>
                <w:color w:val="auto"/>
                <w:vertAlign w:val="superscript"/>
              </w:rPr>
              <w:t>(1)</w:t>
            </w:r>
          </w:p>
        </w:tc>
        <w:tc>
          <w:tcPr>
            <w:tcW w:w="24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2,157,543</w:t>
            </w:r>
          </w:p>
        </w:tc>
        <w:tc>
          <w:tcPr>
            <w:tcW w:w="180" w:type="dxa"/>
            <w:vAlign w:val="bottom"/>
            <w:shd w:val="clear" w:color="auto" w:fill="CFF0FC"/>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yield on total investments at amortized cost</w:t>
            </w:r>
          </w:p>
        </w:tc>
        <w:tc>
          <w:tcPr>
            <w:tcW w:w="2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6.95%</w:t>
            </w:r>
          </w:p>
        </w:tc>
        <w:tc>
          <w:tcPr>
            <w:tcW w:w="96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yield on total investments at fair value</w:t>
            </w:r>
          </w:p>
        </w:tc>
        <w:tc>
          <w:tcPr>
            <w:tcW w:w="20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6.96%</w:t>
            </w:r>
          </w:p>
        </w:tc>
        <w:tc>
          <w:tcPr>
            <w:tcW w:w="96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spread on investments</w:t>
            </w:r>
          </w:p>
        </w:tc>
        <w:tc>
          <w:tcPr>
            <w:tcW w:w="2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2.77%</w:t>
            </w:r>
          </w:p>
        </w:tc>
        <w:tc>
          <w:tcPr>
            <w:tcW w:w="96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Number of portfolio companies in SCP</w:t>
            </w:r>
          </w:p>
        </w:tc>
        <w:tc>
          <w:tcPr>
            <w:tcW w:w="20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80" w:type="dxa"/>
            <w:vAlign w:val="bottom"/>
            <w:shd w:val="clear" w:color="auto" w:fill="CFF0FC"/>
          </w:tcPr>
          <w:p>
            <w:pPr>
              <w:spacing w:after="0"/>
              <w:rPr>
                <w:sz w:val="18"/>
                <w:szCs w:val="18"/>
                <w:color w:val="auto"/>
              </w:rPr>
            </w:pPr>
          </w:p>
        </w:tc>
        <w:tc>
          <w:tcPr>
            <w:tcW w:w="960" w:type="dxa"/>
            <w:vAlign w:val="bottom"/>
          </w:tcPr>
          <w:p>
            <w:pPr>
              <w:spacing w:after="0"/>
              <w:rPr>
                <w:sz w:val="18"/>
                <w:szCs w:val="18"/>
                <w:color w:val="auto"/>
              </w:rPr>
            </w:pPr>
          </w:p>
        </w:tc>
      </w:tr>
      <w:tr>
        <w:trPr>
          <w:trHeight w:val="234"/>
        </w:trPr>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loans at floating interest rates</w:t>
            </w:r>
          </w:p>
        </w:tc>
        <w:tc>
          <w:tcPr>
            <w:tcW w:w="20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99.64%</w:t>
            </w:r>
          </w:p>
        </w:tc>
        <w:tc>
          <w:tcPr>
            <w:tcW w:w="960" w:type="dxa"/>
            <w:vAlign w:val="bottom"/>
          </w:tcPr>
          <w:p>
            <w:pPr>
              <w:spacing w:after="0"/>
              <w:rPr>
                <w:sz w:val="20"/>
                <w:szCs w:val="20"/>
                <w:color w:val="auto"/>
              </w:rPr>
            </w:pPr>
          </w:p>
        </w:tc>
      </w:tr>
      <w:tr>
        <w:trPr>
          <w:trHeight w:val="238"/>
        </w:trPr>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(1)</w:t>
            </w:r>
          </w:p>
        </w:tc>
        <w:tc>
          <w:tcPr>
            <w:tcW w:w="51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At par amount.</w:t>
            </w:r>
          </w:p>
        </w:tc>
        <w:tc>
          <w:tcPr>
            <w:tcW w:w="20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32"/>
        </w:trPr>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040" w:type="dxa"/>
            <w:vAlign w:val="bottom"/>
          </w:tcPr>
          <w:p>
            <w:pPr>
              <w:jc w:val="right"/>
              <w:ind w:right="1710"/>
              <w:spacing w:after="0"/>
              <w:rPr>
                <w:sz w:val="20"/>
                <w:szCs w:val="20"/>
                <w:color w:val="auto"/>
              </w:rPr>
            </w:pPr>
            <w:r>
              <w:rPr>
                <w:rFonts w:ascii="Times New Roman" w:cs="Times New Roman" w:eastAsia="Times New Roman" w:hAnsi="Times New Roman"/>
                <w:sz w:val="18"/>
                <w:szCs w:val="18"/>
                <w:color w:val="auto"/>
              </w:rPr>
              <w:t>37</w:t>
            </w:r>
          </w:p>
        </w:tc>
        <w:tc>
          <w:tcPr>
            <w:tcW w:w="3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763"/>
        </w:trPr>
        <w:tc>
          <w:tcPr>
            <w:tcW w:w="3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452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37" w:name="page38"/>
    <w:bookmarkEnd w:id="37"/>
    <w:p>
      <w:pPr>
        <w:ind w:left="260"/>
        <w:spacing w:after="0"/>
        <w:rPr>
          <w:sz w:val="20"/>
          <w:szCs w:val="20"/>
          <w:color w:val="auto"/>
        </w:rPr>
      </w:pPr>
      <w:r>
        <w:rPr>
          <w:rFonts w:ascii="Times New Roman" w:cs="Times New Roman" w:eastAsia="Times New Roman" w:hAnsi="Times New Roman"/>
          <w:sz w:val="18"/>
          <w:szCs w:val="18"/>
          <w:color w:val="auto"/>
        </w:rPr>
        <w:t>The industry composition of SCP's portfolio at fair value as of September 30, 2026 is as follows: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8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142"/>
        </w:trPr>
        <w:tc>
          <w:tcPr>
            <w:tcW w:w="53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Amortized Cost</w:t>
            </w: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Pr>
          <w:p>
            <w:pPr>
              <w:spacing w:after="0"/>
              <w:rPr>
                <w:sz w:val="12"/>
                <w:szCs w:val="12"/>
                <w:color w:val="auto"/>
              </w:rPr>
            </w:pPr>
          </w:p>
        </w:tc>
        <w:tc>
          <w:tcPr>
            <w:tcW w:w="1940" w:type="dxa"/>
            <w:vAlign w:val="bottom"/>
            <w:tcBorders>
              <w:bottom w:val="single" w:sz="8" w:color="auto"/>
            </w:tcBorders>
          </w:tcPr>
          <w:p>
            <w:pPr>
              <w:ind w:left="460"/>
              <w:spacing w:after="0" w:line="142" w:lineRule="exact"/>
              <w:rPr>
                <w:sz w:val="20"/>
                <w:szCs w:val="20"/>
                <w:color w:val="auto"/>
              </w:rPr>
            </w:pPr>
            <w:r>
              <w:rPr>
                <w:rFonts w:ascii="Times New Roman" w:cs="Times New Roman" w:eastAsia="Times New Roman" w:hAnsi="Times New Roman"/>
                <w:sz w:val="14"/>
                <w:szCs w:val="14"/>
                <w:b w:val="1"/>
                <w:bCs w:val="1"/>
                <w:color w:val="auto"/>
              </w:rPr>
              <w:t>% of Fair Value</w:t>
            </w:r>
          </w:p>
        </w:tc>
        <w:tc>
          <w:tcPr>
            <w:tcW w:w="180" w:type="dxa"/>
            <w:vAlign w:val="bottom"/>
          </w:tcPr>
          <w:p>
            <w:pPr>
              <w:spacing w:after="0"/>
              <w:rPr>
                <w:sz w:val="12"/>
                <w:szCs w:val="12"/>
                <w:color w:val="auto"/>
              </w:rPr>
            </w:pPr>
          </w:p>
        </w:tc>
      </w:tr>
      <w:tr>
        <w:trPr>
          <w:trHeight w:val="210"/>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Aerospace &amp; Defense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82,517</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82,555</w:t>
            </w:r>
          </w:p>
        </w:tc>
        <w:tc>
          <w:tcPr>
            <w:tcW w:w="23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Auto Aftermarket &amp; Services</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66,097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66,009</w:t>
            </w:r>
          </w:p>
        </w:tc>
        <w:tc>
          <w:tcPr>
            <w:tcW w:w="2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Beverage &amp; Food</w:t>
            </w:r>
          </w:p>
        </w:tc>
        <w:tc>
          <w:tcPr>
            <w:tcW w:w="24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64,031</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63,940</w:t>
            </w:r>
          </w:p>
        </w:tc>
        <w:tc>
          <w:tcPr>
            <w:tcW w:w="23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Business Services</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256,298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256,465</w:t>
            </w:r>
          </w:p>
        </w:tc>
        <w:tc>
          <w:tcPr>
            <w:tcW w:w="2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 Equipment</w:t>
            </w:r>
          </w:p>
        </w:tc>
        <w:tc>
          <w:tcPr>
            <w:tcW w:w="24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117,964</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118,019</w:t>
            </w:r>
          </w:p>
        </w:tc>
        <w:tc>
          <w:tcPr>
            <w:tcW w:w="23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Chemicals, Plastics &amp; Rubber</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35,392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35,540</w:t>
            </w:r>
          </w:p>
        </w:tc>
        <w:tc>
          <w:tcPr>
            <w:tcW w:w="2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Construction &amp; Building</w:t>
            </w:r>
          </w:p>
        </w:tc>
        <w:tc>
          <w:tcPr>
            <w:tcW w:w="24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127,853</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127,274</w:t>
            </w:r>
          </w:p>
        </w:tc>
        <w:tc>
          <w:tcPr>
            <w:tcW w:w="23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Consumer goods: Durable</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39,997</w:t>
            </w:r>
          </w:p>
        </w:tc>
        <w:tc>
          <w:tcPr>
            <w:tcW w:w="2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goods: Non-durable</w:t>
            </w:r>
          </w:p>
        </w:tc>
        <w:tc>
          <w:tcPr>
            <w:tcW w:w="24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49,757</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49,781</w:t>
            </w:r>
          </w:p>
        </w:tc>
        <w:tc>
          <w:tcPr>
            <w:tcW w:w="23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Consumer Services</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138,343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138,534</w:t>
            </w:r>
          </w:p>
        </w:tc>
        <w:tc>
          <w:tcPr>
            <w:tcW w:w="2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Containers, Packaging &amp; Glass</w:t>
            </w:r>
          </w:p>
        </w:tc>
        <w:tc>
          <w:tcPr>
            <w:tcW w:w="24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57,202</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57,368</w:t>
            </w:r>
          </w:p>
        </w:tc>
        <w:tc>
          <w:tcPr>
            <w:tcW w:w="23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Diversified Financial Services</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252,087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249,538</w:t>
            </w:r>
          </w:p>
        </w:tc>
        <w:tc>
          <w:tcPr>
            <w:tcW w:w="2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Energy: Electricity</w:t>
            </w:r>
          </w:p>
        </w:tc>
        <w:tc>
          <w:tcPr>
            <w:tcW w:w="24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29,905</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29,850</w:t>
            </w:r>
          </w:p>
        </w:tc>
        <w:tc>
          <w:tcPr>
            <w:tcW w:w="23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Energy: Oil &amp; Gas</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33,698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33,774</w:t>
            </w:r>
          </w:p>
        </w:tc>
        <w:tc>
          <w:tcPr>
            <w:tcW w:w="2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Environmental Industries</w:t>
            </w:r>
          </w:p>
        </w:tc>
        <w:tc>
          <w:tcPr>
            <w:tcW w:w="24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36,189</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36,211</w:t>
            </w:r>
          </w:p>
        </w:tc>
        <w:tc>
          <w:tcPr>
            <w:tcW w:w="23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Forest Products &amp; Paper</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8,620</w:t>
            </w:r>
          </w:p>
        </w:tc>
        <w:tc>
          <w:tcPr>
            <w:tcW w:w="2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0.4%</w:t>
            </w:r>
          </w:p>
        </w:tc>
      </w:tr>
      <w:tr>
        <w:trPr>
          <w:trHeight w:val="216"/>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Healthcare &amp; Pharmaceuticals</w:t>
            </w:r>
          </w:p>
        </w:tc>
        <w:tc>
          <w:tcPr>
            <w:tcW w:w="24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135,146</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135,332</w:t>
            </w:r>
          </w:p>
        </w:tc>
        <w:tc>
          <w:tcPr>
            <w:tcW w:w="23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High Tech Industries</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144,844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145,952</w:t>
            </w:r>
          </w:p>
        </w:tc>
        <w:tc>
          <w:tcPr>
            <w:tcW w:w="2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Leisure Products &amp; Services</w:t>
            </w:r>
          </w:p>
        </w:tc>
        <w:tc>
          <w:tcPr>
            <w:tcW w:w="24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102,719</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101,895</w:t>
            </w:r>
          </w:p>
        </w:tc>
        <w:tc>
          <w:tcPr>
            <w:tcW w:w="23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Media: Advertising, Printing &amp; Publishing</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16,917</w:t>
            </w:r>
          </w:p>
        </w:tc>
        <w:tc>
          <w:tcPr>
            <w:tcW w:w="2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0.8%</w:t>
            </w:r>
          </w:p>
        </w:tc>
      </w:tr>
      <w:tr>
        <w:trPr>
          <w:trHeight w:val="216"/>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Media: Broadcasting &amp; Subscription</w:t>
            </w:r>
          </w:p>
        </w:tc>
        <w:tc>
          <w:tcPr>
            <w:tcW w:w="24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22,134</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22,163</w:t>
            </w:r>
          </w:p>
        </w:tc>
        <w:tc>
          <w:tcPr>
            <w:tcW w:w="23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Media: Diversified &amp; Production</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33,681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33,946</w:t>
            </w:r>
          </w:p>
        </w:tc>
        <w:tc>
          <w:tcPr>
            <w:tcW w:w="2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Metals &amp; Mining</w:t>
            </w:r>
          </w:p>
        </w:tc>
        <w:tc>
          <w:tcPr>
            <w:tcW w:w="24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3,971</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3,992</w:t>
            </w:r>
          </w:p>
        </w:tc>
        <w:tc>
          <w:tcPr>
            <w:tcW w:w="23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Retail</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41,253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41,108</w:t>
            </w:r>
          </w:p>
        </w:tc>
        <w:tc>
          <w:tcPr>
            <w:tcW w:w="2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Sovereign &amp; Public Finance</w:t>
            </w:r>
          </w:p>
        </w:tc>
        <w:tc>
          <w:tcPr>
            <w:tcW w:w="24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13,084</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13,122</w:t>
            </w:r>
          </w:p>
        </w:tc>
        <w:tc>
          <w:tcPr>
            <w:tcW w:w="23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0.6%</w:t>
            </w: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Telecommunications</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19,574</w:t>
            </w:r>
          </w:p>
        </w:tc>
        <w:tc>
          <w:tcPr>
            <w:tcW w:w="2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0.9%</w:t>
            </w:r>
          </w:p>
        </w:tc>
      </w:tr>
      <w:tr>
        <w:trPr>
          <w:trHeight w:val="216"/>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Transportation: Cargo</w:t>
            </w:r>
          </w:p>
        </w:tc>
        <w:tc>
          <w:tcPr>
            <w:tcW w:w="24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8,306</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8,449</w:t>
            </w:r>
          </w:p>
        </w:tc>
        <w:tc>
          <w:tcPr>
            <w:tcW w:w="23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0.4%</w:t>
            </w: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Transportation: Consumer</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38,724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38,230</w:t>
            </w:r>
          </w:p>
        </w:tc>
        <w:tc>
          <w:tcPr>
            <w:tcW w:w="2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Utilities: Electric</w:t>
            </w:r>
          </w:p>
        </w:tc>
        <w:tc>
          <w:tcPr>
            <w:tcW w:w="24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11,155</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11,191</w:t>
            </w:r>
          </w:p>
        </w:tc>
        <w:tc>
          <w:tcPr>
            <w:tcW w:w="23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0.5%</w:t>
            </w: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Utilities: Oil &amp; Gas</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4,920</w:t>
            </w:r>
          </w:p>
        </w:tc>
        <w:tc>
          <w:tcPr>
            <w:tcW w:w="2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r>
      <w:tr>
        <w:trPr>
          <w:trHeight w:val="216"/>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Wholesale</w:t>
            </w:r>
          </w:p>
        </w:tc>
        <w:tc>
          <w:tcPr>
            <w:tcW w:w="24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145,836</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145,557</w:t>
            </w:r>
          </w:p>
        </w:tc>
        <w:tc>
          <w:tcPr>
            <w:tcW w:w="180" w:type="dxa"/>
            <w:vAlign w:val="bottom"/>
            <w:shd w:val="clear" w:color="auto" w:fill="CFF0FC"/>
          </w:tcPr>
          <w:p>
            <w:pPr>
              <w:spacing w:after="0"/>
              <w:rPr>
                <w:sz w:val="18"/>
                <w:szCs w:val="18"/>
                <w:color w:val="auto"/>
              </w:rPr>
            </w:pPr>
          </w:p>
        </w:tc>
        <w:tc>
          <w:tcPr>
            <w:tcW w:w="2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6.8%</w:t>
            </w:r>
          </w:p>
        </w:tc>
      </w:tr>
      <w:tr>
        <w:trPr>
          <w:trHeight w:val="20"/>
        </w:trPr>
        <w:tc>
          <w:tcPr>
            <w:tcW w:w="53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10"/>
        </w:trPr>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2,138,270</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2,135,823</w:t>
            </w:r>
          </w:p>
        </w:tc>
        <w:tc>
          <w:tcPr>
            <w:tcW w:w="2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5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-170815</wp:posOffset>
            </wp:positionV>
            <wp:extent cx="6858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-170815</wp:posOffset>
            </wp:positionV>
            <wp:extent cx="6858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-170815</wp:posOffset>
            </wp:positionV>
            <wp:extent cx="11176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geographic composition of SCP's portfolio at fair value as of September 30, 2026 is as follows: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2"/>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0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142"/>
        </w:trPr>
        <w:tc>
          <w:tcPr>
            <w:tcW w:w="5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rPr>
              <w:t>Amortized Cost</w:t>
            </w:r>
          </w:p>
        </w:tc>
        <w:tc>
          <w:tcPr>
            <w:tcW w:w="3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12"/>
                <w:szCs w:val="12"/>
                <w:color w:val="auto"/>
              </w:rPr>
            </w:pPr>
          </w:p>
        </w:tc>
        <w:tc>
          <w:tcPr>
            <w:tcW w:w="1760" w:type="dxa"/>
            <w:vAlign w:val="bottom"/>
            <w:tcBorders>
              <w:bottom w:val="single" w:sz="8" w:color="auto"/>
            </w:tcBorders>
          </w:tcPr>
          <w:p>
            <w:pPr>
              <w:ind w:left="380"/>
              <w:spacing w:after="0" w:line="142" w:lineRule="exact"/>
              <w:rPr>
                <w:sz w:val="20"/>
                <w:szCs w:val="20"/>
                <w:color w:val="auto"/>
              </w:rPr>
            </w:pPr>
            <w:r>
              <w:rPr>
                <w:rFonts w:ascii="Times New Roman" w:cs="Times New Roman" w:eastAsia="Times New Roman" w:hAnsi="Times New Roman"/>
                <w:sz w:val="14"/>
                <w:szCs w:val="14"/>
                <w:b w:val="1"/>
                <w:bCs w:val="1"/>
                <w:color w:val="auto"/>
              </w:rPr>
              <w:t>% of Fair Value</w:t>
            </w:r>
          </w:p>
        </w:tc>
        <w:tc>
          <w:tcPr>
            <w:tcW w:w="180" w:type="dxa"/>
            <w:vAlign w:val="bottom"/>
          </w:tcPr>
          <w:p>
            <w:pPr>
              <w:spacing w:after="0"/>
              <w:rPr>
                <w:sz w:val="12"/>
                <w:szCs w:val="12"/>
                <w:color w:val="auto"/>
              </w:rPr>
            </w:pPr>
          </w:p>
        </w:tc>
      </w:tr>
      <w:tr>
        <w:trPr>
          <w:trHeight w:val="210"/>
        </w:trPr>
        <w:tc>
          <w:tcPr>
            <w:tcW w:w="5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Australia</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1,981</w:t>
            </w:r>
          </w:p>
        </w:tc>
        <w:tc>
          <w:tcPr>
            <w:tcW w:w="62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2,006</w:t>
            </w:r>
          </w:p>
        </w:tc>
        <w:tc>
          <w:tcPr>
            <w:tcW w:w="21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Austria</w:t>
            </w:r>
          </w:p>
        </w:tc>
        <w:tc>
          <w:tcPr>
            <w:tcW w:w="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2,054</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2,044</w:t>
            </w:r>
          </w:p>
        </w:tc>
        <w:tc>
          <w:tcPr>
            <w:tcW w:w="2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5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Canada</w:t>
            </w:r>
          </w:p>
        </w:tc>
        <w:tc>
          <w:tcPr>
            <w:tcW w:w="20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21,334</w:t>
            </w:r>
          </w:p>
        </w:tc>
        <w:tc>
          <w:tcPr>
            <w:tcW w:w="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21,171</w:t>
            </w:r>
          </w:p>
        </w:tc>
        <w:tc>
          <w:tcPr>
            <w:tcW w:w="21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c>
          <w:tcPr>
            <w:tcW w:w="4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10,609</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10,619</w:t>
            </w:r>
          </w:p>
        </w:tc>
        <w:tc>
          <w:tcPr>
            <w:tcW w:w="2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0.5%</w:t>
            </w:r>
          </w:p>
        </w:tc>
      </w:tr>
      <w:tr>
        <w:trPr>
          <w:trHeight w:val="216"/>
        </w:trPr>
        <w:tc>
          <w:tcPr>
            <w:tcW w:w="5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Germany</w:t>
            </w:r>
          </w:p>
        </w:tc>
        <w:tc>
          <w:tcPr>
            <w:tcW w:w="20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13,422</w:t>
            </w:r>
          </w:p>
        </w:tc>
        <w:tc>
          <w:tcPr>
            <w:tcW w:w="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13,518</w:t>
            </w:r>
          </w:p>
        </w:tc>
        <w:tc>
          <w:tcPr>
            <w:tcW w:w="21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0.6%</w:t>
            </w: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Ireland </w:t>
            </w:r>
            <w:r>
              <w:rPr>
                <w:rFonts w:ascii="Times New Roman" w:cs="Times New Roman" w:eastAsia="Times New Roman" w:hAnsi="Times New Roman"/>
                <w:sz w:val="8"/>
                <w:szCs w:val="8"/>
                <w:color w:val="auto"/>
              </w:rPr>
              <w:t>(1)</w:t>
            </w:r>
          </w:p>
        </w:tc>
        <w:tc>
          <w:tcPr>
            <w:tcW w:w="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2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5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Luxembourg</w:t>
            </w:r>
          </w:p>
        </w:tc>
        <w:tc>
          <w:tcPr>
            <w:tcW w:w="20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24,574</w:t>
            </w:r>
          </w:p>
        </w:tc>
        <w:tc>
          <w:tcPr>
            <w:tcW w:w="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24,686</w:t>
            </w:r>
          </w:p>
        </w:tc>
        <w:tc>
          <w:tcPr>
            <w:tcW w:w="21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Netherlands</w:t>
            </w:r>
          </w:p>
        </w:tc>
        <w:tc>
          <w:tcPr>
            <w:tcW w:w="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23,521</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23,636</w:t>
            </w:r>
          </w:p>
        </w:tc>
        <w:tc>
          <w:tcPr>
            <w:tcW w:w="2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5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20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31,300</w:t>
            </w:r>
          </w:p>
        </w:tc>
        <w:tc>
          <w:tcPr>
            <w:tcW w:w="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30,834</w:t>
            </w:r>
          </w:p>
        </w:tc>
        <w:tc>
          <w:tcPr>
            <w:tcW w:w="21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2,008,590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2,006,466</w:t>
            </w:r>
          </w:p>
        </w:tc>
        <w:tc>
          <w:tcPr>
            <w:tcW w:w="200" w:type="dxa"/>
            <w:vAlign w:val="bottom"/>
          </w:tcPr>
          <w:p>
            <w:pPr>
              <w:spacing w:after="0"/>
              <w:rPr>
                <w:sz w:val="18"/>
                <w:szCs w:val="18"/>
                <w:color w:val="auto"/>
              </w:rPr>
            </w:pP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93.9%</w:t>
            </w:r>
          </w:p>
        </w:tc>
      </w:tr>
      <w:tr>
        <w:trPr>
          <w:trHeight w:val="20"/>
        </w:trPr>
        <w:tc>
          <w:tcPr>
            <w:tcW w:w="5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50"/>
        </w:trPr>
        <w:tc>
          <w:tcPr>
            <w:tcW w:w="5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468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2,138,270</w:t>
            </w:r>
          </w:p>
        </w:tc>
        <w:tc>
          <w:tcPr>
            <w:tcW w:w="34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2,135,823</w:t>
            </w:r>
          </w:p>
        </w:tc>
        <w:tc>
          <w:tcPr>
            <w:tcW w:w="200" w:type="dxa"/>
            <w:vAlign w:val="bottom"/>
            <w:shd w:val="clear" w:color="auto" w:fill="CFF0FC"/>
          </w:tcPr>
          <w:p>
            <w:pPr>
              <w:spacing w:after="0"/>
              <w:rPr>
                <w:sz w:val="21"/>
                <w:szCs w:val="21"/>
                <w:color w:val="auto"/>
              </w:rPr>
            </w:pPr>
          </w:p>
        </w:tc>
        <w:tc>
          <w:tcPr>
            <w:tcW w:w="1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37"/>
        </w:trPr>
        <w:tc>
          <w:tcPr>
            <w:tcW w:w="5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(1)</w:t>
            </w:r>
          </w:p>
        </w:tc>
        <w:tc>
          <w:tcPr>
            <w:tcW w:w="46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Value rounds to less than 0.1%.</w:t>
            </w:r>
          </w:p>
        </w:tc>
        <w:tc>
          <w:tcPr>
            <w:tcW w:w="20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spacing w:after="0"/>
              <w:rPr>
                <w:sz w:val="20"/>
                <w:szCs w:val="20"/>
                <w:color w:val="auto"/>
              </w:rPr>
            </w:pPr>
          </w:p>
        </w:tc>
        <w:tc>
          <w:tcPr>
            <w:tcW w:w="340" w:type="dxa"/>
            <w:vAlign w:val="bottom"/>
            <w:tcBorders>
              <w:top w:val="single" w:sz="8" w:color="CFF0FC"/>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200" w:type="dxa"/>
            <w:vAlign w:val="bottom"/>
            <w:tcBorders>
              <w:top w:val="single" w:sz="8" w:color="CFF0FC"/>
            </w:tcBorders>
          </w:tcPr>
          <w:p>
            <w:pPr>
              <w:spacing w:after="0"/>
              <w:rPr>
                <w:sz w:val="20"/>
                <w:szCs w:val="20"/>
                <w:color w:val="auto"/>
              </w:rPr>
            </w:pPr>
          </w:p>
        </w:tc>
        <w:tc>
          <w:tcPr>
            <w:tcW w:w="1760" w:type="dxa"/>
            <w:vAlign w:val="bottom"/>
            <w:tcBorders>
              <w:top w:val="single" w:sz="8" w:color="auto"/>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r>
      <w:tr>
        <w:trPr>
          <w:trHeight w:val="432"/>
        </w:trPr>
        <w:tc>
          <w:tcPr>
            <w:tcW w:w="5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jc w:val="right"/>
              <w:ind w:right="1311"/>
              <w:spacing w:after="0"/>
              <w:rPr>
                <w:sz w:val="20"/>
                <w:szCs w:val="20"/>
                <w:color w:val="auto"/>
              </w:rPr>
            </w:pPr>
            <w:r>
              <w:rPr>
                <w:rFonts w:ascii="Times New Roman" w:cs="Times New Roman" w:eastAsia="Times New Roman" w:hAnsi="Times New Roman"/>
                <w:sz w:val="18"/>
                <w:szCs w:val="18"/>
                <w:color w:val="auto"/>
              </w:rPr>
              <w:t>38</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763"/>
        </w:trPr>
        <w:tc>
          <w:tcPr>
            <w:tcW w:w="520" w:type="dxa"/>
            <w:vAlign w:val="bottom"/>
            <w:tcBorders>
              <w:bottom w:val="single" w:sz="8" w:color="9A9A9A"/>
            </w:tcBorders>
          </w:tcPr>
          <w:p>
            <w:pPr>
              <w:spacing w:after="0"/>
              <w:rPr>
                <w:sz w:val="24"/>
                <w:szCs w:val="24"/>
                <w:color w:val="auto"/>
              </w:rPr>
            </w:pPr>
          </w:p>
        </w:tc>
        <w:tc>
          <w:tcPr>
            <w:tcW w:w="46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-959485</wp:posOffset>
            </wp:positionV>
            <wp:extent cx="6858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-942340</wp:posOffset>
            </wp:positionV>
            <wp:extent cx="6858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-959485</wp:posOffset>
            </wp:positionV>
            <wp:extent cx="6858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-942340</wp:posOffset>
            </wp:positionV>
            <wp:extent cx="6858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-959485</wp:posOffset>
            </wp:positionV>
            <wp:extent cx="11176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-942340</wp:posOffset>
            </wp:positionV>
            <wp:extent cx="11176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i w:val="1"/>
          <w:iCs w:val="1"/>
          <w:color w:val="auto"/>
        </w:rPr>
        <w:t>Financial Instruments Not Carried at Fair Value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w:t>
      </w:r>
    </w:p>
    <w:p>
      <w:pPr>
        <w:spacing w:after="0" w:line="117" w:lineRule="exact"/>
        <w:rPr>
          <w:sz w:val="20"/>
          <w:szCs w:val="20"/>
          <w:color w:val="auto"/>
        </w:rPr>
      </w:pPr>
    </w:p>
    <w:p>
      <w:pPr>
        <w:ind w:right="520" w:firstLine="255"/>
        <w:spacing w:after="0" w:line="282" w:lineRule="auto"/>
        <w:rPr>
          <w:sz w:val="20"/>
          <w:szCs w:val="20"/>
          <w:color w:val="auto"/>
        </w:rPr>
      </w:pPr>
      <w:r>
        <w:rPr>
          <w:rFonts w:ascii="Times New Roman" w:cs="Times New Roman" w:eastAsia="Times New Roman" w:hAnsi="Times New Roman"/>
          <w:sz w:val="18"/>
          <w:szCs w:val="18"/>
          <w:color w:val="auto"/>
        </w:rPr>
        <w:t>The fair value of the Company’s Credit Facilities, which are categorized as Level 3 within the fair value hierarchy, as of September 30, 2026 and December 31, 2025, approximates their carrying value as the outstanding balance is callable at carrying value.</w:t>
      </w:r>
    </w:p>
    <w:p>
      <w:pPr>
        <w:spacing w:after="0" w:line="162" w:lineRule="exact"/>
        <w:rPr>
          <w:sz w:val="20"/>
          <w:szCs w:val="20"/>
          <w:color w:val="auto"/>
        </w:rPr>
      </w:pPr>
    </w:p>
    <w:p>
      <w:pPr>
        <w:ind w:right="280" w:firstLine="255"/>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fair value of the Company’s 2029 Notes, January 2030 Notes, July 2030 Notes and 2031 Notes as of September 30, 2026 and December 31, 2025.</w:t>
      </w:r>
    </w:p>
    <w:p>
      <w:pPr>
        <w:spacing w:after="0" w:line="304" w:lineRule="exact"/>
        <w:rPr>
          <w:sz w:val="20"/>
          <w:szCs w:val="20"/>
          <w:color w:val="auto"/>
        </w:rPr>
      </w:pPr>
    </w:p>
    <w:tbl>
      <w:tblPr>
        <w:tblLayout w:type="fixed"/>
        <w:tblInd w:w="620" w:type="dxa"/>
        <w:tblCellMar>
          <w:top w:w="0" w:type="dxa"/>
          <w:left w:w="0" w:type="dxa"/>
          <w:bottom w:w="0" w:type="dxa"/>
          <w:right w:w="0" w:type="dxa"/>
        </w:tblCellMar>
      </w:tblPr>
      <w:tr>
        <w:trPr>
          <w:trHeight w:val="173"/>
        </w:trPr>
        <w:tc>
          <w:tcPr>
            <w:tcW w:w="37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gridSpan w:val="5"/>
          </w:tcPr>
          <w:p>
            <w:pPr>
              <w:jc w:val="right"/>
              <w:ind w:right="893"/>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4"/>
          </w:tcPr>
          <w:p>
            <w:pPr>
              <w:jc w:val="right"/>
              <w:ind w:right="753"/>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vMerge w:val="restart"/>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Outstanding Principal</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 xml:space="preserve">Fair Value </w:t>
            </w:r>
            <w:r>
              <w:rPr>
                <w:rFonts w:ascii="Times New Roman" w:cs="Times New Roman" w:eastAsia="Times New Roman" w:hAnsi="Times New Roman"/>
                <w:sz w:val="19"/>
                <w:szCs w:val="19"/>
                <w:b w:val="1"/>
                <w:bCs w:val="1"/>
                <w:color w:val="auto"/>
                <w:vertAlign w:val="superscript"/>
              </w:rPr>
              <w:t>(1)</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tcPr>
          <w:p>
            <w:pPr>
              <w:jc w:val="right"/>
              <w:ind w:right="217"/>
              <w:spacing w:after="0" w:line="118" w:lineRule="exact"/>
              <w:rPr>
                <w:sz w:val="20"/>
                <w:szCs w:val="20"/>
                <w:color w:val="auto"/>
              </w:rPr>
            </w:pPr>
            <w:r>
              <w:rPr>
                <w:rFonts w:ascii="Times New Roman" w:cs="Times New Roman" w:eastAsia="Times New Roman" w:hAnsi="Times New Roman"/>
                <w:sz w:val="13"/>
                <w:szCs w:val="13"/>
                <w:b w:val="1"/>
                <w:bCs w:val="1"/>
                <w:color w:val="auto"/>
              </w:rPr>
              <w:t>Outstanding</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 xml:space="preserve">Fair Value </w:t>
            </w:r>
            <w:r>
              <w:rPr>
                <w:rFonts w:ascii="Times New Roman" w:cs="Times New Roman" w:eastAsia="Times New Roman" w:hAnsi="Times New Roman"/>
                <w:sz w:val="19"/>
                <w:szCs w:val="19"/>
                <w:b w:val="1"/>
                <w:bCs w:val="1"/>
                <w:color w:val="auto"/>
                <w:vertAlign w:val="superscript"/>
              </w:rPr>
              <w:t>(1)</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7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 Notes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3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750,825</w:t>
            </w:r>
          </w:p>
        </w:tc>
        <w:tc>
          <w:tcPr>
            <w:tcW w:w="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778,345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January 2030 Notes</w:t>
            </w: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583,176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607,796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July 2030 Notes</w:t>
            </w:r>
          </w:p>
        </w:tc>
        <w:tc>
          <w:tcPr>
            <w:tcW w:w="10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731,110</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769,633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2031 Notes</w:t>
            </w:r>
          </w:p>
        </w:tc>
        <w:tc>
          <w:tcPr>
            <w:tcW w:w="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730,845</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2,850,000</w:t>
            </w:r>
          </w:p>
        </w:tc>
        <w:tc>
          <w:tcPr>
            <w:tcW w:w="10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2,795,956</w:t>
            </w:r>
          </w:p>
        </w:tc>
        <w:tc>
          <w:tcPr>
            <w:tcW w:w="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2,100,000</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2,155,774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-25400</wp:posOffset>
            </wp:positionV>
            <wp:extent cx="6032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-8255</wp:posOffset>
            </wp:positionV>
            <wp:extent cx="60325"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-25400</wp:posOffset>
            </wp:positionV>
            <wp:extent cx="6032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-8255</wp:posOffset>
            </wp:positionV>
            <wp:extent cx="60325"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-25400</wp:posOffset>
            </wp:positionV>
            <wp:extent cx="5969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-8255</wp:posOffset>
            </wp:positionV>
            <wp:extent cx="5969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-25400</wp:posOffset>
            </wp:positionV>
            <wp:extent cx="6032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-8255</wp:posOffset>
            </wp:positionV>
            <wp:extent cx="60325"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is based on broker quotes received by the Company and is categorized as Level 2 within the fair value hierarchy.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Financial Assets and Liabilities</w:t>
      </w:r>
    </w:p>
    <w:p>
      <w:pPr>
        <w:spacing w:after="0" w:line="117" w:lineRule="exact"/>
        <w:rPr>
          <w:sz w:val="20"/>
          <w:szCs w:val="20"/>
          <w:color w:val="auto"/>
        </w:rPr>
      </w:pPr>
    </w:p>
    <w:p>
      <w:pPr>
        <w:ind w:right="780" w:firstLine="255"/>
        <w:spacing w:after="0" w:line="282" w:lineRule="auto"/>
        <w:rPr>
          <w:sz w:val="20"/>
          <w:szCs w:val="20"/>
          <w:color w:val="auto"/>
        </w:rPr>
      </w:pPr>
      <w:r>
        <w:rPr>
          <w:rFonts w:ascii="Times New Roman" w:cs="Times New Roman" w:eastAsia="Times New Roman" w:hAnsi="Times New Roman"/>
          <w:sz w:val="18"/>
          <w:szCs w:val="18"/>
          <w:color w:val="auto"/>
        </w:rPr>
        <w:t>Under the fair value hierarchy, cash and cash equivalents are classified as Level 1 while the Company’s other assets and liabilities, other than investments at fair value and the Credit Facilities, are classified as Level 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Debt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Subscription Facility</w:t>
      </w:r>
    </w:p>
    <w:p>
      <w:pPr>
        <w:spacing w:after="0" w:line="119" w:lineRule="exact"/>
        <w:rPr>
          <w:sz w:val="20"/>
          <w:szCs w:val="20"/>
          <w:color w:val="auto"/>
        </w:rPr>
      </w:pPr>
    </w:p>
    <w:p>
      <w:pPr>
        <w:ind w:right="260" w:firstLine="255"/>
        <w:spacing w:after="0" w:line="266" w:lineRule="auto"/>
        <w:rPr>
          <w:sz w:val="20"/>
          <w:szCs w:val="20"/>
          <w:color w:val="auto"/>
        </w:rPr>
      </w:pPr>
      <w:r>
        <w:rPr>
          <w:rFonts w:ascii="Times New Roman" w:cs="Times New Roman" w:eastAsia="Times New Roman" w:hAnsi="Times New Roman"/>
          <w:sz w:val="18"/>
          <w:szCs w:val="18"/>
          <w:color w:val="auto"/>
        </w:rPr>
        <w:t>On September 1, 2022, the Company entered into a revolving credit agreement (as amended, the “Subscription Facility”) with Wells Fargo Bank, National Association, as administrative agent (the “Administrative Agent”), letter of credit issuer, lead arranger, as a lender and aggregate commitments under the Subscription Facility were $400 million.</w:t>
      </w:r>
    </w:p>
    <w:p>
      <w:pPr>
        <w:spacing w:after="0" w:line="68" w:lineRule="exact"/>
        <w:rPr>
          <w:sz w:val="20"/>
          <w:szCs w:val="20"/>
          <w:color w:val="auto"/>
        </w:rPr>
      </w:pPr>
    </w:p>
    <w:p>
      <w:pPr>
        <w:ind w:right="20" w:firstLine="255"/>
        <w:spacing w:after="0" w:line="266" w:lineRule="auto"/>
        <w:rPr>
          <w:sz w:val="20"/>
          <w:szCs w:val="20"/>
          <w:color w:val="auto"/>
        </w:rPr>
      </w:pPr>
      <w:r>
        <w:rPr>
          <w:rFonts w:ascii="Times New Roman" w:cs="Times New Roman" w:eastAsia="Times New Roman" w:hAnsi="Times New Roman"/>
          <w:sz w:val="18"/>
          <w:szCs w:val="18"/>
          <w:color w:val="auto"/>
        </w:rPr>
        <w:t>Pursuant to the third amendment to the Subscription Facility dated as of August 28, 2026 (the “Subscription Facility Third Amendment”), the Company exercised its option to extend the stated maturity date to August 27, 2027. As of September 30, 2026, aggregate commitments under the Subscription Facility were $500 million.</w:t>
      </w:r>
    </w:p>
    <w:p>
      <w:pPr>
        <w:spacing w:after="0" w:line="68"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color w:val="auto"/>
        </w:rPr>
        <w:t>Borrowings under the Subscription Facility bear interest, at our election at the time of drawdown, at a rate per annum equal to (i) in the case of loans denominated in dollars, at our option (a) an adjusted Daily Simple SOFR rate plus 1.70%, (b) an adjusted Term SOFR rate for the applicable interest period plus 1.70% and (c) in the case of reference rate loans, 0.70% plus the greatest of (1) a prime rate, (2) the federal funds rate plus 0.50% and (3) the adjusted Daily Simple SOFR plus 1.00%, (ii) in the case of loans denominated in euros or other alternative currencies (other than sterling), the adjusted Eurocurrency Rate for the applicable interest period plus 1.70% or (iii) in the case of loans denominated in sterling, the adjusted SONIA rate plus 1.70%. SONIA loans are subject to a credit spread adjustment of 0.0326%. Loans denominated in dollars may be converted from one rate applicable to dollar denominated loans to another at any time at our election, subject to certain conditions. The Company also will pay an unused commitment fee of 0.25% per annum on the unused commitments.</w:t>
      </w:r>
    </w:p>
    <w:p>
      <w:pPr>
        <w:spacing w:after="0" w:line="192"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8"/>
          <w:szCs w:val="18"/>
          <w:color w:val="auto"/>
        </w:rPr>
        <w:t>The Company may borrow amounts in U.S. dollars or certain other permitted currencies. As of September 30, 2026, the Company had outstanding debt denominated in British pounds (GBP) of 9.8 million and Euros (EUR) of 6.9 million on its Subscription Facility, included in the outstanding principal amount in the table below. As of December 31, 2025, the Company had outstanding debt denominated in British pounds (GBP) of 10.3 million, and Euros (EUR) of 7.3 million on its Subscription Facility, included in the outstanding principal amount in the table below.</w:t>
      </w:r>
    </w:p>
    <w:p>
      <w:pPr>
        <w:spacing w:after="0" w:line="180" w:lineRule="exact"/>
        <w:rPr>
          <w:sz w:val="20"/>
          <w:szCs w:val="20"/>
          <w:color w:val="auto"/>
        </w:rPr>
      </w:pPr>
    </w:p>
    <w:p>
      <w:pPr>
        <w:ind w:right="240" w:firstLine="255"/>
        <w:spacing w:after="0" w:line="282" w:lineRule="auto"/>
        <w:rPr>
          <w:sz w:val="20"/>
          <w:szCs w:val="20"/>
          <w:color w:val="auto"/>
        </w:rPr>
      </w:pPr>
      <w:r>
        <w:rPr>
          <w:rFonts w:ascii="Times New Roman" w:cs="Times New Roman" w:eastAsia="Times New Roman" w:hAnsi="Times New Roman"/>
          <w:sz w:val="18"/>
          <w:szCs w:val="18"/>
          <w:color w:val="auto"/>
        </w:rPr>
        <w:t>The amount available for borrowing under the Subscription Facility is reduced by any letters of credit issued through the Subscription Facility. As of September 30, 2026 and December 31, 2025, the Company had no outstanding letters of credit issued through the Subscription Facility.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4" w:right="359" w:bottom="1440" w:gutter="0" w:footer="0" w:header="0"/>
        </w:sectPr>
      </w:pPr>
    </w:p>
    <w:bookmarkStart w:id="39" w:name="page40"/>
    <w:bookmarkEnd w:id="39"/>
    <w:p>
      <w:pPr>
        <w:ind w:right="480" w:firstLine="255"/>
        <w:spacing w:after="0" w:line="282" w:lineRule="auto"/>
        <w:rPr>
          <w:sz w:val="20"/>
          <w:szCs w:val="20"/>
          <w:color w:val="auto"/>
        </w:rPr>
      </w:pPr>
      <w:r>
        <w:rPr>
          <w:rFonts w:ascii="Times New Roman" w:cs="Times New Roman" w:eastAsia="Times New Roman" w:hAnsi="Times New Roman"/>
          <w:sz w:val="18"/>
          <w:szCs w:val="18"/>
          <w:color w:val="auto"/>
        </w:rPr>
        <w:t>The Subscription Facility includes customary events of default, as well as customary covenants, including restrictions on certain distributions and financial covenants.</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of September 30, 2026 and December 31, 2025, the Company was in compliance with the terms of the Subscription Facility.</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19" w:lineRule="exact"/>
        <w:rPr>
          <w:sz w:val="20"/>
          <w:szCs w:val="20"/>
          <w:color w:val="auto"/>
        </w:rPr>
      </w:pPr>
    </w:p>
    <w:p>
      <w:pPr>
        <w:jc w:val="both"/>
        <w:ind w:right="320" w:firstLine="255"/>
        <w:spacing w:after="0" w:line="266" w:lineRule="auto"/>
        <w:rPr>
          <w:sz w:val="20"/>
          <w:szCs w:val="20"/>
          <w:color w:val="auto"/>
        </w:rPr>
      </w:pPr>
      <w:r>
        <w:rPr>
          <w:rFonts w:ascii="Times New Roman" w:cs="Times New Roman" w:eastAsia="Times New Roman" w:hAnsi="Times New Roman"/>
          <w:sz w:val="18"/>
          <w:szCs w:val="18"/>
          <w:color w:val="auto"/>
        </w:rPr>
        <w:t>On January 19, 2023, the Company entered into a senior secured revolving credit agreement (the “Revolving Credit Facility”) with Truist Bank, as administrative agent, JPMorgan Chase Bank, N.A., Royal Bank of Canada, State Street Bank and Trust Company and Wells Fargo Bank, N.A., as joint lead arrangers, and certain other lenders.</w:t>
      </w:r>
    </w:p>
    <w:p>
      <w:pPr>
        <w:spacing w:after="0" w:line="176"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As of September 30, 2026, aggregate commitments under the Revolving Credit Facility were $2.675 billion. The Revolving Credit Facility includes an uncommitted accordion feature that allows the Company, under certain circumstances, to increase the size of the Revolving Credit Facility to up to $4.0125 billion.</w:t>
      </w:r>
    </w:p>
    <w:p>
      <w:pPr>
        <w:spacing w:after="0" w:line="176" w:lineRule="exact"/>
        <w:rPr>
          <w:sz w:val="20"/>
          <w:szCs w:val="20"/>
          <w:color w:val="auto"/>
        </w:rPr>
      </w:pPr>
    </w:p>
    <w:p>
      <w:pPr>
        <w:ind w:right="20" w:firstLine="255"/>
        <w:spacing w:after="0" w:line="266" w:lineRule="auto"/>
        <w:rPr>
          <w:sz w:val="20"/>
          <w:szCs w:val="20"/>
          <w:color w:val="auto"/>
        </w:rPr>
      </w:pPr>
      <w:r>
        <w:rPr>
          <w:rFonts w:ascii="Times New Roman" w:cs="Times New Roman" w:eastAsia="Times New Roman" w:hAnsi="Times New Roman"/>
          <w:sz w:val="18"/>
          <w:szCs w:val="18"/>
          <w:color w:val="auto"/>
        </w:rPr>
        <w:t>Pursuant to the Fifth Amendment dated May 1, 2026, with respect to $2.475 billion of commitments, the termination of the revolving period was extended to May 1, 2030 and the stated maturity was extended to May 1, 2031 and the uncommitted accordion was increased from up to $3.42 billion to up to $4.0125 billion.</w:t>
      </w:r>
    </w:p>
    <w:p>
      <w:pPr>
        <w:spacing w:after="0" w:line="176"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8"/>
          <w:szCs w:val="18"/>
          <w:color w:val="auto"/>
        </w:rPr>
        <w:t>The Company may borrow amounts in U.S. dollars or certain other permitted currencies. As of September 30, 2026, the Company had outstanding debt denominated in British pounds (GBP) of 246.7 million, Canadian dollars (CAD) of 144.5 million, Euros (EUR) of 1,062.5 million and Swedish Krona (SEK) of 871.8 million on its Revolving Credit Facility, included in the outstanding principal amount in the table below. As of December 31, 2025, the Company had outstanding debt denominated in British pounds (GBP) of 244.7 million, Canadian dollars (CAD) of 142.0 million, Euros (EUR) of 974.5 million and Swedish Krona (SEK) of 218.0 million on its Revolving Credit Facility, included in the outstanding principal amount in the table below.</w:t>
      </w:r>
    </w:p>
    <w:p>
      <w:pPr>
        <w:spacing w:after="0" w:line="183" w:lineRule="exact"/>
        <w:rPr>
          <w:sz w:val="20"/>
          <w:szCs w:val="20"/>
          <w:color w:val="auto"/>
        </w:rPr>
      </w:pPr>
    </w:p>
    <w:p>
      <w:pPr>
        <w:jc w:val="both"/>
        <w:ind w:right="80" w:firstLine="255"/>
        <w:spacing w:after="0" w:line="261" w:lineRule="auto"/>
        <w:rPr>
          <w:sz w:val="20"/>
          <w:szCs w:val="20"/>
          <w:color w:val="auto"/>
        </w:rPr>
      </w:pPr>
      <w:r>
        <w:rPr>
          <w:rFonts w:ascii="Times New Roman" w:cs="Times New Roman" w:eastAsia="Times New Roman" w:hAnsi="Times New Roman"/>
          <w:sz w:val="18"/>
          <w:szCs w:val="18"/>
          <w:color w:val="auto"/>
        </w:rPr>
        <w:t>The Revolving Credit Facility also provides for the issuance of letters of credit up to an aggregate amount of $100 million. As of September 30, 2026, the Company had $24.9 million in outstanding letters of credit issued through the Revolving Credit Facility. As of December 31, 2025, the Company had $32.0 million in outstanding letters of credit issued through the Revolving Credit Facility. The amount available for borrowing under the Revolving Credit Facility is reduced by any letters of credit issued through the Revolving Credit Facility.</w:t>
      </w:r>
    </w:p>
    <w:p>
      <w:pPr>
        <w:spacing w:after="0" w:line="180" w:lineRule="exact"/>
        <w:rPr>
          <w:sz w:val="20"/>
          <w:szCs w:val="20"/>
          <w:color w:val="auto"/>
        </w:rPr>
      </w:pPr>
    </w:p>
    <w:p>
      <w:pPr>
        <w:ind w:right="520" w:firstLine="255"/>
        <w:spacing w:after="0" w:line="276" w:lineRule="auto"/>
        <w:rPr>
          <w:sz w:val="20"/>
          <w:szCs w:val="20"/>
          <w:color w:val="auto"/>
        </w:rPr>
      </w:pPr>
      <w:r>
        <w:rPr>
          <w:rFonts w:ascii="Times New Roman" w:cs="Times New Roman" w:eastAsia="Times New Roman" w:hAnsi="Times New Roman"/>
          <w:sz w:val="17"/>
          <w:szCs w:val="17"/>
          <w:color w:val="auto"/>
        </w:rPr>
        <w:t>Amounts drawn under the Revolving Credit Facility, including amounts drawn in respect of letters of credit, bear interest at either the applicable reference rate plus an applicable credit spread adjustment, plus a margin of either 1.525%, 1.65%, or 1.775%, or the base rate plus a margin of either</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0.525%, 0.65% or 0.775%, in each case, based on the total amount of the borrowing base relative to the sum of the total commitments (or, if greater, the total exposure) under the Revolving Credit Facility plus certain other designated secured debt. We may elect either the applicable reference rate or base rate at the time of the drawdown, and loans may be converted from one rate to another at any time, subject to certain conditions. We also pay a fee of 0.325% per annum on the unused commitments and, in respect of each undrawn letter of credit, a fee and interest rate equal to the then applicable margin while the letter of credit is outstanding.</w:t>
      </w:r>
    </w:p>
    <w:p>
      <w:pPr>
        <w:spacing w:after="0" w:line="187"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The Revolving Credit Facility is guaranteed by Sixth Street LP Holding II, LLC and SSLP Lending, LLC. The Revolving Credit Facility is secured by a perfected first-priority security interest in substantially all the portfolio investments held by us and each guarantor. Proceeds from borrowings may be used for general corporate purposes, including the funding of portfolio investments.</w:t>
      </w:r>
    </w:p>
    <w:p>
      <w:pPr>
        <w:spacing w:after="0" w:line="176" w:lineRule="exact"/>
        <w:rPr>
          <w:sz w:val="20"/>
          <w:szCs w:val="20"/>
          <w:color w:val="auto"/>
        </w:rPr>
      </w:pPr>
    </w:p>
    <w:p>
      <w:pPr>
        <w:ind w:right="140" w:firstLine="255"/>
        <w:spacing w:after="0" w:line="282" w:lineRule="auto"/>
        <w:rPr>
          <w:sz w:val="20"/>
          <w:szCs w:val="20"/>
          <w:color w:val="auto"/>
        </w:rPr>
      </w:pPr>
      <w:r>
        <w:rPr>
          <w:rFonts w:ascii="Times New Roman" w:cs="Times New Roman" w:eastAsia="Times New Roman" w:hAnsi="Times New Roman"/>
          <w:sz w:val="18"/>
          <w:szCs w:val="18"/>
          <w:color w:val="auto"/>
        </w:rPr>
        <w:t>The Revolving Credit Facility includes customary events of default, as well as customary covenants, including restrictions on certain distributions and financial covenants. In accordance with the terms of the Revolving Credit Agreement, the financial covenants require:</w:t>
      </w:r>
    </w:p>
    <w:p>
      <w:pPr>
        <w:spacing w:after="0" w:line="54"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asset coverage ratio of no less than 2 to 1 on the last day of any fiscal quarter;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equity of at least $2.71 billion plus 25% of the net proceeds of the sale of equity interests after May 1, 2026; and</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66"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minimum asset coverage ratio of no less than 1.5 to 1 with respect to (i) the consolidated assets of the Company and the subsidiary guarantors (including certain limitations on the contribution of equity in financing subsidiaries) to (ii) the secured debt of the Company and its subsidiary guarantors (the “Obligor Asset Coverage Ratio”).</w:t>
      </w:r>
    </w:p>
    <w:p>
      <w:pPr>
        <w:spacing w:after="0" w:line="176" w:lineRule="exact"/>
        <w:rPr>
          <w:sz w:val="20"/>
          <w:szCs w:val="20"/>
          <w:color w:val="auto"/>
        </w:rPr>
      </w:pPr>
    </w:p>
    <w:p>
      <w:pPr>
        <w:ind w:right="200" w:firstLine="255"/>
        <w:spacing w:after="0" w:line="282" w:lineRule="auto"/>
        <w:rPr>
          <w:sz w:val="20"/>
          <w:szCs w:val="20"/>
          <w:color w:val="auto"/>
        </w:rPr>
      </w:pPr>
      <w:r>
        <w:rPr>
          <w:rFonts w:ascii="Times New Roman" w:cs="Times New Roman" w:eastAsia="Times New Roman" w:hAnsi="Times New Roman"/>
          <w:sz w:val="18"/>
          <w:szCs w:val="18"/>
          <w:color w:val="auto"/>
        </w:rPr>
        <w:t>The Revolving Credit Facility also contains certain additional concentration limits in connection with the calculation of the borrowing base, based on the Obligor Asset Coverage Ratio.</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40" w:name="page41"/>
    <w:bookmarkEnd w:id="40"/>
    <w:p>
      <w:pPr>
        <w:ind w:left="260"/>
        <w:spacing w:after="0"/>
        <w:rPr>
          <w:sz w:val="20"/>
          <w:szCs w:val="20"/>
          <w:color w:val="auto"/>
        </w:rPr>
      </w:pPr>
      <w:r>
        <w:rPr>
          <w:rFonts w:ascii="Times New Roman" w:cs="Times New Roman" w:eastAsia="Times New Roman" w:hAnsi="Times New Roman"/>
          <w:sz w:val="18"/>
          <w:szCs w:val="18"/>
          <w:color w:val="auto"/>
        </w:rPr>
        <w:t>As of September 30, 2026 and December 31, 2025, the Company was in compliance with the terms of the Revolving Credit Facility.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2029 Notes</w:t>
      </w:r>
    </w:p>
    <w:p>
      <w:pPr>
        <w:spacing w:after="0" w:line="119" w:lineRule="exact"/>
        <w:rPr>
          <w:sz w:val="20"/>
          <w:szCs w:val="20"/>
          <w:color w:val="auto"/>
        </w:rPr>
      </w:pPr>
    </w:p>
    <w:p>
      <w:pPr>
        <w:ind w:right="140" w:firstLine="255"/>
        <w:spacing w:after="0" w:line="258" w:lineRule="auto"/>
        <w:rPr>
          <w:sz w:val="20"/>
          <w:szCs w:val="20"/>
          <w:color w:val="auto"/>
        </w:rPr>
      </w:pPr>
      <w:r>
        <w:rPr>
          <w:rFonts w:ascii="Times New Roman" w:cs="Times New Roman" w:eastAsia="Times New Roman" w:hAnsi="Times New Roman"/>
          <w:sz w:val="18"/>
          <w:szCs w:val="18"/>
          <w:color w:val="auto"/>
        </w:rPr>
        <w:t>In March 2024, the Company issued $600 million aggregate principal amount of unsecured notes that mature on March 11, 2029 (the “2029 Notes”). The principal amount of the 2029 Notes is payable at maturity. The 2029 Notes bear interest at a rate of 6.50% per year, payable semi-annually commencing on September 11, 2024, and may be redeemed in whole or in part at the Company’s option at any time at par plus a “make whole” premium. Total proceeds from the issuance of the 2029 Notes, net of underwriting discounts, offering costs and original issue discount, were $586.0 million. The Company used the net proceeds of the 2029 Notes to repay outstanding indebtedness under the Revolving Credit Facility and Subscription Facility.</w:t>
      </w:r>
    </w:p>
    <w:p>
      <w:pPr>
        <w:spacing w:after="0" w:line="183" w:lineRule="exact"/>
        <w:rPr>
          <w:sz w:val="20"/>
          <w:szCs w:val="20"/>
          <w:color w:val="auto"/>
        </w:rPr>
      </w:pPr>
    </w:p>
    <w:p>
      <w:pPr>
        <w:ind w:right="80" w:firstLine="255"/>
        <w:spacing w:after="0" w:line="258" w:lineRule="auto"/>
        <w:rPr>
          <w:sz w:val="20"/>
          <w:szCs w:val="20"/>
          <w:color w:val="auto"/>
        </w:rPr>
      </w:pPr>
      <w:r>
        <w:rPr>
          <w:rFonts w:ascii="Times New Roman" w:cs="Times New Roman" w:eastAsia="Times New Roman" w:hAnsi="Times New Roman"/>
          <w:sz w:val="18"/>
          <w:szCs w:val="18"/>
          <w:color w:val="auto"/>
        </w:rPr>
        <w:t>In June 2024, the Company issued an additional $150 million aggregate principal amount of unsecured notes that mature on March 11, 2029. The additional 2029 Notes are a further issuance of, fungible with, rank equally in right of payment with and have the same terms (other than the issue date and the public offering price) as the initial issuance of the 2029 Notes. Total proceeds from the issuance of the additional 2029 Notes, net of underwriting discounts, offering costs and original issue premium were $147.8 million. The Company used the net proceeds of the 2029 Notes to repay outstanding indebtedness under the Revolving Credit Facility and Subscription Facility.</w:t>
      </w:r>
    </w:p>
    <w:p>
      <w:pPr>
        <w:spacing w:after="0" w:line="183" w:lineRule="exact"/>
        <w:rPr>
          <w:sz w:val="20"/>
          <w:szCs w:val="20"/>
          <w:color w:val="auto"/>
        </w:rPr>
      </w:pPr>
    </w:p>
    <w:p>
      <w:pPr>
        <w:ind w:right="60" w:firstLine="255"/>
        <w:spacing w:after="0" w:line="255" w:lineRule="auto"/>
        <w:rPr>
          <w:sz w:val="20"/>
          <w:szCs w:val="20"/>
          <w:color w:val="auto"/>
        </w:rPr>
      </w:pPr>
      <w:r>
        <w:rPr>
          <w:rFonts w:ascii="Times New Roman" w:cs="Times New Roman" w:eastAsia="Times New Roman" w:hAnsi="Times New Roman"/>
          <w:sz w:val="18"/>
          <w:szCs w:val="18"/>
          <w:color w:val="auto"/>
        </w:rPr>
        <w:t>The Company entered into two interest rate swaps to align the interest rates of its liabilities with the Company’s investment portfolio, which consists of predominately floating rate loans. The notional amount of the two interest rate swaps is $600.0 million and $150.0 million, respectively, each of which matures on March 11, 2029, matching the maturity date of the 2029 Notes. As a result of the swap, the Company’s effective interest rate on the 2029 Notes is SOFR plus 2.45% (on a weighted average basis). The interest expense related to the 2029 Notes is offset by proceeds received from the interest rate swaps designated as a hedge. The swap adjusted interest expense is included as a component of interest expense on the Company’s Consolidated Statements of Operations. As of September 30, 2026 and December 31, 2025, the effective hedge interest rate swaps had a fair value of $(12.8) million and $15.1 million, respectively, which is offset within interest expense by an equal, but opposite, fair value change for the hedged risk on the 2029 Notes.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January 2030 Notes</w:t>
      </w:r>
    </w:p>
    <w:p>
      <w:pPr>
        <w:spacing w:after="0" w:line="227" w:lineRule="exact"/>
        <w:rPr>
          <w:sz w:val="20"/>
          <w:szCs w:val="20"/>
          <w:color w:val="auto"/>
        </w:rPr>
      </w:pPr>
    </w:p>
    <w:p>
      <w:pPr>
        <w:ind w:right="300" w:firstLine="255"/>
        <w:spacing w:after="0" w:line="256" w:lineRule="auto"/>
        <w:rPr>
          <w:sz w:val="20"/>
          <w:szCs w:val="20"/>
          <w:color w:val="auto"/>
        </w:rPr>
      </w:pPr>
      <w:r>
        <w:rPr>
          <w:rFonts w:ascii="Times New Roman" w:cs="Times New Roman" w:eastAsia="Times New Roman" w:hAnsi="Times New Roman"/>
          <w:sz w:val="18"/>
          <w:szCs w:val="18"/>
          <w:color w:val="auto"/>
        </w:rPr>
        <w:t>In September 2024, the Company issued $600 million aggregate principal amount of unsecured notes that mature on January 15, 2030 (the “January 2030 Notes”). The principal amount of the January 2030 Notes is payable at maturity. The January 2030 Notes bear interest at a rate of 5.75% per year, payable semi-annually commencing on January 15, 2025, and may be redeemed in whole or in part at the Company’s option at any time at par plus a “make whole” premium. Total proceeds from the issuance of the January 2030 Notes, net of underwriting discounts, offering costs and original issue discount, were $591.7 million. The Company used the net proceeds of the January 2030 Notes to repay outstanding indebtedness under the Revolving Credit Facility and Subscription Facility.</w:t>
      </w:r>
    </w:p>
    <w:p>
      <w:pPr>
        <w:spacing w:after="0" w:line="187"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color w:val="auto"/>
        </w:rPr>
        <w:t>In connection with the issuance of the January 2030 Notes, the Company entered into an interest rate swap to align the interest rate of its liability with the Company’s investment portfolio, which consists of predominately floating rate loans. The notional amount of the interest rate swap is $600.0 million which matures on January 15, 2030, matching the maturity date of the January 2030 Notes. As a result of the swap, the Company’s effective interest rate on the January 2030 Notes is SOFR plus 2.55%. The interest expense related to the January 2030 Notes is offset by proceeds received from the interest rate swaps designated as a hedge. The swap adjusted interest expense is included as a component of interest expense on the Company’s Consolidated Statements of Operations. As of September 30, 2026 and December 31, 2025, the effective hedge interest rate swaps had a fair value of $(29.5) million and $(5.2) million, respectively, which is offset within interest expense by an equal, but opposite, fair value change for the hedged risk on the January 2030 Notes.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July 2030 Notes</w:t>
      </w:r>
    </w:p>
    <w:p>
      <w:pPr>
        <w:spacing w:after="0" w:line="227" w:lineRule="exact"/>
        <w:rPr>
          <w:sz w:val="20"/>
          <w:szCs w:val="20"/>
          <w:color w:val="auto"/>
        </w:rPr>
      </w:pPr>
    </w:p>
    <w:p>
      <w:pPr>
        <w:ind w:right="120" w:firstLine="255"/>
        <w:spacing w:after="0" w:line="261" w:lineRule="auto"/>
        <w:rPr>
          <w:sz w:val="20"/>
          <w:szCs w:val="20"/>
          <w:color w:val="auto"/>
        </w:rPr>
      </w:pPr>
      <w:r>
        <w:rPr>
          <w:rFonts w:ascii="Times New Roman" w:cs="Times New Roman" w:eastAsia="Times New Roman" w:hAnsi="Times New Roman"/>
          <w:sz w:val="18"/>
          <w:szCs w:val="18"/>
          <w:color w:val="auto"/>
        </w:rPr>
        <w:t>In January 2025, the Company issued $750 million aggregate principal amount of unsecured notes that mature on July 15, 2030 (the “July 2030 Notes”). The principal amount of the July 2030 Notes is payable at maturity. The July 2030 Notes bear interest at a rate of 6.125% per year, payable semi-annually commencing on July 15, 2025, and may be redeemed in whole or in part at the Company's option at any time at par plus a "make whole" premium. Total proceeds from the issuance of the July 2030 Notes, net of</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41" w:name="page42"/>
    <w:bookmarkEnd w:id="41"/>
    <w:p>
      <w:pPr>
        <w:ind w:right="420"/>
        <w:spacing w:after="0" w:line="282" w:lineRule="auto"/>
        <w:rPr>
          <w:sz w:val="20"/>
          <w:szCs w:val="20"/>
          <w:color w:val="auto"/>
        </w:rPr>
      </w:pPr>
      <w:r>
        <w:rPr>
          <w:rFonts w:ascii="Times New Roman" w:cs="Times New Roman" w:eastAsia="Times New Roman" w:hAnsi="Times New Roman"/>
          <w:sz w:val="18"/>
          <w:szCs w:val="18"/>
          <w:color w:val="auto"/>
        </w:rPr>
        <w:t>underwriting discounts, offering costs and original issue discount, were $737.6 million. The Company used the net proceeds of the July 2030 Notes to repay outstanding indebtedness under the Revolving Credit Facility and Subscription Facility.</w:t>
      </w:r>
    </w:p>
    <w:p>
      <w:pPr>
        <w:spacing w:after="0" w:line="162" w:lineRule="exact"/>
        <w:rPr>
          <w:sz w:val="20"/>
          <w:szCs w:val="20"/>
          <w:color w:val="auto"/>
        </w:rPr>
      </w:pPr>
    </w:p>
    <w:p>
      <w:pPr>
        <w:ind w:right="20" w:firstLine="255"/>
        <w:spacing w:after="0" w:line="255" w:lineRule="auto"/>
        <w:rPr>
          <w:sz w:val="20"/>
          <w:szCs w:val="20"/>
          <w:color w:val="auto"/>
        </w:rPr>
      </w:pPr>
      <w:r>
        <w:rPr>
          <w:rFonts w:ascii="Times New Roman" w:cs="Times New Roman" w:eastAsia="Times New Roman" w:hAnsi="Times New Roman"/>
          <w:sz w:val="18"/>
          <w:szCs w:val="18"/>
          <w:color w:val="auto"/>
        </w:rPr>
        <w:t>In connection with the issuance of the July 2030 Notes, the Company entered into an interest rate swap to align the interest rate of its liability with the Company's investment portfolio, which consists of predominately floating rate loans. The notional amount of the interest rate swap is $750.0 million which matures on July 15, 2030, matching the maturity date of the July 2030 Notes. As a result of the swap, the Company's effective interest rate on the July 2030 Notes is SOFR plus 2.01%. The interest expense related to the July 2030 Notes is offset by proceeds received from the interest rate swaps designated as a hedge. The swap adjusted interest expense is included as a component of interest expense on the Company's Consolidated Statements of Operations. As of September 30, 2026 and December 31, 2025, the effective hedge interest rate swaps had a fair value of $(17.9) million and $21.0 million, respectively, which is offset within interest expense by an equal, but opposite, fair value change for the hedged risk on the July 2030 Notes.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2031 Notes</w:t>
      </w:r>
    </w:p>
    <w:p>
      <w:pPr>
        <w:spacing w:after="0" w:line="227" w:lineRule="exact"/>
        <w:rPr>
          <w:sz w:val="20"/>
          <w:szCs w:val="20"/>
          <w:color w:val="auto"/>
        </w:rPr>
      </w:pPr>
    </w:p>
    <w:p>
      <w:pPr>
        <w:ind w:right="220" w:firstLine="255"/>
        <w:spacing w:after="0" w:line="256" w:lineRule="auto"/>
        <w:rPr>
          <w:sz w:val="20"/>
          <w:szCs w:val="20"/>
          <w:color w:val="auto"/>
        </w:rPr>
      </w:pPr>
      <w:r>
        <w:rPr>
          <w:rFonts w:ascii="Times New Roman" w:cs="Times New Roman" w:eastAsia="Times New Roman" w:hAnsi="Times New Roman"/>
          <w:sz w:val="18"/>
          <w:szCs w:val="18"/>
          <w:color w:val="auto"/>
        </w:rPr>
        <w:t>In September 2026, the Company issued $750 million aggregate principal amount of unsecured notes that mature on December 15, 2031 (the “2031 Notes”). The principal amount of the 2031 Notes is payable at maturity. The 2031 Notes bear interest at a rate of 6.50% per year, payable semi-annually commencing on December 15, 2026, and may be redeemed in whole or in part at the Company's option at any time at par plus a "make whole" premium. Total proceeds from the issuance of the 2031 Notes, net of underwriting discounts, offering costs and original issue discount, were $734.9 million. The Company used the net proceeds of the 2031 Notes to repay a portion of outstanding indebtedness under the Revolving Credit Facility and Subscription Facility, and for general corporate matters.</w:t>
      </w:r>
    </w:p>
    <w:p>
      <w:pPr>
        <w:spacing w:after="0" w:line="187" w:lineRule="exact"/>
        <w:rPr>
          <w:sz w:val="20"/>
          <w:szCs w:val="20"/>
          <w:color w:val="auto"/>
        </w:rPr>
      </w:pPr>
    </w:p>
    <w:p>
      <w:pPr>
        <w:ind w:firstLine="255"/>
        <w:spacing w:after="0" w:line="255" w:lineRule="auto"/>
        <w:rPr>
          <w:sz w:val="20"/>
          <w:szCs w:val="20"/>
          <w:color w:val="auto"/>
        </w:rPr>
      </w:pPr>
      <w:r>
        <w:rPr>
          <w:rFonts w:ascii="Times New Roman" w:cs="Times New Roman" w:eastAsia="Times New Roman" w:hAnsi="Times New Roman"/>
          <w:sz w:val="18"/>
          <w:szCs w:val="18"/>
          <w:color w:val="auto"/>
        </w:rPr>
        <w:t>In connection with the issuance of the 2031 Notes, the Company entered into an interest rate swap to align the interest rate of its liability with the Company's investment portfolio, which consists of predominately floating rate loans. The notional amount of the interest rate swap is $750.0 million which matures on December 15, 2031, matching the maturity date of the 2031 Notes. As a result of the swap, the Company's effective interest rate on the 2031 Notes is SOFR plus 1.96%. The interest expense related to the 2031 Notes is offset by proceeds received from the interest rate swaps designated as a hedge. The swap adjusted interest expense is included as a component of interest expense on the Company's Consolidated Statements of Operations. As of September 30, 2026, the effective hedge interest rate swaps had a fair value of $(10.1) million, which is offset within interest expense by an equal, but opposite, fair value change for the hedged risk on the 2031 Notes.</w:t>
      </w:r>
    </w:p>
    <w:p>
      <w:pPr>
        <w:spacing w:after="0" w:line="189" w:lineRule="exact"/>
        <w:rPr>
          <w:sz w:val="20"/>
          <w:szCs w:val="20"/>
          <w:color w:val="auto"/>
        </w:rPr>
      </w:pPr>
    </w:p>
    <w:p>
      <w:pPr>
        <w:ind w:right="120" w:firstLine="255"/>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2026 and 2025 respectively, the components of interest expense related to the 2029 Notes, January 2030 Notes, July 2030 Notes and 2031 Notes are as follows.</w:t>
      </w:r>
    </w:p>
    <w:p>
      <w:pPr>
        <w:spacing w:after="0" w:line="304" w:lineRule="exact"/>
        <w:rPr>
          <w:sz w:val="20"/>
          <w:szCs w:val="20"/>
          <w:color w:val="auto"/>
        </w:rPr>
      </w:pPr>
    </w:p>
    <w:tbl>
      <w:tblPr>
        <w:tblLayout w:type="fixed"/>
        <w:tblInd w:w="4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120" w:type="dxa"/>
            <w:vAlign w:val="bottom"/>
            <w:tcBorders>
              <w:bottom w:val="single" w:sz="8" w:color="auto"/>
            </w:tcBorders>
            <w:gridSpan w:val="4"/>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100" w:type="dxa"/>
            <w:vAlign w:val="bottom"/>
            <w:tcBorders>
              <w:bottom w:val="single" w:sz="8" w:color="auto"/>
            </w:tcBorders>
            <w:gridSpan w:val="4"/>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10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0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33,651</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32,297</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98,245</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95,360</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original issue discount</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1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3,950</w:t>
            </w:r>
          </w:p>
        </w:tc>
        <w:tc>
          <w:tcPr>
            <w:tcW w:w="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6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Total Interest Expense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35,560</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34,098</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103,927</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100,778</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-170815</wp:posOffset>
            </wp:positionV>
            <wp:extent cx="6032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-170815</wp:posOffset>
            </wp:positionV>
            <wp:extent cx="60325"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-170815</wp:posOffset>
            </wp:positionV>
            <wp:extent cx="5969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6819900</wp:posOffset>
            </wp:positionH>
            <wp:positionV relativeFrom="paragraph">
              <wp:posOffset>-170815</wp:posOffset>
            </wp:positionV>
            <wp:extent cx="6858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20" w:firstLine="255"/>
        <w:spacing w:after="0" w:line="256" w:lineRule="auto"/>
        <w:rPr>
          <w:sz w:val="20"/>
          <w:szCs w:val="20"/>
          <w:color w:val="auto"/>
        </w:rPr>
      </w:pPr>
      <w:r>
        <w:rPr>
          <w:rFonts w:ascii="Times New Roman" w:cs="Times New Roman" w:eastAsia="Times New Roman" w:hAnsi="Times New Roman"/>
          <w:sz w:val="18"/>
          <w:szCs w:val="18"/>
          <w:color w:val="auto"/>
        </w:rPr>
        <w:t>Total interest expense in the table above does not include the effect of the interest rate swaps related to the 2029 Notes, January 2030 Notes, July 2030 Notes and 2031 Notes. During the three and nine months ended September 30, 2026, the Company received $32.8 million and $97.4 million, respectively, and paid $32.6 million and $95.9 million, respectively, related to the settlements of its interest expense in the Company's Consolidated Statement of Operations. During the three and nine months ended September 30, 2025, the Company received $32.3 million and $94.6 million, respectively, and paid $35.9 million and $103.9 million, respectively, related to the settlements of its interest expense in the Company's Consolidated Statement of Operations. See Note 5 for further information about the Company's interest rate swaps.</w:t>
      </w:r>
    </w:p>
    <w:p>
      <w:pPr>
        <w:spacing w:after="0" w:line="187" w:lineRule="exact"/>
        <w:rPr>
          <w:sz w:val="20"/>
          <w:szCs w:val="20"/>
          <w:color w:val="auto"/>
        </w:rPr>
      </w:pPr>
    </w:p>
    <w:p>
      <w:pPr>
        <w:ind w:right="220" w:firstLine="255"/>
        <w:spacing w:after="0" w:line="282" w:lineRule="auto"/>
        <w:rPr>
          <w:sz w:val="20"/>
          <w:szCs w:val="20"/>
          <w:color w:val="auto"/>
        </w:rPr>
      </w:pPr>
      <w:r>
        <w:rPr>
          <w:rFonts w:ascii="Times New Roman" w:cs="Times New Roman" w:eastAsia="Times New Roman" w:hAnsi="Times New Roman"/>
          <w:sz w:val="18"/>
          <w:szCs w:val="18"/>
          <w:color w:val="auto"/>
        </w:rPr>
        <w:t>As of September 30, 2026, the components of the carrying value and the stated interest rates of the 2029 Notes, January 2030 Notes, July 2030 Notes and 2031 Notes were as follows.</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42" w:name="page43"/>
    <w:bookmarkEnd w:id="42"/>
    <w:tbl>
      <w:tblPr>
        <w:tblLayout w:type="fixed"/>
        <w:tblInd w:w="92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6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2029 Notes</w:t>
            </w:r>
          </w:p>
        </w:tc>
        <w:tc>
          <w:tcPr>
            <w:tcW w:w="260" w:type="dxa"/>
            <w:vAlign w:val="bottom"/>
          </w:tcPr>
          <w:p>
            <w:pPr>
              <w:spacing w:after="0"/>
              <w:rPr>
                <w:sz w:val="17"/>
                <w:szCs w:val="17"/>
                <w:color w:val="auto"/>
              </w:rPr>
            </w:pPr>
          </w:p>
        </w:tc>
        <w:tc>
          <w:tcPr>
            <w:tcW w:w="1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January 2030 Notes</w:t>
            </w:r>
          </w:p>
        </w:tc>
        <w:tc>
          <w:tcPr>
            <w:tcW w:w="240" w:type="dxa"/>
            <w:vAlign w:val="bottom"/>
          </w:tcPr>
          <w:p>
            <w:pPr>
              <w:spacing w:after="0"/>
              <w:rPr>
                <w:sz w:val="17"/>
                <w:szCs w:val="17"/>
                <w:color w:val="auto"/>
              </w:rPr>
            </w:pP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July 2030 Notes</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2031 Notes</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Principal amount of debt</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240" w:type="dxa"/>
            <w:vAlign w:val="bottom"/>
            <w:tcBorders>
              <w:right w:val="single" w:sz="8" w:color="CFF0FC"/>
            </w:tcBorders>
            <w:shd w:val="clear" w:color="auto" w:fill="CFF0FC"/>
          </w:tcPr>
          <w:p>
            <w:pPr>
              <w:spacing w:after="0"/>
              <w:rPr>
                <w:sz w:val="18"/>
                <w:szCs w:val="18"/>
                <w:color w:val="auto"/>
              </w:rPr>
            </w:pPr>
          </w:p>
        </w:tc>
        <w:tc>
          <w:tcPr>
            <w:tcW w:w="38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24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Original issue discount, net of accretion</w:t>
            </w:r>
          </w:p>
        </w:tc>
        <w:tc>
          <w:tcPr>
            <w:tcW w:w="22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(3,513)</w:t>
            </w:r>
          </w:p>
        </w:tc>
        <w:tc>
          <w:tcPr>
            <w:tcW w:w="3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(622)</w:t>
            </w:r>
          </w:p>
        </w:tc>
        <w:tc>
          <w:tcPr>
            <w:tcW w:w="3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(3,543)</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financing costs</w:t>
            </w:r>
          </w:p>
        </w:tc>
        <w:tc>
          <w:tcPr>
            <w:tcW w:w="2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(4,976)</w:t>
            </w:r>
          </w:p>
        </w:tc>
        <w:tc>
          <w:tcPr>
            <w:tcW w:w="320" w:type="dxa"/>
            <w:vAlign w:val="bottom"/>
            <w:shd w:val="clear" w:color="auto" w:fill="CFF0FC"/>
          </w:tcPr>
          <w:p>
            <w:pPr>
              <w:spacing w:after="0"/>
              <w:rPr>
                <w:sz w:val="18"/>
                <w:szCs w:val="18"/>
                <w:color w:val="auto"/>
              </w:rPr>
            </w:pPr>
          </w:p>
        </w:tc>
        <w:tc>
          <w:tcPr>
            <w:tcW w:w="11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(4,741)</w:t>
            </w:r>
          </w:p>
        </w:tc>
        <w:tc>
          <w:tcPr>
            <w:tcW w:w="380" w:type="dxa"/>
            <w:vAlign w:val="bottom"/>
            <w:shd w:val="clear" w:color="auto" w:fill="CFF0FC"/>
          </w:tcPr>
          <w:p>
            <w:pPr>
              <w:spacing w:after="0"/>
              <w:rPr>
                <w:sz w:val="18"/>
                <w:szCs w:val="18"/>
                <w:color w:val="auto"/>
              </w:rPr>
            </w:pPr>
          </w:p>
        </w:tc>
        <w:tc>
          <w:tcPr>
            <w:tcW w:w="9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(7,040)</w:t>
            </w:r>
          </w:p>
        </w:tc>
        <w:tc>
          <w:tcPr>
            <w:tcW w:w="1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an effective hedge</w:t>
            </w:r>
          </w:p>
        </w:tc>
        <w:tc>
          <w:tcPr>
            <w:tcW w:w="22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(12,849)</w:t>
            </w:r>
          </w:p>
        </w:tc>
        <w:tc>
          <w:tcPr>
            <w:tcW w:w="3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(29,457)</w:t>
            </w:r>
          </w:p>
        </w:tc>
        <w:tc>
          <w:tcPr>
            <w:tcW w:w="3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(17,871)</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Carrying value of debt</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728,662</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565,180</w:t>
            </w:r>
          </w:p>
        </w:tc>
        <w:tc>
          <w:tcPr>
            <w:tcW w:w="240" w:type="dxa"/>
            <w:vAlign w:val="bottom"/>
            <w:tcBorders>
              <w:right w:val="single" w:sz="8" w:color="CFF0FC"/>
            </w:tcBorders>
            <w:shd w:val="clear" w:color="auto" w:fill="CFF0FC"/>
          </w:tcPr>
          <w:p>
            <w:pPr>
              <w:spacing w:after="0"/>
              <w:rPr>
                <w:sz w:val="19"/>
                <w:szCs w:val="19"/>
                <w:color w:val="auto"/>
              </w:rPr>
            </w:pPr>
          </w:p>
        </w:tc>
        <w:tc>
          <w:tcPr>
            <w:tcW w:w="38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721,546</w:t>
            </w:r>
          </w:p>
        </w:tc>
        <w:tc>
          <w:tcPr>
            <w:tcW w:w="24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723,005</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Stated interest rate</w:t>
            </w:r>
          </w:p>
        </w:tc>
        <w:tc>
          <w:tcPr>
            <w:tcW w:w="2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6.50%</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5.75%</w:t>
            </w:r>
          </w:p>
        </w:tc>
        <w:tc>
          <w:tcPr>
            <w:tcW w:w="3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6.13%</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-173990</wp:posOffset>
            </wp:positionV>
            <wp:extent cx="11112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-156845</wp:posOffset>
            </wp:positionV>
            <wp:extent cx="111125"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-173990</wp:posOffset>
            </wp:positionV>
            <wp:extent cx="11176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-156845</wp:posOffset>
            </wp:positionV>
            <wp:extent cx="11176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-173990</wp:posOffset>
            </wp:positionV>
            <wp:extent cx="111125"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-156845</wp:posOffset>
            </wp:positionV>
            <wp:extent cx="111125"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-173990</wp:posOffset>
            </wp:positionV>
            <wp:extent cx="11176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-156845</wp:posOffset>
            </wp:positionV>
            <wp:extent cx="11176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59" w:lineRule="exact"/>
        <w:rPr>
          <w:sz w:val="20"/>
          <w:szCs w:val="20"/>
          <w:color w:val="auto"/>
        </w:rPr>
      </w:pPr>
    </w:p>
    <w:p>
      <w:pPr>
        <w:jc w:val="both"/>
        <w:ind w:right="40" w:firstLine="255"/>
        <w:spacing w:after="0" w:line="266" w:lineRule="auto"/>
        <w:rPr>
          <w:sz w:val="20"/>
          <w:szCs w:val="20"/>
          <w:color w:val="auto"/>
        </w:rPr>
      </w:pPr>
      <w:r>
        <w:rPr>
          <w:rFonts w:ascii="Times New Roman" w:cs="Times New Roman" w:eastAsia="Times New Roman" w:hAnsi="Times New Roman"/>
          <w:sz w:val="18"/>
          <w:szCs w:val="18"/>
          <w:color w:val="auto"/>
        </w:rPr>
        <w:t>The stated interest rate in the table above does not include the effect of the interest rate swaps. As of September 30, 2026, the Company's swap-adjusted interest rate on the 2029 Notes, January 2030 Notes, July 2030 Notes and 2031 Notes was SOFR plus 2.45% (on a weighted average basis), 2.55%, 2.01% and 1.96%, respectively.</w:t>
      </w:r>
    </w:p>
    <w:p>
      <w:pPr>
        <w:spacing w:after="0" w:line="176" w:lineRule="exact"/>
        <w:rPr>
          <w:sz w:val="20"/>
          <w:szCs w:val="20"/>
          <w:color w:val="auto"/>
        </w:rPr>
      </w:pPr>
    </w:p>
    <w:p>
      <w:pPr>
        <w:ind w:right="460" w:firstLine="255"/>
        <w:spacing w:after="0" w:line="282" w:lineRule="auto"/>
        <w:rPr>
          <w:sz w:val="20"/>
          <w:szCs w:val="20"/>
          <w:color w:val="auto"/>
        </w:rPr>
      </w:pPr>
      <w:r>
        <w:rPr>
          <w:rFonts w:ascii="Times New Roman" w:cs="Times New Roman" w:eastAsia="Times New Roman" w:hAnsi="Times New Roman"/>
          <w:sz w:val="18"/>
          <w:szCs w:val="18"/>
          <w:color w:val="auto"/>
        </w:rPr>
        <w:t>As of December 31, 2025, the components of the carrying value and the stated interest rates of the 2029 Notes, January 2030 Notes and July 2030 Notes were as follows.</w:t>
      </w:r>
    </w:p>
    <w:p>
      <w:pPr>
        <w:spacing w:after="0" w:line="209"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2029 Notes</w:t>
            </w:r>
          </w:p>
        </w:tc>
        <w:tc>
          <w:tcPr>
            <w:tcW w:w="3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January 2030 Notes</w:t>
            </w:r>
          </w:p>
        </w:tc>
        <w:tc>
          <w:tcPr>
            <w:tcW w:w="2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July 2030 Notes</w:t>
            </w:r>
          </w:p>
        </w:tc>
        <w:tc>
          <w:tcPr>
            <w:tcW w:w="180" w:type="dxa"/>
            <w:vAlign w:val="bottom"/>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Principal amount of debt</w:t>
            </w:r>
          </w:p>
        </w:tc>
        <w:tc>
          <w:tcPr>
            <w:tcW w:w="8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Original issue discount, net of accretion</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(4,475)</w:t>
            </w:r>
          </w:p>
        </w:tc>
        <w:tc>
          <w:tcPr>
            <w:tcW w:w="140" w:type="dxa"/>
            <w:vAlign w:val="bottom"/>
          </w:tcPr>
          <w:p>
            <w:pPr>
              <w:spacing w:after="0"/>
              <w:rPr>
                <w:sz w:val="18"/>
                <w:szCs w:val="18"/>
                <w:color w:val="auto"/>
              </w:rPr>
            </w:pPr>
          </w:p>
        </w:tc>
        <w:tc>
          <w:tcPr>
            <w:tcW w:w="1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(749)</w:t>
            </w:r>
          </w:p>
        </w:tc>
        <w:tc>
          <w:tcPr>
            <w:tcW w:w="1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(4,152)</w:t>
            </w:r>
          </w:p>
        </w:tc>
      </w:tr>
      <w:tr>
        <w:trPr>
          <w:trHeight w:val="216"/>
        </w:trPr>
        <w:tc>
          <w:tcPr>
            <w:tcW w:w="20" w:type="dxa"/>
            <w:vAlign w:val="bottom"/>
          </w:tcPr>
          <w:p>
            <w:pPr>
              <w:spacing w:after="0"/>
              <w:rPr>
                <w:sz w:val="18"/>
                <w:szCs w:val="18"/>
                <w:color w:val="auto"/>
              </w:rPr>
            </w:pPr>
          </w:p>
        </w:tc>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financing costs</w:t>
            </w:r>
          </w:p>
        </w:tc>
        <w:tc>
          <w:tcPr>
            <w:tcW w:w="4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(6,497)</w:t>
            </w:r>
          </w:p>
        </w:tc>
        <w:tc>
          <w:tcPr>
            <w:tcW w:w="14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(5,817)</w:t>
            </w:r>
          </w:p>
        </w:tc>
        <w:tc>
          <w:tcPr>
            <w:tcW w:w="1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(8,273)</w:t>
            </w: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an effective hedge</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(5,161)</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20,952</w:t>
            </w:r>
          </w:p>
        </w:tc>
        <w:tc>
          <w:tcPr>
            <w:tcW w:w="18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3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Carrying value of debt</w:t>
            </w:r>
          </w:p>
        </w:tc>
        <w:tc>
          <w:tcPr>
            <w:tcW w:w="4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754,169</w:t>
            </w:r>
          </w:p>
        </w:tc>
        <w:tc>
          <w:tcPr>
            <w:tcW w:w="3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588,273</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758,527</w:t>
            </w:r>
          </w:p>
        </w:tc>
        <w:tc>
          <w:tcPr>
            <w:tcW w:w="180" w:type="dxa"/>
            <w:vAlign w:val="bottom"/>
            <w:tcBorders>
              <w:bottom w:val="single" w:sz="8" w:color="CFF0FC"/>
            </w:tcBorders>
            <w:shd w:val="clear" w:color="auto" w:fill="CFF0FC"/>
          </w:tcPr>
          <w:p>
            <w:pPr>
              <w:spacing w:after="0"/>
              <w:rPr>
                <w:sz w:val="21"/>
                <w:szCs w:val="21"/>
                <w:color w:val="auto"/>
              </w:rPr>
            </w:pPr>
          </w:p>
        </w:tc>
      </w:tr>
      <w:tr>
        <w:trPr>
          <w:trHeight w:val="215"/>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Stated interest rate</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6.50%</w:t>
            </w:r>
          </w:p>
        </w:tc>
        <w:tc>
          <w:tcPr>
            <w:tcW w:w="140" w:type="dxa"/>
            <w:vAlign w:val="bottom"/>
          </w:tcPr>
          <w:p>
            <w:pPr>
              <w:spacing w:after="0"/>
              <w:rPr>
                <w:sz w:val="18"/>
                <w:szCs w:val="18"/>
                <w:color w:val="auto"/>
              </w:rPr>
            </w:pPr>
          </w:p>
        </w:tc>
        <w:tc>
          <w:tcPr>
            <w:tcW w:w="1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5.75%</w:t>
            </w:r>
          </w:p>
        </w:tc>
        <w:tc>
          <w:tcPr>
            <w:tcW w:w="14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-173990</wp:posOffset>
            </wp:positionV>
            <wp:extent cx="111125"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-156845</wp:posOffset>
            </wp:positionV>
            <wp:extent cx="111125"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-173990</wp:posOffset>
            </wp:positionV>
            <wp:extent cx="11176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-156845</wp:posOffset>
            </wp:positionV>
            <wp:extent cx="11176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-173990</wp:posOffset>
            </wp:positionV>
            <wp:extent cx="11176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-156845</wp:posOffset>
            </wp:positionV>
            <wp:extent cx="11176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59" w:lineRule="exact"/>
        <w:rPr>
          <w:sz w:val="20"/>
          <w:szCs w:val="20"/>
          <w:color w:val="auto"/>
        </w:rPr>
      </w:pPr>
    </w:p>
    <w:p>
      <w:pPr>
        <w:ind w:right="80" w:firstLine="255"/>
        <w:spacing w:after="0" w:line="266" w:lineRule="auto"/>
        <w:rPr>
          <w:sz w:val="20"/>
          <w:szCs w:val="20"/>
          <w:color w:val="auto"/>
        </w:rPr>
      </w:pPr>
      <w:r>
        <w:rPr>
          <w:rFonts w:ascii="Times New Roman" w:cs="Times New Roman" w:eastAsia="Times New Roman" w:hAnsi="Times New Roman"/>
          <w:sz w:val="18"/>
          <w:szCs w:val="18"/>
          <w:color w:val="auto"/>
        </w:rPr>
        <w:t>The stated interest rate in the table above does not include the effect of the interest rate swaps. As of December 31, 2025, the Company's swap-adjusted interest rate on the 2029 Notes, January 2030 Notes and July 2030 Notes was SOFR plus 2.45% (on a weighted average basis), 2.55% and 2.01%, respectively.</w:t>
      </w:r>
    </w:p>
    <w:p>
      <w:pPr>
        <w:spacing w:after="0" w:line="176" w:lineRule="exact"/>
        <w:rPr>
          <w:sz w:val="20"/>
          <w:szCs w:val="20"/>
          <w:color w:val="auto"/>
        </w:rPr>
      </w:pPr>
    </w:p>
    <w:p>
      <w:pPr>
        <w:ind w:right="100" w:firstLine="255"/>
        <w:spacing w:after="0" w:line="282" w:lineRule="auto"/>
        <w:rPr>
          <w:sz w:val="20"/>
          <w:szCs w:val="20"/>
          <w:color w:val="auto"/>
        </w:rPr>
      </w:pPr>
      <w:r>
        <w:rPr>
          <w:rFonts w:ascii="Times New Roman" w:cs="Times New Roman" w:eastAsia="Times New Roman" w:hAnsi="Times New Roman"/>
          <w:sz w:val="18"/>
          <w:szCs w:val="18"/>
          <w:color w:val="auto"/>
        </w:rPr>
        <w:t>As of September 30, 2026, the Company was in compliance with the terms of the indentures governing the 2029 Notes, January 2030 Notes, July 2030 Notes and 2031 Notes.</w:t>
      </w:r>
    </w:p>
    <w:p>
      <w:pPr>
        <w:spacing w:after="0" w:line="162" w:lineRule="exact"/>
        <w:rPr>
          <w:sz w:val="20"/>
          <w:szCs w:val="20"/>
          <w:color w:val="auto"/>
        </w:rPr>
      </w:pPr>
    </w:p>
    <w:p>
      <w:pPr>
        <w:ind w:right="360" w:firstLine="255"/>
        <w:spacing w:after="0" w:line="266" w:lineRule="auto"/>
        <w:rPr>
          <w:sz w:val="20"/>
          <w:szCs w:val="20"/>
          <w:color w:val="auto"/>
        </w:rPr>
      </w:pPr>
      <w:r>
        <w:rPr>
          <w:rFonts w:ascii="Times New Roman" w:cs="Times New Roman" w:eastAsia="Times New Roman" w:hAnsi="Times New Roman"/>
          <w:sz w:val="18"/>
          <w:szCs w:val="18"/>
          <w:color w:val="auto"/>
        </w:rPr>
        <w:t>In accordance with the 1940 Act, with certain limitations, the Company is allowed to borrow amounts such that its asset coverage, as defined in the 1940 Act, is at least 150% after such borrowing. As of September 30, 2026 and December 31, 2025, the Company's asset coverage was 206.2% and 200.8%, respectively.</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Debt obligations consisted of the following as of September 30, 2026 and December 31, 2025:</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4"/>
          </w:tcPr>
          <w:p>
            <w:pPr>
              <w:ind w:left="56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4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0" w:type="dxa"/>
            <w:vAlign w:val="bottom"/>
          </w:tcPr>
          <w:p>
            <w:pPr>
              <w:jc w:val="center"/>
              <w:ind w:right="157"/>
              <w:spacing w:after="0" w:line="118" w:lineRule="exact"/>
              <w:rPr>
                <w:sz w:val="20"/>
                <w:szCs w:val="20"/>
                <w:color w:val="auto"/>
              </w:rPr>
            </w:pPr>
            <w:r>
              <w:rPr>
                <w:rFonts w:ascii="Times New Roman" w:cs="Times New Roman" w:eastAsia="Times New Roman" w:hAnsi="Times New Roman"/>
                <w:sz w:val="13"/>
                <w:szCs w:val="13"/>
                <w:b w:val="1"/>
                <w:bCs w:val="1"/>
                <w:color w:val="auto"/>
              </w:rPr>
              <w:t>Aggregate</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center"/>
              <w:ind w:right="157"/>
              <w:spacing w:after="0" w:line="149"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vMerge w:val="restart"/>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46"/>
        </w:trPr>
        <w:tc>
          <w:tcPr>
            <w:tcW w:w="5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center"/>
              <w:ind w:right="157"/>
              <w:spacing w:after="0" w:line="146"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0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Committed</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Available</w:t>
            </w:r>
          </w:p>
        </w:tc>
        <w:tc>
          <w:tcPr>
            <w:tcW w:w="42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0"/>
                <w:szCs w:val="10"/>
                <w:b w:val="1"/>
                <w:bCs w:val="1"/>
                <w:color w:val="auto"/>
                <w:w w:val="85"/>
              </w:rPr>
              <w:t>(1)</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78"/>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Value</w:t>
            </w:r>
            <w:r>
              <w:rPr>
                <w:rFonts w:ascii="Times New Roman" w:cs="Times New Roman" w:eastAsia="Times New Roman" w:hAnsi="Times New Roman"/>
                <w:sz w:val="8"/>
                <w:szCs w:val="8"/>
                <w:b w:val="1"/>
                <w:bCs w:val="1"/>
                <w:color w:val="auto"/>
              </w:rPr>
              <w:t xml:space="preserve"> (2)(3)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Subscription Facility</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4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20,856</w:t>
            </w:r>
          </w:p>
        </w:tc>
        <w:tc>
          <w:tcPr>
            <w:tcW w:w="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479,144</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19,484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2,675,000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1,923,622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726,436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1,904,618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 Notes</w:t>
            </w:r>
          </w:p>
        </w:tc>
        <w:tc>
          <w:tcPr>
            <w:tcW w:w="2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728,662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January 2030 Notes</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565,180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July 2030 Notes</w:t>
            </w:r>
          </w:p>
        </w:tc>
        <w:tc>
          <w:tcPr>
            <w:tcW w:w="2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721,546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2031 Notes</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723,005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6,025,000</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4,794,478</w:t>
            </w:r>
          </w:p>
        </w:tc>
        <w:tc>
          <w:tcPr>
            <w:tcW w:w="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1,205,580</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4,662,495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-24765</wp:posOffset>
            </wp:positionV>
            <wp:extent cx="7747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-8255</wp:posOffset>
            </wp:positionV>
            <wp:extent cx="7747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-24765</wp:posOffset>
            </wp:positionV>
            <wp:extent cx="6858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-8255</wp:posOffset>
            </wp:positionV>
            <wp:extent cx="6858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-24765</wp:posOffset>
            </wp:positionV>
            <wp:extent cx="6858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-8255</wp:posOffset>
            </wp:positionV>
            <wp:extent cx="6858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56" w:lineRule="exact"/>
        <w:rPr>
          <w:sz w:val="20"/>
          <w:szCs w:val="20"/>
          <w:color w:val="auto"/>
        </w:rPr>
      </w:pPr>
    </w:p>
    <w:p>
      <w:pPr>
        <w:ind w:left="520" w:right="660" w:hanging="512"/>
        <w:spacing w:after="0" w:line="261"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available may be subject to limitations related to the borrowing base under the Subscription Facility, Revolving Credit Facility, outstanding letters of credit issued and asset coverage requirements.</w:t>
      </w:r>
    </w:p>
    <w:p>
      <w:pPr>
        <w:ind w:left="520" w:right="140" w:hanging="512"/>
        <w:spacing w:after="0" w:line="250"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values of the Subscription Facility, Revolving Credit Facility, the 2029 Notes, January 2030 Notes, July 2030 Notes and 2031 Notes are presented net of the combination of deferred financing costs and original issue discounts totaling $1.4 million, $19.0 million, $8.5 million, $5.4 million, $10.6 million and $16.9 million, respectively.</w:t>
      </w:r>
    </w:p>
    <w:p>
      <w:pPr>
        <w:spacing w:after="0" w:line="1" w:lineRule="exact"/>
        <w:rPr>
          <w:rFonts w:ascii="Times New Roman" w:cs="Times New Roman" w:eastAsia="Times New Roman" w:hAnsi="Times New Roman"/>
          <w:sz w:val="18"/>
          <w:szCs w:val="18"/>
          <w:color w:val="auto"/>
        </w:rPr>
      </w:pPr>
    </w:p>
    <w:p>
      <w:pPr>
        <w:ind w:left="520" w:right="460" w:hanging="512"/>
        <w:spacing w:after="0" w:line="260"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value of the 2029 Notes, January 2030 Notes, July 2030 Notes, and 2031 Notes are presented inclusive of an incremental $(12.8) million, $(29.5) million, $(17.9) million and $(10.1) million, respectively, which represents an adjustment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0" w:right="339" w:bottom="1440" w:gutter="0" w:footer="0" w:header="0"/>
        </w:sectPr>
      </w:pPr>
    </w:p>
    <w:bookmarkStart w:id="43" w:name="page44"/>
    <w:bookmarkEnd w:id="43"/>
    <w:p>
      <w:pPr>
        <w:jc w:val="center"/>
        <w:ind w:right="-39"/>
        <w:spacing w:after="0"/>
        <w:rPr>
          <w:sz w:val="20"/>
          <w:szCs w:val="20"/>
          <w:color w:val="auto"/>
        </w:rPr>
      </w:pPr>
      <w:r>
        <w:rPr>
          <w:rFonts w:ascii="Times New Roman" w:cs="Times New Roman" w:eastAsia="Times New Roman" w:hAnsi="Times New Roman"/>
          <w:sz w:val="18"/>
          <w:szCs w:val="18"/>
          <w:color w:val="auto"/>
        </w:rPr>
        <w:t>in the carrying value of the 2029 Notes, January 2030 Notes, July 2030 Notes and 2031 Notes, resulting from a hedge accounting relationship.</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4"/>
          </w:tcPr>
          <w:p>
            <w:pPr>
              <w:ind w:left="6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tcPr>
          <w:p>
            <w:pPr>
              <w:jc w:val="center"/>
              <w:ind w:right="138"/>
              <w:spacing w:after="0" w:line="118" w:lineRule="exact"/>
              <w:rPr>
                <w:sz w:val="20"/>
                <w:szCs w:val="20"/>
                <w:color w:val="auto"/>
              </w:rPr>
            </w:pPr>
            <w:r>
              <w:rPr>
                <w:rFonts w:ascii="Times New Roman" w:cs="Times New Roman" w:eastAsia="Times New Roman" w:hAnsi="Times New Roman"/>
                <w:sz w:val="13"/>
                <w:szCs w:val="13"/>
                <w:b w:val="1"/>
                <w:bCs w:val="1"/>
                <w:color w:val="auto"/>
              </w:rPr>
              <w:t>Aggregate</w:t>
            </w: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center"/>
              <w:ind w:right="138"/>
              <w:spacing w:after="0" w:line="149"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vMerge w:val="restart"/>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46"/>
        </w:trPr>
        <w:tc>
          <w:tcPr>
            <w:tcW w:w="4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center"/>
              <w:ind w:right="158"/>
              <w:spacing w:after="0" w:line="146" w:lineRule="exact"/>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9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Committed</w:t>
            </w:r>
          </w:p>
        </w:tc>
        <w:tc>
          <w:tcPr>
            <w:tcW w:w="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Available</w:t>
            </w:r>
          </w:p>
        </w:tc>
        <w:tc>
          <w:tcPr>
            <w:tcW w:w="36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w w:val="85"/>
              </w:rPr>
              <w:t>(1)</w:t>
            </w: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359"/>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Value</w:t>
            </w:r>
            <w:r>
              <w:rPr>
                <w:rFonts w:ascii="Times New Roman" w:cs="Times New Roman" w:eastAsia="Times New Roman" w:hAnsi="Times New Roman"/>
                <w:sz w:val="8"/>
                <w:szCs w:val="8"/>
                <w:b w:val="1"/>
                <w:bCs w:val="1"/>
                <w:color w:val="auto"/>
              </w:rPr>
              <w:t xml:space="preserve"> (2)(3)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Subscription Facility</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22,428</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477,572</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21,469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2,675,000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2,025,883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617,129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2,010,387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 Notes</w:t>
            </w: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754,169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January 2030 Notes</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588,273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July 2030 Notes</w:t>
            </w:r>
          </w:p>
        </w:tc>
        <w:tc>
          <w:tcPr>
            <w:tcW w:w="2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758,527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5,275,000</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4,148,311</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1,094,701</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4,132,825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-170815</wp:posOffset>
            </wp:positionV>
            <wp:extent cx="76835"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-170815</wp:posOffset>
            </wp:positionV>
            <wp:extent cx="6858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-170815</wp:posOffset>
            </wp:positionV>
            <wp:extent cx="6858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1" w:lineRule="exact"/>
        <w:rPr>
          <w:sz w:val="20"/>
          <w:szCs w:val="20"/>
          <w:color w:val="auto"/>
        </w:rPr>
      </w:pPr>
    </w:p>
    <w:p>
      <w:pPr>
        <w:ind w:left="520" w:right="380" w:hanging="512"/>
        <w:spacing w:after="0" w:line="261"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available may be subject to limitations related to the borrowing base under the Subscription Facility, the Revolving Credit Facility, outstanding letters of credit issued, and asset coverage requirements.</w:t>
      </w:r>
    </w:p>
    <w:p>
      <w:pPr>
        <w:ind w:left="520" w:right="140" w:hanging="512"/>
        <w:spacing w:after="0" w:line="250"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values of the Subscription Facility, Revolving Credit Facility, 2029 Notes, January 2030 Notes and July 2030 Notes are presented net of the combination of deferred financing costs and original issue discounts totaling $1.0 million, $15.5 million, $11.0 million, $6.6 million, and $12.4 million, respectively.</w:t>
      </w:r>
    </w:p>
    <w:p>
      <w:pPr>
        <w:spacing w:after="0" w:line="1" w:lineRule="exact"/>
        <w:rPr>
          <w:rFonts w:ascii="Times New Roman" w:cs="Times New Roman" w:eastAsia="Times New Roman" w:hAnsi="Times New Roman"/>
          <w:sz w:val="18"/>
          <w:szCs w:val="18"/>
          <w:color w:val="auto"/>
        </w:rPr>
      </w:pPr>
    </w:p>
    <w:p>
      <w:pPr>
        <w:ind w:left="520" w:right="140" w:hanging="512"/>
        <w:spacing w:after="0" w:line="255"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value of the 2029 Notes, January 2030 Notes and July 2030 Notes are presented inclusive of an incremental $15.1 million, $(5.2) million and $21.0 million, respectively, which represents an adjustment in the carrying value of the 2029 Notes, January 2030 Notes and July 2030 Notes, resulting from a hedge accounting relationship.</w:t>
      </w:r>
    </w:p>
    <w:p>
      <w:pPr>
        <w:spacing w:after="0" w:line="22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For the three and nine months ended September 30, 2026 and 2025, the components of interest expense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0" w:type="dxa"/>
            <w:vAlign w:val="bottom"/>
            <w:gridSpan w:val="5"/>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8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0" w:type="dxa"/>
            <w:vAlign w:val="bottom"/>
          </w:tcPr>
          <w:p>
            <w:pPr>
              <w:spacing w:after="0"/>
              <w:rPr>
                <w:sz w:val="1"/>
                <w:szCs w:val="1"/>
                <w:color w:val="auto"/>
              </w:rPr>
            </w:pPr>
          </w:p>
        </w:tc>
      </w:tr>
      <w:tr>
        <w:trPr>
          <w:trHeight w:val="117"/>
        </w:trPr>
        <w:tc>
          <w:tcPr>
            <w:tcW w:w="40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20" w:type="dxa"/>
            <w:vAlign w:val="bottom"/>
            <w:tcBorders>
              <w:top w:val="single" w:sz="8" w:color="auto"/>
            </w:tcBorders>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60" w:type="dxa"/>
            <w:vAlign w:val="bottom"/>
            <w:tcBorders>
              <w:top w:val="single" w:sz="8" w:color="auto"/>
            </w:tcBorders>
            <w:vMerge w:val="restart"/>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right"/>
              <w:ind w:right="95"/>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60" w:type="dxa"/>
            <w:vAlign w:val="bottom"/>
            <w:tcBorders>
              <w:top w:val="single" w:sz="8" w:color="auto"/>
            </w:tcBorders>
            <w:vMerge w:val="restart"/>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right"/>
              <w:ind w:right="95"/>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0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20" w:type="dxa"/>
            <w:vAlign w:val="bottom"/>
            <w:tcBorders>
              <w:bottom w:val="single" w:sz="8" w:color="auto"/>
            </w:tcBorders>
            <w:gridSpan w:val="2"/>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Borders>
              <w:bottom w:val="single" w:sz="8" w:color="auto"/>
            </w:tcBorders>
            <w:gridSpan w:val="2"/>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20" w:type="dxa"/>
            <w:vAlign w:val="bottom"/>
            <w:gridSpan w:val="2"/>
            <w:shd w:val="clear" w:color="auto" w:fill="CFF0FC"/>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57,930</w:t>
            </w:r>
          </w:p>
        </w:tc>
        <w:tc>
          <w:tcPr>
            <w:tcW w:w="16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51,232</w:t>
            </w:r>
          </w:p>
        </w:tc>
        <w:tc>
          <w:tcPr>
            <w:tcW w:w="560" w:type="dxa"/>
            <w:vAlign w:val="bottom"/>
            <w:gridSpan w:val="3"/>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167,694</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150,240</w:t>
            </w: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Commitment fees</w:t>
            </w: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4,775</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3,001</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7,930</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9,255</w:t>
            </w: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original issue discount</w:t>
            </w: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Swap settlement</w:t>
            </w: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3,582</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(1,539)</w:t>
            </w: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9,319</w:t>
            </w: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shd w:val="clear" w:color="auto" w:fill="CFF0FC"/>
          </w:tcPr>
          <w:p>
            <w:pPr>
              <w:spacing w:after="0" w:line="20" w:lineRule="exact"/>
              <w:rPr>
                <w:sz w:val="1"/>
                <w:szCs w:val="1"/>
                <w:color w:val="auto"/>
              </w:rPr>
            </w:pPr>
          </w:p>
        </w:tc>
        <w:tc>
          <w:tcPr>
            <w:tcW w:w="11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Total Interest Expense</w:t>
            </w:r>
          </w:p>
        </w:tc>
        <w:tc>
          <w:tcPr>
            <w:tcW w:w="142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62,001</w:t>
            </w:r>
          </w:p>
        </w:tc>
        <w:tc>
          <w:tcPr>
            <w:tcW w:w="16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59,989</w:t>
            </w:r>
          </w:p>
        </w:tc>
        <w:tc>
          <w:tcPr>
            <w:tcW w:w="560" w:type="dxa"/>
            <w:vAlign w:val="bottom"/>
            <w:gridSpan w:val="3"/>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178,674</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175,158</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Average debt outstanding (in millions)</w:t>
            </w:r>
          </w:p>
        </w:tc>
        <w:tc>
          <w:tcPr>
            <w:tcW w:w="1420" w:type="dxa"/>
            <w:vAlign w:val="bottom"/>
            <w:gridSpan w:val="2"/>
            <w:shd w:val="clear" w:color="auto" w:fill="CFF0FC"/>
          </w:tcPr>
          <w:p>
            <w:pPr>
              <w:ind w:left="1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4,323.0</w:t>
            </w:r>
          </w:p>
        </w:tc>
        <w:tc>
          <w:tcPr>
            <w:tcW w:w="160" w:type="dxa"/>
            <w:vAlign w:val="bottom"/>
            <w:shd w:val="clear" w:color="auto" w:fill="CFF0FC"/>
          </w:tcPr>
          <w:p>
            <w:pPr>
              <w:spacing w:after="0"/>
              <w:rPr>
                <w:sz w:val="17"/>
                <w:szCs w:val="17"/>
                <w:color w:val="auto"/>
              </w:rPr>
            </w:pPr>
          </w:p>
        </w:tc>
        <w:tc>
          <w:tcPr>
            <w:tcW w:w="20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3,822.5</w:t>
            </w:r>
          </w:p>
        </w:tc>
        <w:tc>
          <w:tcPr>
            <w:tcW w:w="560" w:type="dxa"/>
            <w:vAlign w:val="bottom"/>
            <w:gridSpan w:val="3"/>
            <w:shd w:val="clear" w:color="auto" w:fill="CFF0FC"/>
          </w:tcPr>
          <w:p>
            <w:pPr>
              <w:jc w:val="right"/>
              <w:ind w:right="128"/>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4,236.5</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3,594.4</w:t>
            </w:r>
          </w:p>
        </w:tc>
        <w:tc>
          <w:tcPr>
            <w:tcW w:w="3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-307975</wp:posOffset>
            </wp:positionV>
            <wp:extent cx="111125"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-307975</wp:posOffset>
            </wp:positionV>
            <wp:extent cx="111125"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-307975</wp:posOffset>
            </wp:positionV>
            <wp:extent cx="111125"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-307975</wp:posOffset>
            </wp:positionV>
            <wp:extent cx="111125"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interest rate</w:t>
            </w:r>
          </w:p>
        </w:tc>
        <w:tc>
          <w:tcPr>
            <w:tcW w:w="29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5.3%</w:t>
            </w:r>
          </w:p>
        </w:tc>
        <w:tc>
          <w:tcPr>
            <w:tcW w:w="15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5.7%</w:t>
            </w:r>
          </w:p>
        </w:tc>
        <w:tc>
          <w:tcPr>
            <w:tcW w:w="15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5.2%</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bl>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Portfolio Company Commitments</w:t>
      </w:r>
    </w:p>
    <w:p>
      <w:pPr>
        <w:spacing w:after="0" w:line="119" w:lineRule="exact"/>
        <w:rPr>
          <w:sz w:val="20"/>
          <w:szCs w:val="20"/>
          <w:color w:val="auto"/>
        </w:rPr>
      </w:pPr>
    </w:p>
    <w:p>
      <w:pPr>
        <w:ind w:right="20" w:firstLine="255"/>
        <w:spacing w:after="0" w:line="258" w:lineRule="auto"/>
        <w:rPr>
          <w:sz w:val="20"/>
          <w:szCs w:val="20"/>
          <w:color w:val="auto"/>
        </w:rPr>
      </w:pPr>
      <w:r>
        <w:rPr>
          <w:rFonts w:ascii="Times New Roman" w:cs="Times New Roman" w:eastAsia="Times New Roman" w:hAnsi="Times New Roman"/>
          <w:sz w:val="18"/>
          <w:szCs w:val="18"/>
          <w:color w:val="auto"/>
        </w:rPr>
        <w:t>From time to time, the Company may enter into commitments to fund investments; such commitments are incorporated into the Company’s assessment of its liquidity position. The Company’s senior secured revolving loan commitments are generally available on a borrower’s demand and may remain outstanding until the maturity date of the applicable loan. The Company’s senior secured delayed draw term loan commitments are generally available on a borrower’s demand and, once drawn, generally have the same remaining term as the associated loan agreement. Undrawn senior secured delayed draw term loan commitments generally have a shorter availability period than the term of the associated loan agreement.</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As of September 30, 2026 and December 31, 2025, the Company had the following commitments to fund investments in current portfolio companies: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73"/>
        </w:trPr>
        <w:tc>
          <w:tcPr>
            <w:tcW w:w="53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5"/>
                <w:szCs w:val="15"/>
                <w:color w:val="auto"/>
              </w:rPr>
            </w:pPr>
          </w:p>
        </w:tc>
      </w:tr>
      <w:tr>
        <w:trPr>
          <w:trHeight w:val="209"/>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Alaska Bidco Oy - Delayed Draw &amp; Revolver</w:t>
            </w:r>
          </w:p>
        </w:tc>
        <w:tc>
          <w:tcPr>
            <w:tcW w:w="2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shd w:val="clear" w:color="auto" w:fill="CFF0FC"/>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Aledade, Inc. - Revolver</w:t>
            </w: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25,372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62,065</w:t>
            </w:r>
          </w:p>
        </w:tc>
        <w:tc>
          <w:tcPr>
            <w:tcW w:w="100" w:type="dxa"/>
            <w:vAlign w:val="bottom"/>
          </w:tcPr>
          <w:p>
            <w:pPr>
              <w:spacing w:after="0"/>
              <w:rPr>
                <w:sz w:val="18"/>
                <w:szCs w:val="18"/>
                <w:color w:val="auto"/>
              </w:rPr>
            </w:pPr>
          </w:p>
        </w:tc>
      </w:tr>
      <w:tr>
        <w:trPr>
          <w:trHeight w:val="216"/>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Arcwood Environmental, Inc. - Revolver</w:t>
            </w:r>
          </w:p>
        </w:tc>
        <w:tc>
          <w:tcPr>
            <w:tcW w:w="2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19,458</w:t>
            </w:r>
          </w:p>
        </w:tc>
        <w:tc>
          <w:tcPr>
            <w:tcW w:w="100" w:type="dxa"/>
            <w:vAlign w:val="bottom"/>
            <w:shd w:val="clear" w:color="auto" w:fill="CFF0FC"/>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Arrowhead Pharmaceuticals, Inc. - Delayed Draw</w:t>
            </w: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116,949</w:t>
            </w:r>
          </w:p>
        </w:tc>
        <w:tc>
          <w:tcPr>
            <w:tcW w:w="100" w:type="dxa"/>
            <w:vAlign w:val="bottom"/>
          </w:tcPr>
          <w:p>
            <w:pPr>
              <w:spacing w:after="0"/>
              <w:rPr>
                <w:sz w:val="18"/>
                <w:szCs w:val="18"/>
                <w:color w:val="auto"/>
              </w:rPr>
            </w:pPr>
          </w:p>
        </w:tc>
      </w:tr>
      <w:tr>
        <w:trPr>
          <w:trHeight w:val="216"/>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Artisan Bidco, Inc. - Revolver</w:t>
            </w:r>
          </w:p>
        </w:tc>
        <w:tc>
          <w:tcPr>
            <w:tcW w:w="2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4,222</w:t>
            </w:r>
          </w:p>
        </w:tc>
        <w:tc>
          <w:tcPr>
            <w:tcW w:w="100" w:type="dxa"/>
            <w:vAlign w:val="bottom"/>
            <w:shd w:val="clear" w:color="auto" w:fill="CFF0FC"/>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AVSC Holding Corp. - Revolver</w:t>
            </w: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26,580</w:t>
            </w:r>
          </w:p>
        </w:tc>
        <w:tc>
          <w:tcPr>
            <w:tcW w:w="100" w:type="dxa"/>
            <w:vAlign w:val="bottom"/>
          </w:tcPr>
          <w:p>
            <w:pPr>
              <w:spacing w:after="0"/>
              <w:rPr>
                <w:sz w:val="18"/>
                <w:szCs w:val="18"/>
                <w:color w:val="auto"/>
              </w:rPr>
            </w:pPr>
          </w:p>
        </w:tc>
      </w:tr>
      <w:tr>
        <w:trPr>
          <w:trHeight w:val="216"/>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Azurite Intermediate Holdings, Inc. - Revolver &amp; Equity</w:t>
            </w:r>
          </w:p>
        </w:tc>
        <w:tc>
          <w:tcPr>
            <w:tcW w:w="2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29,175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29,175</w:t>
            </w:r>
          </w:p>
        </w:tc>
        <w:tc>
          <w:tcPr>
            <w:tcW w:w="100" w:type="dxa"/>
            <w:vAlign w:val="bottom"/>
            <w:shd w:val="clear" w:color="auto" w:fill="CFF0FC"/>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BCTO Ace Purchaser, Inc. - Revolver</w:t>
            </w: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Beam Therapeutics, Inc. - Delayed Draw</w:t>
            </w:r>
          </w:p>
        </w:tc>
        <w:tc>
          <w:tcPr>
            <w:tcW w:w="2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Cascade Parent Limited - Revolver</w:t>
            </w: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Cirrus (Bidco) Ltd - Delayed Draw</w:t>
            </w:r>
          </w:p>
        </w:tc>
        <w:tc>
          <w:tcPr>
            <w:tcW w:w="2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shd w:val="clear" w:color="auto" w:fill="CFF0FC"/>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Cordance Operations, LLC - Delayed Draw</w:t>
            </w: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45,674</w:t>
            </w:r>
          </w:p>
        </w:tc>
        <w:tc>
          <w:tcPr>
            <w:tcW w:w="100" w:type="dxa"/>
            <w:vAlign w:val="bottom"/>
          </w:tcPr>
          <w:p>
            <w:pPr>
              <w:spacing w:after="0"/>
              <w:rPr>
                <w:sz w:val="18"/>
                <w:szCs w:val="18"/>
                <w:color w:val="auto"/>
              </w:rPr>
            </w:pPr>
          </w:p>
        </w:tc>
      </w:tr>
      <w:tr>
        <w:trPr>
          <w:trHeight w:val="216"/>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Coupa Holdings, LLC - Delayed Draw &amp; Revolver</w:t>
            </w:r>
          </w:p>
        </w:tc>
        <w:tc>
          <w:tcPr>
            <w:tcW w:w="2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20,427</w:t>
            </w:r>
          </w:p>
        </w:tc>
        <w:tc>
          <w:tcPr>
            <w:tcW w:w="100" w:type="dxa"/>
            <w:vAlign w:val="bottom"/>
            <w:shd w:val="clear" w:color="auto" w:fill="CFF0FC"/>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Crewline Buyer, Inc. - Revolver &amp; Equity</w:t>
            </w: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16,295</w:t>
            </w:r>
          </w:p>
        </w:tc>
        <w:tc>
          <w:tcPr>
            <w:tcW w:w="100" w:type="dxa"/>
            <w:vAlign w:val="bottom"/>
          </w:tcPr>
          <w:p>
            <w:pPr>
              <w:spacing w:after="0"/>
              <w:rPr>
                <w:sz w:val="18"/>
                <w:szCs w:val="18"/>
                <w:color w:val="auto"/>
              </w:rPr>
            </w:pPr>
          </w:p>
        </w:tc>
      </w:tr>
      <w:tr>
        <w:trPr>
          <w:trHeight w:val="216"/>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Crucible Buyer, Inc. - Delayed Draw &amp; Revolver</w:t>
            </w:r>
          </w:p>
        </w:tc>
        <w:tc>
          <w:tcPr>
            <w:tcW w:w="2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64,918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EC Homecare Holdings Buyer Inc. - Delayed Draw &amp; Revolver</w:t>
            </w: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36,303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EDB Parent, LLC - Delayed Draw</w:t>
            </w:r>
          </w:p>
        </w:tc>
        <w:tc>
          <w:tcPr>
            <w:tcW w:w="2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100" w:type="dxa"/>
            <w:vAlign w:val="bottom"/>
            <w:shd w:val="clear" w:color="auto" w:fill="CFF0FC"/>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Erling Lux Bidco SARL - Delayed Draw &amp; Revolver</w:t>
            </w: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6,134</w:t>
            </w:r>
          </w:p>
        </w:tc>
        <w:tc>
          <w:tcPr>
            <w:tcW w:w="100" w:type="dxa"/>
            <w:vAlign w:val="bottom"/>
          </w:tcPr>
          <w:p>
            <w:pPr>
              <w:spacing w:after="0"/>
              <w:rPr>
                <w:sz w:val="18"/>
                <w:szCs w:val="18"/>
                <w:color w:val="auto"/>
              </w:rPr>
            </w:pPr>
          </w:p>
        </w:tc>
      </w:tr>
      <w:tr>
        <w:trPr>
          <w:trHeight w:val="216"/>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Eventus Buyer, LLC - Delayed Draw &amp; Revolver</w:t>
            </w:r>
          </w:p>
        </w:tc>
        <w:tc>
          <w:tcPr>
            <w:tcW w:w="2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18,340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16,157</w:t>
            </w:r>
          </w:p>
        </w:tc>
        <w:tc>
          <w:tcPr>
            <w:tcW w:w="100" w:type="dxa"/>
            <w:vAlign w:val="bottom"/>
            <w:shd w:val="clear" w:color="auto" w:fill="CFF0FC"/>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Flight Intermediate HoldCo, Inc. - Delayed Draw</w:t>
            </w: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37,352</w:t>
            </w:r>
          </w:p>
        </w:tc>
        <w:tc>
          <w:tcPr>
            <w:tcW w:w="100" w:type="dxa"/>
            <w:vAlign w:val="bottom"/>
          </w:tcPr>
          <w:p>
            <w:pPr>
              <w:spacing w:after="0"/>
              <w:rPr>
                <w:sz w:val="18"/>
                <w:szCs w:val="18"/>
                <w:color w:val="auto"/>
              </w:rPr>
            </w:pPr>
          </w:p>
        </w:tc>
      </w:tr>
      <w:tr>
        <w:trPr>
          <w:trHeight w:val="216"/>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Frontline Road Safety Operations, LLC - Delayed Draw</w:t>
            </w:r>
          </w:p>
        </w:tc>
        <w:tc>
          <w:tcPr>
            <w:tcW w:w="2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109,593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Galileo Parent, Inc. - Revolver</w:t>
            </w: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8,077</w:t>
            </w:r>
          </w:p>
        </w:tc>
        <w:tc>
          <w:tcPr>
            <w:tcW w:w="100" w:type="dxa"/>
            <w:vAlign w:val="bottom"/>
          </w:tcPr>
          <w:p>
            <w:pPr>
              <w:spacing w:after="0"/>
              <w:rPr>
                <w:sz w:val="18"/>
                <w:szCs w:val="18"/>
                <w:color w:val="auto"/>
              </w:rPr>
            </w:pPr>
          </w:p>
        </w:tc>
      </w:tr>
      <w:tr>
        <w:trPr>
          <w:trHeight w:val="216"/>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Greenshoot Bidco B.V. - Revolver</w:t>
            </w:r>
          </w:p>
        </w:tc>
        <w:tc>
          <w:tcPr>
            <w:tcW w:w="2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shd w:val="clear" w:color="auto" w:fill="CFF0FC"/>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Hippo XPA Bidco AB - Delayed Draw &amp; Revolver</w:t>
            </w: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9,407</w:t>
            </w:r>
          </w:p>
        </w:tc>
        <w:tc>
          <w:tcPr>
            <w:tcW w:w="100" w:type="dxa"/>
            <w:vAlign w:val="bottom"/>
          </w:tcPr>
          <w:p>
            <w:pPr>
              <w:spacing w:after="0"/>
              <w:rPr>
                <w:sz w:val="18"/>
                <w:szCs w:val="18"/>
                <w:color w:val="auto"/>
              </w:rPr>
            </w:pPr>
          </w:p>
        </w:tc>
      </w:tr>
      <w:tr>
        <w:trPr>
          <w:trHeight w:val="216"/>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HireVue, Inc. - Delayed Draw</w:t>
            </w:r>
          </w:p>
        </w:tc>
        <w:tc>
          <w:tcPr>
            <w:tcW w:w="2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HMP Omnimedia, LLC - Delayed Draw &amp; Revolver</w:t>
            </w: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64,773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62,182</w:t>
            </w:r>
          </w:p>
        </w:tc>
        <w:tc>
          <w:tcPr>
            <w:tcW w:w="100" w:type="dxa"/>
            <w:vAlign w:val="bottom"/>
          </w:tcPr>
          <w:p>
            <w:pPr>
              <w:spacing w:after="0"/>
              <w:rPr>
                <w:sz w:val="18"/>
                <w:szCs w:val="18"/>
                <w:color w:val="auto"/>
              </w:rPr>
            </w:pPr>
          </w:p>
        </w:tc>
      </w:tr>
      <w:tr>
        <w:trPr>
          <w:trHeight w:val="216"/>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Ingenovis Health Finance, LLC - Revolver</w:t>
            </w:r>
          </w:p>
        </w:tc>
        <w:tc>
          <w:tcPr>
            <w:tcW w:w="2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FF0FC"/>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Kangaroo Bidco AS - Delayed Draw</w:t>
            </w: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22,500</w:t>
            </w:r>
          </w:p>
        </w:tc>
        <w:tc>
          <w:tcPr>
            <w:tcW w:w="100" w:type="dxa"/>
            <w:vAlign w:val="bottom"/>
          </w:tcPr>
          <w:p>
            <w:pPr>
              <w:spacing w:after="0"/>
              <w:rPr>
                <w:sz w:val="18"/>
                <w:szCs w:val="18"/>
                <w:color w:val="auto"/>
              </w:rPr>
            </w:pPr>
          </w:p>
        </w:tc>
      </w:tr>
      <w:tr>
        <w:trPr>
          <w:trHeight w:val="216"/>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Kaseware Intermediate Holding Company - Delayed Draw &amp; Revolver</w:t>
            </w:r>
          </w:p>
        </w:tc>
        <w:tc>
          <w:tcPr>
            <w:tcW w:w="2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4,724</w:t>
            </w:r>
          </w:p>
        </w:tc>
        <w:tc>
          <w:tcPr>
            <w:tcW w:w="100" w:type="dxa"/>
            <w:vAlign w:val="bottom"/>
            <w:shd w:val="clear" w:color="auto" w:fill="CFF0FC"/>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Kryptona BidCo US, LLC - Revolver</w:t>
            </w: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14,674</w:t>
            </w:r>
          </w:p>
        </w:tc>
        <w:tc>
          <w:tcPr>
            <w:tcW w:w="100" w:type="dxa"/>
            <w:vAlign w:val="bottom"/>
          </w:tcPr>
          <w:p>
            <w:pPr>
              <w:spacing w:after="0"/>
              <w:rPr>
                <w:sz w:val="18"/>
                <w:szCs w:val="18"/>
                <w:color w:val="auto"/>
              </w:rPr>
            </w:pPr>
          </w:p>
        </w:tc>
      </w:tr>
      <w:tr>
        <w:trPr>
          <w:trHeight w:val="216"/>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LIHA Holdco B.V. - Delayed Draw &amp; Revolver</w:t>
            </w:r>
          </w:p>
        </w:tc>
        <w:tc>
          <w:tcPr>
            <w:tcW w:w="2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00" w:type="dxa"/>
            <w:vAlign w:val="bottom"/>
            <w:shd w:val="clear" w:color="auto" w:fill="CFF0FC"/>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Lynx BidCo - Delayed Draw &amp; Revolver</w:t>
            </w: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15,686</w:t>
            </w:r>
          </w:p>
        </w:tc>
        <w:tc>
          <w:tcPr>
            <w:tcW w:w="100" w:type="dxa"/>
            <w:vAlign w:val="bottom"/>
          </w:tcPr>
          <w:p>
            <w:pPr>
              <w:spacing w:after="0"/>
              <w:rPr>
                <w:sz w:val="18"/>
                <w:szCs w:val="18"/>
                <w:color w:val="auto"/>
              </w:rPr>
            </w:pPr>
          </w:p>
        </w:tc>
      </w:tr>
      <w:tr>
        <w:trPr>
          <w:trHeight w:val="216"/>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Mindbody, Inc. - Revolver</w:t>
            </w:r>
          </w:p>
        </w:tc>
        <w:tc>
          <w:tcPr>
            <w:tcW w:w="2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22,222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Omnigo Software, LLC - Delayed Draw &amp; Revolver</w:t>
            </w: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10,125</w:t>
            </w:r>
          </w:p>
        </w:tc>
        <w:tc>
          <w:tcPr>
            <w:tcW w:w="100" w:type="dxa"/>
            <w:vAlign w:val="bottom"/>
          </w:tcPr>
          <w:p>
            <w:pPr>
              <w:spacing w:after="0"/>
              <w:rPr>
                <w:sz w:val="18"/>
                <w:szCs w:val="18"/>
                <w:color w:val="auto"/>
              </w:rPr>
            </w:pPr>
          </w:p>
        </w:tc>
      </w:tr>
      <w:tr>
        <w:trPr>
          <w:trHeight w:val="216"/>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Otodata Holdings, Inc. - Delayed Draw &amp; Revolver</w:t>
            </w:r>
          </w:p>
        </w:tc>
        <w:tc>
          <w:tcPr>
            <w:tcW w:w="2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30,646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PDI TA Holdings, Inc. - Revolver</w:t>
            </w: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3,529</w:t>
            </w:r>
          </w:p>
        </w:tc>
        <w:tc>
          <w:tcPr>
            <w:tcW w:w="100" w:type="dxa"/>
            <w:vAlign w:val="bottom"/>
          </w:tcPr>
          <w:p>
            <w:pPr>
              <w:spacing w:after="0"/>
              <w:rPr>
                <w:sz w:val="18"/>
                <w:szCs w:val="18"/>
                <w:color w:val="auto"/>
              </w:rPr>
            </w:pPr>
          </w:p>
        </w:tc>
      </w:tr>
      <w:tr>
        <w:trPr>
          <w:trHeight w:val="216"/>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Rail Acquisitions LLC - Delayed Draw &amp; Revolver</w:t>
            </w:r>
          </w:p>
        </w:tc>
        <w:tc>
          <w:tcPr>
            <w:tcW w:w="2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7,076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7,076</w:t>
            </w:r>
          </w:p>
        </w:tc>
        <w:tc>
          <w:tcPr>
            <w:tcW w:w="100" w:type="dxa"/>
            <w:vAlign w:val="bottom"/>
            <w:shd w:val="clear" w:color="auto" w:fill="CFF0FC"/>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RainFocus, LLC - Delayed Draw</w:t>
            </w: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00" w:type="dxa"/>
            <w:vAlign w:val="bottom"/>
          </w:tcPr>
          <w:p>
            <w:pPr>
              <w:spacing w:after="0"/>
              <w:rPr>
                <w:sz w:val="18"/>
                <w:szCs w:val="18"/>
                <w:color w:val="auto"/>
              </w:rPr>
            </w:pPr>
          </w:p>
        </w:tc>
      </w:tr>
      <w:tr>
        <w:trPr>
          <w:trHeight w:val="216"/>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Rapid Data GmbH Unternehmensberatung - Delayed Draw &amp; Revolver</w:t>
            </w:r>
          </w:p>
        </w:tc>
        <w:tc>
          <w:tcPr>
            <w:tcW w:w="2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100" w:type="dxa"/>
            <w:vAlign w:val="bottom"/>
            <w:shd w:val="clear" w:color="auto" w:fill="CFF0FC"/>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Raptor US Buyer II Corp. - Revolver</w:t>
            </w: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3,800</w:t>
            </w:r>
          </w:p>
        </w:tc>
        <w:tc>
          <w:tcPr>
            <w:tcW w:w="100" w:type="dxa"/>
            <w:vAlign w:val="bottom"/>
          </w:tcPr>
          <w:p>
            <w:pPr>
              <w:spacing w:after="0"/>
              <w:rPr>
                <w:sz w:val="18"/>
                <w:szCs w:val="18"/>
                <w:color w:val="auto"/>
              </w:rPr>
            </w:pPr>
          </w:p>
        </w:tc>
      </w:tr>
      <w:tr>
        <w:trPr>
          <w:trHeight w:val="216"/>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Resistance Holdings, Inc. - Revolver</w:t>
            </w:r>
          </w:p>
        </w:tc>
        <w:tc>
          <w:tcPr>
            <w:tcW w:w="2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Sapphire Software Buyer, Inc. - Revolver</w:t>
            </w: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27,027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27,027</w:t>
            </w:r>
          </w:p>
        </w:tc>
        <w:tc>
          <w:tcPr>
            <w:tcW w:w="100" w:type="dxa"/>
            <w:vAlign w:val="bottom"/>
          </w:tcPr>
          <w:p>
            <w:pPr>
              <w:spacing w:after="0"/>
              <w:rPr>
                <w:sz w:val="18"/>
                <w:szCs w:val="18"/>
                <w:color w:val="auto"/>
              </w:rPr>
            </w:pPr>
          </w:p>
        </w:tc>
      </w:tr>
      <w:tr>
        <w:trPr>
          <w:trHeight w:val="216"/>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Scorpio Bidco - Delayed Draw</w:t>
            </w:r>
          </w:p>
        </w:tc>
        <w:tc>
          <w:tcPr>
            <w:tcW w:w="2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16,667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17,234</w:t>
            </w:r>
          </w:p>
        </w:tc>
        <w:tc>
          <w:tcPr>
            <w:tcW w:w="100" w:type="dxa"/>
            <w:vAlign w:val="bottom"/>
            <w:shd w:val="clear" w:color="auto" w:fill="CFF0FC"/>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Sediver S.p.A. - Delayed Draw</w:t>
            </w: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33,623</w:t>
            </w:r>
          </w:p>
        </w:tc>
        <w:tc>
          <w:tcPr>
            <w:tcW w:w="100" w:type="dxa"/>
            <w:vAlign w:val="bottom"/>
          </w:tcPr>
          <w:p>
            <w:pPr>
              <w:spacing w:after="0"/>
              <w:rPr>
                <w:sz w:val="18"/>
                <w:szCs w:val="18"/>
                <w:color w:val="auto"/>
              </w:rPr>
            </w:pPr>
          </w:p>
        </w:tc>
      </w:tr>
      <w:tr>
        <w:trPr>
          <w:trHeight w:val="216"/>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Severin Acquisition, LLC - Delayed Draw &amp; Revolver</w:t>
            </w:r>
          </w:p>
        </w:tc>
        <w:tc>
          <w:tcPr>
            <w:tcW w:w="2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49,241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52,040</w:t>
            </w:r>
          </w:p>
        </w:tc>
        <w:tc>
          <w:tcPr>
            <w:tcW w:w="100" w:type="dxa"/>
            <w:vAlign w:val="bottom"/>
            <w:shd w:val="clear" w:color="auto" w:fill="CFF0FC"/>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Shiftmove GmbH - Delayed Draw</w:t>
            </w: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4,522</w:t>
            </w:r>
          </w:p>
        </w:tc>
        <w:tc>
          <w:tcPr>
            <w:tcW w:w="100" w:type="dxa"/>
            <w:vAlign w:val="bottom"/>
          </w:tcPr>
          <w:p>
            <w:pPr>
              <w:spacing w:after="0"/>
              <w:rPr>
                <w:sz w:val="18"/>
                <w:szCs w:val="18"/>
                <w:color w:val="auto"/>
              </w:rPr>
            </w:pPr>
          </w:p>
        </w:tc>
      </w:tr>
      <w:tr>
        <w:trPr>
          <w:trHeight w:val="216"/>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SMA Technologies Holdings, LLC - Revolver</w:t>
            </w:r>
          </w:p>
        </w:tc>
        <w:tc>
          <w:tcPr>
            <w:tcW w:w="2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3,991</w:t>
            </w:r>
          </w:p>
        </w:tc>
        <w:tc>
          <w:tcPr>
            <w:tcW w:w="100" w:type="dxa"/>
            <w:vAlign w:val="bottom"/>
            <w:shd w:val="clear" w:color="auto" w:fill="CFF0FC"/>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Sport Alliance GmbH - Revolver</w:t>
            </w: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tcPr>
          <w:p>
            <w:pPr>
              <w:spacing w:after="0"/>
              <w:rPr>
                <w:sz w:val="18"/>
                <w:szCs w:val="18"/>
                <w:color w:val="auto"/>
              </w:rPr>
            </w:pPr>
          </w:p>
        </w:tc>
      </w:tr>
      <w:tr>
        <w:trPr>
          <w:trHeight w:val="216"/>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Structured Credit Partners JV, LLC - Equity</w:t>
            </w:r>
          </w:p>
        </w:tc>
        <w:tc>
          <w:tcPr>
            <w:tcW w:w="2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62,169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Tango Management Consulting, LLC - Delayed Draw &amp; Revolver</w:t>
            </w: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6,208</w:t>
            </w:r>
          </w:p>
        </w:tc>
        <w:tc>
          <w:tcPr>
            <w:tcW w:w="100" w:type="dxa"/>
            <w:vAlign w:val="bottom"/>
          </w:tcPr>
          <w:p>
            <w:pPr>
              <w:spacing w:after="0"/>
              <w:rPr>
                <w:sz w:val="18"/>
                <w:szCs w:val="18"/>
                <w:color w:val="auto"/>
              </w:rPr>
            </w:pPr>
          </w:p>
        </w:tc>
      </w:tr>
      <w:tr>
        <w:trPr>
          <w:trHeight w:val="216"/>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Truck-Lite Co., LLC - Delayed Draw &amp; Revolver</w:t>
            </w:r>
          </w:p>
        </w:tc>
        <w:tc>
          <w:tcPr>
            <w:tcW w:w="2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30,601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35,191</w:t>
            </w:r>
          </w:p>
        </w:tc>
        <w:tc>
          <w:tcPr>
            <w:tcW w:w="100" w:type="dxa"/>
            <w:vAlign w:val="bottom"/>
            <w:shd w:val="clear" w:color="auto" w:fill="CFF0FC"/>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USA DeBusk, LLC - Delayed Draw &amp; Revolver</w:t>
            </w: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37,786</w:t>
            </w:r>
          </w:p>
        </w:tc>
        <w:tc>
          <w:tcPr>
            <w:tcW w:w="100" w:type="dxa"/>
            <w:vAlign w:val="bottom"/>
          </w:tcPr>
          <w:p>
            <w:pPr>
              <w:spacing w:after="0"/>
              <w:rPr>
                <w:sz w:val="18"/>
                <w:szCs w:val="18"/>
                <w:color w:val="auto"/>
              </w:rPr>
            </w:pPr>
          </w:p>
        </w:tc>
      </w:tr>
      <w:tr>
        <w:trPr>
          <w:trHeight w:val="216"/>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Varinem German Bidco GmbH - Delayed Draw</w:t>
            </w:r>
          </w:p>
        </w:tc>
        <w:tc>
          <w:tcPr>
            <w:tcW w:w="2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4,917</w:t>
            </w:r>
          </w:p>
        </w:tc>
        <w:tc>
          <w:tcPr>
            <w:tcW w:w="100" w:type="dxa"/>
            <w:vAlign w:val="bottom"/>
            <w:shd w:val="clear" w:color="auto" w:fill="CFF0FC"/>
          </w:tcPr>
          <w:p>
            <w:pPr>
              <w:spacing w:after="0"/>
              <w:rPr>
                <w:sz w:val="18"/>
                <w:szCs w:val="18"/>
                <w:color w:val="auto"/>
              </w:rPr>
            </w:pPr>
          </w:p>
        </w:tc>
      </w:tr>
      <w:tr>
        <w:trPr>
          <w:trHeight w:val="234"/>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Velocity Clinical Research, Inc. - Delayed Draw &amp; Revolver</w:t>
            </w:r>
          </w:p>
        </w:tc>
        <w:tc>
          <w:tcPr>
            <w:tcW w:w="2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26,062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37,289</w:t>
            </w:r>
          </w:p>
        </w:tc>
        <w:tc>
          <w:tcPr>
            <w:tcW w:w="100" w:type="dxa"/>
            <w:vAlign w:val="bottom"/>
          </w:tcPr>
          <w:p>
            <w:pPr>
              <w:spacing w:after="0"/>
              <w:rPr>
                <w:sz w:val="20"/>
                <w:szCs w:val="20"/>
                <w:color w:val="auto"/>
              </w:rPr>
            </w:pPr>
          </w:p>
        </w:tc>
      </w:tr>
      <w:tr>
        <w:trPr>
          <w:trHeight w:val="414"/>
        </w:trPr>
        <w:tc>
          <w:tcPr>
            <w:tcW w:w="5340" w:type="dxa"/>
            <w:vAlign w:val="bottom"/>
          </w:tcPr>
          <w:p>
            <w:pPr>
              <w:spacing w:after="0"/>
              <w:rPr>
                <w:sz w:val="24"/>
                <w:szCs w:val="24"/>
                <w:color w:val="auto"/>
              </w:rPr>
            </w:pPr>
          </w:p>
        </w:tc>
        <w:tc>
          <w:tcPr>
            <w:tcW w:w="2280" w:type="dxa"/>
            <w:vAlign w:val="bottom"/>
          </w:tcPr>
          <w:p>
            <w:pPr>
              <w:jc w:val="right"/>
              <w:ind w:right="1810"/>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534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60"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16"/>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Women's Care Holdings, Inc. - Revolver</w:t>
            </w:r>
          </w:p>
        </w:tc>
        <w:tc>
          <w:tcPr>
            <w:tcW w:w="6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10,303</w:t>
            </w: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Wrangler TopCo, LLC - Delayed Draw &amp; Revolver</w:t>
            </w:r>
          </w:p>
        </w:tc>
        <w:tc>
          <w:tcPr>
            <w:tcW w:w="6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14,136</w:t>
            </w:r>
          </w:p>
        </w:tc>
        <w:tc>
          <w:tcPr>
            <w:tcW w:w="1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20,065</w:t>
            </w:r>
          </w:p>
        </w:tc>
        <w:tc>
          <w:tcPr>
            <w:tcW w:w="100" w:type="dxa"/>
            <w:vAlign w:val="bottom"/>
          </w:tcPr>
          <w:p>
            <w:pPr>
              <w:spacing w:after="0"/>
              <w:rPr>
                <w:sz w:val="18"/>
                <w:szCs w:val="18"/>
                <w:color w:val="auto"/>
              </w:rPr>
            </w:pPr>
          </w:p>
        </w:tc>
      </w:tr>
      <w:tr>
        <w:trPr>
          <w:trHeight w:val="249"/>
        </w:trPr>
        <w:tc>
          <w:tcPr>
            <w:tcW w:w="7620" w:type="dxa"/>
            <w:vAlign w:val="bottom"/>
            <w:tcBorders>
              <w:bottom w:val="single" w:sz="8" w:color="CFF0FC"/>
            </w:tcBorders>
            <w:shd w:val="clear" w:color="auto" w:fill="CFF0FC"/>
          </w:tcPr>
          <w:p>
            <w:pPr>
              <w:ind w:left="140"/>
              <w:spacing w:after="0" w:line="210" w:lineRule="exact"/>
              <w:rPr>
                <w:sz w:val="20"/>
                <w:szCs w:val="20"/>
                <w:color w:val="auto"/>
              </w:rPr>
            </w:pPr>
            <w:r>
              <w:rPr>
                <w:rFonts w:ascii="Times New Roman" w:cs="Times New Roman" w:eastAsia="Times New Roman" w:hAnsi="Times New Roman"/>
                <w:sz w:val="18"/>
                <w:szCs w:val="18"/>
                <w:b w:val="1"/>
                <w:bCs w:val="1"/>
                <w:color w:val="auto"/>
              </w:rPr>
              <w:t xml:space="preserve">Total Portfolio Company Commitments </w:t>
            </w:r>
            <w:r>
              <w:rPr>
                <w:rFonts w:ascii="Times New Roman" w:cs="Times New Roman" w:eastAsia="Times New Roman" w:hAnsi="Times New Roman"/>
                <w:sz w:val="24"/>
                <w:szCs w:val="24"/>
                <w:b w:val="1"/>
                <w:bCs w:val="1"/>
                <w:color w:val="auto"/>
                <w:vertAlign w:val="superscript"/>
              </w:rPr>
              <w:t>(1)(2)</w:t>
            </w:r>
          </w:p>
        </w:tc>
        <w:tc>
          <w:tcPr>
            <w:tcW w:w="620" w:type="dxa"/>
            <w:vAlign w:val="bottom"/>
            <w:tcBorders>
              <w:bottom w:val="single" w:sz="8" w:color="auto"/>
            </w:tcBorders>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1,148,120</w:t>
            </w:r>
          </w:p>
        </w:tc>
        <w:tc>
          <w:tcPr>
            <w:tcW w:w="16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857,800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-25400</wp:posOffset>
            </wp:positionV>
            <wp:extent cx="6858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-7620</wp:posOffset>
            </wp:positionV>
            <wp:extent cx="6858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p>
      <w:pPr>
        <w:ind w:left="520" w:right="320" w:hanging="512"/>
        <w:spacing w:after="0" w:line="260"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full amount of the Company’s commitments to fund investments on such date. Commitments may be subject to limitations on borrowings set forth in the agreements between the Company and the applicable portfolio company. As a result, portfolio companies may not be eligible to borrow the full commitment amount on such date.</w:t>
      </w:r>
    </w:p>
    <w:p>
      <w:pPr>
        <w:spacing w:after="0" w:line="2" w:lineRule="exact"/>
        <w:rPr>
          <w:rFonts w:ascii="Times New Roman" w:cs="Times New Roman" w:eastAsia="Times New Roman" w:hAnsi="Times New Roman"/>
          <w:sz w:val="18"/>
          <w:szCs w:val="18"/>
          <w:color w:val="auto"/>
        </w:rPr>
      </w:pPr>
    </w:p>
    <w:p>
      <w:pPr>
        <w:ind w:left="520" w:right="560" w:hanging="512"/>
        <w:spacing w:after="0" w:line="282"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estimate of the fair value of the current investments in these portfolio companies includes an analysis of the fair value of any unfunded commitments.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Commitments and Contingencies</w:t>
      </w:r>
    </w:p>
    <w:p>
      <w:pPr>
        <w:spacing w:after="0" w:line="227" w:lineRule="exact"/>
        <w:rPr>
          <w:sz w:val="20"/>
          <w:szCs w:val="20"/>
          <w:color w:val="auto"/>
        </w:rPr>
      </w:pPr>
    </w:p>
    <w:p>
      <w:pPr>
        <w:ind w:right="200" w:firstLine="255"/>
        <w:spacing w:after="0" w:line="282" w:lineRule="auto"/>
        <w:rPr>
          <w:sz w:val="20"/>
          <w:szCs w:val="20"/>
          <w:color w:val="auto"/>
        </w:rPr>
      </w:pPr>
      <w:r>
        <w:rPr>
          <w:rFonts w:ascii="Times New Roman" w:cs="Times New Roman" w:eastAsia="Times New Roman" w:hAnsi="Times New Roman"/>
          <w:sz w:val="18"/>
          <w:szCs w:val="18"/>
          <w:color w:val="auto"/>
        </w:rPr>
        <w:t>As of September 30, 2026 and December 31, 2025, the Company did not have any unfunded commitments to fund investments to new borrowers that were not current portfolio companies as of such date.</w:t>
      </w:r>
    </w:p>
    <w:p>
      <w:pPr>
        <w:spacing w:after="0" w:line="162" w:lineRule="exact"/>
        <w:rPr>
          <w:sz w:val="20"/>
          <w:szCs w:val="20"/>
          <w:color w:val="auto"/>
        </w:rPr>
      </w:pPr>
    </w:p>
    <w:p>
      <w:pPr>
        <w:ind w:right="180" w:firstLine="255"/>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become a party to certain legal proceedings incidental to the normal course of its business. As of September 30, 2026 and December 31, 2025, management is not aware of any material pending or threatened litigation that would require accounting recognition or financial statement disclosure.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Net Assets</w:t>
      </w:r>
    </w:p>
    <w:p>
      <w:pPr>
        <w:spacing w:after="0" w:line="121" w:lineRule="exact"/>
        <w:rPr>
          <w:sz w:val="20"/>
          <w:szCs w:val="20"/>
          <w:color w:val="auto"/>
        </w:rPr>
      </w:pPr>
    </w:p>
    <w:p>
      <w:pPr>
        <w:ind w:right="60" w:firstLine="255"/>
        <w:spacing w:after="0" w:line="261" w:lineRule="auto"/>
        <w:rPr>
          <w:sz w:val="20"/>
          <w:szCs w:val="20"/>
          <w:color w:val="auto"/>
        </w:rPr>
      </w:pPr>
      <w:r>
        <w:rPr>
          <w:rFonts w:ascii="Times New Roman" w:cs="Times New Roman" w:eastAsia="Times New Roman" w:hAnsi="Times New Roman"/>
          <w:sz w:val="18"/>
          <w:szCs w:val="18"/>
          <w:color w:val="auto"/>
        </w:rPr>
        <w:t>In connection with its formation, the Company has the authority to issue an unlimited number of Common Shares of beneficial interest at $0.001 per share par value. On June 24, 2022, our Adviser purchased $30 thousand of Common Shares of the Company at a price of $25.00 per Common Share as our initial capital. These Common Shares were issued and sold in reliance upon Section 4(a)(2) of the Securities Act, which provides an exemption from the registration requirements of the Securities Act.</w:t>
      </w:r>
    </w:p>
    <w:p>
      <w:pPr>
        <w:spacing w:after="0" w:line="180" w:lineRule="exact"/>
        <w:rPr>
          <w:sz w:val="20"/>
          <w:szCs w:val="20"/>
          <w:color w:val="auto"/>
        </w:rPr>
      </w:pPr>
    </w:p>
    <w:p>
      <w:pPr>
        <w:ind w:right="80" w:firstLine="255"/>
        <w:spacing w:after="0" w:line="258" w:lineRule="auto"/>
        <w:rPr>
          <w:sz w:val="20"/>
          <w:szCs w:val="20"/>
          <w:color w:val="auto"/>
        </w:rPr>
      </w:pPr>
      <w:r>
        <w:rPr>
          <w:rFonts w:ascii="Times New Roman" w:cs="Times New Roman" w:eastAsia="Times New Roman" w:hAnsi="Times New Roman"/>
          <w:sz w:val="18"/>
          <w:szCs w:val="18"/>
          <w:color w:val="auto"/>
        </w:rPr>
        <w:t>The Company has entered into subscription agreements (the “Subscription Agreements”) with investors providing for the private placement of the Company’s Common Shares. Under the terms of the Subscription Agreements, investors are required to fund drawdowns to purchase the Company’s Common Shares up to the amount of their respective Capital Commitment on an as-needed basis each time the Company delivers a drawdown notice to its investors. As of September 30, 2026, the Company had received Capital Commitments totaling $7.4 billion ($3.0 billion remaining undrawn). As of December 31, 2025, the Company had received Capital Commitments totaling $7.4 billion ($3.7 billion remaining undrawn).</w:t>
      </w:r>
    </w:p>
    <w:p>
      <w:pPr>
        <w:spacing w:after="0" w:line="183"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8"/>
          <w:szCs w:val="18"/>
          <w:color w:val="auto"/>
        </w:rPr>
        <w:t>The Company has a dividend reinvestment plan, whereby the Company may issue Common Shares in order to satisfy dividend reinvestment requests. The number of Common Shares to be issued to a shareholder is determined by dividing the total dollar amount of the cash dividend or distribution payable to a shareholder by the price per share of the Company’s Common Shares at the close of the payment date of a distribution. However, if the price per share on the payment date of a cash dividend or distribution exceeds the most recently computed net asset value per share, the Company will issue shares at the greater of (i) the most recently computed net asset value per share and (ii) 95% of the current price per share (or such lesser discount to the current price per share that still exceeds the most recently computed net asset value per share).</w:t>
      </w:r>
    </w:p>
    <w:p>
      <w:pPr>
        <w:spacing w:after="0" w:line="187" w:lineRule="exact"/>
        <w:rPr>
          <w:sz w:val="20"/>
          <w:szCs w:val="20"/>
          <w:color w:val="auto"/>
        </w:rPr>
      </w:pPr>
    </w:p>
    <w:p>
      <w:pPr>
        <w:ind w:right="60" w:firstLine="255"/>
        <w:spacing w:after="0" w:line="266" w:lineRule="auto"/>
        <w:rPr>
          <w:sz w:val="20"/>
          <w:szCs w:val="20"/>
          <w:color w:val="auto"/>
        </w:rPr>
      </w:pPr>
      <w:r>
        <w:rPr>
          <w:rFonts w:ascii="Times New Roman" w:cs="Times New Roman" w:eastAsia="Times New Roman" w:hAnsi="Times New Roman"/>
          <w:sz w:val="18"/>
          <w:szCs w:val="18"/>
          <w:color w:val="auto"/>
        </w:rPr>
        <w:t>Pursuant to the Company’s dividend reinvestment plan, the following table summarizes the Common Shares issued to shareholders who have not opted out of the Company’s dividend reinvestment plan for the nine months ended September 30, 2026 and 2025. All shares issued to shareholders in the tables below are newly issued shares.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80" w:type="dxa"/>
            <w:vAlign w:val="bottom"/>
            <w:gridSpan w:val="3"/>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08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080" w:type="dxa"/>
            <w:vAlign w:val="bottom"/>
            <w:vMerge w:val="restart"/>
          </w:tcPr>
          <w:p>
            <w:pPr>
              <w:spacing w:after="0"/>
              <w:rPr>
                <w:sz w:val="10"/>
                <w:szCs w:val="10"/>
                <w:color w:val="auto"/>
              </w:rPr>
            </w:pPr>
          </w:p>
        </w:tc>
        <w:tc>
          <w:tcPr>
            <w:tcW w:w="3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140" w:type="dxa"/>
            <w:vAlign w:val="bottom"/>
            <w:vMerge w:val="restart"/>
          </w:tcPr>
          <w:p>
            <w:pPr>
              <w:spacing w:after="0"/>
              <w:rPr>
                <w:sz w:val="10"/>
                <w:szCs w:val="10"/>
                <w:color w:val="auto"/>
              </w:rPr>
            </w:pPr>
          </w:p>
        </w:tc>
        <w:tc>
          <w:tcPr>
            <w:tcW w:w="1680" w:type="dxa"/>
            <w:vAlign w:val="bottom"/>
            <w:vMerge w:val="restart"/>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140" w:type="dxa"/>
            <w:vAlign w:val="bottom"/>
          </w:tcPr>
          <w:p>
            <w:pPr>
              <w:spacing w:after="0"/>
              <w:rPr>
                <w:sz w:val="10"/>
                <w:szCs w:val="10"/>
                <w:color w:val="auto"/>
              </w:rPr>
            </w:pPr>
          </w:p>
        </w:tc>
        <w:tc>
          <w:tcPr>
            <w:tcW w:w="1660" w:type="dxa"/>
            <w:vAlign w:val="bottom"/>
          </w:tcPr>
          <w:p>
            <w:pPr>
              <w:jc w:val="right"/>
              <w:ind w:right="618"/>
              <w:spacing w:after="0" w:line="118" w:lineRule="exact"/>
              <w:rPr>
                <w:sz w:val="20"/>
                <w:szCs w:val="20"/>
                <w:color w:val="auto"/>
              </w:rPr>
            </w:pPr>
            <w:r>
              <w:rPr>
                <w:rFonts w:ascii="Times New Roman" w:cs="Times New Roman" w:eastAsia="Times New Roman" w:hAnsi="Times New Roman"/>
                <w:sz w:val="13"/>
                <w:szCs w:val="13"/>
                <w:b w:val="1"/>
                <w:bCs w:val="1"/>
                <w:color w:val="auto"/>
              </w:rPr>
              <w:t>Date</w:t>
            </w:r>
          </w:p>
        </w:tc>
        <w:tc>
          <w:tcPr>
            <w:tcW w:w="80" w:type="dxa"/>
            <w:vAlign w:val="bottom"/>
          </w:tcPr>
          <w:p>
            <w:pPr>
              <w:spacing w:after="0"/>
              <w:rPr>
                <w:sz w:val="10"/>
                <w:szCs w:val="10"/>
                <w:color w:val="auto"/>
              </w:rPr>
            </w:pPr>
          </w:p>
        </w:tc>
        <w:tc>
          <w:tcPr>
            <w:tcW w:w="1460" w:type="dxa"/>
            <w:vAlign w:val="bottom"/>
            <w:vMerge w:val="restart"/>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Shares Issued</w:t>
            </w:r>
          </w:p>
        </w:tc>
        <w:tc>
          <w:tcPr>
            <w:tcW w:w="114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080" w:type="dxa"/>
            <w:vAlign w:val="bottom"/>
            <w:vMerge w:val="continue"/>
          </w:tcPr>
          <w:p>
            <w:pPr>
              <w:spacing w:after="0"/>
              <w:rPr>
                <w:sz w:val="15"/>
                <w:szCs w:val="15"/>
                <w:color w:val="auto"/>
              </w:rPr>
            </w:pPr>
          </w:p>
        </w:tc>
        <w:tc>
          <w:tcPr>
            <w:tcW w:w="386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68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Shares Issued</w:t>
            </w:r>
          </w:p>
        </w:tc>
        <w:tc>
          <w:tcPr>
            <w:tcW w:w="80" w:type="dxa"/>
            <w:vAlign w:val="bottom"/>
          </w:tcPr>
          <w:p>
            <w:pPr>
              <w:spacing w:after="0"/>
              <w:rPr>
                <w:sz w:val="15"/>
                <w:szCs w:val="15"/>
                <w:color w:val="auto"/>
              </w:rPr>
            </w:pPr>
          </w:p>
        </w:tc>
        <w:tc>
          <w:tcPr>
            <w:tcW w:w="1460" w:type="dxa"/>
            <w:vAlign w:val="bottom"/>
            <w:tcBorders>
              <w:bottom w:val="single" w:sz="8" w:color="auto"/>
            </w:tcBorders>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080" w:type="dxa"/>
            <w:vAlign w:val="bottom"/>
          </w:tcPr>
          <w:p>
            <w:pPr>
              <w:spacing w:after="0"/>
              <w:rPr>
                <w:sz w:val="18"/>
                <w:szCs w:val="18"/>
                <w:color w:val="auto"/>
              </w:rPr>
            </w:pPr>
          </w:p>
        </w:tc>
        <w:tc>
          <w:tcPr>
            <w:tcW w:w="4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December 31, 2025</w:t>
            </w: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January 28, 2026</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2,612,068</w:t>
            </w:r>
          </w:p>
        </w:tc>
        <w:tc>
          <w:tcPr>
            <w:tcW w:w="80" w:type="dxa"/>
            <w:vAlign w:val="bottom"/>
            <w:shd w:val="clear" w:color="auto" w:fill="CFF0FC"/>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December 31, 2025</w:t>
            </w: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January 30, 2026</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1,680,582</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4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March 31, 2026</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March 31, 2026</w:t>
            </w: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May 8, 2026</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1,834,803</w:t>
            </w:r>
          </w:p>
        </w:tc>
        <w:tc>
          <w:tcPr>
            <w:tcW w:w="80" w:type="dxa"/>
            <w:vAlign w:val="bottom"/>
            <w:shd w:val="clear" w:color="auto" w:fill="CFF0FC"/>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30, 2026</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 2026</w:t>
            </w: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7, 2026</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1,943,060</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080" w:type="dxa"/>
            <w:vAlign w:val="bottom"/>
          </w:tcPr>
          <w:p>
            <w:pPr>
              <w:spacing w:after="0"/>
              <w:rPr>
                <w:sz w:val="21"/>
                <w:szCs w:val="21"/>
                <w:color w:val="auto"/>
              </w:rPr>
            </w:pPr>
          </w:p>
        </w:tc>
        <w:tc>
          <w:tcPr>
            <w:tcW w:w="4000" w:type="dxa"/>
            <w:vAlign w:val="bottom"/>
            <w:tcBorders>
              <w:top w:val="single" w:sz="8" w:color="CFF0FC"/>
              <w:bottom w:val="single" w:sz="8" w:color="CFF0FC"/>
            </w:tcBorders>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Total Common Shares Issued</w:t>
            </w:r>
          </w:p>
        </w:tc>
        <w:tc>
          <w:tcPr>
            <w:tcW w:w="1680" w:type="dxa"/>
            <w:vAlign w:val="bottom"/>
            <w:tcBorders>
              <w:top w:val="single" w:sz="8" w:color="CFF0FC"/>
              <w:bottom w:val="single" w:sz="8" w:color="CFF0FC"/>
            </w:tcBorders>
            <w:shd w:val="clear" w:color="auto" w:fill="CFF0FC"/>
          </w:tcPr>
          <w:p>
            <w:pPr>
              <w:spacing w:after="0"/>
              <w:rPr>
                <w:sz w:val="21"/>
                <w:szCs w:val="21"/>
                <w:color w:val="auto"/>
              </w:rPr>
            </w:pPr>
          </w:p>
        </w:tc>
        <w:tc>
          <w:tcPr>
            <w:tcW w:w="140" w:type="dxa"/>
            <w:vAlign w:val="bottom"/>
            <w:tcBorders>
              <w:top w:val="single" w:sz="8" w:color="CFF0FC"/>
              <w:bottom w:val="single" w:sz="8" w:color="CFF0FC"/>
            </w:tcBorders>
            <w:shd w:val="clear" w:color="auto" w:fill="CFF0FC"/>
          </w:tcPr>
          <w:p>
            <w:pPr>
              <w:spacing w:after="0"/>
              <w:rPr>
                <w:sz w:val="21"/>
                <w:szCs w:val="21"/>
                <w:color w:val="auto"/>
              </w:rPr>
            </w:pPr>
          </w:p>
        </w:tc>
        <w:tc>
          <w:tcPr>
            <w:tcW w:w="1660" w:type="dxa"/>
            <w:vAlign w:val="bottom"/>
            <w:tcBorders>
              <w:top w:val="single" w:sz="8" w:color="CFF0FC"/>
              <w:bottom w:val="single" w:sz="8" w:color="CFF0FC"/>
            </w:tcBorders>
            <w:shd w:val="clear" w:color="auto" w:fill="CFF0FC"/>
          </w:tcPr>
          <w:p>
            <w:pPr>
              <w:spacing w:after="0"/>
              <w:rPr>
                <w:sz w:val="21"/>
                <w:szCs w:val="21"/>
                <w:color w:val="auto"/>
              </w:rPr>
            </w:pPr>
          </w:p>
        </w:tc>
        <w:tc>
          <w:tcPr>
            <w:tcW w:w="80" w:type="dxa"/>
            <w:vAlign w:val="bottom"/>
            <w:tcBorders>
              <w:top w:val="single" w:sz="8" w:color="CFF0FC"/>
              <w:bottom w:val="single" w:sz="8" w:color="CFF0FC"/>
            </w:tcBorders>
            <w:shd w:val="clear" w:color="auto" w:fill="CFF0FC"/>
          </w:tcPr>
          <w:p>
            <w:pPr>
              <w:spacing w:after="0"/>
              <w:rPr>
                <w:sz w:val="21"/>
                <w:szCs w:val="21"/>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8,070,513</w:t>
            </w:r>
          </w:p>
        </w:tc>
        <w:tc>
          <w:tcPr>
            <w:tcW w:w="80" w:type="dxa"/>
            <w:vAlign w:val="bottom"/>
            <w:tcBorders>
              <w:top w:val="single" w:sz="8" w:color="CFF0FC"/>
              <w:bottom w:val="single" w:sz="8" w:color="CFF0FC"/>
            </w:tcBorders>
            <w:shd w:val="clear" w:color="auto" w:fill="CFF0FC"/>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8"/>
        </w:trPr>
        <w:tc>
          <w:tcPr>
            <w:tcW w:w="10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jc w:val="right"/>
              <w:ind w:right="955"/>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080" w:type="dxa"/>
            <w:vAlign w:val="bottom"/>
            <w:tcBorders>
              <w:bottom w:val="single" w:sz="8" w:color="9A9A9A"/>
            </w:tcBorders>
          </w:tcPr>
          <w:p>
            <w:pPr>
              <w:spacing w:after="0"/>
              <w:rPr>
                <w:sz w:val="24"/>
                <w:szCs w:val="24"/>
                <w:color w:val="auto"/>
              </w:rPr>
            </w:pPr>
          </w:p>
        </w:tc>
        <w:tc>
          <w:tcPr>
            <w:tcW w:w="38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-933450</wp:posOffset>
            </wp:positionV>
            <wp:extent cx="51435"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-916305</wp:posOffset>
            </wp:positionV>
            <wp:extent cx="51435"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-1079500</wp:posOffset>
            </wp:positionV>
            <wp:extent cx="51435"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46" w:name="page47"/>
    <w:bookmarkEnd w:id="46"/>
    <w:tbl>
      <w:tblPr>
        <w:tblLayout w:type="fixed"/>
        <w:tblInd w:w="10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0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1680" w:type="dxa"/>
            <w:vAlign w:val="bottom"/>
            <w:vMerge w:val="restart"/>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140" w:type="dxa"/>
            <w:vAlign w:val="bottom"/>
          </w:tcPr>
          <w:p>
            <w:pPr>
              <w:spacing w:after="0"/>
              <w:rPr>
                <w:sz w:val="10"/>
                <w:szCs w:val="10"/>
                <w:color w:val="auto"/>
              </w:rPr>
            </w:pPr>
          </w:p>
        </w:tc>
        <w:tc>
          <w:tcPr>
            <w:tcW w:w="1660" w:type="dxa"/>
            <w:vAlign w:val="bottom"/>
          </w:tcPr>
          <w:p>
            <w:pPr>
              <w:jc w:val="right"/>
              <w:ind w:right="620"/>
              <w:spacing w:after="0" w:line="118" w:lineRule="exact"/>
              <w:rPr>
                <w:sz w:val="20"/>
                <w:szCs w:val="20"/>
                <w:color w:val="auto"/>
              </w:rPr>
            </w:pPr>
            <w:r>
              <w:rPr>
                <w:rFonts w:ascii="Times New Roman" w:cs="Times New Roman" w:eastAsia="Times New Roman" w:hAnsi="Times New Roman"/>
                <w:sz w:val="13"/>
                <w:szCs w:val="13"/>
                <w:b w:val="1"/>
                <w:bCs w:val="1"/>
                <w:color w:val="auto"/>
              </w:rPr>
              <w:t>Date</w:t>
            </w:r>
          </w:p>
        </w:tc>
        <w:tc>
          <w:tcPr>
            <w:tcW w:w="80" w:type="dxa"/>
            <w:vAlign w:val="bottom"/>
          </w:tcPr>
          <w:p>
            <w:pPr>
              <w:spacing w:after="0"/>
              <w:rPr>
                <w:sz w:val="10"/>
                <w:szCs w:val="10"/>
                <w:color w:val="auto"/>
              </w:rPr>
            </w:pPr>
          </w:p>
        </w:tc>
        <w:tc>
          <w:tcPr>
            <w:tcW w:w="15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Shares Issued</w:t>
            </w:r>
          </w:p>
        </w:tc>
        <w:tc>
          <w:tcPr>
            <w:tcW w:w="0" w:type="dxa"/>
            <w:vAlign w:val="bottom"/>
          </w:tcPr>
          <w:p>
            <w:pPr>
              <w:spacing w:after="0"/>
              <w:rPr>
                <w:sz w:val="1"/>
                <w:szCs w:val="1"/>
                <w:color w:val="auto"/>
              </w:rPr>
            </w:pPr>
          </w:p>
        </w:tc>
      </w:tr>
      <w:tr>
        <w:trPr>
          <w:trHeight w:val="173"/>
        </w:trPr>
        <w:tc>
          <w:tcPr>
            <w:tcW w:w="4000" w:type="dxa"/>
            <w:vAlign w:val="bottom"/>
            <w:gridSpan w:val="3"/>
            <w:vMerge w:val="continue"/>
          </w:tcPr>
          <w:p>
            <w:pPr>
              <w:spacing w:after="0"/>
              <w:rPr>
                <w:sz w:val="15"/>
                <w:szCs w:val="15"/>
                <w:color w:val="auto"/>
              </w:rPr>
            </w:pPr>
          </w:p>
        </w:tc>
        <w:tc>
          <w:tcPr>
            <w:tcW w:w="16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Shares Issued</w:t>
            </w:r>
          </w:p>
        </w:tc>
        <w:tc>
          <w:tcPr>
            <w:tcW w:w="8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140" w:type="dxa"/>
            <w:vAlign w:val="bottom"/>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December 31, 2024</w:t>
            </w:r>
          </w:p>
        </w:tc>
        <w:tc>
          <w:tcPr>
            <w:tcW w:w="140" w:type="dxa"/>
            <w:vAlign w:val="bottom"/>
            <w:shd w:val="clear" w:color="auto" w:fill="CFF0FC"/>
          </w:tcPr>
          <w:p>
            <w:pPr>
              <w:spacing w:after="0"/>
              <w:rPr>
                <w:sz w:val="18"/>
                <w:szCs w:val="18"/>
                <w:color w:val="auto"/>
              </w:rPr>
            </w:pP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January 30, 2025</w:t>
            </w:r>
          </w:p>
        </w:tc>
        <w:tc>
          <w:tcPr>
            <w:tcW w:w="80" w:type="dxa"/>
            <w:vAlign w:val="bottom"/>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1,456,909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31, 2025</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31, 2025</w:t>
            </w: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May 6, 2025</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1,479,035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June 30, 2025</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June 30, 2025</w:t>
            </w: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August 5, 2025</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1,559,071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Total Common Shares Issued</w:t>
            </w: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4,495,015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0" w:firstLine="255"/>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2026, the Company issued 8,070,513 common shares to investors who have not opted out of our dividend reinvestment plan for proceeds of $228.0 million. During the nine months ended September 30, 2025, the Company issued 4,495,015 Common Shares to investors who have not opted out of our dividend reinvestment plan for proceeds of $130.7 million.</w:t>
      </w:r>
    </w:p>
    <w:p>
      <w:pPr>
        <w:spacing w:after="0" w:line="176" w:lineRule="exact"/>
        <w:rPr>
          <w:sz w:val="20"/>
          <w:szCs w:val="20"/>
          <w:color w:val="auto"/>
        </w:rPr>
      </w:pPr>
    </w:p>
    <w:p>
      <w:pPr>
        <w:jc w:val="both"/>
        <w:ind w:right="40" w:firstLine="255"/>
        <w:spacing w:after="0" w:line="254" w:lineRule="auto"/>
        <w:rPr>
          <w:sz w:val="20"/>
          <w:szCs w:val="20"/>
          <w:color w:val="auto"/>
        </w:rPr>
      </w:pPr>
      <w:r>
        <w:rPr>
          <w:rFonts w:ascii="Times New Roman" w:cs="Times New Roman" w:eastAsia="Times New Roman" w:hAnsi="Times New Roman"/>
          <w:sz w:val="18"/>
          <w:szCs w:val="18"/>
          <w:color w:val="auto"/>
        </w:rPr>
        <w:t>The following table summarizes the total Common Shares issued and proceeds received related to the Company's capital drawdowns delivered pursuant to the Subscription Agreements for the nine months ended September 30, 2026. There were no common shares issued and proceeds received related to the Company's capital drawdowns delivered pursuant to the Subscription Agreements for the nine months ended September 30, 2025.</w:t>
      </w:r>
    </w:p>
    <w:tbl>
      <w:tblPr>
        <w:tblLayout w:type="fixed"/>
        <w:tblInd w:w="0" w:type="dxa"/>
        <w:tblCellMar>
          <w:top w:w="0" w:type="dxa"/>
          <w:left w:w="0" w:type="dxa"/>
          <w:bottom w:w="0" w:type="dxa"/>
          <w:right w:w="0" w:type="dxa"/>
        </w:tblCellMar>
      </w:tblPr>
      <w:tr>
        <w:trPr>
          <w:trHeight w:val="158"/>
        </w:trPr>
        <w:tc>
          <w:tcPr>
            <w:tcW w:w="5860" w:type="dxa"/>
            <w:vAlign w:val="bottom"/>
            <w:tcBorders>
              <w:bottom w:val="single" w:sz="8" w:color="auto"/>
            </w:tcBorders>
          </w:tcPr>
          <w:p>
            <w:pPr>
              <w:spacing w:after="0" w:line="158" w:lineRule="exact"/>
              <w:rPr>
                <w:sz w:val="20"/>
                <w:szCs w:val="20"/>
                <w:color w:val="auto"/>
              </w:rPr>
            </w:pPr>
            <w:r>
              <w:rPr>
                <w:rFonts w:ascii="Times New Roman" w:cs="Times New Roman" w:eastAsia="Times New Roman" w:hAnsi="Times New Roman"/>
                <w:sz w:val="14"/>
                <w:szCs w:val="14"/>
                <w:b w:val="1"/>
                <w:bCs w:val="1"/>
                <w:color w:val="auto"/>
              </w:rPr>
              <w:t>Common Share Issuance Date</w:t>
            </w:r>
          </w:p>
        </w:tc>
        <w:tc>
          <w:tcPr>
            <w:tcW w:w="160" w:type="dxa"/>
            <w:vAlign w:val="bottom"/>
          </w:tcPr>
          <w:p>
            <w:pPr>
              <w:spacing w:after="0"/>
              <w:rPr>
                <w:sz w:val="13"/>
                <w:szCs w:val="13"/>
                <w:color w:val="auto"/>
              </w:rPr>
            </w:pPr>
          </w:p>
        </w:tc>
        <w:tc>
          <w:tcPr>
            <w:tcW w:w="2440" w:type="dxa"/>
            <w:vAlign w:val="bottom"/>
            <w:tcBorders>
              <w:bottom w:val="single" w:sz="8" w:color="auto"/>
            </w:tcBorders>
          </w:tcPr>
          <w:p>
            <w:pPr>
              <w:jc w:val="right"/>
              <w:ind w:right="76"/>
              <w:spacing w:after="0" w:line="158" w:lineRule="exact"/>
              <w:rPr>
                <w:sz w:val="20"/>
                <w:szCs w:val="20"/>
                <w:color w:val="auto"/>
              </w:rPr>
            </w:pPr>
            <w:r>
              <w:rPr>
                <w:rFonts w:ascii="Times New Roman" w:cs="Times New Roman" w:eastAsia="Times New Roman" w:hAnsi="Times New Roman"/>
                <w:sz w:val="14"/>
                <w:szCs w:val="14"/>
                <w:b w:val="1"/>
                <w:bCs w:val="1"/>
                <w:color w:val="auto"/>
              </w:rPr>
              <w:t>Number of Common Shares Issued</w:t>
            </w:r>
          </w:p>
        </w:tc>
        <w:tc>
          <w:tcPr>
            <w:tcW w:w="26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tcPr>
          <w:p>
            <w:pPr>
              <w:jc w:val="right"/>
              <w:ind w:right="575"/>
              <w:spacing w:after="0" w:line="158" w:lineRule="exact"/>
              <w:rPr>
                <w:sz w:val="20"/>
                <w:szCs w:val="20"/>
                <w:color w:val="auto"/>
              </w:rPr>
            </w:pPr>
            <w:r>
              <w:rPr>
                <w:rFonts w:ascii="Times New Roman" w:cs="Times New Roman" w:eastAsia="Times New Roman" w:hAnsi="Times New Roman"/>
                <w:sz w:val="14"/>
                <w:szCs w:val="14"/>
                <w:b w:val="1"/>
                <w:bCs w:val="1"/>
                <w:color w:val="auto"/>
              </w:rPr>
              <w:t>Proceeds Received</w:t>
            </w:r>
          </w:p>
        </w:tc>
        <w:tc>
          <w:tcPr>
            <w:tcW w:w="100" w:type="dxa"/>
            <w:vAlign w:val="bottom"/>
          </w:tcPr>
          <w:p>
            <w:pPr>
              <w:spacing w:after="0"/>
              <w:rPr>
                <w:sz w:val="13"/>
                <w:szCs w:val="13"/>
                <w:color w:val="auto"/>
              </w:rPr>
            </w:pPr>
          </w:p>
        </w:tc>
      </w:tr>
      <w:tr>
        <w:trPr>
          <w:trHeight w:val="210"/>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June 23, 2026</w:t>
            </w:r>
          </w:p>
        </w:tc>
        <w:tc>
          <w:tcPr>
            <w:tcW w:w="2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8,677,493</w:t>
            </w:r>
          </w:p>
        </w:tc>
        <w:tc>
          <w:tcPr>
            <w:tcW w:w="6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shd w:val="clear" w:color="auto" w:fill="CFF0FC"/>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September 1, 2026</w:t>
            </w:r>
          </w:p>
        </w:tc>
        <w:tc>
          <w:tcPr>
            <w:tcW w:w="160" w:type="dxa"/>
            <w:vAlign w:val="bottom"/>
          </w:tcPr>
          <w:p>
            <w:pPr>
              <w:spacing w:after="0"/>
              <w:rPr>
                <w:sz w:val="18"/>
                <w:szCs w:val="18"/>
                <w:color w:val="auto"/>
              </w:rPr>
            </w:pPr>
          </w:p>
        </w:tc>
        <w:tc>
          <w:tcPr>
            <w:tcW w:w="2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17,373,129</w:t>
            </w:r>
          </w:p>
        </w:tc>
        <w:tc>
          <w:tcPr>
            <w:tcW w:w="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tcPr>
          <w:p>
            <w:pPr>
              <w:spacing w:after="0"/>
              <w:rPr>
                <w:sz w:val="18"/>
                <w:szCs w:val="18"/>
                <w:color w:val="auto"/>
              </w:rPr>
            </w:pPr>
          </w:p>
        </w:tc>
      </w:tr>
      <w:tr>
        <w:trPr>
          <w:trHeight w:val="249"/>
        </w:trPr>
        <w:tc>
          <w:tcPr>
            <w:tcW w:w="58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2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26,050,622</w:t>
            </w:r>
          </w:p>
        </w:tc>
        <w:tc>
          <w:tcPr>
            <w:tcW w:w="2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2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-25400</wp:posOffset>
            </wp:positionV>
            <wp:extent cx="6858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-7620</wp:posOffset>
            </wp:positionV>
            <wp:extent cx="6858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Earnings per Share</w:t>
      </w:r>
    </w:p>
    <w:p>
      <w:pPr>
        <w:spacing w:after="0" w:line="121" w:lineRule="exact"/>
        <w:rPr>
          <w:sz w:val="20"/>
          <w:szCs w:val="20"/>
          <w:color w:val="auto"/>
        </w:rPr>
      </w:pPr>
    </w:p>
    <w:p>
      <w:pPr>
        <w:jc w:val="both"/>
        <w:ind w:right="20" w:firstLine="255"/>
        <w:spacing w:after="0" w:line="257" w:lineRule="auto"/>
        <w:rPr>
          <w:sz w:val="20"/>
          <w:szCs w:val="20"/>
          <w:color w:val="auto"/>
        </w:rPr>
      </w:pPr>
      <w:r>
        <w:rPr>
          <w:rFonts w:ascii="Times New Roman" w:cs="Times New Roman" w:eastAsia="Times New Roman" w:hAnsi="Times New Roman"/>
          <w:sz w:val="18"/>
          <w:szCs w:val="18"/>
          <w:color w:val="auto"/>
        </w:rPr>
        <w:t>The following tables set forth the computation of basic and diluted earnings per common share for the three and nine months ended September 30, 2026 and 2025:</w:t>
      </w:r>
    </w:p>
    <w:tbl>
      <w:tblPr>
        <w:tblLayout w:type="fixed"/>
        <w:tblInd w:w="120" w:type="dxa"/>
        <w:tblCellMar>
          <w:top w:w="0" w:type="dxa"/>
          <w:left w:w="0" w:type="dxa"/>
          <w:bottom w:w="0" w:type="dxa"/>
          <w:right w:w="0" w:type="dxa"/>
        </w:tblCellMar>
      </w:tblPr>
      <w:tr>
        <w:trPr>
          <w:trHeight w:val="156"/>
        </w:trPr>
        <w:tc>
          <w:tcPr>
            <w:tcW w:w="40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Earnings (losses) per common share — basic and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120" w:type="dxa"/>
            <w:vAlign w:val="bottom"/>
            <w:gridSpan w:val="4"/>
          </w:tcPr>
          <w:p>
            <w:pPr>
              <w:jc w:val="right"/>
              <w:ind w:right="895"/>
              <w:spacing w:after="0" w:line="155"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60" w:type="dxa"/>
            <w:vAlign w:val="bottom"/>
            <w:gridSpan w:val="5"/>
          </w:tcPr>
          <w:p>
            <w:pPr>
              <w:ind w:left="880"/>
              <w:spacing w:after="0" w:line="155"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7"/>
        </w:trPr>
        <w:tc>
          <w:tcPr>
            <w:tcW w:w="40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0" w:type="dxa"/>
            <w:vAlign w:val="bottom"/>
          </w:tcPr>
          <w:p>
            <w:pPr>
              <w:spacing w:after="0"/>
              <w:rPr>
                <w:sz w:val="1"/>
                <w:szCs w:val="1"/>
                <w:color w:val="auto"/>
              </w:rPr>
            </w:pPr>
          </w:p>
        </w:tc>
      </w:tr>
      <w:tr>
        <w:trPr>
          <w:trHeight w:val="191"/>
        </w:trPr>
        <w:tc>
          <w:tcPr>
            <w:tcW w:w="408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Increase (decrease) in net assets resulting from</w:t>
            </w:r>
          </w:p>
        </w:tc>
        <w:tc>
          <w:tcPr>
            <w:tcW w:w="8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1380" w:type="dxa"/>
            <w:vAlign w:val="bottom"/>
            <w:tcBorders>
              <w:top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1380" w:type="dxa"/>
            <w:vAlign w:val="bottom"/>
            <w:tcBorders>
              <w:top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1380" w:type="dxa"/>
            <w:vAlign w:val="bottom"/>
            <w:tcBorders>
              <w:top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140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operations</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116,595</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138,381</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270,573</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424,414</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Common Shares outstanding—basic</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167,917,394</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144,109,918</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156,601,888</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142,632,179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and diluted</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vMerge w:val="continue"/>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vMerge w:val="continue"/>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vMerge w:val="continue"/>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Earnings (losses) per common share—basic and diluted</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-24765</wp:posOffset>
            </wp:positionV>
            <wp:extent cx="6858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-7620</wp:posOffset>
            </wp:positionV>
            <wp:extent cx="6858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-24765</wp:posOffset>
            </wp:positionV>
            <wp:extent cx="6858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-7620</wp:posOffset>
            </wp:positionV>
            <wp:extent cx="6858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-24765</wp:posOffset>
            </wp:positionV>
            <wp:extent cx="6858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68580"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-24765</wp:posOffset>
            </wp:positionV>
            <wp:extent cx="6858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-7620</wp:posOffset>
            </wp:positionV>
            <wp:extent cx="6858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2" w:lineRule="exact"/>
        <w:rPr>
          <w:sz w:val="20"/>
          <w:szCs w:val="20"/>
          <w:color w:val="auto"/>
        </w:rPr>
      </w:pPr>
    </w:p>
    <w:p>
      <w:pPr>
        <w:ind w:left="280" w:hanging="272"/>
        <w:spacing w:after="0"/>
        <w:tabs>
          <w:tab w:leader="none" w:pos="28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Dividends</w:t>
      </w:r>
    </w:p>
    <w:p>
      <w:pPr>
        <w:spacing w:after="0" w:line="121" w:lineRule="exact"/>
        <w:rPr>
          <w:rFonts w:ascii="Times New Roman" w:cs="Times New Roman" w:eastAsia="Times New Roman" w:hAnsi="Times New Roman"/>
          <w:sz w:val="18"/>
          <w:szCs w:val="18"/>
          <w:b w:val="1"/>
          <w:bCs w:val="1"/>
          <w:color w:val="auto"/>
        </w:rPr>
      </w:pPr>
    </w:p>
    <w:p>
      <w:pPr>
        <w:ind w:left="2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tables summarize dividends declared during the nine months ended September 30, 2026 and 2025:</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740" w:type="dxa"/>
            <w:vAlign w:val="bottom"/>
            <w:gridSpan w:val="2"/>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13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6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740" w:type="dxa"/>
            <w:vAlign w:val="bottom"/>
            <w:gridSpan w:val="2"/>
            <w:vMerge w:val="continue"/>
          </w:tcPr>
          <w:p>
            <w:pPr>
              <w:spacing w:after="0"/>
              <w:rPr>
                <w:sz w:val="12"/>
                <w:szCs w:val="12"/>
                <w:color w:val="auto"/>
              </w:rPr>
            </w:pPr>
          </w:p>
        </w:tc>
        <w:tc>
          <w:tcPr>
            <w:tcW w:w="13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Dividend</w:t>
            </w:r>
          </w:p>
        </w:tc>
        <w:tc>
          <w:tcPr>
            <w:tcW w:w="120" w:type="dxa"/>
            <w:vAlign w:val="bottom"/>
          </w:tcPr>
          <w:p>
            <w:pPr>
              <w:spacing w:after="0"/>
              <w:rPr>
                <w:sz w:val="12"/>
                <w:szCs w:val="12"/>
                <w:color w:val="auto"/>
              </w:rPr>
            </w:pPr>
          </w:p>
        </w:tc>
        <w:tc>
          <w:tcPr>
            <w:tcW w:w="1780" w:type="dxa"/>
            <w:vAlign w:val="bottom"/>
            <w:tcBorders>
              <w:bottom w:val="single" w:sz="8" w:color="auto"/>
            </w:tcBorders>
          </w:tcPr>
          <w:p>
            <w:pPr>
              <w:jc w:val="right"/>
              <w:ind w:right="439"/>
              <w:spacing w:after="0" w:line="142" w:lineRule="exact"/>
              <w:rPr>
                <w:sz w:val="20"/>
                <w:szCs w:val="20"/>
                <w:color w:val="auto"/>
              </w:rPr>
            </w:pPr>
            <w:r>
              <w:rPr>
                <w:rFonts w:ascii="Times New Roman" w:cs="Times New Roman" w:eastAsia="Times New Roman" w:hAnsi="Times New Roman"/>
                <w:sz w:val="14"/>
                <w:szCs w:val="14"/>
                <w:b w:val="1"/>
                <w:bCs w:val="1"/>
                <w:color w:val="auto"/>
              </w:rPr>
              <w:t>Record Date</w:t>
            </w:r>
          </w:p>
        </w:tc>
        <w:tc>
          <w:tcPr>
            <w:tcW w:w="120" w:type="dxa"/>
            <w:vAlign w:val="bottom"/>
          </w:tcPr>
          <w:p>
            <w:pPr>
              <w:spacing w:after="0"/>
              <w:rPr>
                <w:sz w:val="12"/>
                <w:szCs w:val="12"/>
                <w:color w:val="auto"/>
              </w:rPr>
            </w:pPr>
          </w:p>
        </w:tc>
        <w:tc>
          <w:tcPr>
            <w:tcW w:w="1780" w:type="dxa"/>
            <w:vAlign w:val="bottom"/>
            <w:tcBorders>
              <w:bottom w:val="single" w:sz="8" w:color="auto"/>
            </w:tcBorders>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Payment Date</w:t>
            </w:r>
          </w:p>
        </w:tc>
        <w:tc>
          <w:tcPr>
            <w:tcW w:w="100" w:type="dxa"/>
            <w:vAlign w:val="bottom"/>
          </w:tcPr>
          <w:p>
            <w:pPr>
              <w:spacing w:after="0"/>
              <w:rPr>
                <w:sz w:val="12"/>
                <w:szCs w:val="12"/>
                <w:color w:val="auto"/>
              </w:rPr>
            </w:pPr>
          </w:p>
        </w:tc>
        <w:tc>
          <w:tcPr>
            <w:tcW w:w="1380" w:type="dxa"/>
            <w:vAlign w:val="bottom"/>
            <w:tcBorders>
              <w:bottom w:val="single" w:sz="8" w:color="auto"/>
            </w:tcBorders>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Dividend per Share</w:t>
            </w:r>
          </w:p>
        </w:tc>
        <w:tc>
          <w:tcPr>
            <w:tcW w:w="8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00" w:type="dxa"/>
            <w:vAlign w:val="bottom"/>
          </w:tcPr>
          <w:p>
            <w:pPr>
              <w:spacing w:after="0"/>
              <w:rPr>
                <w:sz w:val="18"/>
                <w:szCs w:val="18"/>
                <w:color w:val="auto"/>
              </w:rPr>
            </w:pPr>
          </w:p>
        </w:tc>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March 31, 2026</w:t>
            </w:r>
          </w:p>
        </w:tc>
        <w:tc>
          <w:tcPr>
            <w:tcW w:w="1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Base</w:t>
            </w:r>
          </w:p>
        </w:tc>
        <w:tc>
          <w:tcPr>
            <w:tcW w:w="12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March 31, 2026</w:t>
            </w:r>
          </w:p>
        </w:tc>
        <w:tc>
          <w:tcPr>
            <w:tcW w:w="12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May 7, 2026</w:t>
            </w:r>
          </w:p>
        </w:tc>
        <w:tc>
          <w:tcPr>
            <w:tcW w:w="660" w:type="dxa"/>
            <w:vAlign w:val="bottom"/>
            <w:gridSpan w:val="2"/>
            <w:shd w:val="clear" w:color="auto" w:fill="CFF0FC"/>
          </w:tcPr>
          <w:p>
            <w:pPr>
              <w:jc w:val="right"/>
              <w:ind w:right="40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00" w:type="dxa"/>
            <w:vAlign w:val="bottom"/>
            <w:shd w:val="clear" w:color="auto" w:fill="CFF0FC"/>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June 30, 2026</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Base</w:t>
            </w:r>
          </w:p>
        </w:tc>
        <w:tc>
          <w:tcPr>
            <w:tcW w:w="1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 2026</w:t>
            </w:r>
          </w:p>
        </w:tc>
        <w:tc>
          <w:tcPr>
            <w:tcW w:w="1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6, 2026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September 30, 2026</w:t>
            </w:r>
          </w:p>
        </w:tc>
        <w:tc>
          <w:tcPr>
            <w:tcW w:w="1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Base</w:t>
            </w:r>
          </w:p>
        </w:tc>
        <w:tc>
          <w:tcPr>
            <w:tcW w:w="12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September 30, 2026</w:t>
            </w:r>
          </w:p>
        </w:tc>
        <w:tc>
          <w:tcPr>
            <w:tcW w:w="12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November 5, 2026</w:t>
            </w:r>
          </w:p>
        </w:tc>
        <w:tc>
          <w:tcPr>
            <w:tcW w:w="100" w:type="dxa"/>
            <w:vAlign w:val="bottom"/>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00" w:type="dxa"/>
            <w:vAlign w:val="bottom"/>
            <w:shd w:val="clear" w:color="auto" w:fill="CFF0FC"/>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29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Dividends Declared</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8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8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3740" w:type="dxa"/>
            <w:vAlign w:val="bottom"/>
            <w:gridSpan w:val="2"/>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13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6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740" w:type="dxa"/>
            <w:vAlign w:val="bottom"/>
            <w:gridSpan w:val="2"/>
            <w:vMerge w:val="continue"/>
          </w:tcPr>
          <w:p>
            <w:pPr>
              <w:spacing w:after="0"/>
              <w:rPr>
                <w:sz w:val="12"/>
                <w:szCs w:val="12"/>
                <w:color w:val="auto"/>
              </w:rPr>
            </w:pPr>
          </w:p>
        </w:tc>
        <w:tc>
          <w:tcPr>
            <w:tcW w:w="13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Dividend</w:t>
            </w:r>
          </w:p>
        </w:tc>
        <w:tc>
          <w:tcPr>
            <w:tcW w:w="120" w:type="dxa"/>
            <w:vAlign w:val="bottom"/>
          </w:tcPr>
          <w:p>
            <w:pPr>
              <w:spacing w:after="0"/>
              <w:rPr>
                <w:sz w:val="12"/>
                <w:szCs w:val="12"/>
                <w:color w:val="auto"/>
              </w:rPr>
            </w:pPr>
          </w:p>
        </w:tc>
        <w:tc>
          <w:tcPr>
            <w:tcW w:w="1780" w:type="dxa"/>
            <w:vAlign w:val="bottom"/>
            <w:tcBorders>
              <w:bottom w:val="single" w:sz="8" w:color="auto"/>
            </w:tcBorders>
          </w:tcPr>
          <w:p>
            <w:pPr>
              <w:jc w:val="right"/>
              <w:ind w:right="439"/>
              <w:spacing w:after="0" w:line="142" w:lineRule="exact"/>
              <w:rPr>
                <w:sz w:val="20"/>
                <w:szCs w:val="20"/>
                <w:color w:val="auto"/>
              </w:rPr>
            </w:pPr>
            <w:r>
              <w:rPr>
                <w:rFonts w:ascii="Times New Roman" w:cs="Times New Roman" w:eastAsia="Times New Roman" w:hAnsi="Times New Roman"/>
                <w:sz w:val="14"/>
                <w:szCs w:val="14"/>
                <w:b w:val="1"/>
                <w:bCs w:val="1"/>
                <w:color w:val="auto"/>
              </w:rPr>
              <w:t>Record Date</w:t>
            </w:r>
          </w:p>
        </w:tc>
        <w:tc>
          <w:tcPr>
            <w:tcW w:w="120" w:type="dxa"/>
            <w:vAlign w:val="bottom"/>
          </w:tcPr>
          <w:p>
            <w:pPr>
              <w:spacing w:after="0"/>
              <w:rPr>
                <w:sz w:val="12"/>
                <w:szCs w:val="12"/>
                <w:color w:val="auto"/>
              </w:rPr>
            </w:pPr>
          </w:p>
        </w:tc>
        <w:tc>
          <w:tcPr>
            <w:tcW w:w="1780" w:type="dxa"/>
            <w:vAlign w:val="bottom"/>
            <w:tcBorders>
              <w:bottom w:val="single" w:sz="8" w:color="auto"/>
            </w:tcBorders>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Payment Date</w:t>
            </w:r>
          </w:p>
        </w:tc>
        <w:tc>
          <w:tcPr>
            <w:tcW w:w="100" w:type="dxa"/>
            <w:vAlign w:val="bottom"/>
          </w:tcPr>
          <w:p>
            <w:pPr>
              <w:spacing w:after="0"/>
              <w:rPr>
                <w:sz w:val="12"/>
                <w:szCs w:val="12"/>
                <w:color w:val="auto"/>
              </w:rPr>
            </w:pPr>
          </w:p>
        </w:tc>
        <w:tc>
          <w:tcPr>
            <w:tcW w:w="1380" w:type="dxa"/>
            <w:vAlign w:val="bottom"/>
            <w:tcBorders>
              <w:bottom w:val="single" w:sz="8" w:color="auto"/>
            </w:tcBorders>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Dividend per Share</w:t>
            </w:r>
          </w:p>
        </w:tc>
        <w:tc>
          <w:tcPr>
            <w:tcW w:w="8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March 31, 2025</w:t>
            </w:r>
          </w:p>
        </w:tc>
        <w:tc>
          <w:tcPr>
            <w:tcW w:w="1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Base</w:t>
            </w:r>
          </w:p>
        </w:tc>
        <w:tc>
          <w:tcPr>
            <w:tcW w:w="12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March 31, 2025</w:t>
            </w:r>
          </w:p>
        </w:tc>
        <w:tc>
          <w:tcPr>
            <w:tcW w:w="12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May 5, 2025</w:t>
            </w:r>
          </w:p>
        </w:tc>
        <w:tc>
          <w:tcPr>
            <w:tcW w:w="660" w:type="dxa"/>
            <w:vAlign w:val="bottom"/>
            <w:gridSpan w:val="2"/>
            <w:shd w:val="clear" w:color="auto" w:fill="CFF0FC"/>
          </w:tcPr>
          <w:p>
            <w:pPr>
              <w:jc w:val="right"/>
              <w:ind w:right="40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00" w:type="dxa"/>
            <w:vAlign w:val="bottom"/>
            <w:shd w:val="clear" w:color="auto" w:fill="CFF0FC"/>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June 30, 2025</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Base</w:t>
            </w:r>
          </w:p>
        </w:tc>
        <w:tc>
          <w:tcPr>
            <w:tcW w:w="1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 2025</w:t>
            </w:r>
          </w:p>
        </w:tc>
        <w:tc>
          <w:tcPr>
            <w:tcW w:w="1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4, 2025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September 30, 2025</w:t>
            </w:r>
          </w:p>
        </w:tc>
        <w:tc>
          <w:tcPr>
            <w:tcW w:w="1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Base</w:t>
            </w:r>
          </w:p>
        </w:tc>
        <w:tc>
          <w:tcPr>
            <w:tcW w:w="12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September 30, 2025</w:t>
            </w:r>
          </w:p>
        </w:tc>
        <w:tc>
          <w:tcPr>
            <w:tcW w:w="12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November 10, 2025</w:t>
            </w:r>
          </w:p>
        </w:tc>
        <w:tc>
          <w:tcPr>
            <w:tcW w:w="100" w:type="dxa"/>
            <w:vAlign w:val="bottom"/>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00" w:type="dxa"/>
            <w:vAlign w:val="bottom"/>
            <w:shd w:val="clear" w:color="auto" w:fill="CFF0FC"/>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 w:type="dxa"/>
            <w:vAlign w:val="bottom"/>
          </w:tcPr>
          <w:p>
            <w:pPr>
              <w:spacing w:after="0"/>
              <w:rPr>
                <w:sz w:val="18"/>
                <w:szCs w:val="18"/>
                <w:color w:val="auto"/>
              </w:rPr>
            </w:pPr>
          </w:p>
        </w:tc>
        <w:tc>
          <w:tcPr>
            <w:tcW w:w="29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Dividends Declared</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900" w:type="dxa"/>
            <w:vAlign w:val="bottom"/>
            <w:gridSpan w:val="2"/>
            <w:vMerge w:val="restart"/>
          </w:tcPr>
          <w:p>
            <w:pPr>
              <w:jc w:val="right"/>
              <w:ind w:right="1179"/>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8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90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80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25" w:right="339" w:bottom="1440" w:gutter="0" w:footer="0" w:header="0"/>
        </w:sectPr>
      </w:pPr>
    </w:p>
    <w:bookmarkStart w:id="47" w:name="page48"/>
    <w:bookmarkEnd w:id="47"/>
    <w:p>
      <w:pPr>
        <w:ind w:right="300" w:firstLine="255"/>
        <w:spacing w:after="0" w:line="282" w:lineRule="auto"/>
        <w:rPr>
          <w:sz w:val="20"/>
          <w:szCs w:val="20"/>
          <w:color w:val="auto"/>
        </w:rPr>
      </w:pPr>
      <w:r>
        <w:rPr>
          <w:rFonts w:ascii="Times New Roman" w:cs="Times New Roman" w:eastAsia="Times New Roman" w:hAnsi="Times New Roman"/>
          <w:sz w:val="18"/>
          <w:szCs w:val="18"/>
          <w:color w:val="auto"/>
        </w:rPr>
        <w:t>The dividends declared during the nine months ended September 30, 2026 and 2025 were derived from net investment income, determined on a tax basis.</w:t>
      </w:r>
    </w:p>
    <w:p>
      <w:pPr>
        <w:spacing w:after="0" w:line="162"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8"/>
          <w:szCs w:val="18"/>
          <w:color w:val="auto"/>
        </w:rPr>
        <w:t>With respect to distributions, the Company has adopted an “opt out” dividend reinvestment plan for shareholders. As a result, in the event of a declared cash distribution or other distribution, each shareholder that has not “opted out” of the dividend reinvestment plan will have their dividends or distributions automatically reinvested in additional Common Shares rather than receiving cash distributions. Shareholders who receive distributions in the form of Common Shares will be subject to the same U.S. federal, state and local tax consequences as if they received cash distributions.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Financial Highlights</w:t>
      </w:r>
    </w:p>
    <w:p>
      <w:pPr>
        <w:spacing w:after="0" w:line="121" w:lineRule="exact"/>
        <w:rPr>
          <w:sz w:val="20"/>
          <w:szCs w:val="20"/>
          <w:color w:val="auto"/>
        </w:rPr>
      </w:pPr>
    </w:p>
    <w:p>
      <w:pPr>
        <w:ind w:right="240" w:firstLine="255"/>
        <w:spacing w:after="0" w:line="282" w:lineRule="auto"/>
        <w:rPr>
          <w:sz w:val="20"/>
          <w:szCs w:val="20"/>
          <w:color w:val="auto"/>
        </w:rPr>
      </w:pPr>
      <w:r>
        <w:rPr>
          <w:rFonts w:ascii="Times New Roman" w:cs="Times New Roman" w:eastAsia="Times New Roman" w:hAnsi="Times New Roman"/>
          <w:sz w:val="18"/>
          <w:szCs w:val="18"/>
          <w:color w:val="auto"/>
        </w:rPr>
        <w:t>The following per share data and ratios have been derived from information provided in the consolidated financial statements. The following are the financial highlights for one share of Common Shares outstanding for the nine months ended September 30, 2026 and 2025:</w:t>
      </w:r>
    </w:p>
    <w:p>
      <w:pPr>
        <w:spacing w:after="0" w:line="155" w:lineRule="exact"/>
        <w:rPr>
          <w:sz w:val="20"/>
          <w:szCs w:val="20"/>
          <w:color w:val="auto"/>
        </w:rPr>
      </w:pPr>
    </w:p>
    <w:tbl>
      <w:tblPr>
        <w:tblLayout w:type="fixed"/>
        <w:tblInd w:w="10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580" w:type="dxa"/>
            <w:vAlign w:val="bottom"/>
            <w:gridSpan w:val="6"/>
          </w:tcPr>
          <w:p>
            <w:pPr>
              <w:jc w:val="right"/>
              <w:ind w:right="110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gridSpan w:val="2"/>
          </w:tcPr>
          <w:p>
            <w:pPr>
              <w:jc w:val="right"/>
              <w:ind w:right="440"/>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2026</w:t>
            </w: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2025</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2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b w:val="1"/>
                <w:bCs w:val="1"/>
                <w:color w:val="auto"/>
              </w:rPr>
              <w:t xml:space="preserve">Per Share Data </w:t>
            </w:r>
            <w:r>
              <w:rPr>
                <w:rFonts w:ascii="Times New Roman" w:cs="Times New Roman" w:eastAsia="Times New Roman" w:hAnsi="Times New Roman"/>
                <w:sz w:val="24"/>
                <w:szCs w:val="24"/>
                <w:b w:val="1"/>
                <w:bCs w:val="1"/>
                <w:color w:val="auto"/>
                <w:vertAlign w:val="superscript"/>
              </w:rPr>
              <w:t>(1)</w:t>
            </w:r>
          </w:p>
        </w:tc>
        <w:tc>
          <w:tcPr>
            <w:tcW w:w="1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Net asset value, beginning of period</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28.51</w:t>
            </w:r>
          </w:p>
        </w:tc>
        <w:tc>
          <w:tcPr>
            <w:tcW w:w="24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Net investment income </w:t>
            </w:r>
            <w:r>
              <w:rPr>
                <w:rFonts w:ascii="Times New Roman" w:cs="Times New Roman" w:eastAsia="Times New Roman" w:hAnsi="Times New Roman"/>
                <w:sz w:val="24"/>
                <w:szCs w:val="24"/>
                <w:color w:val="auto"/>
                <w:vertAlign w:val="superscript"/>
              </w:rPr>
              <w:t>(2)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Net realized and unrealized gain (loss) </w:t>
            </w:r>
            <w:r>
              <w:rPr>
                <w:rFonts w:ascii="Times New Roman" w:cs="Times New Roman" w:eastAsia="Times New Roman" w:hAnsi="Times New Roman"/>
                <w:sz w:val="24"/>
                <w:szCs w:val="24"/>
                <w:color w:val="auto"/>
                <w:vertAlign w:val="superscript"/>
              </w:rPr>
              <w:t>(2)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20" w:type="dxa"/>
            <w:vAlign w:val="bottom"/>
            <w:tcBorders>
              <w:top w:val="single" w:sz="8" w:color="CFF0FC"/>
            </w:tcBorders>
          </w:tcPr>
          <w:p>
            <w:pPr>
              <w:ind w:left="80"/>
              <w:spacing w:after="0"/>
              <w:rPr>
                <w:sz w:val="20"/>
                <w:szCs w:val="20"/>
                <w:color w:val="auto"/>
              </w:rPr>
            </w:pPr>
            <w:r>
              <w:rPr>
                <w:rFonts w:ascii="Times New Roman" w:cs="Times New Roman" w:eastAsia="Times New Roman" w:hAnsi="Times New Roman"/>
                <w:sz w:val="18"/>
                <w:szCs w:val="18"/>
                <w:color w:val="auto"/>
              </w:rPr>
              <w:t>Total from operations</w:t>
            </w: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Net Common Share Issuance </w:t>
            </w:r>
            <w:r>
              <w:rPr>
                <w:rFonts w:ascii="Times New Roman" w:cs="Times New Roman" w:eastAsia="Times New Roman" w:hAnsi="Times New Roman"/>
                <w:sz w:val="24"/>
                <w:szCs w:val="24"/>
                <w:color w:val="auto"/>
                <w:vertAlign w:val="superscript"/>
              </w:rPr>
              <w:t>(3)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Dividends declared </w:t>
            </w:r>
            <w:r>
              <w:rPr>
                <w:rFonts w:ascii="Times New Roman" w:cs="Times New Roman" w:eastAsia="Times New Roman" w:hAnsi="Times New Roman"/>
                <w:sz w:val="24"/>
                <w:szCs w:val="24"/>
                <w:color w:val="auto"/>
                <w:vertAlign w:val="superscript"/>
              </w:rPr>
              <w:t>(4)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increase (decrease) in net assets</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(0.38)</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Asset Value, End of Period</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24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22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 xml:space="preserve">Total return based on net asset value </w:t>
            </w:r>
            <w:r>
              <w:rPr>
                <w:rFonts w:ascii="Times New Roman" w:cs="Times New Roman" w:eastAsia="Times New Roman" w:hAnsi="Times New Roman"/>
                <w:sz w:val="24"/>
                <w:szCs w:val="24"/>
                <w:color w:val="auto"/>
                <w:vertAlign w:val="superscript"/>
              </w:rPr>
              <w:t>(5)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10.24%</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Common shares outstanding, end of period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180,406,820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144,703,043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b w:val="1"/>
                <w:bCs w:val="1"/>
                <w:color w:val="auto"/>
              </w:rPr>
              <w:t xml:space="preserve">Ratios / Supplemental Data </w:t>
            </w:r>
            <w:r>
              <w:rPr>
                <w:rFonts w:ascii="Times New Roman" w:cs="Times New Roman" w:eastAsia="Times New Roman" w:hAnsi="Times New Roman"/>
                <w:sz w:val="24"/>
                <w:szCs w:val="24"/>
                <w:b w:val="1"/>
                <w:bCs w:val="1"/>
                <w:color w:val="auto"/>
                <w:vertAlign w:val="superscript"/>
              </w:rPr>
              <w:t>(6)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2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Ratio of gross expenses to average net assets without management fee</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waiver</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9.54%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2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Ratio of net expenses to average net assets with</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management fee waiver</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7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8.81%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2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Ratio of net investment income to average net assets without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management fee waiver</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11.34%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2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Ratio of net investment income to average net assets with management</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fee waiver</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7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12.86%</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Portfolio turnover</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18.89%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32.22%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assets, end of period</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5,074,638</w:t>
            </w:r>
          </w:p>
        </w:tc>
        <w:tc>
          <w:tcPr>
            <w:tcW w:w="24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4,295,225</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-2510790</wp:posOffset>
            </wp:positionV>
            <wp:extent cx="11176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-2510790</wp:posOffset>
            </wp:positionV>
            <wp:extent cx="111125"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-1945005</wp:posOffset>
            </wp:positionV>
            <wp:extent cx="11176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-1945005</wp:posOffset>
            </wp:positionV>
            <wp:extent cx="111125"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05" w:lineRule="exact"/>
        <w:rPr>
          <w:sz w:val="20"/>
          <w:szCs w:val="20"/>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Table may not sum due to rounding.</w:t>
      </w:r>
    </w:p>
    <w:p>
      <w:pPr>
        <w:spacing w:after="0" w:line="2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 share data was derived by using the weighted average Common Shares outstanding during the period.</w:t>
      </w:r>
    </w:p>
    <w:p>
      <w:pPr>
        <w:spacing w:after="0" w:line="9" w:lineRule="exact"/>
        <w:rPr>
          <w:rFonts w:ascii="Times New Roman" w:cs="Times New Roman" w:eastAsia="Times New Roman" w:hAnsi="Times New Roman"/>
          <w:sz w:val="18"/>
          <w:szCs w:val="18"/>
          <w:color w:val="auto"/>
        </w:rPr>
      </w:pPr>
    </w:p>
    <w:p>
      <w:pPr>
        <w:ind w:left="520" w:right="40" w:hanging="512"/>
        <w:spacing w:after="0" w:line="250"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shown at this caption is the balancing amount derived from share issuances. The amount shown for share issuance will fluctuate due to the timing of the share issuances and the weighting of average shares over the period.</w:t>
      </w: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 share data was derived by using the actual shares outstanding at the date of the relevant transactions.</w:t>
      </w:r>
    </w:p>
    <w:p>
      <w:pPr>
        <w:spacing w:after="0" w:line="9" w:lineRule="exact"/>
        <w:rPr>
          <w:rFonts w:ascii="Times New Roman" w:cs="Times New Roman" w:eastAsia="Times New Roman" w:hAnsi="Times New Roman"/>
          <w:sz w:val="18"/>
          <w:szCs w:val="18"/>
          <w:color w:val="auto"/>
        </w:rPr>
      </w:pPr>
    </w:p>
    <w:p>
      <w:pPr>
        <w:ind w:left="520" w:right="300" w:hanging="512"/>
        <w:spacing w:after="0" w:line="250"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return based on net asset value is calculated as the change in net asset value per share during the period plus dividends received, assuming reinvestment of dividends, divided by the beginning net asset value per share.</w:t>
      </w: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8"/>
          <w:szCs w:val="18"/>
          <w:color w:val="1D1C1D"/>
        </w:rPr>
        <w:t>he ratios, excluding nonrecurring expenses, such as organization costs, are annualized.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Subsequent Events</w:t>
      </w:r>
    </w:p>
    <w:p>
      <w:pPr>
        <w:spacing w:after="0" w:line="121" w:lineRule="exact"/>
        <w:rPr>
          <w:sz w:val="20"/>
          <w:szCs w:val="20"/>
          <w:color w:val="auto"/>
        </w:rPr>
      </w:pPr>
    </w:p>
    <w:p>
      <w:pPr>
        <w:ind w:right="160" w:firstLine="255"/>
        <w:spacing w:after="0" w:line="266" w:lineRule="auto"/>
        <w:rPr>
          <w:sz w:val="20"/>
          <w:szCs w:val="20"/>
          <w:color w:val="auto"/>
        </w:rPr>
      </w:pPr>
      <w:r>
        <w:rPr>
          <w:rFonts w:ascii="Times New Roman" w:cs="Times New Roman" w:eastAsia="Times New Roman" w:hAnsi="Times New Roman"/>
          <w:sz w:val="18"/>
          <w:szCs w:val="18"/>
          <w:color w:val="auto"/>
        </w:rPr>
        <w:t>The Company’s management has evaluated subsequent events through the date of issuance of the Consolidated Financial Statements included herein. There have been no subsequent events, except as already disclosed, that occurred during such period that would require disclosure in this Form 10-Q or would be required to be recognized in the Consolidated Financial Statements as of September 30, 2026.</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8" w:right="3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120" w:firstLine="255"/>
        <w:spacing w:after="0" w:line="267" w:lineRule="auto"/>
        <w:rPr>
          <w:sz w:val="20"/>
          <w:szCs w:val="20"/>
          <w:color w:val="auto"/>
        </w:rPr>
      </w:pPr>
      <w:r>
        <w:rPr>
          <w:rFonts w:ascii="Times New Roman" w:cs="Times New Roman" w:eastAsia="Times New Roman" w:hAnsi="Times New Roman"/>
          <w:sz w:val="18"/>
          <w:szCs w:val="18"/>
          <w:i w:val="1"/>
          <w:iCs w:val="1"/>
          <w:color w:val="auto"/>
        </w:rPr>
        <w:t>The information contained in this section should be read in conjunction with the consolidated financial statements and notes thereto appearing elsewhere in this report. This discussion also should be read in conjunction with the “Cautionary Statement Regarding Forward-Looking Statements” set forth in this report.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40" w:firstLine="255"/>
        <w:spacing w:after="0" w:line="266" w:lineRule="auto"/>
        <w:rPr>
          <w:sz w:val="20"/>
          <w:szCs w:val="20"/>
          <w:color w:val="auto"/>
        </w:rPr>
      </w:pPr>
      <w:r>
        <w:rPr>
          <w:rFonts w:ascii="Times New Roman" w:cs="Times New Roman" w:eastAsia="Times New Roman" w:hAnsi="Times New Roman"/>
          <w:sz w:val="18"/>
          <w:szCs w:val="18"/>
          <w:color w:val="auto"/>
        </w:rPr>
        <w:t>Sixth Street Lending Partners is a Delaware statutory trust formed on April 5, 2022. The Adviser is our external manager. We have three wholly owned subsidiaries, SSLP Lending, LLC, a Delaware limited liability company, which holds a California finance lender and broker license, Sixth Street LP Holding II, LLC and Sixth Street Lending Partners Sub, LLC in which we may hold certain investments.</w:t>
      </w:r>
    </w:p>
    <w:p>
      <w:pPr>
        <w:spacing w:after="0" w:line="176" w:lineRule="exact"/>
        <w:rPr>
          <w:sz w:val="20"/>
          <w:szCs w:val="20"/>
          <w:color w:val="auto"/>
        </w:rPr>
      </w:pPr>
    </w:p>
    <w:p>
      <w:pPr>
        <w:ind w:right="260" w:firstLine="255"/>
        <w:spacing w:after="0" w:line="282" w:lineRule="auto"/>
        <w:rPr>
          <w:sz w:val="20"/>
          <w:szCs w:val="20"/>
          <w:color w:val="auto"/>
        </w:rPr>
      </w:pPr>
      <w:r>
        <w:rPr>
          <w:rFonts w:ascii="Times New Roman" w:cs="Times New Roman" w:eastAsia="Times New Roman" w:hAnsi="Times New Roman"/>
          <w:sz w:val="18"/>
          <w:szCs w:val="18"/>
          <w:color w:val="auto"/>
        </w:rPr>
        <w:t>We have elected to be regulated as a BDC under the 1940 Act and have elected to be treated as a RIC under the Code. As a result, we are required to comply with various statutory and regulatory requirements, such as:</w:t>
      </w:r>
    </w:p>
    <w:p>
      <w:pPr>
        <w:spacing w:after="0" w:line="54" w:lineRule="exact"/>
        <w:rPr>
          <w:sz w:val="20"/>
          <w:szCs w:val="20"/>
          <w:color w:val="auto"/>
        </w:rPr>
      </w:pPr>
    </w:p>
    <w:p>
      <w:pPr>
        <w:ind w:left="520" w:hanging="257"/>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to invest at least 70% of our assets in “qualifying assets”;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income limitations;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diversification requirements; and</w:t>
      </w:r>
    </w:p>
    <w:p>
      <w:pPr>
        <w:spacing w:after="0" w:line="117" w:lineRule="exact"/>
        <w:rPr>
          <w:rFonts w:ascii="Times New Roman" w:cs="Times New Roman" w:eastAsia="Times New Roman" w:hAnsi="Times New Roman"/>
          <w:sz w:val="18"/>
          <w:szCs w:val="18"/>
          <w:color w:val="auto"/>
        </w:rPr>
      </w:pPr>
    </w:p>
    <w:p>
      <w:pPr>
        <w:ind w:left="520" w:right="340" w:hanging="257"/>
        <w:spacing w:after="0" w:line="282"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to distribute (or be treated as distributing) in each taxable year at least 90% of our investment company taxable income and tax-exempt interest for that taxable year.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Investment Framework</w:t>
      </w:r>
    </w:p>
    <w:p>
      <w:pPr>
        <w:spacing w:after="0" w:line="121" w:lineRule="exact"/>
        <w:rPr>
          <w:sz w:val="20"/>
          <w:szCs w:val="20"/>
          <w:color w:val="auto"/>
        </w:rPr>
      </w:pPr>
    </w:p>
    <w:p>
      <w:pPr>
        <w:ind w:right="60" w:firstLine="255"/>
        <w:spacing w:after="0" w:line="256" w:lineRule="auto"/>
        <w:rPr>
          <w:sz w:val="20"/>
          <w:szCs w:val="20"/>
          <w:color w:val="auto"/>
        </w:rPr>
      </w:pPr>
      <w:r>
        <w:rPr>
          <w:rFonts w:ascii="Times New Roman" w:cs="Times New Roman" w:eastAsia="Times New Roman" w:hAnsi="Times New Roman"/>
          <w:sz w:val="18"/>
          <w:szCs w:val="18"/>
          <w:color w:val="auto"/>
        </w:rPr>
        <w:t>Our investment objective is to generate current income by targeting investments with favorable “risk-adjusted returns,” which are expected returns that are adjusted based on the levels of risk associated with the investments. Since we began our investment activities in August 2022, through September 30, 2026, we have originated approximately $34.6 billion aggregate principal amount of investments and retained approximately $12.0 billion aggregate principal amount of these investments on our balance sheet prior to any subsequent exits and repayments. We seek to generate current income and long-term capital appreciation primarily by investing in U.S.-domiciled upper middle-market companies through direct originations of senior secured loans and, to a lesser extent, originations of mezzanine and unsecured loans and investments in corporate bonds, equity securities, and other instruments.</w:t>
      </w:r>
    </w:p>
    <w:p>
      <w:pPr>
        <w:spacing w:after="0" w:line="187" w:lineRule="exact"/>
        <w:rPr>
          <w:sz w:val="20"/>
          <w:szCs w:val="20"/>
          <w:color w:val="auto"/>
        </w:rPr>
      </w:pPr>
    </w:p>
    <w:p>
      <w:pPr>
        <w:ind w:right="20" w:firstLine="255"/>
        <w:spacing w:after="0" w:line="256" w:lineRule="auto"/>
        <w:rPr>
          <w:sz w:val="20"/>
          <w:szCs w:val="20"/>
          <w:color w:val="auto"/>
        </w:rPr>
      </w:pPr>
      <w:r>
        <w:rPr>
          <w:rFonts w:ascii="Times New Roman" w:cs="Times New Roman" w:eastAsia="Times New Roman" w:hAnsi="Times New Roman"/>
          <w:sz w:val="18"/>
          <w:szCs w:val="18"/>
          <w:color w:val="auto"/>
        </w:rPr>
        <w:t>By “upper middle-market companies,” we mean companies that have annual EBITDA, which we believe is a useful proxy for cash flow, of greater than $75 million, although we may invest in smaller companies on occasion. “EBITDA” means a company’s earnings before interest, tax, depreciation and amortization. As of September 30, 2026, our core portfolio companies, which exclude certain investments that fall outside of our typical borrower profile and represent 92.0% of our total investments based on fair value, had a weighted average annual revenue of $892.7 million and weighted average annual EBITDA of $250.9 million. As of September 30, 2026, our core portfolio companies had a median annual revenue of $250.4 million and median annual EBITDA of $84.0 million.</w:t>
      </w:r>
    </w:p>
    <w:p>
      <w:pPr>
        <w:spacing w:after="0" w:line="187"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183" w:lineRule="exact"/>
        <w:rPr>
          <w:sz w:val="20"/>
          <w:szCs w:val="20"/>
          <w:color w:val="auto"/>
        </w:rPr>
      </w:pPr>
    </w:p>
    <w:p>
      <w:pPr>
        <w:ind w:right="160" w:firstLine="255"/>
        <w:spacing w:after="0" w:line="282" w:lineRule="auto"/>
        <w:rPr>
          <w:sz w:val="20"/>
          <w:szCs w:val="20"/>
          <w:color w:val="auto"/>
        </w:rPr>
      </w:pPr>
      <w:r>
        <w:rPr>
          <w:rFonts w:ascii="Times New Roman" w:cs="Times New Roman" w:eastAsia="Times New Roman" w:hAnsi="Times New Roman"/>
          <w:sz w:val="18"/>
          <w:szCs w:val="18"/>
          <w:color w:val="auto"/>
        </w:rPr>
        <w:t>We seek to create a portfolio over time that includes primarily senior secured investments by investing approximately $125 million to $300 million of capital, on average, across our core positions of upper middle-market companies.</w:t>
      </w:r>
    </w:p>
    <w:p>
      <w:pPr>
        <w:spacing w:after="0" w:line="162" w:lineRule="exact"/>
        <w:rPr>
          <w:sz w:val="20"/>
          <w:szCs w:val="20"/>
          <w:color w:val="auto"/>
        </w:rPr>
      </w:pPr>
    </w:p>
    <w:p>
      <w:pPr>
        <w:jc w:val="both"/>
        <w:ind w:right="100" w:firstLine="255"/>
        <w:spacing w:after="0" w:line="266" w:lineRule="auto"/>
        <w:rPr>
          <w:sz w:val="20"/>
          <w:szCs w:val="20"/>
          <w:color w:val="auto"/>
        </w:rPr>
      </w:pPr>
      <w:r>
        <w:rPr>
          <w:rFonts w:ascii="Times New Roman" w:cs="Times New Roman" w:eastAsia="Times New Roman" w:hAnsi="Times New Roman"/>
          <w:sz w:val="18"/>
          <w:szCs w:val="18"/>
          <w:color w:val="auto"/>
        </w:rPr>
        <w:t>The debt in which we invest typically is not rated by any rating agency, but if these instruments were rated, they would likely receive a rating of below investment grade (that is, below BBB- or Baa3 as defined by Standard &amp; Poor’s and Moody’s Investors Services, respectively), which is often referred to as “junk”.</w:t>
      </w:r>
    </w:p>
    <w:p>
      <w:pPr>
        <w:spacing w:after="0" w:line="176" w:lineRule="exact"/>
        <w:rPr>
          <w:sz w:val="20"/>
          <w:szCs w:val="20"/>
          <w:color w:val="auto"/>
        </w:rPr>
      </w:pPr>
    </w:p>
    <w:p>
      <w:pPr>
        <w:ind w:right="40" w:firstLine="255"/>
        <w:spacing w:after="0" w:line="282" w:lineRule="auto"/>
        <w:rPr>
          <w:sz w:val="20"/>
          <w:szCs w:val="20"/>
          <w:color w:val="auto"/>
        </w:rPr>
      </w:pPr>
      <w:r>
        <w:rPr>
          <w:rFonts w:ascii="Times New Roman" w:cs="Times New Roman" w:eastAsia="Times New Roman" w:hAnsi="Times New Roman"/>
          <w:sz w:val="18"/>
          <w:szCs w:val="18"/>
          <w:color w:val="auto"/>
        </w:rPr>
        <w:t>The companies in which we invest use our capital to support organic growth, acquisitions, market or product expansion and recapitalizations (including restructurings). As of September 30, 2026, the largest investment in a single issuer based on fair value represented 4.0% of our total investment portfolio.</w:t>
      </w:r>
    </w:p>
    <w:p>
      <w:pPr>
        <w:spacing w:after="0" w:line="162"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As of September 30, 2026, the average investment size in each of our portfolio companies was approximately $118.1 million based on fair value.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4" w:right="359" w:bottom="1440" w:gutter="0" w:footer="0" w:header="0"/>
        </w:sectPr>
      </w:pPr>
    </w:p>
    <w:bookmarkStart w:id="49" w:name="page50"/>
    <w:bookmarkEnd w:id="49"/>
    <w:p>
      <w:pPr>
        <w:ind w:left="260"/>
        <w:spacing w:after="0"/>
        <w:rPr>
          <w:sz w:val="20"/>
          <w:szCs w:val="20"/>
          <w:color w:val="auto"/>
        </w:rPr>
      </w:pPr>
      <w:r>
        <w:rPr>
          <w:rFonts w:ascii="Times New Roman" w:cs="Times New Roman" w:eastAsia="Times New Roman" w:hAnsi="Times New Roman"/>
          <w:sz w:val="18"/>
          <w:szCs w:val="18"/>
          <w:color w:val="auto"/>
        </w:rPr>
        <w:t>Through our Adviser, we consider potential investments utilizing a four-tiered investment framework and against our existing portfolio as a whole:</w:t>
      </w:r>
    </w:p>
    <w:p>
      <w:pPr>
        <w:spacing w:after="0" w:line="223" w:lineRule="exact"/>
        <w:rPr>
          <w:sz w:val="20"/>
          <w:szCs w:val="20"/>
          <w:color w:val="auto"/>
        </w:rPr>
      </w:pPr>
    </w:p>
    <w:p>
      <w:pPr>
        <w:ind w:right="180" w:firstLine="25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Business and sector selection. </w:t>
      </w:r>
      <w:r>
        <w:rPr>
          <w:rFonts w:ascii="Times New Roman" w:cs="Times New Roman" w:eastAsia="Times New Roman" w:hAnsi="Times New Roman"/>
          <w:sz w:val="18"/>
          <w:szCs w:val="18"/>
          <w:color w:val="auto"/>
        </w:rPr>
        <w:t>We focus on companies with enterprise values above $750 million. When reviewing potential investments, we seek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w:t>
      </w:r>
    </w:p>
    <w:p>
      <w:pPr>
        <w:spacing w:after="0" w:line="182" w:lineRule="exact"/>
        <w:rPr>
          <w:sz w:val="20"/>
          <w:szCs w:val="20"/>
          <w:color w:val="auto"/>
        </w:rPr>
      </w:pPr>
    </w:p>
    <w:p>
      <w:pPr>
        <w:ind w:right="40" w:firstLine="255"/>
        <w:spacing w:after="0" w:line="266" w:lineRule="auto"/>
        <w:rPr>
          <w:sz w:val="20"/>
          <w:szCs w:val="20"/>
          <w:color w:val="auto"/>
        </w:rPr>
      </w:pPr>
      <w:r>
        <w:rPr>
          <w:rFonts w:ascii="Times New Roman" w:cs="Times New Roman" w:eastAsia="Times New Roman" w:hAnsi="Times New Roman"/>
          <w:sz w:val="18"/>
          <w:szCs w:val="18"/>
          <w:color w:val="auto"/>
        </w:rPr>
        <w:t>We currently do not limit our focus to any specific industry and we may invest in larger or smaller companies on occasion. We classify the industries of our portfolio companies by end-market (such as healthcare, and business services) and not by the products or services (such as software) directed to those end-markets.</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of September 30, 2026, the largest industry represented 20.9% of our total investment portfolio based on fair value.</w:t>
      </w:r>
    </w:p>
    <w:p>
      <w:pPr>
        <w:spacing w:after="0" w:line="223" w:lineRule="exact"/>
        <w:rPr>
          <w:sz w:val="20"/>
          <w:szCs w:val="20"/>
          <w:color w:val="auto"/>
        </w:rPr>
      </w:pPr>
    </w:p>
    <w:p>
      <w:pPr>
        <w:ind w:right="40" w:firstLine="25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Investment Structuring. </w:t>
      </w:r>
      <w:r>
        <w:rPr>
          <w:rFonts w:ascii="Times New Roman" w:cs="Times New Roman" w:eastAsia="Times New Roman" w:hAnsi="Times New Roman"/>
          <w:sz w:val="18"/>
          <w:szCs w:val="18"/>
          <w:color w:val="auto"/>
        </w:rPr>
        <w:t>We focus on investing at the top of the capital structure and protecting that position. As of September 30, 2026, approximately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94.4% of our portfolio was invested in secured debt, including 94.0% in first-lien debt investments. We carefully perform diligence and 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 medium term, between two to seven years after origination. For the three months ended September 30, 2026, the weighted average term on new debt investment commitments in new portfolio companies was 5.9 years.</w:t>
      </w:r>
    </w:p>
    <w:p>
      <w:pPr>
        <w:spacing w:after="0" w:line="183" w:lineRule="exact"/>
        <w:rPr>
          <w:sz w:val="20"/>
          <w:szCs w:val="20"/>
          <w:color w:val="auto"/>
        </w:rPr>
      </w:pPr>
    </w:p>
    <w:p>
      <w:pPr>
        <w:jc w:val="both"/>
        <w:ind w:right="40" w:firstLine="25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Deal Dynamics. </w:t>
      </w:r>
      <w:r>
        <w:rPr>
          <w:rFonts w:ascii="Times New Roman" w:cs="Times New Roman" w:eastAsia="Times New Roman" w:hAnsi="Times New Roman"/>
          <w:sz w:val="18"/>
          <w:szCs w:val="18"/>
          <w:color w:val="auto"/>
        </w:rPr>
        <w:t>We focus on, among other deal dynamics, direct origination of investments, where we identify and lead the investment transaction.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seek transactions that are too small for the traditional high yield market. We look to invest in companies that value our commitment and ability to originate an investment that meets their goals and fits within their existing capital structure.</w:t>
      </w:r>
    </w:p>
    <w:p>
      <w:pPr>
        <w:spacing w:after="0" w:line="173" w:lineRule="exact"/>
        <w:rPr>
          <w:sz w:val="20"/>
          <w:szCs w:val="20"/>
          <w:color w:val="auto"/>
        </w:rPr>
      </w:pPr>
    </w:p>
    <w:p>
      <w:pPr>
        <w:jc w:val="both"/>
        <w:ind w:right="60" w:firstLine="255"/>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Risk Mitigation. </w:t>
      </w:r>
      <w:r>
        <w:rPr>
          <w:rFonts w:ascii="Times New Roman" w:cs="Times New Roman" w:eastAsia="Times New Roman" w:hAnsi="Times New Roman"/>
          <w:sz w:val="18"/>
          <w:szCs w:val="18"/>
          <w:color w:val="auto"/>
        </w:rPr>
        <w:t>We seek to mitigate non-credit-related risk on our returns in several ways, including call protection provisions to protect future interest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As of September 30, 2026, we had call protection on 82.8% of our debt investments based on fair value, with weighted average call prices of</w:t>
      </w:r>
    </w:p>
    <w:p>
      <w:pPr>
        <w:ind w:right="220"/>
        <w:spacing w:after="0" w:line="255" w:lineRule="auto"/>
        <w:rPr>
          <w:sz w:val="20"/>
          <w:szCs w:val="20"/>
          <w:color w:val="auto"/>
        </w:rPr>
      </w:pPr>
      <w:r>
        <w:rPr>
          <w:rFonts w:ascii="Times New Roman" w:cs="Times New Roman" w:eastAsia="Times New Roman" w:hAnsi="Times New Roman"/>
          <w:sz w:val="18"/>
          <w:szCs w:val="18"/>
          <w:color w:val="auto"/>
        </w:rPr>
        <w:t>108.7% for the first year, 104.7% for the second year and 101.9% for the third year, in each case from the date of the initial investment. As of September 30, 2026, 98.0% of our debt investments based on fair value bore interest at floating rates, with 100% of these subject to interest rate floors, which we believe helps act as a portfolio-wide hedge against inflation.</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Relationship with our Adviser and Sixth Street</w:t>
      </w:r>
    </w:p>
    <w:p>
      <w:pPr>
        <w:spacing w:after="0" w:line="121" w:lineRule="exact"/>
        <w:rPr>
          <w:sz w:val="20"/>
          <w:szCs w:val="20"/>
          <w:color w:val="auto"/>
        </w:rPr>
      </w:pPr>
    </w:p>
    <w:p>
      <w:pPr>
        <w:ind w:firstLine="255"/>
        <w:spacing w:after="0" w:line="255" w:lineRule="auto"/>
        <w:rPr>
          <w:sz w:val="20"/>
          <w:szCs w:val="20"/>
          <w:color w:val="auto"/>
        </w:rPr>
      </w:pPr>
      <w:r>
        <w:rPr>
          <w:rFonts w:ascii="Times New Roman" w:cs="Times New Roman" w:eastAsia="Times New Roman" w:hAnsi="Times New Roman"/>
          <w:sz w:val="18"/>
          <w:szCs w:val="18"/>
          <w:color w:val="auto"/>
        </w:rPr>
        <w:t>Our Adviser is a Delaware limited liability company. Our Adviser acts as our investment adviser and administrator and is a registered investment adviser with the SEC under the Advisers Act. Our Adviser sources and manages our portfolio through a dedicated team of investment professionals predominately focused on direct lending, which we refer to as our Investment Team. Our Investment Team is led by our Adviser's Co-Chief Investment Officer, Co-Head of Sixth Street Direct Lending and Co-Head of Growth Robert 'Bo' Stanley, Co-Head of Direct Lending Michael Griffin and our Adviser’s Co-Founding Partner, Chief Executive Officer and Co-Chief Investment Officer Alan Waxman, all of whom have substantial experience in credit origination, underwriting and asset management. Our investment decisions are made by our Investment Review Committee, which includes senior personnel of our Adviser and affiliates of Sixth Street Partners, LLC, or “Sixth Street.”</w:t>
      </w:r>
    </w:p>
    <w:p>
      <w:pPr>
        <w:spacing w:after="0" w:line="189" w:lineRule="exact"/>
        <w:rPr>
          <w:sz w:val="20"/>
          <w:szCs w:val="20"/>
          <w:color w:val="auto"/>
        </w:rPr>
      </w:pPr>
    </w:p>
    <w:p>
      <w:pPr>
        <w:ind w:right="20" w:firstLine="255"/>
        <w:spacing w:after="0" w:line="253" w:lineRule="auto"/>
        <w:rPr>
          <w:sz w:val="20"/>
          <w:szCs w:val="20"/>
          <w:color w:val="auto"/>
        </w:rPr>
      </w:pPr>
      <w:r>
        <w:rPr>
          <w:rFonts w:ascii="Times New Roman" w:cs="Times New Roman" w:eastAsia="Times New Roman" w:hAnsi="Times New Roman"/>
          <w:sz w:val="18"/>
          <w:szCs w:val="18"/>
          <w:color w:val="auto"/>
        </w:rPr>
        <w:t>Sixth Street is a global investment business with over $140 billion of assets under management as of September 30, 2026. Sixth Street’s direct lending platforms include Sixth Street Specialty Lending and Sixth Street Lending Partners, which are aimed at U.S. middle-market loan originations and upper middle-market loan originations, respectively, and Sixth Street Specialty Lending Europe, which is aimed at European middle-market loan originations. Additional Sixth Street core platforms include Sixth Street TAO, which has the flexibility to invest across all of Sixth Street’s private credit market investments, Sixth Street Opportunities, which focuses on actively managed opportunistic investments across the credit cycle, Sixth Street Credit Market Strategies, which is the firm’s “public-side” credit investment platform focused on investment opportunities in broadly syndicated leveraged loan markets, Sixth Street Growth, which provides financing solutions to growing companies, Sixth Street Fundamental Strategies, which primarily invests in secondary credit, and Sixth Street Agriculture, which invests in niche agricultural opportunities. Sixth Street has a long-term oriented, highly flexible capital base that allows it to invest across industries, geographies, capital structures and asset classes. Sixth Street has extensive experience with highly complex, global public and private investments executed through primary originations, secondary market purchases and restructurings, and has a team of over 750 investment and operating professionals. As of September 30, 2026, eighty-one (81) of these personnel are dedicated to direct lending, including sixty-seven (67) investment professionals.</w:t>
      </w:r>
    </w:p>
    <w:p>
      <w:pPr>
        <w:spacing w:after="0" w:line="190" w:lineRule="exact"/>
        <w:rPr>
          <w:sz w:val="20"/>
          <w:szCs w:val="20"/>
          <w:color w:val="auto"/>
        </w:rPr>
      </w:pPr>
    </w:p>
    <w:p>
      <w:pPr>
        <w:ind w:right="20" w:firstLine="255"/>
        <w:spacing w:after="0" w:line="266" w:lineRule="auto"/>
        <w:rPr>
          <w:sz w:val="20"/>
          <w:szCs w:val="20"/>
          <w:color w:val="auto"/>
        </w:rPr>
      </w:pPr>
      <w:r>
        <w:rPr>
          <w:rFonts w:ascii="Times New Roman" w:cs="Times New Roman" w:eastAsia="Times New Roman" w:hAnsi="Times New Roman"/>
          <w:sz w:val="18"/>
          <w:szCs w:val="18"/>
          <w:color w:val="auto"/>
        </w:rPr>
        <w:t>Our Adviser consults with Sixth Street in connection with a substantial number of our investments. The Sixth Street platform provides us with a breadth of large and scalable investment resources. We believe we benefit from Sixth Street’s market expertise, insights into industry, sector and macroeconomic trends and intensive due diligence capabilities, which help us discern market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50" w:name="page51"/>
    <w:bookmarkEnd w:id="50"/>
    <w:p>
      <w:pPr>
        <w:ind w:right="160"/>
        <w:spacing w:after="0" w:line="312" w:lineRule="auto"/>
        <w:rPr>
          <w:sz w:val="20"/>
          <w:szCs w:val="20"/>
          <w:color w:val="auto"/>
        </w:rPr>
      </w:pPr>
      <w:r>
        <w:rPr>
          <w:rFonts w:ascii="Times New Roman" w:cs="Times New Roman" w:eastAsia="Times New Roman" w:hAnsi="Times New Roman"/>
          <w:sz w:val="17"/>
          <w:szCs w:val="17"/>
          <w:color w:val="auto"/>
        </w:rPr>
        <w:t>conditions that vary across industries and credit cycles, identify favorable investment opportunities and manage our portfolio of investments. The Adviser will determine whether it would be permissible, advisable or otherwise appropriate for us to pursue a particular investment opportunity allocated to us.</w:t>
      </w:r>
    </w:p>
    <w:p>
      <w:pPr>
        <w:spacing w:after="0" w:line="140" w:lineRule="exact"/>
        <w:rPr>
          <w:sz w:val="20"/>
          <w:szCs w:val="20"/>
          <w:color w:val="auto"/>
        </w:rPr>
      </w:pPr>
    </w:p>
    <w:p>
      <w:pPr>
        <w:ind w:right="60" w:firstLine="255"/>
        <w:spacing w:after="0" w:line="266" w:lineRule="auto"/>
        <w:rPr>
          <w:sz w:val="20"/>
          <w:szCs w:val="20"/>
          <w:color w:val="auto"/>
        </w:rPr>
      </w:pPr>
      <w:r>
        <w:rPr>
          <w:rFonts w:ascii="Times New Roman" w:cs="Times New Roman" w:eastAsia="Times New Roman" w:hAnsi="Times New Roman"/>
          <w:sz w:val="18"/>
          <w:szCs w:val="18"/>
          <w:color w:val="auto"/>
        </w:rPr>
        <w:t>On May 6, 2025, we, the Adviser and certain of our affiliates were granted an exemptive order from the SEC that allows us to co-invest, subject to certain conditions, with certain of our affiliates (including affiliates of Sixth Street) in middle-market loan origination activities for companies domiciled in the United States.</w:t>
      </w:r>
    </w:p>
    <w:p>
      <w:pPr>
        <w:spacing w:after="0" w:line="176" w:lineRule="exact"/>
        <w:rPr>
          <w:sz w:val="20"/>
          <w:szCs w:val="20"/>
          <w:color w:val="auto"/>
        </w:rPr>
      </w:pPr>
    </w:p>
    <w:p>
      <w:pPr>
        <w:ind w:right="80" w:firstLine="255"/>
        <w:spacing w:after="0" w:line="261" w:lineRule="auto"/>
        <w:rPr>
          <w:sz w:val="20"/>
          <w:szCs w:val="20"/>
          <w:color w:val="auto"/>
        </w:rPr>
      </w:pPr>
      <w:r>
        <w:rPr>
          <w:rFonts w:ascii="Times New Roman" w:cs="Times New Roman" w:eastAsia="Times New Roman" w:hAnsi="Times New Roman"/>
          <w:sz w:val="18"/>
          <w:szCs w:val="18"/>
          <w:color w:val="auto"/>
        </w:rPr>
        <w:t>We believe our ability to co-invest with Sixth Street affiliates is particularly useful where we identify larger capital commitments than otherwise would be appropriate for us. We expect that with the ability to co-invest with Sixth Street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80"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Under the terms of the Investment Advisory Agreement and Administration Agreement, the Adviser’s services are not exclusive, and the Adviser is free to furnish similar or other services to others, so long as its services to us are not impaired. Under the terms of the Investment Advisory Agreement, we will pay the Adviser the base management fee, or the Management Fee, and may also pay certain incentive fees (the "Incentive Fees").</w:t>
      </w:r>
    </w:p>
    <w:p>
      <w:pPr>
        <w:spacing w:after="0" w:line="176" w:lineRule="exact"/>
        <w:rPr>
          <w:sz w:val="20"/>
          <w:szCs w:val="20"/>
          <w:color w:val="auto"/>
        </w:rPr>
      </w:pPr>
    </w:p>
    <w:p>
      <w:pPr>
        <w:ind w:right="320" w:firstLine="255"/>
        <w:spacing w:after="0" w:line="261" w:lineRule="auto"/>
        <w:rPr>
          <w:sz w:val="20"/>
          <w:szCs w:val="20"/>
          <w:color w:val="auto"/>
        </w:rPr>
      </w:pPr>
      <w:r>
        <w:rPr>
          <w:rFonts w:ascii="Times New Roman" w:cs="Times New Roman" w:eastAsia="Times New Roman" w:hAnsi="Times New Roman"/>
          <w:sz w:val="18"/>
          <w:szCs w:val="18"/>
          <w:color w:val="auto"/>
        </w:rPr>
        <w:t>Under the terms of the Administration Agreement, the Adviser also provides administrative services to us. These services include providing office space, equipment and office services, maintaining financial records, preparing reports to shareholders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Economic Conditions</w:t>
      </w:r>
    </w:p>
    <w:p>
      <w:pPr>
        <w:spacing w:after="0" w:line="175" w:lineRule="exact"/>
        <w:rPr>
          <w:sz w:val="20"/>
          <w:szCs w:val="20"/>
          <w:color w:val="auto"/>
        </w:rPr>
      </w:pPr>
    </w:p>
    <w:p>
      <w:pPr>
        <w:ind w:right="160" w:firstLine="255"/>
        <w:spacing w:after="0" w:line="266" w:lineRule="auto"/>
        <w:rPr>
          <w:sz w:val="20"/>
          <w:szCs w:val="20"/>
          <w:color w:val="auto"/>
        </w:rPr>
      </w:pPr>
      <w:r>
        <w:rPr>
          <w:rFonts w:ascii="Times New Roman" w:cs="Times New Roman" w:eastAsia="Times New Roman" w:hAnsi="Times New Roman"/>
          <w:sz w:val="18"/>
          <w:szCs w:val="18"/>
          <w:color w:val="auto"/>
        </w:rPr>
        <w:t>To date, 2026 has been marked by continued uncertainty in global markets, driven by investor concerns over inflation, elevated interest rates, ongoing political and regulatory uncertainty, including potential shifts in U.S. trade policy and the imposition of new tariffs, as well as geopolitical instability stemming from the conflicts in Iran and elsewhere in the Middle East and Ukraine.</w:t>
      </w:r>
    </w:p>
    <w:p>
      <w:pPr>
        <w:spacing w:after="0" w:line="176" w:lineRule="exact"/>
        <w:rPr>
          <w:sz w:val="20"/>
          <w:szCs w:val="20"/>
          <w:color w:val="auto"/>
        </w:rPr>
      </w:pPr>
    </w:p>
    <w:p>
      <w:pPr>
        <w:ind w:right="100" w:firstLine="255"/>
        <w:spacing w:after="0" w:line="254" w:lineRule="auto"/>
        <w:rPr>
          <w:sz w:val="20"/>
          <w:szCs w:val="20"/>
          <w:color w:val="auto"/>
        </w:rPr>
      </w:pPr>
      <w:r>
        <w:rPr>
          <w:rFonts w:ascii="Times New Roman" w:cs="Times New Roman" w:eastAsia="Times New Roman" w:hAnsi="Times New Roman"/>
          <w:sz w:val="18"/>
          <w:szCs w:val="18"/>
          <w:color w:val="auto"/>
        </w:rPr>
        <w:t>Further contributing to economic uncertainty, the current U.S. presidential administration has implemented and may continue to implement, significant changes to U.S. trade policy, tax policy and the enforcement of various regulations and a reduction of the size of the federal government (and government spending). These policy shifts could introduce additional market instability and reduce investor confidence. For example, the U.S. government has introduced tariffs on goods imported from various countries to the United States and countries subject to such tariffs have imposed, or may in the future, impose reciprocal or retaliatory tariffs and other trade measures. We are actively monitoring macroeconomic developments and analyzing the potential impacts on our business, the businesses of our portfolio companies and the broader economic environment. In light of these developments, there can be no assurances that political and regulatory conditions will not worsen and/or adversely affect the Company, its portfolio companies or their respective financial performance.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Our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focus primarily on the direct origination of loans to upper middle-market companies domiciled in the United States.</w:t>
      </w:r>
    </w:p>
    <w:p>
      <w:pPr>
        <w:spacing w:after="0" w:line="225" w:lineRule="exact"/>
        <w:rPr>
          <w:sz w:val="20"/>
          <w:szCs w:val="20"/>
          <w:color w:val="auto"/>
        </w:rPr>
      </w:pPr>
    </w:p>
    <w:p>
      <w:pPr>
        <w:ind w:right="60" w:firstLine="255"/>
        <w:spacing w:after="0" w:line="266" w:lineRule="auto"/>
        <w:rPr>
          <w:sz w:val="20"/>
          <w:szCs w:val="20"/>
          <w:color w:val="auto"/>
        </w:rPr>
      </w:pPr>
      <w:r>
        <w:rPr>
          <w:rFonts w:ascii="Times New Roman" w:cs="Times New Roman" w:eastAsia="Times New Roman" w:hAnsi="Times New Roman"/>
          <w:sz w:val="18"/>
          <w:szCs w:val="18"/>
          <w:color w:val="auto"/>
        </w:rPr>
        <w:t>Our level of investment activity (both the number of investments and the size of each investment) can and does vary substantially from period to period depending on many factors, including the amount of debt and equity capital generally available to middle-market companies, the level of merger and acquisition activity for such companies, the general economic environment and the competitive environment for the types of investments we make.</w:t>
      </w:r>
    </w:p>
    <w:p>
      <w:pPr>
        <w:spacing w:after="0" w:line="176" w:lineRule="exact"/>
        <w:rPr>
          <w:sz w:val="20"/>
          <w:szCs w:val="20"/>
          <w:color w:val="auto"/>
        </w:rPr>
      </w:pPr>
    </w:p>
    <w:p>
      <w:pPr>
        <w:ind w:right="280" w:firstLine="255"/>
        <w:spacing w:after="0" w:line="282" w:lineRule="auto"/>
        <w:rPr>
          <w:sz w:val="20"/>
          <w:szCs w:val="20"/>
          <w:color w:val="auto"/>
        </w:rPr>
      </w:pPr>
      <w:r>
        <w:rPr>
          <w:rFonts w:ascii="Times New Roman" w:cs="Times New Roman" w:eastAsia="Times New Roman" w:hAnsi="Times New Roman"/>
          <w:sz w:val="18"/>
          <w:szCs w:val="18"/>
          <w:color w:val="auto"/>
        </w:rPr>
        <w:t>In addition, as part of our risk strategy on investments, we may reduce certain levels of investments through partial sales or syndication to additional investors.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firstLine="255"/>
        <w:spacing w:after="0" w:line="255" w:lineRule="auto"/>
        <w:rPr>
          <w:sz w:val="20"/>
          <w:szCs w:val="20"/>
          <w:color w:val="auto"/>
        </w:rPr>
      </w:pPr>
      <w:r>
        <w:rPr>
          <w:rFonts w:ascii="Times New Roman" w:cs="Times New Roman" w:eastAsia="Times New Roman" w:hAnsi="Times New Roman"/>
          <w:sz w:val="18"/>
          <w:szCs w:val="18"/>
          <w:color w:val="auto"/>
        </w:rPr>
        <w:t>We generate revenues primarily in the form of interest income from the investments we hold. In addition, we may generate income from dividends on direct equity investments, capital gains on the sale of investments and various loan origination and other fees. Our debt investments typically have a term of two to seven years, and, as of September 30, 2026, 98.0% of these investments based on fair value bore interest at a floating rate, with 100% of these subject to interest rate floors. Interest on debt investments is generally payable monthly or quarterly. Some of our investments provide for deferred interest payments or PIK interest. For the three and nine months ended September 30, 2026, 8.5% and 8.2%, respectively, of our total investment income was comprised of PIK interest. For the three and nine months ended September 30, 2025, 8.0% and 7.0%, respectively, of our total investment income was comprised of PIK interest.</w:t>
      </w:r>
    </w:p>
    <w:p>
      <w:pPr>
        <w:spacing w:after="0" w:line="189" w:lineRule="exact"/>
        <w:rPr>
          <w:sz w:val="20"/>
          <w:szCs w:val="20"/>
          <w:color w:val="auto"/>
        </w:rPr>
      </w:pPr>
    </w:p>
    <w:p>
      <w:pPr>
        <w:ind w:right="60" w:firstLine="255"/>
        <w:spacing w:after="0" w:line="255" w:lineRule="auto"/>
        <w:rPr>
          <w:sz w:val="20"/>
          <w:szCs w:val="20"/>
          <w:color w:val="auto"/>
        </w:rPr>
      </w:pPr>
      <w:r>
        <w:rPr>
          <w:rFonts w:ascii="Times New Roman" w:cs="Times New Roman" w:eastAsia="Times New Roman" w:hAnsi="Times New Roman"/>
          <w:sz w:val="18"/>
          <w:szCs w:val="18"/>
          <w:color w:val="auto"/>
        </w:rPr>
        <w:t>Changes in our net investment income are primarily driven by the spread between the payments we receive from our investments in our portfolio companies against our cost of funding and fees related to portfolio activity, rather than by changes in interest rates. Our investment portfolio primarily consists of floating rate loans, and our Credit Facilities, all bear interest at floating rates. Macro trends in base interest rates like SOFR or other reference rates may affect our net investment income over the long term. However, because we generally originate loans to a limited number of portfolio companies each quarter, and those investments also vary in size, our results in any given period, including the interest rate on investments that were sold or repaid in a period compared to the interest rate of new investments made during that period—often are idiosyncratic, and reflect the characteristics of the particular portfolio companies that we invested in or exited during the period and not necessarily any trends in our business.</w:t>
      </w:r>
    </w:p>
    <w:p>
      <w:pPr>
        <w:spacing w:after="0" w:line="189"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8"/>
          <w:szCs w:val="18"/>
          <w:color w:val="auto"/>
        </w:rPr>
        <w:t>In addition to interest income, our net investment income may also be driven by prepayment and other fees, which also can vary significantly from quarter to quarter. The level of prepayment fees is generally correlated to the movement in credit spreads and risk premiums, but also will vary based on corporate events that may take place at an individual portfolio company in a given period—e.g., merger and acquisition activity, initial public offerings and restructurings. As noted above, generally a small but varied number of portfolio companies may make prepayments in any quarter, meaning that changes in the amount of prepayment fees received can vary significantly between periods and can vary without regard to underlying credit trends.</w:t>
      </w:r>
    </w:p>
    <w:p>
      <w:pPr>
        <w:spacing w:after="0" w:line="183"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8"/>
          <w:szCs w:val="18"/>
          <w:color w:val="auto"/>
        </w:rPr>
        <w:t>Loan origination fees, original issue discount and market discount or premium are capitalized, and we accrete or amortize such amounts as interest income using the effective interest method for term instruments and the straight-line method for revolving or delayed draw instruments. Repayments of our debt investments can reduce interest income from period to period. We record prepayment premiums on loans as interest income when earned. We also may generate revenue in the form of commitment, amendment, structuring, syndication or due diligence fees, fees for providing managerial assistance and consulting fees. The frequency or volume of these items of revenue may fluctuate significantly.</w:t>
      </w:r>
    </w:p>
    <w:p>
      <w:pPr>
        <w:spacing w:after="0" w:line="183" w:lineRule="exact"/>
        <w:rPr>
          <w:sz w:val="20"/>
          <w:szCs w:val="20"/>
          <w:color w:val="auto"/>
        </w:rPr>
      </w:pPr>
    </w:p>
    <w:p>
      <w:pPr>
        <w:ind w:right="140" w:firstLine="255"/>
        <w:spacing w:after="0" w:line="282" w:lineRule="auto"/>
        <w:rPr>
          <w:sz w:val="20"/>
          <w:szCs w:val="20"/>
          <w:color w:val="auto"/>
        </w:rPr>
      </w:pPr>
      <w:r>
        <w:rPr>
          <w:rFonts w:ascii="Times New Roman" w:cs="Times New Roman" w:eastAsia="Times New Roman" w:hAnsi="Times New Roman"/>
          <w:sz w:val="18"/>
          <w:szCs w:val="18"/>
          <w:color w:val="auto"/>
        </w:rPr>
        <w:t>Dividend income on common equity investments is recorded on the record date for private portfolio companies or on the ex-dividend date for publicly traded portfolio companies.</w:t>
      </w:r>
    </w:p>
    <w:p>
      <w:pPr>
        <w:spacing w:after="0" w:line="162" w:lineRule="exact"/>
        <w:rPr>
          <w:sz w:val="20"/>
          <w:szCs w:val="20"/>
          <w:color w:val="auto"/>
        </w:rPr>
      </w:pPr>
    </w:p>
    <w:p>
      <w:pPr>
        <w:ind w:right="260" w:firstLine="255"/>
        <w:spacing w:after="0" w:line="261" w:lineRule="auto"/>
        <w:rPr>
          <w:sz w:val="20"/>
          <w:szCs w:val="20"/>
          <w:color w:val="auto"/>
        </w:rPr>
      </w:pPr>
      <w:r>
        <w:rPr>
          <w:rFonts w:ascii="Times New Roman" w:cs="Times New Roman" w:eastAsia="Times New Roman" w:hAnsi="Times New Roman"/>
          <w:sz w:val="18"/>
          <w:szCs w:val="18"/>
          <w:color w:val="auto"/>
        </w:rPr>
        <w:t>Our portfolio activity also reflects the proceeds of sales of investments. We recognize realized gains or losses on investments based on the difference between the net proceeds from the disposition and the amortized cost basis of the investment without regard to unrealized gains or losses previously recognized. We record current period changes in fair value of investments that are measured at fair value as a component of the net change in unrealized gains (losses) on investments in the Consolidated Statements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21" w:lineRule="exact"/>
        <w:rPr>
          <w:sz w:val="20"/>
          <w:szCs w:val="20"/>
          <w:color w:val="auto"/>
        </w:rPr>
      </w:pPr>
    </w:p>
    <w:p>
      <w:pPr>
        <w:ind w:right="80" w:firstLine="255"/>
        <w:spacing w:after="0" w:line="266" w:lineRule="auto"/>
        <w:rPr>
          <w:sz w:val="20"/>
          <w:szCs w:val="20"/>
          <w:color w:val="auto"/>
        </w:rPr>
      </w:pPr>
      <w:r>
        <w:rPr>
          <w:rFonts w:ascii="Times New Roman" w:cs="Times New Roman" w:eastAsia="Times New Roman" w:hAnsi="Times New Roman"/>
          <w:sz w:val="18"/>
          <w:szCs w:val="18"/>
          <w:color w:val="auto"/>
        </w:rPr>
        <w:t>Our primary operating expenses include the payment of fees to our Adviser under the Investment Advisory Agreement, expenses reimbursable under the Administration Agreement and other operating costs described below. Additionally, we pay interest expense on our outstanding debt. We bear all other costs and expenses of our operations, administration and transactions, including those relating to:</w:t>
      </w:r>
    </w:p>
    <w:p>
      <w:pPr>
        <w:spacing w:after="0" w:line="68" w:lineRule="exact"/>
        <w:rPr>
          <w:sz w:val="20"/>
          <w:szCs w:val="20"/>
          <w:color w:val="auto"/>
        </w:rPr>
      </w:pPr>
    </w:p>
    <w:p>
      <w:pPr>
        <w:jc w:val="both"/>
        <w:ind w:left="520" w:right="440" w:hanging="257"/>
        <w:spacing w:after="0" w:line="266" w:lineRule="auto"/>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organizational and offering expenses related to the Company’s initial private offering of Common Shares (up to an aggregate of 0.10% of total capital commitments to the Company, it being understood and agreed that the Adviser shall bear all such organizational and offering expenses related to the Company’s initial private offering of Common Shares in excess of such amount);</w:t>
      </w:r>
    </w:p>
    <w:p>
      <w:pPr>
        <w:spacing w:after="0" w:line="6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calculating individual asset values and our net asset value (including the cost and expenses of any independent valuation firms);</w:t>
      </w:r>
    </w:p>
    <w:p>
      <w:pPr>
        <w:spacing w:after="0" w:line="117" w:lineRule="exact"/>
        <w:rPr>
          <w:rFonts w:ascii="Times New Roman" w:cs="Times New Roman" w:eastAsia="Times New Roman" w:hAnsi="Times New Roman"/>
          <w:sz w:val="18"/>
          <w:szCs w:val="18"/>
          <w:color w:val="auto"/>
        </w:rPr>
      </w:pPr>
    </w:p>
    <w:p>
      <w:pPr>
        <w:ind w:left="520" w:right="280" w:hanging="257"/>
        <w:spacing w:after="0" w:line="266" w:lineRule="auto"/>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6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any public offerings of our Common Shares and other securities, including registration and listing fees;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Management Fee and any Incentive Fee;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52" w:name="page53"/>
    <w:bookmarkEnd w:id="52"/>
    <w:p>
      <w:pPr>
        <w:ind w:left="520" w:hanging="257"/>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costs and expenses relating to distributions paid on our Common Shares;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administration fees payable under our Administration Agreement;</w:t>
      </w:r>
    </w:p>
    <w:p>
      <w:pPr>
        <w:spacing w:after="0" w:line="117" w:lineRule="exact"/>
        <w:rPr>
          <w:rFonts w:ascii="Times New Roman" w:cs="Times New Roman" w:eastAsia="Times New Roman" w:hAnsi="Times New Roman"/>
          <w:sz w:val="18"/>
          <w:szCs w:val="18"/>
          <w:color w:val="auto"/>
        </w:rPr>
      </w:pPr>
    </w:p>
    <w:p>
      <w:pPr>
        <w:ind w:left="520" w:hanging="257"/>
        <w:spacing w:after="0" w:line="258"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Financial Officer, Chief Compliance Officer and other professionals who provide operational and administrative services to us pursuant to the Administration Agreement (based on the percentage of time those individuals devote, on an estimated basis, to our business and affairs);</w:t>
      </w:r>
    </w:p>
    <w:p>
      <w:pPr>
        <w:spacing w:after="0" w:line="75"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service and other costs of borrowings or other financing arrangements;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Adviser’s allocable share of costs incurred in providing significant managerial assistance to those portfolio companies that request it;</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payable to third parties relating to, or associated with, making or holding investments;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agent and custodial fees;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hedging;</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commissions and other compensation payable to brokers or dealers;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Trustees fees and expenses;</w:t>
      </w:r>
    </w:p>
    <w:p>
      <w:pPr>
        <w:spacing w:after="0" w:line="117" w:lineRule="exact"/>
        <w:rPr>
          <w:rFonts w:ascii="Times New Roman" w:cs="Times New Roman" w:eastAsia="Times New Roman" w:hAnsi="Times New Roman"/>
          <w:sz w:val="18"/>
          <w:szCs w:val="18"/>
          <w:color w:val="auto"/>
        </w:rPr>
      </w:pPr>
    </w:p>
    <w:p>
      <w:pPr>
        <w:ind w:left="520" w:right="120" w:hanging="257"/>
        <w:spacing w:after="0" w:line="282"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any reports, proxy statements or other notices to our shareholders (including printing and mailing costs), the costs of any shareholders’ meetings and the compensation of investor relations personnel responsible for the preparation of the foregoing and related matters;</w:t>
      </w:r>
    </w:p>
    <w:p>
      <w:pPr>
        <w:spacing w:after="0" w:line="53"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fidelity bond;</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trustees and officers/errors and omissions liability insurance, and any other insurance premiums;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payments;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costs and expenses of administration, including audit, accounting, consulting and legal costs; and</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expenses reasonably incurred by us in connection with making investments and administering our business.</w:t>
      </w:r>
    </w:p>
    <w:p>
      <w:pPr>
        <w:spacing w:after="0" w:line="225" w:lineRule="exact"/>
        <w:rPr>
          <w:sz w:val="20"/>
          <w:szCs w:val="20"/>
          <w:color w:val="auto"/>
        </w:rPr>
      </w:pPr>
    </w:p>
    <w:p>
      <w:pPr>
        <w:ind w:right="140" w:firstLine="255"/>
        <w:spacing w:after="0" w:line="282" w:lineRule="auto"/>
        <w:rPr>
          <w:sz w:val="20"/>
          <w:szCs w:val="20"/>
          <w:color w:val="auto"/>
        </w:rPr>
      </w:pPr>
      <w:r>
        <w:rPr>
          <w:rFonts w:ascii="Times New Roman" w:cs="Times New Roman" w:eastAsia="Times New Roman" w:hAnsi="Times New Roman"/>
          <w:sz w:val="18"/>
          <w:szCs w:val="18"/>
          <w:color w:val="auto"/>
        </w:rPr>
        <w:t>We expect that during periods of asset growth, our general and administrative expenses will be relatively stable or will decline as a percentage of total assets, and will increase as a percentage of total assets during periods of asset declines.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Leverage</w:t>
      </w:r>
    </w:p>
    <w:p>
      <w:pPr>
        <w:spacing w:after="0" w:line="121" w:lineRule="exact"/>
        <w:rPr>
          <w:sz w:val="20"/>
          <w:szCs w:val="20"/>
          <w:color w:val="auto"/>
        </w:rPr>
      </w:pPr>
    </w:p>
    <w:p>
      <w:pPr>
        <w:ind w:right="80" w:firstLine="255"/>
        <w:spacing w:after="0" w:line="256" w:lineRule="auto"/>
        <w:rPr>
          <w:sz w:val="20"/>
          <w:szCs w:val="20"/>
          <w:color w:val="auto"/>
        </w:rPr>
      </w:pPr>
      <w:r>
        <w:rPr>
          <w:rFonts w:ascii="Times New Roman" w:cs="Times New Roman" w:eastAsia="Times New Roman" w:hAnsi="Times New Roman"/>
          <w:sz w:val="18"/>
          <w:szCs w:val="18"/>
          <w:color w:val="auto"/>
        </w:rPr>
        <w:t>While as a BDC the amount of leverage that we are permitted to use is limited in significant respects, we use leverage to increase our ability to make investments. The amount of leverage we use in any period depends on a variety of factors, including cash available for investing, the cost of financing and general economic and market conditions, however, under the 1940 Act, our total borrowings are limited so that our asset coverage ratio cannot fall below 150% immediately after any borrowing, as defined in the 1940 Act. In any period, our interest expense will depend largely on the extent of our borrowing and we expect interest expense will increase as we increase leverage over time within the limits of the 1940 Act. In addition, we may dedicate assets as collateral to financing facilities from time to time.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Trends</w:t>
      </w:r>
    </w:p>
    <w:p>
      <w:pPr>
        <w:spacing w:after="0" w:line="121" w:lineRule="exact"/>
        <w:rPr>
          <w:sz w:val="20"/>
          <w:szCs w:val="20"/>
          <w:color w:val="auto"/>
        </w:rPr>
      </w:pPr>
    </w:p>
    <w:p>
      <w:pPr>
        <w:ind w:right="100" w:firstLine="255"/>
        <w:spacing w:after="0" w:line="266" w:lineRule="auto"/>
        <w:rPr>
          <w:sz w:val="20"/>
          <w:szCs w:val="20"/>
          <w:color w:val="auto"/>
        </w:rPr>
      </w:pPr>
      <w:r>
        <w:rPr>
          <w:rFonts w:ascii="Times New Roman" w:cs="Times New Roman" w:eastAsia="Times New Roman" w:hAnsi="Times New Roman"/>
          <w:sz w:val="18"/>
          <w:szCs w:val="18"/>
          <w:color w:val="auto"/>
        </w:rPr>
        <w:t>We believe trends in the middle-market lending environment, including the limited availability of capital from traditional regulated financial institutions, strong demand for debt capital and specialized lending requirements, are likely to continue to create favorable opportunities for us to invest at attractive risk-adjusted rates.</w:t>
      </w:r>
    </w:p>
    <w:p>
      <w:pPr>
        <w:spacing w:after="0" w:line="176"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8"/>
          <w:szCs w:val="18"/>
          <w:color w:val="auto"/>
        </w:rPr>
        <w:t>Subsequent to the global financial crisis, the implementation of regulatory changes such as Basel III requirements, Leverage Lending Guidance, and the Volcker Rule, tightened risk appetites and reduced the capacity of traditional lenders to serve middle-market companies. We believe that these dynamics have created a significant opportunity for us to directly originate investments. We also believe that the large amount of uninvested capital held by private equity firms will continue to drive deal activity, which may in turn create additional demand for debt capital.</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53" w:name="page54"/>
    <w:bookmarkEnd w:id="53"/>
    <w:p>
      <w:pPr>
        <w:ind w:right="160" w:firstLine="255"/>
        <w:spacing w:after="0" w:line="261" w:lineRule="auto"/>
        <w:rPr>
          <w:sz w:val="20"/>
          <w:szCs w:val="20"/>
          <w:color w:val="auto"/>
        </w:rPr>
      </w:pPr>
      <w:r>
        <w:rPr>
          <w:rFonts w:ascii="Times New Roman" w:cs="Times New Roman" w:eastAsia="Times New Roman" w:hAnsi="Times New Roman"/>
          <w:sz w:val="18"/>
          <w:szCs w:val="18"/>
          <w:color w:val="auto"/>
        </w:rPr>
        <w:t>This market dynamic is further exacerbated by the specialized due diligence and underwriting capabilities, as well as extensive ongoing monitoring, required for middle-market lending. We believe middle-market lending is generally more labor-intensive than lending to larger companies due to smaller investment sizes and the lack of publicly available information on these companies. As a result, the opportunities for dedicated private lenders such as us have continued to expand.</w:t>
      </w:r>
    </w:p>
    <w:p>
      <w:pPr>
        <w:spacing w:after="0" w:line="180"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8"/>
          <w:szCs w:val="18"/>
          <w:color w:val="auto"/>
        </w:rPr>
        <w:t>An imbalance between the supply of, and demand for, middle-market debt capital creates attractive pricing dynamics for investors such as BDCs. The negotiated nature of middle-market financings also generally provides for more favorable terms to the lenders, including stronger covenant and reporting packages, better call protection and lender-protective change of control provisions. We believe that BDCs have flexibility to develop loans that reflect each borrower’s distinct situation, provide long-term relationships and a potential source for future capital, which renders BDCs, including us, attractive lenders.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Portfolio and Investment Activity</w:t>
      </w:r>
    </w:p>
    <w:p>
      <w:pPr>
        <w:spacing w:after="0" w:line="121" w:lineRule="exact"/>
        <w:rPr>
          <w:sz w:val="20"/>
          <w:szCs w:val="20"/>
          <w:color w:val="auto"/>
        </w:rPr>
      </w:pPr>
    </w:p>
    <w:p>
      <w:pPr>
        <w:ind w:firstLine="255"/>
        <w:spacing w:after="0" w:line="266" w:lineRule="auto"/>
        <w:rPr>
          <w:sz w:val="20"/>
          <w:szCs w:val="20"/>
          <w:color w:val="auto"/>
        </w:rPr>
      </w:pPr>
      <w:r>
        <w:rPr>
          <w:rFonts w:ascii="Times New Roman" w:cs="Times New Roman" w:eastAsia="Times New Roman" w:hAnsi="Times New Roman"/>
          <w:sz w:val="18"/>
          <w:szCs w:val="18"/>
          <w:color w:val="auto"/>
        </w:rPr>
        <w:t>As of September 30, 2026, our portfolio based on fair value consisted of 94.0% first-lien debt investments, 0.4% second-lien debt investments, 2.6% mezzanine investments, 0.4% joint venture investments and 2.6% equity investments. As of December 31, 2025, our portfolio based on fair value consisted of 94.5% first-lien debt investments, 0.5% second-lien debt investments, 2.7% mezzanine investments and 2.3% equity investments.</w:t>
      </w:r>
    </w:p>
    <w:p>
      <w:pPr>
        <w:spacing w:after="0" w:line="68" w:lineRule="exact"/>
        <w:rPr>
          <w:sz w:val="20"/>
          <w:szCs w:val="20"/>
          <w:color w:val="auto"/>
        </w:rPr>
      </w:pPr>
    </w:p>
    <w:p>
      <w:pPr>
        <w:ind w:firstLine="255"/>
        <w:spacing w:after="0" w:line="266" w:lineRule="auto"/>
        <w:rPr>
          <w:sz w:val="20"/>
          <w:szCs w:val="20"/>
          <w:color w:val="auto"/>
        </w:rPr>
      </w:pPr>
      <w:r>
        <w:rPr>
          <w:rFonts w:ascii="Times New Roman" w:cs="Times New Roman" w:eastAsia="Times New Roman" w:hAnsi="Times New Roman"/>
          <w:sz w:val="18"/>
          <w:szCs w:val="18"/>
          <w:color w:val="auto"/>
        </w:rPr>
        <w:t>As of September 30, 2026 and December 31, 2025, our weighted average total yield of debt and income-producing securities at fair value (which includes interest income and amortization of fees and discounts) was 10.4% and 10.0% respectively, and our weighted average total yield of debt and income-producing securities at amortized cost (which includes interest income and amortization of fees and discounts) was 10.4% and 10.3%, respectively.</w:t>
      </w:r>
    </w:p>
    <w:p>
      <w:pPr>
        <w:spacing w:after="0" w:line="68" w:lineRule="exact"/>
        <w:rPr>
          <w:sz w:val="20"/>
          <w:szCs w:val="20"/>
          <w:color w:val="auto"/>
        </w:rPr>
      </w:pPr>
    </w:p>
    <w:p>
      <w:pPr>
        <w:ind w:right="100" w:firstLine="255"/>
        <w:spacing w:after="0" w:line="282" w:lineRule="auto"/>
        <w:rPr>
          <w:sz w:val="20"/>
          <w:szCs w:val="20"/>
          <w:color w:val="auto"/>
        </w:rPr>
      </w:pPr>
      <w:r>
        <w:rPr>
          <w:rFonts w:ascii="Times New Roman" w:cs="Times New Roman" w:eastAsia="Times New Roman" w:hAnsi="Times New Roman"/>
          <w:sz w:val="18"/>
          <w:szCs w:val="18"/>
          <w:color w:val="auto"/>
        </w:rPr>
        <w:t>As of September 30, 2026 and December 31, 2025, we had investments in 78 and 74 portfolio companies, respectively, with an aggregate fair value of $9,213.2 million and $8,108.7 million.</w:t>
      </w:r>
    </w:p>
    <w:p>
      <w:pPr>
        <w:spacing w:after="0" w:line="54" w:lineRule="exact"/>
        <w:rPr>
          <w:sz w:val="20"/>
          <w:szCs w:val="20"/>
          <w:color w:val="auto"/>
        </w:rPr>
      </w:pPr>
    </w:p>
    <w:p>
      <w:pPr>
        <w:ind w:right="200" w:firstLine="255"/>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2026, the principal amount of new investments funded was $987.2 million in six new portfolio companies and four existing portfolio companies. For this period, we had $415.6 million aggregate principal amount in exits, sales and repayments.</w:t>
      </w:r>
    </w:p>
    <w:p>
      <w:pPr>
        <w:spacing w:after="0" w:line="54" w:lineRule="exact"/>
        <w:rPr>
          <w:sz w:val="20"/>
          <w:szCs w:val="20"/>
          <w:color w:val="auto"/>
        </w:rPr>
      </w:pPr>
    </w:p>
    <w:p>
      <w:pPr>
        <w:ind w:right="120" w:firstLine="255"/>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2025, the principal amount of new investments funded was $694.3 million in four new portfolio companies and five existing portfolio companies. For this period, we had $508.8 million aggregate principal amount in exits, sales and repayments.</w:t>
      </w:r>
    </w:p>
    <w:p>
      <w:pPr>
        <w:spacing w:after="0" w:line="54" w:lineRule="exact"/>
        <w:rPr>
          <w:sz w:val="20"/>
          <w:szCs w:val="20"/>
          <w:color w:val="auto"/>
        </w:rPr>
      </w:pPr>
    </w:p>
    <w:p>
      <w:pPr>
        <w:ind w:right="20" w:firstLine="255"/>
        <w:spacing w:after="0" w:line="282" w:lineRule="auto"/>
        <w:rPr>
          <w:sz w:val="20"/>
          <w:szCs w:val="20"/>
          <w:color w:val="auto"/>
        </w:rPr>
      </w:pPr>
      <w:r>
        <w:rPr>
          <w:rFonts w:ascii="Times New Roman" w:cs="Times New Roman" w:eastAsia="Times New Roman" w:hAnsi="Times New Roman"/>
          <w:sz w:val="18"/>
          <w:szCs w:val="18"/>
          <w:color w:val="auto"/>
        </w:rPr>
        <w:t>Our investment activity for the three months ended September 30, 2026 and September 30, 2025, is presented below (information presented herein is at par value unless otherwise indicated).</w:t>
      </w: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8" w:right="37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73"/>
        </w:trPr>
        <w:tc>
          <w:tcPr>
            <w:tcW w:w="360" w:type="dxa"/>
            <w:vAlign w:val="bottom"/>
          </w:tcPr>
          <w:p>
            <w:pPr>
              <w:spacing w:after="0"/>
              <w:rPr>
                <w:sz w:val="15"/>
                <w:szCs w:val="15"/>
                <w:color w:val="auto"/>
              </w:rPr>
            </w:pPr>
          </w:p>
        </w:tc>
        <w:tc>
          <w:tcPr>
            <w:tcW w:w="5620" w:type="dxa"/>
            <w:vAlign w:val="bottom"/>
            <w:gridSpan w:val="2"/>
            <w:vMerge w:val="restart"/>
          </w:tcPr>
          <w:p>
            <w:pPr>
              <w:ind w:left="820"/>
              <w:spacing w:after="0"/>
              <w:rPr>
                <w:sz w:val="20"/>
                <w:szCs w:val="20"/>
                <w:color w:val="auto"/>
              </w:rPr>
            </w:pPr>
            <w:r>
              <w:rPr>
                <w:rFonts w:ascii="Times New Roman" w:cs="Times New Roman" w:eastAsia="Times New Roman" w:hAnsi="Times New Roman"/>
                <w:sz w:val="14"/>
                <w:szCs w:val="14"/>
                <w:color w:val="auto"/>
              </w:rPr>
              <w:t>($ in millions)</w:t>
            </w:r>
          </w:p>
        </w:tc>
        <w:tc>
          <w:tcPr>
            <w:tcW w:w="10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4"/>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0" w:type="dxa"/>
            <w:vAlign w:val="bottom"/>
          </w:tcPr>
          <w:p>
            <w:pPr>
              <w:spacing w:after="0"/>
              <w:rPr>
                <w:sz w:val="12"/>
                <w:szCs w:val="12"/>
                <w:color w:val="auto"/>
              </w:rPr>
            </w:pPr>
          </w:p>
        </w:tc>
        <w:tc>
          <w:tcPr>
            <w:tcW w:w="5620" w:type="dxa"/>
            <w:vAlign w:val="bottom"/>
            <w:gridSpan w:val="2"/>
            <w:vMerge w:val="continue"/>
          </w:tcPr>
          <w:p>
            <w:pPr>
              <w:spacing w:after="0"/>
              <w:rPr>
                <w:sz w:val="12"/>
                <w:szCs w:val="12"/>
                <w:color w:val="auto"/>
              </w:rPr>
            </w:pPr>
          </w:p>
        </w:tc>
        <w:tc>
          <w:tcPr>
            <w:tcW w:w="1040" w:type="dxa"/>
            <w:vAlign w:val="bottom"/>
          </w:tcPr>
          <w:p>
            <w:pPr>
              <w:spacing w:after="0"/>
              <w:rPr>
                <w:sz w:val="12"/>
                <w:szCs w:val="12"/>
                <w:color w:val="auto"/>
              </w:rPr>
            </w:pPr>
          </w:p>
        </w:tc>
        <w:tc>
          <w:tcPr>
            <w:tcW w:w="148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2026</w:t>
            </w:r>
          </w:p>
        </w:tc>
        <w:tc>
          <w:tcPr>
            <w:tcW w:w="60" w:type="dxa"/>
            <w:vAlign w:val="bottom"/>
          </w:tcPr>
          <w:p>
            <w:pPr>
              <w:spacing w:after="0"/>
              <w:rPr>
                <w:sz w:val="12"/>
                <w:szCs w:val="12"/>
                <w:color w:val="auto"/>
              </w:rPr>
            </w:pPr>
          </w:p>
        </w:tc>
        <w:tc>
          <w:tcPr>
            <w:tcW w:w="13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2025</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New investment commitments:</w:t>
            </w:r>
          </w:p>
        </w:tc>
        <w:tc>
          <w:tcPr>
            <w:tcW w:w="1040" w:type="dxa"/>
            <w:vAlign w:val="bottom"/>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780" w:type="dxa"/>
            <w:vAlign w:val="bottom"/>
          </w:tcPr>
          <w:p>
            <w:pPr>
              <w:ind w:left="100"/>
              <w:spacing w:after="0" w:line="216" w:lineRule="exact"/>
              <w:rPr>
                <w:sz w:val="20"/>
                <w:szCs w:val="20"/>
                <w:color w:val="auto"/>
              </w:rPr>
            </w:pPr>
            <w:r>
              <w:rPr>
                <w:rFonts w:ascii="Times New Roman" w:cs="Times New Roman" w:eastAsia="Times New Roman" w:hAnsi="Times New Roman"/>
                <w:sz w:val="18"/>
                <w:szCs w:val="18"/>
                <w:color w:val="auto"/>
              </w:rPr>
              <w:t xml:space="preserve">Gross originations </w:t>
            </w:r>
            <w:r>
              <w:rPr>
                <w:rFonts w:ascii="Times New Roman" w:cs="Times New Roman" w:eastAsia="Times New Roman" w:hAnsi="Times New Roman"/>
                <w:sz w:val="24"/>
                <w:szCs w:val="24"/>
                <w:color w:val="auto"/>
                <w:vertAlign w:val="superscript"/>
              </w:rPr>
              <w:t>(1)</w:t>
            </w:r>
          </w:p>
        </w:tc>
        <w:tc>
          <w:tcPr>
            <w:tcW w:w="14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1,296.5</w:t>
            </w:r>
          </w:p>
        </w:tc>
        <w:tc>
          <w:tcPr>
            <w:tcW w:w="220" w:type="dxa"/>
            <w:vAlign w:val="bottom"/>
          </w:tcPr>
          <w:p>
            <w:pPr>
              <w:spacing w:after="0"/>
              <w:rPr>
                <w:sz w:val="18"/>
                <w:szCs w:val="18"/>
                <w:color w:val="auto"/>
              </w:rPr>
            </w:pPr>
          </w:p>
        </w:tc>
        <w:tc>
          <w:tcPr>
            <w:tcW w:w="720" w:type="dxa"/>
            <w:vAlign w:val="bottom"/>
            <w:gridSpan w:val="2"/>
          </w:tcPr>
          <w:p>
            <w:pPr>
              <w:jc w:val="right"/>
              <w:ind w:right="48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3,640.5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780" w:type="dxa"/>
            <w:vAlign w:val="bottom"/>
            <w:tcBorders>
              <w:bottom w:val="single" w:sz="8" w:color="CFF0FC"/>
            </w:tcBorders>
            <w:shd w:val="clear" w:color="auto" w:fill="CFF0FC"/>
          </w:tcPr>
          <w:p>
            <w:pPr>
              <w:ind w:left="100"/>
              <w:spacing w:after="0" w:line="216" w:lineRule="exact"/>
              <w:rPr>
                <w:sz w:val="20"/>
                <w:szCs w:val="20"/>
                <w:color w:val="auto"/>
              </w:rPr>
            </w:pPr>
            <w:r>
              <w:rPr>
                <w:rFonts w:ascii="Times New Roman" w:cs="Times New Roman" w:eastAsia="Times New Roman" w:hAnsi="Times New Roman"/>
                <w:sz w:val="18"/>
                <w:szCs w:val="18"/>
                <w:color w:val="auto"/>
              </w:rPr>
              <w:t xml:space="preserve">Less: Syndications/sell downs </w:t>
            </w:r>
            <w:r>
              <w:rPr>
                <w:rFonts w:ascii="Times New Roman" w:cs="Times New Roman" w:eastAsia="Times New Roman" w:hAnsi="Times New Roman"/>
                <w:sz w:val="24"/>
                <w:szCs w:val="24"/>
                <w:color w:val="auto"/>
                <w:vertAlign w:val="superscript"/>
              </w:rPr>
              <w:t>(1)</w:t>
            </w:r>
          </w:p>
        </w:tc>
        <w:tc>
          <w:tcPr>
            <w:tcW w:w="10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211.5</w:t>
            </w:r>
          </w:p>
        </w:tc>
        <w:tc>
          <w:tcPr>
            <w:tcW w:w="22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2,812.4</w:t>
            </w:r>
          </w:p>
        </w:tc>
        <w:tc>
          <w:tcPr>
            <w:tcW w:w="1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new investment commitments</w:t>
            </w:r>
          </w:p>
        </w:tc>
        <w:tc>
          <w:tcPr>
            <w:tcW w:w="14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1,085.0</w:t>
            </w:r>
          </w:p>
        </w:tc>
        <w:tc>
          <w:tcPr>
            <w:tcW w:w="220" w:type="dxa"/>
            <w:vAlign w:val="bottom"/>
          </w:tcPr>
          <w:p>
            <w:pPr>
              <w:spacing w:after="0"/>
              <w:rPr>
                <w:sz w:val="18"/>
                <w:szCs w:val="18"/>
                <w:color w:val="auto"/>
              </w:rPr>
            </w:pPr>
          </w:p>
        </w:tc>
        <w:tc>
          <w:tcPr>
            <w:tcW w:w="720" w:type="dxa"/>
            <w:vAlign w:val="bottom"/>
            <w:gridSpan w:val="2"/>
          </w:tcPr>
          <w:p>
            <w:pPr>
              <w:jc w:val="right"/>
              <w:ind w:right="48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Principal amount of investments funded:</w:t>
            </w:r>
          </w:p>
        </w:tc>
        <w:tc>
          <w:tcPr>
            <w:tcW w:w="10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First-lien</w:t>
            </w:r>
          </w:p>
        </w:tc>
        <w:tc>
          <w:tcPr>
            <w:tcW w:w="14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919.1</w:t>
            </w:r>
          </w:p>
        </w:tc>
        <w:tc>
          <w:tcPr>
            <w:tcW w:w="220" w:type="dxa"/>
            <w:vAlign w:val="bottom"/>
          </w:tcPr>
          <w:p>
            <w:pPr>
              <w:spacing w:after="0"/>
              <w:rPr>
                <w:sz w:val="18"/>
                <w:szCs w:val="18"/>
                <w:color w:val="auto"/>
              </w:rPr>
            </w:pPr>
          </w:p>
        </w:tc>
        <w:tc>
          <w:tcPr>
            <w:tcW w:w="720" w:type="dxa"/>
            <w:vAlign w:val="bottom"/>
            <w:gridSpan w:val="2"/>
          </w:tcPr>
          <w:p>
            <w:pPr>
              <w:jc w:val="right"/>
              <w:ind w:right="48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7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Second-lien</w:t>
            </w:r>
          </w:p>
        </w:tc>
        <w:tc>
          <w:tcPr>
            <w:tcW w:w="10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Mezzanine</w:t>
            </w: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7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Equity</w:t>
            </w:r>
          </w:p>
        </w:tc>
        <w:tc>
          <w:tcPr>
            <w:tcW w:w="10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Joint Venture</w:t>
            </w:r>
          </w:p>
        </w:tc>
        <w:tc>
          <w:tcPr>
            <w:tcW w:w="10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7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440" w:type="dxa"/>
            <w:vAlign w:val="bottom"/>
            <w:gridSpan w:val="2"/>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987.2</w:t>
            </w:r>
          </w:p>
        </w:tc>
        <w:tc>
          <w:tcPr>
            <w:tcW w:w="2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8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694.3</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7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Principal amount of investments sold or repaid:</w:t>
            </w:r>
          </w:p>
        </w:tc>
        <w:tc>
          <w:tcPr>
            <w:tcW w:w="1040" w:type="dxa"/>
            <w:vAlign w:val="bottom"/>
            <w:tcBorders>
              <w:top w:val="single" w:sz="8" w:color="CFF0FC"/>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60" w:type="dxa"/>
            <w:vAlign w:val="bottom"/>
            <w:tcBorders>
              <w:top w:val="single" w:sz="8" w:color="CFF0FC"/>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7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First-lien</w:t>
            </w:r>
          </w:p>
        </w:tc>
        <w:tc>
          <w:tcPr>
            <w:tcW w:w="1440" w:type="dxa"/>
            <w:vAlign w:val="bottom"/>
            <w:gridSpan w:val="2"/>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415.6</w:t>
            </w:r>
          </w:p>
        </w:tc>
        <w:tc>
          <w:tcPr>
            <w:tcW w:w="2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8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502.2</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Second-lien</w:t>
            </w: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7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Mezzanine</w:t>
            </w:r>
          </w:p>
        </w:tc>
        <w:tc>
          <w:tcPr>
            <w:tcW w:w="10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Equity</w:t>
            </w: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7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Joint Venture</w:t>
            </w:r>
          </w:p>
        </w:tc>
        <w:tc>
          <w:tcPr>
            <w:tcW w:w="10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4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415.6</w:t>
            </w:r>
          </w:p>
        </w:tc>
        <w:tc>
          <w:tcPr>
            <w:tcW w:w="220" w:type="dxa"/>
            <w:vAlign w:val="bottom"/>
          </w:tcPr>
          <w:p>
            <w:pPr>
              <w:spacing w:after="0"/>
              <w:rPr>
                <w:sz w:val="18"/>
                <w:szCs w:val="18"/>
                <w:color w:val="auto"/>
              </w:rPr>
            </w:pPr>
          </w:p>
        </w:tc>
        <w:tc>
          <w:tcPr>
            <w:tcW w:w="720" w:type="dxa"/>
            <w:vAlign w:val="bottom"/>
            <w:gridSpan w:val="2"/>
          </w:tcPr>
          <w:p>
            <w:pPr>
              <w:jc w:val="right"/>
              <w:ind w:right="48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780" w:type="dxa"/>
            <w:vAlign w:val="bottom"/>
            <w:shd w:val="clear" w:color="auto" w:fill="CFF0FC"/>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Number of new investment commitments in</w:t>
            </w:r>
          </w:p>
        </w:tc>
        <w:tc>
          <w:tcPr>
            <w:tcW w:w="1040" w:type="dxa"/>
            <w:vAlign w:val="bottom"/>
            <w:shd w:val="clear" w:color="auto" w:fill="CFF0FC"/>
          </w:tcPr>
          <w:p>
            <w:pPr>
              <w:spacing w:after="0"/>
              <w:rPr>
                <w:sz w:val="16"/>
                <w:szCs w:val="16"/>
                <w:color w:val="auto"/>
              </w:rPr>
            </w:pPr>
          </w:p>
        </w:tc>
        <w:tc>
          <w:tcPr>
            <w:tcW w:w="400" w:type="dxa"/>
            <w:vAlign w:val="bottom"/>
            <w:tcBorders>
              <w:top w:val="single" w:sz="8" w:color="auto"/>
            </w:tcBorders>
            <w:shd w:val="clear" w:color="auto" w:fill="CFF0FC"/>
          </w:tcPr>
          <w:p>
            <w:pPr>
              <w:spacing w:after="0"/>
              <w:rPr>
                <w:sz w:val="16"/>
                <w:szCs w:val="16"/>
                <w:color w:val="auto"/>
              </w:rPr>
            </w:pPr>
          </w:p>
        </w:tc>
        <w:tc>
          <w:tcPr>
            <w:tcW w:w="86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new portfolio companies</w:t>
            </w:r>
          </w:p>
        </w:tc>
        <w:tc>
          <w:tcPr>
            <w:tcW w:w="10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7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Average new investment commitment amount in</w:t>
            </w:r>
          </w:p>
        </w:tc>
        <w:tc>
          <w:tcPr>
            <w:tcW w:w="10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7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new portfolio companies</w:t>
            </w:r>
          </w:p>
        </w:tc>
        <w:tc>
          <w:tcPr>
            <w:tcW w:w="14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220" w:type="dxa"/>
            <w:vAlign w:val="bottom"/>
          </w:tcPr>
          <w:p>
            <w:pPr>
              <w:spacing w:after="0"/>
              <w:rPr>
                <w:sz w:val="20"/>
                <w:szCs w:val="20"/>
                <w:color w:val="auto"/>
              </w:rPr>
            </w:pPr>
          </w:p>
        </w:tc>
        <w:tc>
          <w:tcPr>
            <w:tcW w:w="720" w:type="dxa"/>
            <w:vAlign w:val="bottom"/>
            <w:gridSpan w:val="2"/>
          </w:tcPr>
          <w:p>
            <w:pPr>
              <w:jc w:val="right"/>
              <w:ind w:right="48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780" w:type="dxa"/>
            <w:vAlign w:val="bottom"/>
            <w:shd w:val="clear" w:color="auto" w:fill="CFF0FC"/>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term for new investment</w:t>
            </w:r>
          </w:p>
        </w:tc>
        <w:tc>
          <w:tcPr>
            <w:tcW w:w="104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commitments in new portfolio companies</w:t>
            </w:r>
          </w:p>
        </w:tc>
        <w:tc>
          <w:tcPr>
            <w:tcW w:w="10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(in years)</w:t>
            </w:r>
          </w:p>
        </w:tc>
        <w:tc>
          <w:tcPr>
            <w:tcW w:w="10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7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Percentage of new debt investment commitments</w:t>
            </w:r>
          </w:p>
        </w:tc>
        <w:tc>
          <w:tcPr>
            <w:tcW w:w="10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7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at floating rates</w:t>
            </w:r>
          </w:p>
        </w:tc>
        <w:tc>
          <w:tcPr>
            <w:tcW w:w="1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194"/>
        </w:trPr>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780" w:type="dxa"/>
            <w:vAlign w:val="bottom"/>
            <w:shd w:val="clear" w:color="auto" w:fill="CFF0FC"/>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Percentage of new debt investment commitments</w:t>
            </w:r>
          </w:p>
        </w:tc>
        <w:tc>
          <w:tcPr>
            <w:tcW w:w="104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at fixed rates</w:t>
            </w:r>
          </w:p>
        </w:tc>
        <w:tc>
          <w:tcPr>
            <w:tcW w:w="10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4"/>
        </w:trPr>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7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interest rate of new</w:t>
            </w:r>
          </w:p>
        </w:tc>
        <w:tc>
          <w:tcPr>
            <w:tcW w:w="10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7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investment commitments</w:t>
            </w:r>
          </w:p>
        </w:tc>
        <w:tc>
          <w:tcPr>
            <w:tcW w:w="1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9.6%</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194"/>
        </w:trPr>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780" w:type="dxa"/>
            <w:vAlign w:val="bottom"/>
            <w:shd w:val="clear" w:color="auto" w:fill="CFF0FC"/>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spread over reference rate of</w:t>
            </w:r>
          </w:p>
        </w:tc>
        <w:tc>
          <w:tcPr>
            <w:tcW w:w="104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new floating rate investment commitments</w:t>
            </w:r>
          </w:p>
        </w:tc>
        <w:tc>
          <w:tcPr>
            <w:tcW w:w="10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5.7%</w:t>
            </w:r>
          </w:p>
        </w:tc>
        <w:tc>
          <w:tcPr>
            <w:tcW w:w="6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194"/>
        </w:trPr>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7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interest rate on investments</w:t>
            </w:r>
          </w:p>
        </w:tc>
        <w:tc>
          <w:tcPr>
            <w:tcW w:w="10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7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fully sold or paid down</w:t>
            </w:r>
          </w:p>
        </w:tc>
        <w:tc>
          <w:tcPr>
            <w:tcW w:w="1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473"/>
        </w:trPr>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(1)</w:t>
            </w:r>
          </w:p>
        </w:tc>
        <w:tc>
          <w:tcPr>
            <w:tcW w:w="56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Includes affiliates of Sixth Street.</w:t>
            </w: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-4731385</wp:posOffset>
            </wp:positionV>
            <wp:extent cx="111125"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-4731385</wp:posOffset>
            </wp:positionV>
            <wp:extent cx="11176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-3616960</wp:posOffset>
            </wp:positionV>
            <wp:extent cx="111125"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-3616960</wp:posOffset>
            </wp:positionV>
            <wp:extent cx="11176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-2785745</wp:posOffset>
            </wp:positionV>
            <wp:extent cx="111125"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-2785745</wp:posOffset>
            </wp:positionV>
            <wp:extent cx="11176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of September 30, 2026 and December 31, 2025, our investments consisted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0" w:type="dxa"/>
            <w:vAlign w:val="bottom"/>
          </w:tcPr>
          <w:p>
            <w:pPr>
              <w:spacing w:after="0"/>
              <w:rPr>
                <w:sz w:val="15"/>
                <w:szCs w:val="15"/>
                <w:color w:val="auto"/>
              </w:rPr>
            </w:pPr>
          </w:p>
        </w:tc>
        <w:tc>
          <w:tcPr>
            <w:tcW w:w="3660" w:type="dxa"/>
            <w:vAlign w:val="bottom"/>
            <w:gridSpan w:val="2"/>
            <w:vMerge w:val="restart"/>
          </w:tcPr>
          <w:p>
            <w:pPr>
              <w:ind w:left="720"/>
              <w:spacing w:after="0"/>
              <w:rPr>
                <w:sz w:val="20"/>
                <w:szCs w:val="20"/>
                <w:color w:val="auto"/>
              </w:rPr>
            </w:pPr>
            <w:r>
              <w:rPr>
                <w:rFonts w:ascii="Times New Roman" w:cs="Times New Roman" w:eastAsia="Times New Roman" w:hAnsi="Times New Roman"/>
                <w:sz w:val="14"/>
                <w:szCs w:val="14"/>
                <w:color w:val="auto"/>
              </w:rPr>
              <w:t xml:space="preserve">($ in millions) </w:t>
            </w:r>
            <w:r>
              <w:rPr>
                <w:rFonts w:ascii="Times New Roman" w:cs="Times New Roman" w:eastAsia="Times New Roman" w:hAnsi="Times New Roman"/>
                <w:sz w:val="19"/>
                <w:szCs w:val="19"/>
                <w:color w:val="auto"/>
                <w:vertAlign w:val="superscript"/>
              </w:rPr>
              <w:t>(1)</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00" w:type="dxa"/>
            <w:vAlign w:val="bottom"/>
            <w:gridSpan w:val="4"/>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500" w:type="dxa"/>
            <w:vAlign w:val="bottom"/>
            <w:gridSpan w:val="6"/>
          </w:tcPr>
          <w:p>
            <w:pPr>
              <w:ind w:left="5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3660" w:type="dxa"/>
            <w:vAlign w:val="bottom"/>
            <w:gridSpan w:val="2"/>
            <w:vMerge w:val="continue"/>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4"/>
              <w:spacing w:after="0" w:line="155" w:lineRule="exact"/>
              <w:rPr>
                <w:sz w:val="20"/>
                <w:szCs w:val="20"/>
                <w:color w:val="auto"/>
              </w:rPr>
            </w:pPr>
            <w:r>
              <w:rPr>
                <w:rFonts w:ascii="Times New Roman" w:cs="Times New Roman" w:eastAsia="Times New Roman" w:hAnsi="Times New Roman"/>
                <w:sz w:val="14"/>
                <w:szCs w:val="14"/>
                <w:b w:val="1"/>
                <w:bCs w:val="1"/>
                <w:color w:val="auto"/>
              </w:rPr>
              <w:t>Amortized Cost</w:t>
            </w:r>
          </w:p>
        </w:tc>
        <w:tc>
          <w:tcPr>
            <w:tcW w:w="20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173"/>
              <w:spacing w:after="0" w:line="155"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15"/>
              <w:spacing w:after="0" w:line="155" w:lineRule="exact"/>
              <w:rPr>
                <w:sz w:val="20"/>
                <w:szCs w:val="20"/>
                <w:color w:val="auto"/>
              </w:rPr>
            </w:pPr>
            <w:r>
              <w:rPr>
                <w:rFonts w:ascii="Times New Roman" w:cs="Times New Roman" w:eastAsia="Times New Roman" w:hAnsi="Times New Roman"/>
                <w:sz w:val="14"/>
                <w:szCs w:val="14"/>
                <w:b w:val="1"/>
                <w:bCs w:val="1"/>
                <w:color w:val="auto"/>
                <w:w w:val="99"/>
              </w:rPr>
              <w:t>Amortized Cost</w:t>
            </w:r>
          </w:p>
        </w:tc>
        <w:tc>
          <w:tcPr>
            <w:tcW w:w="20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153"/>
              <w:spacing w:after="0" w:line="155"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1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8,687.8</w:t>
            </w: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8,658.6</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7,483.9</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7,659.9</w:t>
            </w:r>
          </w:p>
        </w:tc>
        <w:tc>
          <w:tcPr>
            <w:tcW w:w="80" w:type="dxa"/>
            <w:vAlign w:val="bottom"/>
            <w:shd w:val="clear" w:color="auto" w:fill="CFF0FC"/>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Mezzanine debt investments</w:t>
            </w: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234.8</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240.1</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215.2</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222.4</w:t>
            </w:r>
          </w:p>
        </w:tc>
        <w:tc>
          <w:tcPr>
            <w:tcW w:w="80" w:type="dxa"/>
            <w:vAlign w:val="bottom"/>
            <w:shd w:val="clear" w:color="auto" w:fill="CFF0FC"/>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Joint venture investments</w:t>
            </w:r>
          </w:p>
        </w:tc>
        <w:tc>
          <w:tcPr>
            <w:tcW w:w="8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9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9,214.3</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9,213.2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7,892.9</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8,108.7</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95"/>
              </w:rPr>
              <w:t>(1)</w:t>
            </w:r>
          </w:p>
        </w:tc>
        <w:tc>
          <w:tcPr>
            <w:tcW w:w="36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Table may not sum due to rounding.</w:t>
            </w: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60" w:type="dxa"/>
            <w:vAlign w:val="bottom"/>
            <w:vMerge w:val="continue"/>
          </w:tcPr>
          <w:p>
            <w:pPr>
              <w:spacing w:after="0"/>
              <w:rPr>
                <w:sz w:val="24"/>
                <w:szCs w:val="24"/>
                <w:color w:val="auto"/>
              </w:rPr>
            </w:pPr>
          </w:p>
        </w:tc>
        <w:tc>
          <w:tcPr>
            <w:tcW w:w="366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right"/>
              <w:ind w:right="294"/>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-1285240</wp:posOffset>
            </wp:positionV>
            <wp:extent cx="51435"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-1285240</wp:posOffset>
            </wp:positionV>
            <wp:extent cx="51435"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-1285240</wp:posOffset>
            </wp:positionV>
            <wp:extent cx="51435"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-1285240</wp:posOffset>
            </wp:positionV>
            <wp:extent cx="51435"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ectPr>
          <w:pgSz w:w="11900" w:h="16838" w:orient="portrait"/>
          <w:cols w:equalWidth="0" w:num="1">
            <w:col w:w="11240"/>
          </w:cols>
          <w:pgMar w:left="320" w:top="1006" w:right="339" w:bottom="1440" w:gutter="0" w:footer="0" w:header="0"/>
        </w:sectPr>
      </w:pPr>
    </w:p>
    <w:bookmarkStart w:id="55" w:name="page56"/>
    <w:bookmarkEnd w:id="55"/>
    <w:p>
      <w:pPr>
        <w:ind w:right="200" w:firstLine="255"/>
        <w:spacing w:after="0" w:line="278" w:lineRule="auto"/>
        <w:rPr>
          <w:sz w:val="20"/>
          <w:szCs w:val="20"/>
          <w:color w:val="auto"/>
        </w:rPr>
      </w:pPr>
      <w:r>
        <w:rPr>
          <w:rFonts w:ascii="Times New Roman" w:cs="Times New Roman" w:eastAsia="Times New Roman" w:hAnsi="Times New Roman"/>
          <w:sz w:val="18"/>
          <w:szCs w:val="18"/>
          <w:color w:val="auto"/>
        </w:rPr>
        <w:t>The following tables show the fair value and amortized cost of our performing and non-accrual investments as of September 30, 2026 and December 31, 2025:</w:t>
      </w:r>
    </w:p>
    <w:tbl>
      <w:tblPr>
        <w:tblLayout w:type="fixed"/>
        <w:tblInd w:w="800" w:type="dxa"/>
        <w:tblCellMar>
          <w:top w:w="0" w:type="dxa"/>
          <w:left w:w="0" w:type="dxa"/>
          <w:bottom w:w="0" w:type="dxa"/>
          <w:right w:w="0" w:type="dxa"/>
        </w:tblCellMar>
      </w:tblPr>
      <w:tr>
        <w:trPr>
          <w:trHeight w:val="173"/>
        </w:trPr>
        <w:tc>
          <w:tcPr>
            <w:tcW w:w="39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xml:space="preserve">($ in millions) </w:t>
            </w:r>
            <w:r>
              <w:rPr>
                <w:rFonts w:ascii="Times New Roman" w:cs="Times New Roman" w:eastAsia="Times New Roman" w:hAnsi="Times New Roman"/>
                <w:sz w:val="24"/>
                <w:szCs w:val="24"/>
                <w:color w:val="auto"/>
                <w:vertAlign w:val="superscript"/>
              </w:rPr>
              <w:t>(1)</w:t>
            </w:r>
          </w:p>
        </w:tc>
        <w:tc>
          <w:tcPr>
            <w:tcW w:w="2760" w:type="dxa"/>
            <w:vAlign w:val="bottom"/>
            <w:tcBorders>
              <w:bottom w:val="single" w:sz="8" w:color="auto"/>
            </w:tcBorders>
            <w:gridSpan w:val="2"/>
          </w:tcPr>
          <w:p>
            <w:pPr>
              <w:ind w:left="76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300" w:type="dxa"/>
            <w:vAlign w:val="bottom"/>
          </w:tcPr>
          <w:p>
            <w:pPr>
              <w:spacing w:after="0"/>
              <w:rPr>
                <w:sz w:val="15"/>
                <w:szCs w:val="15"/>
                <w:color w:val="auto"/>
              </w:rPr>
            </w:pPr>
          </w:p>
        </w:tc>
        <w:tc>
          <w:tcPr>
            <w:tcW w:w="2480" w:type="dxa"/>
            <w:vAlign w:val="bottom"/>
            <w:tcBorders>
              <w:bottom w:val="single" w:sz="8" w:color="auto"/>
            </w:tcBorders>
            <w:gridSpan w:val="2"/>
          </w:tcPr>
          <w:p>
            <w:pPr>
              <w:ind w:left="6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96"/>
        </w:trPr>
        <w:tc>
          <w:tcPr>
            <w:tcW w:w="3940" w:type="dxa"/>
            <w:vAlign w:val="bottom"/>
            <w:vMerge w:val="continue"/>
          </w:tcPr>
          <w:p>
            <w:pPr>
              <w:spacing w:after="0"/>
              <w:rPr>
                <w:sz w:val="17"/>
                <w:szCs w:val="17"/>
                <w:color w:val="auto"/>
              </w:rPr>
            </w:pPr>
          </w:p>
        </w:tc>
        <w:tc>
          <w:tcPr>
            <w:tcW w:w="136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300" w:type="dxa"/>
            <w:vAlign w:val="bottom"/>
          </w:tcPr>
          <w:p>
            <w:pPr>
              <w:spacing w:after="0"/>
              <w:rPr>
                <w:sz w:val="17"/>
                <w:szCs w:val="17"/>
                <w:color w:val="auto"/>
              </w:rPr>
            </w:pPr>
          </w:p>
        </w:tc>
        <w:tc>
          <w:tcPr>
            <w:tcW w:w="122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6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bl>
    <w:p>
      <w:pPr>
        <w:spacing w:after="0" w:line="20" w:lineRule="exact"/>
        <w:rPr>
          <w:sz w:val="20"/>
          <w:szCs w:val="20"/>
          <w:color w:val="auto"/>
        </w:rPr>
      </w:pPr>
    </w:p>
    <w:tbl>
      <w:tblPr>
        <w:tblLayout w:type="fixed"/>
        <w:tblInd w:w="800" w:type="dxa"/>
        <w:tblCellMar>
          <w:top w:w="0" w:type="dxa"/>
          <w:left w:w="0" w:type="dxa"/>
          <w:bottom w:w="0" w:type="dxa"/>
          <w:right w:w="0" w:type="dxa"/>
        </w:tblCellMar>
      </w:tblPr>
      <w:tr>
        <w:trPr>
          <w:trHeight w:val="20"/>
        </w:trPr>
        <w:tc>
          <w:tcPr>
            <w:tcW w:w="26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60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Performing</w:t>
            </w:r>
          </w:p>
        </w:tc>
        <w:tc>
          <w:tcPr>
            <w:tcW w:w="1460" w:type="dxa"/>
            <w:vAlign w:val="bottom"/>
            <w:gridSpan w:val="2"/>
            <w:shd w:val="clear" w:color="auto" w:fill="CFF0FC"/>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9,138.9</w:t>
            </w:r>
          </w:p>
        </w:tc>
        <w:tc>
          <w:tcPr>
            <w:tcW w:w="1700" w:type="dxa"/>
            <w:vAlign w:val="bottom"/>
            <w:gridSpan w:val="3"/>
            <w:shd w:val="clear" w:color="auto" w:fill="CFF0FC"/>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99.2%</w:t>
            </w:r>
          </w:p>
        </w:tc>
        <w:tc>
          <w:tcPr>
            <w:tcW w:w="400" w:type="dxa"/>
            <w:vAlign w:val="bottom"/>
            <w:gridSpan w:val="2"/>
            <w:shd w:val="clear" w:color="auto" w:fill="CFF0FC"/>
          </w:tcPr>
          <w:p>
            <w:pPr>
              <w:jc w:val="right"/>
              <w:ind w:right="168"/>
              <w:spacing w:after="0" w:line="189"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8,108.4</w:t>
            </w:r>
          </w:p>
        </w:tc>
        <w:tc>
          <w:tcPr>
            <w:tcW w:w="1520" w:type="dxa"/>
            <w:vAlign w:val="bottom"/>
            <w:gridSpan w:val="3"/>
            <w:shd w:val="clear" w:color="auto" w:fill="CFF0FC"/>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26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Non-Accrual </w:t>
            </w:r>
            <w:r>
              <w:rPr>
                <w:rFonts w:ascii="Times New Roman" w:cs="Times New Roman" w:eastAsia="Times New Roman" w:hAnsi="Times New Roman"/>
                <w:sz w:val="24"/>
                <w:szCs w:val="24"/>
                <w:color w:val="auto"/>
                <w:vertAlign w:val="superscript"/>
              </w:rPr>
              <w:t>(2)(3)</w:t>
            </w:r>
          </w:p>
        </w:tc>
        <w:tc>
          <w:tcPr>
            <w:tcW w:w="13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8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6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9,213.2</w:t>
            </w:r>
          </w:p>
        </w:tc>
        <w:tc>
          <w:tcPr>
            <w:tcW w:w="17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40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8,108.7</w:t>
            </w:r>
          </w:p>
        </w:tc>
        <w:tc>
          <w:tcPr>
            <w:tcW w:w="15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260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26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xml:space="preserve">($ in millions) </w:t>
            </w:r>
            <w:r>
              <w:rPr>
                <w:rFonts w:ascii="Times New Roman" w:cs="Times New Roman" w:eastAsia="Times New Roman" w:hAnsi="Times New Roman"/>
                <w:sz w:val="24"/>
                <w:szCs w:val="24"/>
                <w:color w:val="auto"/>
                <w:vertAlign w:val="superscript"/>
              </w:rPr>
              <w:t>(1)</w:t>
            </w:r>
          </w:p>
        </w:tc>
        <w:tc>
          <w:tcPr>
            <w:tcW w:w="13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3"/>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3"/>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600" w:type="dxa"/>
            <w:vAlign w:val="bottom"/>
            <w:vMerge w:val="continue"/>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80" w:type="dxa"/>
            <w:vAlign w:val="bottom"/>
          </w:tcPr>
          <w:p>
            <w:pPr>
              <w:spacing w:after="0"/>
              <w:rPr>
                <w:sz w:val="17"/>
                <w:szCs w:val="17"/>
                <w:color w:val="auto"/>
              </w:rPr>
            </w:pPr>
          </w:p>
        </w:tc>
        <w:tc>
          <w:tcPr>
            <w:tcW w:w="13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Borders>
              <w:bottom w:val="single" w:sz="8" w:color="auto"/>
            </w:tcBorders>
            <w:gridSpan w:val="2"/>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00" w:type="dxa"/>
            <w:vAlign w:val="bottom"/>
          </w:tcPr>
          <w:p>
            <w:pPr>
              <w:spacing w:after="0"/>
              <w:rPr>
                <w:sz w:val="17"/>
                <w:szCs w:val="17"/>
                <w:color w:val="auto"/>
              </w:rPr>
            </w:pPr>
          </w:p>
        </w:tc>
        <w:tc>
          <w:tcPr>
            <w:tcW w:w="114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Performing</w:t>
            </w: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9,050.6</w:t>
            </w:r>
          </w:p>
        </w:tc>
        <w:tc>
          <w:tcPr>
            <w:tcW w:w="17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98.2%</w:t>
            </w:r>
          </w:p>
        </w:tc>
        <w:tc>
          <w:tcPr>
            <w:tcW w:w="40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7,891.3</w:t>
            </w:r>
          </w:p>
        </w:tc>
        <w:tc>
          <w:tcPr>
            <w:tcW w:w="15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26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Non-Accrual </w:t>
            </w:r>
            <w:r>
              <w:rPr>
                <w:rFonts w:ascii="Times New Roman" w:cs="Times New Roman" w:eastAsia="Times New Roman" w:hAnsi="Times New Roman"/>
                <w:sz w:val="24"/>
                <w:szCs w:val="24"/>
                <w:color w:val="auto"/>
                <w:vertAlign w:val="superscript"/>
              </w:rPr>
              <w:t>(2)(3)</w:t>
            </w:r>
          </w:p>
        </w:tc>
        <w:tc>
          <w:tcPr>
            <w:tcW w:w="13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18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6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9,214.3</w:t>
            </w:r>
          </w:p>
        </w:tc>
        <w:tc>
          <w:tcPr>
            <w:tcW w:w="17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40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7,892.9</w:t>
            </w:r>
          </w:p>
        </w:tc>
        <w:tc>
          <w:tcPr>
            <w:tcW w:w="15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260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-1019810</wp:posOffset>
            </wp:positionV>
            <wp:extent cx="60325"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-1002030</wp:posOffset>
            </wp:positionV>
            <wp:extent cx="60325"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-1019810</wp:posOffset>
            </wp:positionV>
            <wp:extent cx="111125"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-1002030</wp:posOffset>
            </wp:positionV>
            <wp:extent cx="111125"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-1019810</wp:posOffset>
            </wp:positionV>
            <wp:extent cx="60325"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-1002030</wp:posOffset>
            </wp:positionV>
            <wp:extent cx="60325"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-1019810</wp:posOffset>
            </wp:positionV>
            <wp:extent cx="111125"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-1002030</wp:posOffset>
            </wp:positionV>
            <wp:extent cx="111125"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-25400</wp:posOffset>
            </wp:positionV>
            <wp:extent cx="60325"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-7620</wp:posOffset>
            </wp:positionV>
            <wp:extent cx="60325"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-25400</wp:posOffset>
            </wp:positionV>
            <wp:extent cx="111125"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-7620</wp:posOffset>
            </wp:positionV>
            <wp:extent cx="111125"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-25400</wp:posOffset>
            </wp:positionV>
            <wp:extent cx="60325"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60325"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-25400</wp:posOffset>
            </wp:positionV>
            <wp:extent cx="111125"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-7620</wp:posOffset>
            </wp:positionV>
            <wp:extent cx="111125"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86" w:lineRule="exact"/>
        <w:rPr>
          <w:sz w:val="20"/>
          <w:szCs w:val="20"/>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Table may not sum due to rounding.</w:t>
      </w:r>
    </w:p>
    <w:p>
      <w:pPr>
        <w:spacing w:after="0" w:line="117" w:lineRule="exact"/>
        <w:rPr>
          <w:rFonts w:ascii="Times New Roman" w:cs="Times New Roman" w:eastAsia="Times New Roman" w:hAnsi="Times New Roman"/>
          <w:sz w:val="18"/>
          <w:szCs w:val="18"/>
          <w:color w:val="auto"/>
        </w:rPr>
      </w:pPr>
    </w:p>
    <w:p>
      <w:pPr>
        <w:ind w:left="520" w:right="120" w:hanging="512"/>
        <w:spacing w:after="0" w:line="256"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 See </w:t>
      </w:r>
      <w:r>
        <w:rPr>
          <w:rFonts w:ascii="Times New Roman" w:cs="Times New Roman" w:eastAsia="Times New Roman" w:hAnsi="Times New Roman"/>
          <w:sz w:val="18"/>
          <w:szCs w:val="18"/>
          <w:i w:val="1"/>
          <w:iCs w:val="1"/>
          <w:color w:val="auto"/>
        </w:rPr>
        <w:t>“–Critical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Accounting Estimates – Interest and Dividend Income Recognition.”</w:t>
      </w:r>
    </w:p>
    <w:p>
      <w:pPr>
        <w:spacing w:after="0" w:line="7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31, 2025 amounts round to less than 0.1%.</w:t>
      </w:r>
    </w:p>
    <w:p>
      <w:pPr>
        <w:spacing w:after="0" w:line="117" w:lineRule="exact"/>
        <w:rPr>
          <w:sz w:val="20"/>
          <w:szCs w:val="20"/>
          <w:color w:val="auto"/>
        </w:rPr>
      </w:pPr>
    </w:p>
    <w:p>
      <w:pPr>
        <w:ind w:right="60" w:firstLine="255"/>
        <w:spacing w:after="0" w:line="282" w:lineRule="auto"/>
        <w:rPr>
          <w:sz w:val="20"/>
          <w:szCs w:val="20"/>
          <w:color w:val="auto"/>
        </w:rPr>
      </w:pPr>
      <w:r>
        <w:rPr>
          <w:rFonts w:ascii="Times New Roman" w:cs="Times New Roman" w:eastAsia="Times New Roman" w:hAnsi="Times New Roman"/>
          <w:sz w:val="18"/>
          <w:szCs w:val="18"/>
          <w:color w:val="auto"/>
        </w:rPr>
        <w:t>The weighted average yields and interest rates of our performing debt investments at fair value as of September 30, 2026 and December 31, 2025 were as follows:</w:t>
      </w:r>
    </w:p>
    <w:p>
      <w:pPr>
        <w:spacing w:after="0" w:line="155" w:lineRule="exact"/>
        <w:rPr>
          <w:sz w:val="20"/>
          <w:szCs w:val="20"/>
          <w:color w:val="auto"/>
        </w:rPr>
      </w:pPr>
    </w:p>
    <w:tbl>
      <w:tblPr>
        <w:tblLayout w:type="fixed"/>
        <w:tblInd w:w="1300" w:type="dxa"/>
        <w:tblCellMar>
          <w:top w:w="0" w:type="dxa"/>
          <w:left w:w="0" w:type="dxa"/>
          <w:bottom w:w="0" w:type="dxa"/>
          <w:right w:w="0" w:type="dxa"/>
        </w:tblCellMar>
      </w:tblPr>
      <w:tr>
        <w:trPr>
          <w:trHeight w:val="173"/>
        </w:trPr>
        <w:tc>
          <w:tcPr>
            <w:tcW w:w="4940" w:type="dxa"/>
            <w:vAlign w:val="bottom"/>
          </w:tcPr>
          <w:p>
            <w:pPr>
              <w:spacing w:after="0"/>
              <w:rPr>
                <w:sz w:val="15"/>
                <w:szCs w:val="15"/>
                <w:color w:val="auto"/>
              </w:rPr>
            </w:pPr>
          </w:p>
        </w:tc>
        <w:tc>
          <w:tcPr>
            <w:tcW w:w="18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8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171"/>
        </w:trPr>
        <w:tc>
          <w:tcPr>
            <w:tcW w:w="4940" w:type="dxa"/>
            <w:vAlign w:val="bottom"/>
            <w:shd w:val="clear" w:color="auto" w:fill="CFF0FC"/>
          </w:tcPr>
          <w:p>
            <w:pPr>
              <w:spacing w:after="0" w:line="171" w:lineRule="exact"/>
              <w:rPr>
                <w:sz w:val="20"/>
                <w:szCs w:val="20"/>
                <w:color w:val="auto"/>
              </w:rPr>
            </w:pPr>
            <w:r>
              <w:rPr>
                <w:rFonts w:ascii="Times New Roman" w:cs="Times New Roman" w:eastAsia="Times New Roman" w:hAnsi="Times New Roman"/>
                <w:sz w:val="18"/>
                <w:szCs w:val="18"/>
                <w:color w:val="auto"/>
              </w:rPr>
              <w:t>Weighted average total yield of debt and income</w:t>
            </w:r>
          </w:p>
        </w:tc>
        <w:tc>
          <w:tcPr>
            <w:tcW w:w="1540" w:type="dxa"/>
            <w:vAlign w:val="bottom"/>
            <w:tcBorders>
              <w:top w:val="single" w:sz="8" w:color="auto"/>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700" w:type="dxa"/>
            <w:vAlign w:val="bottom"/>
            <w:tcBorders>
              <w:top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r>
      <w:tr>
        <w:trPr>
          <w:trHeight w:val="254"/>
        </w:trPr>
        <w:tc>
          <w:tcPr>
            <w:tcW w:w="4940" w:type="dxa"/>
            <w:vAlign w:val="bottom"/>
            <w:shd w:val="clear" w:color="auto" w:fill="CFF0FC"/>
          </w:tcPr>
          <w:p>
            <w:pPr>
              <w:ind w:left="140"/>
              <w:spacing w:after="0" w:line="255" w:lineRule="exact"/>
              <w:rPr>
                <w:sz w:val="20"/>
                <w:szCs w:val="20"/>
                <w:color w:val="auto"/>
              </w:rPr>
            </w:pPr>
            <w:r>
              <w:rPr>
                <w:rFonts w:ascii="Times New Roman" w:cs="Times New Roman" w:eastAsia="Times New Roman" w:hAnsi="Times New Roman"/>
                <w:sz w:val="18"/>
                <w:szCs w:val="18"/>
                <w:color w:val="auto"/>
              </w:rPr>
              <w:t xml:space="preserve">producing securities </w:t>
            </w:r>
            <w:r>
              <w:rPr>
                <w:rFonts w:ascii="Times New Roman" w:cs="Times New Roman" w:eastAsia="Times New Roman" w:hAnsi="Times New Roman"/>
                <w:sz w:val="24"/>
                <w:szCs w:val="24"/>
                <w:color w:val="auto"/>
                <w:vertAlign w:val="superscript"/>
              </w:rPr>
              <w:t>(1)</w:t>
            </w:r>
          </w:p>
        </w:tc>
        <w:tc>
          <w:tcPr>
            <w:tcW w:w="1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10.4%</w:t>
            </w:r>
          </w:p>
        </w:tc>
        <w:tc>
          <w:tcPr>
            <w:tcW w:w="1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198"/>
        </w:trPr>
        <w:tc>
          <w:tcPr>
            <w:tcW w:w="4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interest rate of debt and income</w:t>
            </w:r>
          </w:p>
        </w:tc>
        <w:tc>
          <w:tcPr>
            <w:tcW w:w="1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4"/>
        </w:trPr>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producing securities</w:t>
            </w: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w:t>
            </w:r>
          </w:p>
        </w:tc>
      </w:tr>
      <w:tr>
        <w:trPr>
          <w:trHeight w:val="198"/>
        </w:trPr>
        <w:tc>
          <w:tcPr>
            <w:tcW w:w="49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Weighted average spread over reference rate of all</w:t>
            </w:r>
          </w:p>
        </w:tc>
        <w:tc>
          <w:tcPr>
            <w:tcW w:w="15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7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r>
      <w:tr>
        <w:trPr>
          <w:trHeight w:val="234"/>
        </w:trPr>
        <w:tc>
          <w:tcPr>
            <w:tcW w:w="49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floating rate investments</w:t>
            </w:r>
          </w:p>
        </w:tc>
        <w:tc>
          <w:tcPr>
            <w:tcW w:w="1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6.1%</w:t>
            </w:r>
          </w:p>
        </w:tc>
        <w:tc>
          <w:tcPr>
            <w:tcW w:w="1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r>
    </w:tbl>
    <w:p>
      <w:pPr>
        <w:spacing w:after="0" w:line="265" w:lineRule="exact"/>
        <w:rPr>
          <w:sz w:val="20"/>
          <w:szCs w:val="20"/>
          <w:color w:val="auto"/>
        </w:rPr>
      </w:pPr>
    </w:p>
    <w:p>
      <w:pPr>
        <w:ind w:left="520" w:hanging="512"/>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total portfolio yield at fair value was 10.1% at September 30, 2026 and 9.8% at December 31, 2025.</w:t>
      </w:r>
    </w:p>
    <w:p>
      <w:pPr>
        <w:spacing w:after="0" w:line="225" w:lineRule="exact"/>
        <w:rPr>
          <w:sz w:val="20"/>
          <w:szCs w:val="20"/>
          <w:color w:val="auto"/>
        </w:rPr>
      </w:pPr>
    </w:p>
    <w:p>
      <w:pPr>
        <w:jc w:val="both"/>
        <w:ind w:right="60" w:firstLine="255"/>
        <w:spacing w:after="0" w:line="266" w:lineRule="auto"/>
        <w:rPr>
          <w:sz w:val="20"/>
          <w:szCs w:val="20"/>
          <w:color w:val="auto"/>
        </w:rPr>
      </w:pPr>
      <w:r>
        <w:rPr>
          <w:rFonts w:ascii="Times New Roman" w:cs="Times New Roman" w:eastAsia="Times New Roman" w:hAnsi="Times New Roman"/>
          <w:sz w:val="18"/>
          <w:szCs w:val="18"/>
          <w:color w:val="auto"/>
        </w:rPr>
        <w:t>The Adviser monitors our portfolio companies on an ongoing basis. The Adviser monitors the financial trends of each portfolio company to determine if it is meeting its business plans and to assess the appropriate course of action for each company. The Adviser has a number of methods of evaluating and monitoring the performance and fair value of our investments, which may include the following:</w:t>
      </w:r>
    </w:p>
    <w:p>
      <w:pPr>
        <w:spacing w:after="0" w:line="68" w:lineRule="exact"/>
        <w:rPr>
          <w:sz w:val="20"/>
          <w:szCs w:val="20"/>
          <w:color w:val="auto"/>
        </w:rPr>
      </w:pPr>
    </w:p>
    <w:p>
      <w:pPr>
        <w:ind w:left="520" w:hanging="257"/>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assessment of success of the portfolio company in adhering to its business plan and compliance with covenants;</w:t>
      </w:r>
    </w:p>
    <w:p>
      <w:pPr>
        <w:spacing w:after="0" w:line="117" w:lineRule="exact"/>
        <w:rPr>
          <w:rFonts w:ascii="Times New Roman" w:cs="Times New Roman" w:eastAsia="Times New Roman" w:hAnsi="Times New Roman"/>
          <w:sz w:val="18"/>
          <w:szCs w:val="18"/>
          <w:color w:val="auto"/>
        </w:rPr>
      </w:pPr>
    </w:p>
    <w:p>
      <w:pPr>
        <w:ind w:left="520" w:hanging="257"/>
        <w:spacing w:after="0" w:line="282"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and regular contact with portfolio company management and, if appropriate, the financial or strategic sponsor, to discuss financial position, requirements and accomplishments;</w:t>
      </w:r>
    </w:p>
    <w:p>
      <w:pPr>
        <w:spacing w:after="0" w:line="53"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comparisons to other companies in the industry;</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attendance at, and participation in, board meetings; and</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monthly and quarterly financial statements and financial projections for portfolio companies.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8" w:right="399" w:bottom="1440" w:gutter="0" w:footer="0" w:header="0"/>
        </w:sectPr>
      </w:pPr>
    </w:p>
    <w:bookmarkStart w:id="56" w:name="page57"/>
    <w:bookmarkEnd w:id="56"/>
    <w:p>
      <w:pPr>
        <w:ind w:firstLine="255"/>
        <w:spacing w:after="0" w:line="266" w:lineRule="auto"/>
        <w:rPr>
          <w:sz w:val="20"/>
          <w:szCs w:val="20"/>
          <w:color w:val="auto"/>
        </w:rPr>
      </w:pPr>
      <w:r>
        <w:rPr>
          <w:rFonts w:ascii="Times New Roman" w:cs="Times New Roman" w:eastAsia="Times New Roman" w:hAnsi="Times New Roman"/>
          <w:sz w:val="18"/>
          <w:szCs w:val="18"/>
          <w:color w:val="auto"/>
        </w:rPr>
        <w:t>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w:t>
      </w:r>
    </w:p>
    <w:p>
      <w:pPr>
        <w:spacing w:after="0" w:line="68" w:lineRule="exact"/>
        <w:rPr>
          <w:sz w:val="20"/>
          <w:szCs w:val="20"/>
          <w:color w:val="auto"/>
        </w:rPr>
      </w:pPr>
    </w:p>
    <w:p>
      <w:pPr>
        <w:jc w:val="both"/>
        <w:ind w:left="520" w:right="580" w:hanging="257"/>
        <w:spacing w:after="0" w:line="266"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is rated 1 if, in the opinion of the Adviser, it is performing as agreed and there are no concerns about the portfolio company’s performance or ability to meet covenant requirements. For these investments, the Adviser generally prepares monthly reports on investment performance and intensive quarterly asset reviews.</w:t>
      </w:r>
    </w:p>
    <w:p>
      <w:pPr>
        <w:spacing w:after="0" w:line="67" w:lineRule="exact"/>
        <w:rPr>
          <w:rFonts w:ascii="Times New Roman" w:cs="Times New Roman" w:eastAsia="Times New Roman" w:hAnsi="Times New Roman"/>
          <w:sz w:val="18"/>
          <w:szCs w:val="18"/>
          <w:color w:val="auto"/>
        </w:rPr>
      </w:pPr>
    </w:p>
    <w:p>
      <w:pPr>
        <w:ind w:left="520" w:right="60" w:hanging="257"/>
        <w:spacing w:after="0" w:line="266"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portfolio company.</w:t>
      </w:r>
    </w:p>
    <w:p>
      <w:pPr>
        <w:spacing w:after="0" w:line="67" w:lineRule="exact"/>
        <w:rPr>
          <w:rFonts w:ascii="Times New Roman" w:cs="Times New Roman" w:eastAsia="Times New Roman" w:hAnsi="Times New Roman"/>
          <w:sz w:val="18"/>
          <w:szCs w:val="18"/>
          <w:color w:val="auto"/>
        </w:rPr>
      </w:pPr>
    </w:p>
    <w:p>
      <w:pPr>
        <w:ind w:left="520" w:right="140" w:hanging="257"/>
        <w:spacing w:after="0" w:line="266"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will be assigned a rating of 3 if it is paying its obligations to us as agreed but a material covenant violation is expected. For these investments, in addition to monthly reports and quarterly asset reviews, the Adviser also adds the investment to its “watch list” and researches any areas of concern with the objective of early intervention with the portfolio company.</w:t>
      </w:r>
    </w:p>
    <w:p>
      <w:pPr>
        <w:spacing w:after="0" w:line="67" w:lineRule="exact"/>
        <w:rPr>
          <w:rFonts w:ascii="Times New Roman" w:cs="Times New Roman" w:eastAsia="Times New Roman" w:hAnsi="Times New Roman"/>
          <w:sz w:val="18"/>
          <w:szCs w:val="18"/>
          <w:color w:val="auto"/>
        </w:rPr>
      </w:pPr>
    </w:p>
    <w:p>
      <w:pPr>
        <w:ind w:left="520" w:right="40" w:hanging="257"/>
        <w:spacing w:after="0" w:line="256"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will be assigned a rating of 4 if a material covenant has been violated, but the company is making its scheduled payments on its obligations to us. For these investments, the Adviser generally prepares a bi-monthly asset review email and generally has monthly meetings with the portfolio company’s senior management. For investments where there have been material defaults, including bankruptcy filings, failures to achieve financial performance requirements or failure to maintain liquidity or loan-to-value requirements, the Adviser often will take immediate action to protect its position. These remedies may include negotiating for additional collateral, modifying investment terms or structure, or payment of amendment and waiver fees.</w:t>
      </w:r>
    </w:p>
    <w:p>
      <w:pPr>
        <w:spacing w:after="0" w:line="79" w:lineRule="exact"/>
        <w:rPr>
          <w:rFonts w:ascii="Times New Roman" w:cs="Times New Roman" w:eastAsia="Times New Roman" w:hAnsi="Times New Roman"/>
          <w:sz w:val="18"/>
          <w:szCs w:val="18"/>
          <w:color w:val="auto"/>
        </w:rPr>
      </w:pPr>
    </w:p>
    <w:p>
      <w:pPr>
        <w:ind w:left="520" w:right="60" w:hanging="257"/>
        <w:spacing w:after="0" w:line="277" w:lineRule="auto"/>
        <w:tabs>
          <w:tab w:leader="none" w:pos="5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rating of 5 indicates an investment is in default on its interest and/or principal payments. For these investments, our Adviser reviews the investments on a bi-monthly basis and, where possible, pursues workouts that achieve an early resolution to avoid further deterioration of our investment. The Adviser retains legal counsel and takes actions to preserve our rights, which may include working with the portfolio company to have the default cured, to have the investment restructured or to have the investment repaid through a consensual workout. Investments that carry a rating of 5 would typically indicate the position has been placed on non-accrual status (for investments that otherwise would be income producing).</w:t>
      </w:r>
    </w:p>
    <w:p>
      <w:pPr>
        <w:spacing w:after="0" w:line="168" w:lineRule="exact"/>
        <w:rPr>
          <w:sz w:val="20"/>
          <w:szCs w:val="20"/>
          <w:color w:val="auto"/>
        </w:rPr>
      </w:pPr>
    </w:p>
    <w:p>
      <w:pPr>
        <w:jc w:val="both"/>
        <w:ind w:right="100" w:firstLine="255"/>
        <w:spacing w:after="0" w:line="266" w:lineRule="auto"/>
        <w:rPr>
          <w:sz w:val="20"/>
          <w:szCs w:val="20"/>
          <w:color w:val="auto"/>
        </w:rPr>
      </w:pPr>
      <w:r>
        <w:rPr>
          <w:rFonts w:ascii="Times New Roman" w:cs="Times New Roman" w:eastAsia="Times New Roman" w:hAnsi="Times New Roman"/>
          <w:sz w:val="18"/>
          <w:szCs w:val="18"/>
          <w:color w:val="auto"/>
        </w:rPr>
        <w:t>The following table shows the distribution of our investments on the 1 to 5 investment performance rating scale at fair value as of September 30, 2026 and December 31, 2025. Investment performance ratings are accurate only as of those dates and may change due to subsequent developments relating to a portfolio company’s business or financial condition, market conditions or developments, and other factors.</w:t>
      </w:r>
    </w:p>
    <w:p>
      <w:pPr>
        <w:spacing w:after="0" w:line="169" w:lineRule="exact"/>
        <w:rPr>
          <w:sz w:val="20"/>
          <w:szCs w:val="20"/>
          <w:color w:val="auto"/>
        </w:rPr>
      </w:pPr>
    </w:p>
    <w:tbl>
      <w:tblPr>
        <w:tblLayout w:type="fixed"/>
        <w:tblInd w:w="520" w:type="dxa"/>
        <w:tblCellMar>
          <w:top w:w="0" w:type="dxa"/>
          <w:left w:w="0" w:type="dxa"/>
          <w:bottom w:w="0" w:type="dxa"/>
          <w:right w:w="0" w:type="dxa"/>
        </w:tblCellMar>
      </w:tblPr>
      <w:tr>
        <w:trPr>
          <w:trHeight w:val="173"/>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240" w:type="dxa"/>
            <w:vAlign w:val="bottom"/>
            <w:tcBorders>
              <w:bottom w:val="single" w:sz="8" w:color="auto"/>
            </w:tcBorders>
            <w:gridSpan w:val="3"/>
          </w:tcPr>
          <w:p>
            <w:pPr>
              <w:ind w:left="110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4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3"/>
          </w:tcPr>
          <w:p>
            <w:pPr>
              <w:jc w:val="right"/>
              <w:ind w:right="119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18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80" w:type="dxa"/>
            <w:vAlign w:val="bottom"/>
          </w:tcPr>
          <w:p>
            <w:pPr>
              <w:jc w:val="center"/>
              <w:ind w:right="197"/>
              <w:spacing w:after="0" w:line="131" w:lineRule="exact"/>
              <w:rPr>
                <w:sz w:val="20"/>
                <w:szCs w:val="20"/>
                <w:color w:val="auto"/>
              </w:rPr>
            </w:pPr>
            <w:r>
              <w:rPr>
                <w:rFonts w:ascii="Times New Roman" w:cs="Times New Roman" w:eastAsia="Times New Roman" w:hAnsi="Times New Roman"/>
                <w:sz w:val="14"/>
                <w:szCs w:val="14"/>
                <w:b w:val="1"/>
                <w:bCs w:val="1"/>
                <w:color w:val="auto"/>
              </w:rPr>
              <w:t>Investments at</w:t>
            </w:r>
          </w:p>
        </w:tc>
        <w:tc>
          <w:tcPr>
            <w:tcW w:w="240" w:type="dxa"/>
            <w:vAlign w:val="bottom"/>
          </w:tcPr>
          <w:p>
            <w:pPr>
              <w:spacing w:after="0"/>
              <w:rPr>
                <w:sz w:val="11"/>
                <w:szCs w:val="11"/>
                <w:color w:val="auto"/>
              </w:rPr>
            </w:pPr>
          </w:p>
        </w:tc>
        <w:tc>
          <w:tcPr>
            <w:tcW w:w="1420" w:type="dxa"/>
            <w:vAlign w:val="bottom"/>
            <w:vMerge w:val="restart"/>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gridSpan w:val="2"/>
          </w:tcPr>
          <w:p>
            <w:pPr>
              <w:jc w:val="right"/>
              <w:ind w:right="335"/>
              <w:spacing w:after="0" w:line="131" w:lineRule="exact"/>
              <w:rPr>
                <w:sz w:val="20"/>
                <w:szCs w:val="20"/>
                <w:color w:val="auto"/>
              </w:rPr>
            </w:pPr>
            <w:r>
              <w:rPr>
                <w:rFonts w:ascii="Times New Roman" w:cs="Times New Roman" w:eastAsia="Times New Roman" w:hAnsi="Times New Roman"/>
                <w:sz w:val="14"/>
                <w:szCs w:val="14"/>
                <w:b w:val="1"/>
                <w:bCs w:val="1"/>
                <w:color w:val="auto"/>
              </w:rPr>
              <w:t>Investments at</w:t>
            </w:r>
          </w:p>
        </w:tc>
        <w:tc>
          <w:tcPr>
            <w:tcW w:w="240" w:type="dxa"/>
            <w:vAlign w:val="bottom"/>
          </w:tcPr>
          <w:p>
            <w:pPr>
              <w:spacing w:after="0"/>
              <w:rPr>
                <w:sz w:val="11"/>
                <w:szCs w:val="11"/>
                <w:color w:val="auto"/>
              </w:rPr>
            </w:pPr>
          </w:p>
        </w:tc>
        <w:tc>
          <w:tcPr>
            <w:tcW w:w="1940" w:type="dxa"/>
            <w:vAlign w:val="bottom"/>
            <w:gridSpan w:val="2"/>
            <w:vMerge w:val="restart"/>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49"/>
        </w:trPr>
        <w:tc>
          <w:tcPr>
            <w:tcW w:w="1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tcPr>
          <w:p>
            <w:pPr>
              <w:jc w:val="center"/>
              <w:ind w:right="197"/>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2"/>
          </w:tcPr>
          <w:p>
            <w:pPr>
              <w:jc w:val="right"/>
              <w:ind w:right="455"/>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Rating</w:t>
            </w:r>
          </w:p>
        </w:tc>
        <w:tc>
          <w:tcPr>
            <w:tcW w:w="1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240" w:type="dxa"/>
            <w:vAlign w:val="bottom"/>
          </w:tcPr>
          <w:p>
            <w:pPr>
              <w:spacing w:after="0"/>
              <w:rPr>
                <w:sz w:val="15"/>
                <w:szCs w:val="15"/>
                <w:color w:val="auto"/>
              </w:rPr>
            </w:pPr>
          </w:p>
        </w:tc>
        <w:tc>
          <w:tcPr>
            <w:tcW w:w="1420" w:type="dxa"/>
            <w:vAlign w:val="bottom"/>
            <w:tcBorders>
              <w:bottom w:val="single" w:sz="8" w:color="auto"/>
            </w:tcBorders>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Total Portfolio</w:t>
            </w:r>
          </w:p>
        </w:tc>
        <w:tc>
          <w:tcPr>
            <w:tcW w:w="4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5"/>
                <w:szCs w:val="15"/>
                <w:color w:val="auto"/>
              </w:rPr>
            </w:pPr>
          </w:p>
        </w:tc>
        <w:tc>
          <w:tcPr>
            <w:tcW w:w="17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Total Portfolio</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7,873.1</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85.5%</w:t>
            </w:r>
          </w:p>
        </w:tc>
        <w:tc>
          <w:tcPr>
            <w:tcW w:w="680" w:type="dxa"/>
            <w:vAlign w:val="bottom"/>
            <w:gridSpan w:val="2"/>
            <w:shd w:val="clear" w:color="auto" w:fill="CFF0FC"/>
          </w:tcPr>
          <w:p>
            <w:pPr>
              <w:jc w:val="right"/>
              <w:ind w:right="40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7,827.6</w:t>
            </w:r>
          </w:p>
        </w:tc>
        <w:tc>
          <w:tcPr>
            <w:tcW w:w="21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96.5%</w:t>
            </w:r>
          </w:p>
        </w:tc>
        <w:tc>
          <w:tcPr>
            <w:tcW w:w="0" w:type="dxa"/>
            <w:vAlign w:val="bottom"/>
          </w:tcPr>
          <w:p>
            <w:pPr>
              <w:spacing w:after="0"/>
              <w:rPr>
                <w:sz w:val="1"/>
                <w:szCs w:val="1"/>
                <w:color w:val="auto"/>
              </w:rPr>
            </w:pPr>
          </w:p>
        </w:tc>
      </w:tr>
      <w:tr>
        <w:trPr>
          <w:trHeight w:val="216"/>
        </w:trPr>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671.9</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230.1</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593.9</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2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800" w:type="dxa"/>
            <w:vAlign w:val="bottom"/>
            <w:tcBorders>
              <w:bottom w:val="single" w:sz="8" w:color="CFF0FC"/>
            </w:tcBorders>
            <w:shd w:val="clear" w:color="auto" w:fill="CFF0FC"/>
          </w:tcPr>
          <w:p>
            <w:pPr>
              <w:jc w:val="center"/>
              <w:spacing w:after="0" w:line="216" w:lineRule="exact"/>
              <w:rPr>
                <w:sz w:val="20"/>
                <w:szCs w:val="20"/>
                <w:color w:val="auto"/>
              </w:rPr>
            </w:pPr>
            <w:r>
              <w:rPr>
                <w:rFonts w:ascii="Times New Roman" w:cs="Times New Roman" w:eastAsia="Times New Roman" w:hAnsi="Times New Roman"/>
                <w:sz w:val="25"/>
                <w:szCs w:val="25"/>
                <w:color w:val="auto"/>
                <w:vertAlign w:val="subscript"/>
              </w:rPr>
              <w:t>5</w:t>
            </w:r>
            <w:r>
              <w:rPr>
                <w:rFonts w:ascii="Times New Roman" w:cs="Times New Roman" w:eastAsia="Times New Roman" w:hAnsi="Times New Roman"/>
                <w:sz w:val="10"/>
                <w:szCs w:val="10"/>
                <w:color w:val="auto"/>
              </w:rPr>
              <w:t xml:space="preserve"> (1)</w:t>
            </w:r>
          </w:p>
        </w:tc>
        <w:tc>
          <w:tcPr>
            <w:tcW w:w="1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24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tcBorders>
              <w:bottom w:val="single" w:sz="8" w:color="CFF0FC"/>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Total</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9,213.2</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680" w:type="dxa"/>
            <w:vAlign w:val="bottom"/>
            <w:gridSpan w:val="2"/>
          </w:tcPr>
          <w:p>
            <w:pPr>
              <w:jc w:val="right"/>
              <w:ind w:right="40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8,108.7</w:t>
            </w:r>
          </w:p>
        </w:tc>
        <w:tc>
          <w:tcPr>
            <w:tcW w:w="2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2773680</wp:posOffset>
            </wp:positionH>
            <wp:positionV relativeFrom="paragraph">
              <wp:posOffset>-170815</wp:posOffset>
            </wp:positionV>
            <wp:extent cx="60325"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-170815</wp:posOffset>
            </wp:positionV>
            <wp:extent cx="111125"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-170815</wp:posOffset>
            </wp:positionV>
            <wp:extent cx="60325"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-170815</wp:posOffset>
            </wp:positionV>
            <wp:extent cx="11176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218" w:lineRule="exact"/>
        <w:rPr>
          <w:sz w:val="20"/>
          <w:szCs w:val="20"/>
          <w:color w:val="auto"/>
        </w:rPr>
      </w:pPr>
    </w:p>
    <w:p>
      <w:pPr>
        <w:ind w:left="520" w:hanging="512"/>
        <w:spacing w:after="0"/>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31, 2025 amounts round to less than 0.1%.</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Structured Credit Partners JV, LLC (“SCP”)</w:t>
      </w:r>
    </w:p>
    <w:p>
      <w:pPr>
        <w:spacing w:after="0" w:line="229" w:lineRule="exact"/>
        <w:rPr>
          <w:sz w:val="20"/>
          <w:szCs w:val="20"/>
          <w:color w:val="auto"/>
        </w:rPr>
      </w:pPr>
    </w:p>
    <w:p>
      <w:pPr>
        <w:ind w:right="60" w:firstLine="255"/>
        <w:spacing w:after="0" w:line="256" w:lineRule="auto"/>
        <w:rPr>
          <w:sz w:val="20"/>
          <w:szCs w:val="20"/>
          <w:color w:val="auto"/>
        </w:rPr>
      </w:pPr>
      <w:r>
        <w:rPr>
          <w:rFonts w:ascii="Times New Roman" w:cs="Times New Roman" w:eastAsia="Times New Roman" w:hAnsi="Times New Roman"/>
          <w:sz w:val="18"/>
          <w:szCs w:val="18"/>
          <w:color w:val="auto"/>
        </w:rPr>
        <w:t>On December 23, 2025, affiliates of Sixth Street, including us, and affiliates of Carlyle entered into the Limited Liability Company Agreement, to co-manage SCP, a joint venture focused on investing in broadly syndicated first lien senior secured loans, financed with long-term, non-mark-to-market, and predominantly investment grade rated CLO debt managed by affiliates of Sixth Street or Carlyle on a no-fee basis. SCP is managed by a board of managers, consisting of an equal number of representatives appointed by the Sixth Street-affiliated members of SCP and the Carlyle-affiliated members of SCP and which acts unanimously. Portfolio construction and investment decisions must be unanimously approved by SCP’s investment committee, as delegated by SCP's board of managers. Our</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8" w:right="379" w:bottom="1440" w:gutter="0" w:footer="0" w:header="0"/>
        </w:sectPr>
      </w:pPr>
    </w:p>
    <w:bookmarkStart w:id="57" w:name="page58"/>
    <w:bookmarkEnd w:id="57"/>
    <w:p>
      <w:pPr>
        <w:ind w:right="340"/>
        <w:spacing w:after="0" w:line="282" w:lineRule="auto"/>
        <w:rPr>
          <w:sz w:val="20"/>
          <w:szCs w:val="20"/>
          <w:color w:val="auto"/>
        </w:rPr>
      </w:pPr>
      <w:r>
        <w:rPr>
          <w:rFonts w:ascii="Times New Roman" w:cs="Times New Roman" w:eastAsia="Times New Roman" w:hAnsi="Times New Roman"/>
          <w:sz w:val="18"/>
          <w:szCs w:val="18"/>
          <w:color w:val="auto"/>
        </w:rPr>
        <w:t>investment in SCP is made with certain of our affiliates in accordance with the terms of the exemptive relief that we received from the SEC. We do not consolidate our non-controlling interest in SCP.</w:t>
      </w:r>
    </w:p>
    <w:p>
      <w:pPr>
        <w:spacing w:after="0" w:line="162"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8"/>
          <w:szCs w:val="18"/>
          <w:color w:val="auto"/>
        </w:rPr>
        <w:t>As of September 30, 2026, SCP had total capital commitments of $600.0 million comprised of $100.0 million of capital commitments from Sixth Street Lending Partners, $200.0 million of capital commitments from Sixth Street Specialty Lending, Inc., $150.0 million of capital commitments from Carlyle Secured Lending, Inc., and $150.0 million of capital commitments from Carlyle Credit Solutions, Inc., with all members of SCP having equal voting control.</w:t>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of September 30, 2026, SCP had the following contributed capital and unfunded commitments from its members: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0" w:type="dxa"/>
            <w:vAlign w:val="bottom"/>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280" w:type="dxa"/>
            <w:vAlign w:val="bottom"/>
          </w:tcPr>
          <w:p>
            <w:pPr>
              <w:spacing w:after="0"/>
              <w:rPr>
                <w:sz w:val="13"/>
                <w:szCs w:val="13"/>
                <w:color w:val="auto"/>
              </w:rPr>
            </w:pPr>
          </w:p>
        </w:tc>
        <w:tc>
          <w:tcPr>
            <w:tcW w:w="19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September 30, 2026</w:t>
            </w:r>
          </w:p>
        </w:tc>
      </w:tr>
      <w:tr>
        <w:trPr>
          <w:trHeight w:val="209"/>
        </w:trPr>
        <w:tc>
          <w:tcPr>
            <w:tcW w:w="9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contributed capital by Sixth Street Lending Partners</w:t>
            </w:r>
          </w:p>
        </w:tc>
        <w:tc>
          <w:tcPr>
            <w:tcW w:w="280" w:type="dxa"/>
            <w:vAlign w:val="bottom"/>
            <w:tcBorders>
              <w:top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shd w:val="clear" w:color="auto" w:fill="CFF0FC"/>
          </w:tcPr>
          <w:p>
            <w:pPr>
              <w:spacing w:after="0"/>
              <w:rPr>
                <w:sz w:val="18"/>
                <w:szCs w:val="18"/>
                <w:color w:val="auto"/>
              </w:rPr>
            </w:pPr>
          </w:p>
        </w:tc>
      </w:tr>
      <w:tr>
        <w:trPr>
          <w:trHeight w:val="216"/>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Total contributed capital by Sixth Street Specialty Lending, Inc.</w:t>
            </w:r>
          </w:p>
        </w:tc>
        <w:tc>
          <w:tcPr>
            <w:tcW w:w="28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00" w:type="dxa"/>
            <w:vAlign w:val="bottom"/>
          </w:tcPr>
          <w:p>
            <w:pPr>
              <w:spacing w:after="0"/>
              <w:rPr>
                <w:sz w:val="18"/>
                <w:szCs w:val="18"/>
                <w:color w:val="auto"/>
              </w:rPr>
            </w:pPr>
          </w:p>
        </w:tc>
      </w:tr>
      <w:tr>
        <w:trPr>
          <w:trHeight w:val="216"/>
        </w:trPr>
        <w:tc>
          <w:tcPr>
            <w:tcW w:w="9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contributed capital by Carlyle</w:t>
            </w:r>
          </w:p>
        </w:tc>
        <w:tc>
          <w:tcPr>
            <w:tcW w:w="280" w:type="dxa"/>
            <w:vAlign w:val="bottom"/>
            <w:tcBorders>
              <w:bottom w:val="single" w:sz="8" w:color="auto"/>
            </w:tcBorders>
            <w:shd w:val="clear" w:color="auto" w:fill="CFF0FC"/>
          </w:tcPr>
          <w:p>
            <w:pPr>
              <w:spacing w:after="0"/>
              <w:rPr>
                <w:sz w:val="18"/>
                <w:szCs w:val="18"/>
                <w:color w:val="auto"/>
              </w:rPr>
            </w:pPr>
          </w:p>
        </w:tc>
        <w:tc>
          <w:tcPr>
            <w:tcW w:w="1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90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contributed capital</w:t>
            </w: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226.9</w:t>
            </w:r>
          </w:p>
        </w:tc>
        <w:tc>
          <w:tcPr>
            <w:tcW w:w="100" w:type="dxa"/>
            <w:vAlign w:val="bottom"/>
          </w:tcPr>
          <w:p>
            <w:pPr>
              <w:spacing w:after="0"/>
              <w:rPr>
                <w:sz w:val="18"/>
                <w:szCs w:val="18"/>
                <w:color w:val="auto"/>
              </w:rPr>
            </w:pPr>
          </w:p>
        </w:tc>
      </w:tr>
      <w:tr>
        <w:trPr>
          <w:trHeight w:val="20"/>
        </w:trPr>
        <w:tc>
          <w:tcPr>
            <w:tcW w:w="9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90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Total unfunded commitments by Sixth Street Lending Partners</w:t>
            </w:r>
          </w:p>
        </w:tc>
        <w:tc>
          <w:tcPr>
            <w:tcW w:w="280" w:type="dxa"/>
            <w:vAlign w:val="bottom"/>
            <w:shd w:val="clear" w:color="auto" w:fill="CFF0FC"/>
          </w:tcPr>
          <w:p>
            <w:pPr>
              <w:spacing w:after="0"/>
              <w:rPr>
                <w:sz w:val="17"/>
                <w:szCs w:val="17"/>
                <w:color w:val="auto"/>
              </w:rPr>
            </w:pPr>
          </w:p>
        </w:tc>
        <w:tc>
          <w:tcPr>
            <w:tcW w:w="18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62.2</w:t>
            </w:r>
          </w:p>
        </w:tc>
        <w:tc>
          <w:tcPr>
            <w:tcW w:w="100" w:type="dxa"/>
            <w:vAlign w:val="bottom"/>
            <w:shd w:val="clear" w:color="auto" w:fill="CFF0FC"/>
          </w:tcPr>
          <w:p>
            <w:pPr>
              <w:spacing w:after="0"/>
              <w:rPr>
                <w:sz w:val="17"/>
                <w:szCs w:val="17"/>
                <w:color w:val="auto"/>
              </w:rPr>
            </w:pPr>
          </w:p>
        </w:tc>
      </w:tr>
      <w:tr>
        <w:trPr>
          <w:trHeight w:val="216"/>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Total unfunded commitments by Sixth Street Specialty Lending, Inc.</w:t>
            </w:r>
          </w:p>
        </w:tc>
        <w:tc>
          <w:tcPr>
            <w:tcW w:w="28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100" w:type="dxa"/>
            <w:vAlign w:val="bottom"/>
          </w:tcPr>
          <w:p>
            <w:pPr>
              <w:spacing w:after="0"/>
              <w:rPr>
                <w:sz w:val="18"/>
                <w:szCs w:val="18"/>
                <w:color w:val="auto"/>
              </w:rPr>
            </w:pPr>
          </w:p>
        </w:tc>
      </w:tr>
      <w:tr>
        <w:trPr>
          <w:trHeight w:val="216"/>
        </w:trPr>
        <w:tc>
          <w:tcPr>
            <w:tcW w:w="9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unfunded commitments by Carlyle</w:t>
            </w:r>
          </w:p>
        </w:tc>
        <w:tc>
          <w:tcPr>
            <w:tcW w:w="280" w:type="dxa"/>
            <w:vAlign w:val="bottom"/>
            <w:tcBorders>
              <w:bottom w:val="single" w:sz="8" w:color="auto"/>
            </w:tcBorders>
            <w:shd w:val="clear" w:color="auto" w:fill="CFF0FC"/>
          </w:tcPr>
          <w:p>
            <w:pPr>
              <w:spacing w:after="0"/>
              <w:rPr>
                <w:sz w:val="18"/>
                <w:szCs w:val="18"/>
                <w:color w:val="auto"/>
              </w:rPr>
            </w:pPr>
          </w:p>
        </w:tc>
        <w:tc>
          <w:tcPr>
            <w:tcW w:w="1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90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unfunded commitments</w:t>
            </w: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373.1</w:t>
            </w:r>
          </w:p>
        </w:tc>
        <w:tc>
          <w:tcPr>
            <w:tcW w:w="100" w:type="dxa"/>
            <w:vAlign w:val="bottom"/>
          </w:tcPr>
          <w:p>
            <w:pPr>
              <w:spacing w:after="0"/>
              <w:rPr>
                <w:sz w:val="18"/>
                <w:szCs w:val="18"/>
                <w:color w:val="auto"/>
              </w:rPr>
            </w:pPr>
          </w:p>
        </w:tc>
      </w:tr>
      <w:tr>
        <w:trPr>
          <w:trHeight w:val="20"/>
        </w:trPr>
        <w:tc>
          <w:tcPr>
            <w:tcW w:w="9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-753745</wp:posOffset>
            </wp:positionV>
            <wp:extent cx="6858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60" w:firstLine="255"/>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2026, SCP declared $9.8 million and $15.5 million, respectively, in distributions, of which $1.6 million and $2.6 million, respectively, was recognized as dividend income in the Company's Consolidated Statements of Operations. As of September 30, 2026, the daily weighted average yield on our investment in Structured Credit Partners JV, LLC was 20.3%.</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Below is a summary of SCP's portfolio as of September 30, 2026:</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6440" w:type="dxa"/>
            <w:vAlign w:val="bottom"/>
            <w:gridSpan w:val="2"/>
            <w:vMerge w:val="restart"/>
          </w:tcPr>
          <w:p>
            <w:pPr>
              <w:ind w:left="820"/>
              <w:spacing w:after="0"/>
              <w:rPr>
                <w:sz w:val="20"/>
                <w:szCs w:val="20"/>
                <w:color w:val="auto"/>
              </w:rPr>
            </w:pPr>
            <w:r>
              <w:rPr>
                <w:rFonts w:ascii="Times New Roman" w:cs="Times New Roman" w:eastAsia="Times New Roman" w:hAnsi="Times New Roman"/>
                <w:sz w:val="14"/>
                <w:szCs w:val="14"/>
                <w:color w:val="auto"/>
              </w:rPr>
              <w:t>($ in millions)</w:t>
            </w: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80" w:type="dxa"/>
            <w:vAlign w:val="bottom"/>
            <w:gridSpan w:val="2"/>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73"/>
        </w:trPr>
        <w:tc>
          <w:tcPr>
            <w:tcW w:w="360" w:type="dxa"/>
            <w:vAlign w:val="bottom"/>
          </w:tcPr>
          <w:p>
            <w:pPr>
              <w:spacing w:after="0"/>
              <w:rPr>
                <w:sz w:val="15"/>
                <w:szCs w:val="15"/>
                <w:color w:val="auto"/>
              </w:rPr>
            </w:pPr>
          </w:p>
        </w:tc>
        <w:tc>
          <w:tcPr>
            <w:tcW w:w="6440" w:type="dxa"/>
            <w:vAlign w:val="bottom"/>
            <w:gridSpan w:val="2"/>
            <w:vMerge w:val="continue"/>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 xml:space="preserve">Total investments </w:t>
            </w:r>
            <w:r>
              <w:rPr>
                <w:rFonts w:ascii="Times New Roman" w:cs="Times New Roman" w:eastAsia="Times New Roman" w:hAnsi="Times New Roman"/>
                <w:sz w:val="24"/>
                <w:szCs w:val="24"/>
                <w:color w:val="auto"/>
                <w:vertAlign w:val="superscript"/>
              </w:rPr>
              <w:t>(1)</w:t>
            </w:r>
          </w:p>
        </w:tc>
        <w:tc>
          <w:tcPr>
            <w:tcW w:w="1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2,157.5</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yield on total investments at amortized cost</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6.95%</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yield on total investments at fair value</w:t>
            </w:r>
          </w:p>
        </w:tc>
        <w:tc>
          <w:tcPr>
            <w:tcW w:w="1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6.96%</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spread on investments</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Number of portfolio companies in SCP</w:t>
            </w:r>
          </w:p>
        </w:tc>
        <w:tc>
          <w:tcPr>
            <w:tcW w:w="1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loans at floating interest rates</w:t>
            </w: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99.64%</w:t>
            </w:r>
          </w:p>
        </w:tc>
        <w:tc>
          <w:tcPr>
            <w:tcW w:w="0" w:type="dxa"/>
            <w:vAlign w:val="bottom"/>
          </w:tcPr>
          <w:p>
            <w:pPr>
              <w:spacing w:after="0"/>
              <w:rPr>
                <w:sz w:val="1"/>
                <w:szCs w:val="1"/>
                <w:color w:val="auto"/>
              </w:rPr>
            </w:pPr>
          </w:p>
        </w:tc>
      </w:tr>
      <w:tr>
        <w:trPr>
          <w:trHeight w:val="454"/>
        </w:trPr>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(1)</w:t>
            </w:r>
          </w:p>
        </w:tc>
        <w:tc>
          <w:tcPr>
            <w:tcW w:w="64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At par amount.</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results for the three and nine months ended September 30, 2026 and September 30, 2025,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20" w:type="dxa"/>
            <w:vAlign w:val="bottom"/>
            <w:gridSpan w:val="5"/>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5"/>
                <w:szCs w:val="15"/>
                <w:color w:val="auto"/>
              </w:rPr>
            </w:pPr>
          </w:p>
        </w:tc>
        <w:tc>
          <w:tcPr>
            <w:tcW w:w="2560" w:type="dxa"/>
            <w:vAlign w:val="bottom"/>
            <w:gridSpan w:val="6"/>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17"/>
        </w:trPr>
        <w:tc>
          <w:tcPr>
            <w:tcW w:w="5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 xml:space="preserve">($ in millions) </w:t>
            </w:r>
            <w:r>
              <w:rPr>
                <w:rFonts w:ascii="Times New Roman" w:cs="Times New Roman" w:eastAsia="Times New Roman" w:hAnsi="Times New Roman"/>
                <w:sz w:val="24"/>
                <w:szCs w:val="24"/>
                <w:color w:val="auto"/>
                <w:vertAlign w:val="superscript"/>
              </w:rPr>
              <w:t>(1)</w:t>
            </w:r>
          </w:p>
        </w:tc>
        <w:tc>
          <w:tcPr>
            <w:tcW w:w="6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2"/>
          </w:tcPr>
          <w:p>
            <w:pPr>
              <w:jc w:val="right"/>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080" w:type="dxa"/>
            <w:vAlign w:val="bottom"/>
            <w:tcBorders>
              <w:top w:val="single" w:sz="8" w:color="auto"/>
            </w:tcBorders>
            <w:gridSpan w:val="2"/>
          </w:tcPr>
          <w:p>
            <w:pPr>
              <w:jc w:val="right"/>
              <w:ind w:right="52"/>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2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gridSpan w:val="2"/>
          </w:tcPr>
          <w:p>
            <w:pPr>
              <w:jc w:val="right"/>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ind w:right="74"/>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200" w:type="dxa"/>
            <w:vAlign w:val="bottom"/>
            <w:gridSpan w:val="2"/>
            <w:vMerge w:val="continue"/>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investment income</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247.1</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1"/>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235.7</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703.1</w:t>
            </w:r>
          </w:p>
        </w:tc>
        <w:tc>
          <w:tcPr>
            <w:tcW w:w="16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Net expenses</w:t>
            </w:r>
          </w:p>
        </w:tc>
        <w:tc>
          <w:tcPr>
            <w:tcW w:w="6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investment income before income taxes</w:t>
            </w: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433.2</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ind w:left="120"/>
              <w:spacing w:after="0" w:line="216" w:lineRule="exact"/>
              <w:rPr>
                <w:sz w:val="20"/>
                <w:szCs w:val="20"/>
                <w:color w:val="auto"/>
              </w:rPr>
            </w:pPr>
            <w:r>
              <w:rPr>
                <w:rFonts w:ascii="Times New Roman" w:cs="Times New Roman" w:eastAsia="Times New Roman" w:hAnsi="Times New Roman"/>
                <w:sz w:val="18"/>
                <w:szCs w:val="18"/>
                <w:color w:val="auto"/>
              </w:rPr>
              <w:t xml:space="preserve">Less: Income taxes, including excise taxes </w:t>
            </w:r>
            <w:r>
              <w:rPr>
                <w:rFonts w:ascii="Times New Roman" w:cs="Times New Roman" w:eastAsia="Times New Roman" w:hAnsi="Times New Roman"/>
                <w:sz w:val="24"/>
                <w:szCs w:val="24"/>
                <w:color w:val="auto"/>
                <w:vertAlign w:val="superscript"/>
              </w:rPr>
              <w:t>(3)</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investment income</w:t>
            </w:r>
          </w:p>
        </w:tc>
        <w:tc>
          <w:tcPr>
            <w:tcW w:w="6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28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2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433.2</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Net realized gains (losses) </w:t>
            </w:r>
            <w:r>
              <w:rPr>
                <w:rFonts w:ascii="Times New Roman" w:cs="Times New Roman" w:eastAsia="Times New Roman" w:hAnsi="Times New Roman"/>
                <w:sz w:val="24"/>
                <w:szCs w:val="24"/>
                <w:color w:val="auto"/>
                <w:vertAlign w:val="superscript"/>
              </w:rPr>
              <w:t>(2)(3)</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Net change in unrealized gains (losses) </w:t>
            </w:r>
            <w:r>
              <w:rPr>
                <w:rFonts w:ascii="Times New Roman" w:cs="Times New Roman" w:eastAsia="Times New Roman" w:hAnsi="Times New Roman"/>
                <w:sz w:val="24"/>
                <w:szCs w:val="24"/>
                <w:color w:val="auto"/>
                <w:vertAlign w:val="superscript"/>
              </w:rPr>
              <w:t>(2)</w:t>
            </w: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(30.1)</w:t>
            </w: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(164.1)</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09"/>
        </w:trPr>
        <w:tc>
          <w:tcPr>
            <w:tcW w:w="5200" w:type="dxa"/>
            <w:vAlign w:val="bottom"/>
            <w:tcBorders>
              <w:top w:val="single" w:sz="8" w:color="CFF0FC"/>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Net increase (decrease) in net assets resulting from operations</w:t>
            </w:r>
          </w:p>
        </w:tc>
        <w:tc>
          <w:tcPr>
            <w:tcW w:w="640" w:type="dxa"/>
            <w:vAlign w:val="bottom"/>
            <w:tcBorders>
              <w:top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28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20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270.6</w:t>
            </w:r>
          </w:p>
        </w:tc>
        <w:tc>
          <w:tcPr>
            <w:tcW w:w="16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424.4</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w:t>
            </w:r>
          </w:p>
        </w:tc>
        <w:tc>
          <w:tcPr>
            <w:tcW w:w="48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Table may not sum due to rounding.</w:t>
            </w: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60" w:type="dxa"/>
            <w:vAlign w:val="bottom"/>
            <w:vMerge w:val="continue"/>
          </w:tcPr>
          <w:p>
            <w:pPr>
              <w:spacing w:after="0"/>
              <w:rPr>
                <w:sz w:val="24"/>
                <w:szCs w:val="24"/>
                <w:color w:val="auto"/>
              </w:rPr>
            </w:pPr>
          </w:p>
        </w:tc>
        <w:tc>
          <w:tcPr>
            <w:tcW w:w="484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4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Includes foreign exchange hedging activity.</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4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Amounts round to less than $0.1 million.</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36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60" w:type="dxa"/>
            <w:vAlign w:val="bottom"/>
            <w:tcBorders>
              <w:bottom w:val="single" w:sz="8" w:color="9A9A9A"/>
            </w:tcBorders>
          </w:tcPr>
          <w:p>
            <w:pPr>
              <w:spacing w:after="0"/>
              <w:rPr>
                <w:sz w:val="24"/>
                <w:szCs w:val="24"/>
                <w:color w:val="auto"/>
              </w:rPr>
            </w:pPr>
          </w:p>
        </w:tc>
        <w:tc>
          <w:tcPr>
            <w:tcW w:w="48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-1696720</wp:posOffset>
            </wp:positionV>
            <wp:extent cx="7747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-1696720</wp:posOffset>
            </wp:positionV>
            <wp:extent cx="68580"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-1696720</wp:posOffset>
            </wp:positionV>
            <wp:extent cx="6858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-1696720</wp:posOffset>
            </wp:positionV>
            <wp:extent cx="68580"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Income</w:t>
      </w:r>
    </w:p>
    <w:p>
      <w:pPr>
        <w:spacing w:after="0" w:line="223" w:lineRule="exact"/>
        <w:rPr>
          <w:sz w:val="20"/>
          <w:szCs w:val="20"/>
          <w:color w:val="auto"/>
        </w:rPr>
      </w:pPr>
    </w:p>
    <w:tbl>
      <w:tblPr>
        <w:tblLayout w:type="fixed"/>
        <w:tblInd w:w="1520" w:type="dxa"/>
        <w:tblCellMar>
          <w:top w:w="0" w:type="dxa"/>
          <w:left w:w="0" w:type="dxa"/>
          <w:bottom w:w="0" w:type="dxa"/>
          <w:right w:w="0" w:type="dxa"/>
        </w:tblCellMar>
      </w:tblPr>
      <w:tr>
        <w:trPr>
          <w:trHeight w:val="173"/>
        </w:trPr>
        <w:tc>
          <w:tcPr>
            <w:tcW w:w="2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 xml:space="preserve">($ in millions) </w:t>
            </w:r>
            <w:r>
              <w:rPr>
                <w:rFonts w:ascii="Times New Roman" w:cs="Times New Roman" w:eastAsia="Times New Roman" w:hAnsi="Times New Roman"/>
                <w:sz w:val="24"/>
                <w:szCs w:val="24"/>
                <w:color w:val="auto"/>
                <w:vertAlign w:val="superscript"/>
              </w:rPr>
              <w:t>(1)</w:t>
            </w:r>
          </w:p>
        </w:tc>
        <w:tc>
          <w:tcPr>
            <w:tcW w:w="16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3"/>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2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40" w:type="dxa"/>
            <w:vAlign w:val="bottom"/>
          </w:tcPr>
          <w:p>
            <w:pPr>
              <w:spacing w:after="0"/>
              <w:rPr>
                <w:sz w:val="17"/>
                <w:szCs w:val="17"/>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60" w:type="dxa"/>
            <w:vAlign w:val="bottom"/>
          </w:tcPr>
          <w:p>
            <w:pPr>
              <w:spacing w:after="0"/>
              <w:rPr>
                <w:sz w:val="17"/>
                <w:szCs w:val="17"/>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40" w:type="dxa"/>
            <w:vAlign w:val="bottom"/>
          </w:tcPr>
          <w:p>
            <w:pPr>
              <w:spacing w:after="0"/>
              <w:rPr>
                <w:sz w:val="17"/>
                <w:szCs w:val="17"/>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from investments</w:t>
            </w:r>
          </w:p>
        </w:tc>
        <w:tc>
          <w:tcPr>
            <w:tcW w:w="560" w:type="dxa"/>
            <w:vAlign w:val="bottom"/>
            <w:gridSpan w:val="2"/>
            <w:shd w:val="clear" w:color="auto" w:fill="CFF0FC"/>
          </w:tcPr>
          <w:p>
            <w:pPr>
              <w:jc w:val="right"/>
              <w:ind w:right="24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217.3</w:t>
            </w:r>
          </w:p>
        </w:tc>
        <w:tc>
          <w:tcPr>
            <w:tcW w:w="900" w:type="dxa"/>
            <w:vAlign w:val="bottom"/>
            <w:gridSpan w:val="2"/>
            <w:shd w:val="clear" w:color="auto" w:fill="CFF0FC"/>
          </w:tcPr>
          <w:p>
            <w:pPr>
              <w:jc w:val="right"/>
              <w:ind w:right="58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197.0</w:t>
            </w:r>
          </w:p>
        </w:tc>
        <w:tc>
          <w:tcPr>
            <w:tcW w:w="580" w:type="dxa"/>
            <w:vAlign w:val="bottom"/>
            <w:gridSpan w:val="2"/>
            <w:shd w:val="clear" w:color="auto" w:fill="CFF0FC"/>
          </w:tcPr>
          <w:p>
            <w:pPr>
              <w:jc w:val="right"/>
              <w:ind w:right="26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615.4</w:t>
            </w:r>
          </w:p>
        </w:tc>
        <w:tc>
          <w:tcPr>
            <w:tcW w:w="860" w:type="dxa"/>
            <w:vAlign w:val="bottom"/>
            <w:gridSpan w:val="2"/>
            <w:shd w:val="clear" w:color="auto" w:fill="CFF0FC"/>
          </w:tcPr>
          <w:p>
            <w:pPr>
              <w:jc w:val="right"/>
              <w:ind w:right="56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Paid-in-kind interest income</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income</w:t>
            </w:r>
          </w:p>
        </w:tc>
        <w:tc>
          <w:tcPr>
            <w:tcW w:w="1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4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4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investment income</w:t>
            </w:r>
          </w:p>
        </w:tc>
        <w:tc>
          <w:tcPr>
            <w:tcW w:w="560" w:type="dxa"/>
            <w:vAlign w:val="bottom"/>
            <w:gridSpan w:val="2"/>
            <w:shd w:val="clear" w:color="auto" w:fill="CFF0FC"/>
          </w:tcPr>
          <w:p>
            <w:pPr>
              <w:jc w:val="right"/>
              <w:ind w:right="24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247.1</w:t>
            </w:r>
          </w:p>
        </w:tc>
        <w:tc>
          <w:tcPr>
            <w:tcW w:w="900" w:type="dxa"/>
            <w:vAlign w:val="bottom"/>
            <w:gridSpan w:val="2"/>
            <w:shd w:val="clear" w:color="auto" w:fill="CFF0FC"/>
          </w:tcPr>
          <w:p>
            <w:pPr>
              <w:jc w:val="right"/>
              <w:ind w:right="58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235.7</w:t>
            </w:r>
          </w:p>
        </w:tc>
        <w:tc>
          <w:tcPr>
            <w:tcW w:w="580" w:type="dxa"/>
            <w:vAlign w:val="bottom"/>
            <w:gridSpan w:val="2"/>
            <w:shd w:val="clear" w:color="auto" w:fill="CFF0FC"/>
          </w:tcPr>
          <w:p>
            <w:pPr>
              <w:jc w:val="right"/>
              <w:ind w:right="26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703.1</w:t>
            </w:r>
          </w:p>
        </w:tc>
        <w:tc>
          <w:tcPr>
            <w:tcW w:w="860" w:type="dxa"/>
            <w:vAlign w:val="bottom"/>
            <w:gridSpan w:val="2"/>
            <w:shd w:val="clear" w:color="auto" w:fill="CFF0FC"/>
          </w:tcPr>
          <w:p>
            <w:pPr>
              <w:jc w:val="right"/>
              <w:ind w:right="56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-24765</wp:posOffset>
            </wp:positionV>
            <wp:extent cx="51435"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-7620</wp:posOffset>
            </wp:positionV>
            <wp:extent cx="51435"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-24765</wp:posOffset>
            </wp:positionV>
            <wp:extent cx="51435"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-7620</wp:posOffset>
            </wp:positionV>
            <wp:extent cx="51435"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-24765</wp:posOffset>
            </wp:positionV>
            <wp:extent cx="51435"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-7620</wp:posOffset>
            </wp:positionV>
            <wp:extent cx="51435"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-24765</wp:posOffset>
            </wp:positionV>
            <wp:extent cx="51435"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-7620</wp:posOffset>
            </wp:positionV>
            <wp:extent cx="51435"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94" w:lineRule="exact"/>
        <w:rPr>
          <w:sz w:val="20"/>
          <w:szCs w:val="20"/>
          <w:color w:val="auto"/>
        </w:rPr>
      </w:pPr>
    </w:p>
    <w:p>
      <w:pPr>
        <w:ind w:left="520" w:hanging="512"/>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Table may not sum due to rounding.</w:t>
      </w:r>
    </w:p>
    <w:p>
      <w:pPr>
        <w:spacing w:after="0" w:line="117" w:lineRule="exact"/>
        <w:rPr>
          <w:sz w:val="20"/>
          <w:szCs w:val="20"/>
          <w:color w:val="auto"/>
        </w:rPr>
      </w:pPr>
    </w:p>
    <w:p>
      <w:pPr>
        <w:ind w:right="20" w:firstLine="255"/>
        <w:spacing w:after="0" w:line="254" w:lineRule="auto"/>
        <w:rPr>
          <w:sz w:val="20"/>
          <w:szCs w:val="20"/>
          <w:color w:val="auto"/>
        </w:rPr>
      </w:pPr>
      <w:r>
        <w:rPr>
          <w:rFonts w:ascii="Times New Roman" w:cs="Times New Roman" w:eastAsia="Times New Roman" w:hAnsi="Times New Roman"/>
          <w:sz w:val="18"/>
          <w:szCs w:val="18"/>
          <w:color w:val="auto"/>
        </w:rPr>
        <w:t>Interest from investments, which includes amortization of upfront fees and prepayment fees, increased from $197.0 million for the three months ended September 30, 2025 to $217.3 million for the three months ended September 30, 2026. The increase in interest from investments was primarily the result of growth in our investment portfolio for the three months ended September 30, 2026 compared to the same period in 2025. Paid-in-kind interest income increased from $19.0 million for the three months ended September 30, 2025 to $20.9 million for the three months ended September 30, 2026, primarily due to increased PIK investments. There was no dividend income for the three months ended September 30, 2025. Dividend income for the three months ended September 30, 2026 was $1.6 million, primarily due to increased dividend yielding investments in 2026. Other income decreased from $19.7 million for the three months ended September 30, 2025 to $7.3 million for the three months ended September 30, 2026 primarily due to decreased miscellaneous fees earned.</w:t>
      </w:r>
    </w:p>
    <w:p>
      <w:pPr>
        <w:spacing w:after="0" w:line="192" w:lineRule="exact"/>
        <w:rPr>
          <w:sz w:val="20"/>
          <w:szCs w:val="20"/>
          <w:color w:val="auto"/>
        </w:rPr>
      </w:pPr>
    </w:p>
    <w:p>
      <w:pPr>
        <w:ind w:right="40" w:firstLine="255"/>
        <w:spacing w:after="0" w:line="255" w:lineRule="auto"/>
        <w:rPr>
          <w:sz w:val="20"/>
          <w:szCs w:val="20"/>
          <w:color w:val="auto"/>
        </w:rPr>
      </w:pPr>
      <w:r>
        <w:rPr>
          <w:rFonts w:ascii="Times New Roman" w:cs="Times New Roman" w:eastAsia="Times New Roman" w:hAnsi="Times New Roman"/>
          <w:sz w:val="18"/>
          <w:szCs w:val="18"/>
          <w:color w:val="auto"/>
        </w:rPr>
        <w:t>Interest from investments, which includes amortization of upfront fees and prepayment fees, decreased from $629.6 million for the nine months ended September 30, 2025 to $615.4 million for the nine months ended September 30, 2026. The decrease in interest from investments was primarily the result of a decrease in reference rates for nine months ended September 30, 2026 compared to the same period in 2025. Paid-in-kind interest income increased from $50.3 million for the nine months ended September 30, 2025 to $57.6 million for the nine months ended September 30, 2026, primarily due to increased PIK investments. Dividend income decreased from $4.6 million for the nine months ended September 30, 2025 to $2.6 million for nine months ended September 30, 2026, primarily due to the timing of dividend payments in 2026. Other income decreased from $32.9 million for the nine months ended September 30, 2025 to $27.5 million for the nine months ended September 30, 2026 primarily due to decreased amendment and miscellaneous fees earned.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Operating expenses for the three and nine months ended September 30, 2026 and September 30, 2025, were as follows: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40" w:type="dxa"/>
            <w:vAlign w:val="bottom"/>
            <w:gridSpan w:val="5"/>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0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17"/>
        </w:trPr>
        <w:tc>
          <w:tcPr>
            <w:tcW w:w="5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 xml:space="preserve">($ in millions) </w:t>
            </w:r>
            <w:r>
              <w:rPr>
                <w:rFonts w:ascii="Times New Roman" w:cs="Times New Roman" w:eastAsia="Times New Roman" w:hAnsi="Times New Roman"/>
                <w:sz w:val="19"/>
                <w:szCs w:val="19"/>
                <w:color w:val="auto"/>
                <w:vertAlign w:val="superscript"/>
              </w:rPr>
              <w:t>(1)</w:t>
            </w:r>
          </w:p>
        </w:tc>
        <w:tc>
          <w:tcPr>
            <w:tcW w:w="1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ind w:right="75"/>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2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ind w:right="74"/>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2"/>
          </w:tcPr>
          <w:p>
            <w:pPr>
              <w:jc w:val="right"/>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right"/>
              <w:ind w:right="74"/>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780" w:type="dxa"/>
            <w:vAlign w:val="bottom"/>
            <w:gridSpan w:val="2"/>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6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Management fees (net of waivers)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Incentive fees on net investment income</w:t>
            </w: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Incentive fees on net capital gains (losses)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Trustees fees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general and administrative</w:t>
            </w:r>
          </w:p>
        </w:tc>
        <w:tc>
          <w:tcPr>
            <w:tcW w:w="1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Expenses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6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269.9</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w:t>
            </w:r>
          </w:p>
        </w:tc>
        <w:tc>
          <w:tcPr>
            <w:tcW w:w="55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Table may not sum due to rounding.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240" w:type="dxa"/>
            <w:vAlign w:val="bottom"/>
            <w:vMerge w:val="continue"/>
          </w:tcPr>
          <w:p>
            <w:pPr>
              <w:spacing w:after="0"/>
              <w:rPr>
                <w:sz w:val="24"/>
                <w:szCs w:val="24"/>
                <w:color w:val="auto"/>
              </w:rPr>
            </w:pPr>
          </w:p>
        </w:tc>
        <w:tc>
          <w:tcPr>
            <w:tcW w:w="55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40" w:type="dxa"/>
            <w:vAlign w:val="bottom"/>
          </w:tcPr>
          <w:p>
            <w:pPr>
              <w:spacing w:after="0"/>
              <w:rPr>
                <w:sz w:val="24"/>
                <w:szCs w:val="24"/>
                <w:color w:val="auto"/>
              </w:rPr>
            </w:pPr>
          </w:p>
        </w:tc>
        <w:tc>
          <w:tcPr>
            <w:tcW w:w="55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Interest</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-719455</wp:posOffset>
            </wp:positionV>
            <wp:extent cx="77470"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-719455</wp:posOffset>
            </wp:positionV>
            <wp:extent cx="68580"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-719455</wp:posOffset>
            </wp:positionV>
            <wp:extent cx="68580"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-719455</wp:posOffset>
            </wp:positionV>
            <wp:extent cx="68580"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8"/>
          <w:szCs w:val="18"/>
          <w:color w:val="auto"/>
        </w:rPr>
        <w:t>Interest expense, including other debt financing costs, increased from $60.0 million for the three months ended September 30, 2025 to $62.0 million for the three months ended September 30, 2026. This increase was primarily due to an increase in average debt outstanding from $3,822.5 million for the three months ended September 30, 2025 to $4,323.0 million for the three months ended September 30, 2026. This was offset by a decrease in the weighted average interest rate in our debt outstanding which decreased from</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59" w:name="page60"/>
    <w:bookmarkEnd w:id="59"/>
    <w:p>
      <w:pPr>
        <w:ind w:right="520"/>
        <w:spacing w:after="0" w:line="282" w:lineRule="auto"/>
        <w:rPr>
          <w:sz w:val="20"/>
          <w:szCs w:val="20"/>
          <w:color w:val="auto"/>
        </w:rPr>
      </w:pPr>
      <w:r>
        <w:rPr>
          <w:rFonts w:ascii="Times New Roman" w:cs="Times New Roman" w:eastAsia="Times New Roman" w:hAnsi="Times New Roman"/>
          <w:sz w:val="18"/>
          <w:szCs w:val="18"/>
          <w:color w:val="auto"/>
        </w:rPr>
        <w:t>5.7% for the three months ended September 30, 2025 to 5.3% for the three months ended September 30, 2026 due to a change in the mix of our debt financing sources and a change in reference rates.</w:t>
      </w:r>
    </w:p>
    <w:p>
      <w:pPr>
        <w:spacing w:after="0" w:line="162" w:lineRule="exact"/>
        <w:rPr>
          <w:sz w:val="20"/>
          <w:szCs w:val="20"/>
          <w:color w:val="auto"/>
        </w:rPr>
      </w:pPr>
    </w:p>
    <w:p>
      <w:pPr>
        <w:ind w:right="160" w:firstLine="255"/>
        <w:spacing w:after="0" w:line="258" w:lineRule="auto"/>
        <w:rPr>
          <w:sz w:val="20"/>
          <w:szCs w:val="20"/>
          <w:color w:val="auto"/>
        </w:rPr>
      </w:pPr>
      <w:r>
        <w:rPr>
          <w:rFonts w:ascii="Times New Roman" w:cs="Times New Roman" w:eastAsia="Times New Roman" w:hAnsi="Times New Roman"/>
          <w:sz w:val="18"/>
          <w:szCs w:val="18"/>
          <w:color w:val="auto"/>
        </w:rPr>
        <w:t>Interest expense, including other debt financing costs, increased from $175.2 million for the nine months ended September 30, 2025 to $178.7 million for the nine months ended September 30, 2026. This increase was primarily due to an increase in average debt outstanding from $3,594.4 million for the nine months ended September 30, 2025 to $4,236.5 million for the nine months ended September 30, 2026. This was offset by a decrease in the weighted average interest rate in our debt outstanding which decreased from 5.9% for nine months ended September 30, 2025 to 5.2% for the nine months ended September 30, 2026 due to a change in the mix of our debt financing sources and a change in reference rates.</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Management Fees</w:t>
      </w:r>
    </w:p>
    <w:p>
      <w:pPr>
        <w:spacing w:after="0" w:line="227"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Management Fees (gross of waivers) increased from $28.1 million for the three months ended September 30, 2025 to $29.3 million for the three months ended September 30, 2026 due to an increase in average assets for the three months ended September 30, 2026 compared to the same period in 2025. Management Fees (net of waivers) increased from $10.2 million for the three months ended September 30, 2025 to $11.7 million for the three months ended September 30, 2026. For the three months ended September 30, 2026 and 2025, the Adviser waived Management Fees of $17.6 million and $17.9 million, respectively.</w:t>
      </w:r>
    </w:p>
    <w:p>
      <w:pPr>
        <w:spacing w:after="0" w:line="183"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8"/>
          <w:szCs w:val="18"/>
          <w:color w:val="auto"/>
        </w:rPr>
        <w:t>Management Fees (gross of waivers) increased from $79.9 million for the nine months ended September 30, 2025 to $83.8 million for the nine months ended September 30, 2026 due to an increase in average assets for the nine months ended September 30, 2026 compared to the same period in 2025. Management Fees (net of waivers) increased from $29.8 million for the nine months ended September 30, 2025 to $32.5 million for the nine months ended September 30, 2026. For the nine months ended September 30, 2026 and 2025, the Adviser waived Management Fees of $51.3 million and $50.1 million, respectively.</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Incentive Fees</w:t>
      </w:r>
    </w:p>
    <w:p>
      <w:pPr>
        <w:spacing w:after="0" w:line="227" w:lineRule="exact"/>
        <w:rPr>
          <w:sz w:val="20"/>
          <w:szCs w:val="20"/>
          <w:color w:val="auto"/>
        </w:rPr>
      </w:pPr>
    </w:p>
    <w:p>
      <w:pPr>
        <w:ind w:right="200" w:firstLine="255"/>
        <w:spacing w:after="0" w:line="261" w:lineRule="auto"/>
        <w:rPr>
          <w:sz w:val="20"/>
          <w:szCs w:val="20"/>
          <w:color w:val="auto"/>
        </w:rPr>
      </w:pPr>
      <w:r>
        <w:rPr>
          <w:rFonts w:ascii="Times New Roman" w:cs="Times New Roman" w:eastAsia="Times New Roman" w:hAnsi="Times New Roman"/>
          <w:sz w:val="18"/>
          <w:szCs w:val="18"/>
          <w:color w:val="auto"/>
        </w:rPr>
        <w:t>Incentive Fees related to pre-incentive net investment income increased from $20.2 million for the three months ended September 30, 2025 to $21.0 million for the three months ended September 30, 2026. For the three months ended September 30, 2026, there were no Incentive Fees accrued related to Capital Gains Fees. For the three months ended September 30, 2025, $(1.0) million of Incentive Fees were accrued related to Capital Gains Fees. As of September 30, 2026, these accrued Incentive Fees are not contractually payable to the Adviser.</w:t>
      </w:r>
    </w:p>
    <w:p>
      <w:pPr>
        <w:spacing w:after="0" w:line="180" w:lineRule="exact"/>
        <w:rPr>
          <w:sz w:val="20"/>
          <w:szCs w:val="20"/>
          <w:color w:val="auto"/>
        </w:rPr>
      </w:pPr>
    </w:p>
    <w:p>
      <w:pPr>
        <w:ind w:right="140" w:firstLine="255"/>
        <w:spacing w:after="0" w:line="266" w:lineRule="auto"/>
        <w:rPr>
          <w:sz w:val="20"/>
          <w:szCs w:val="20"/>
          <w:color w:val="auto"/>
        </w:rPr>
      </w:pPr>
      <w:r>
        <w:rPr>
          <w:rFonts w:ascii="Times New Roman" w:cs="Times New Roman" w:eastAsia="Times New Roman" w:hAnsi="Times New Roman"/>
          <w:sz w:val="18"/>
          <w:szCs w:val="18"/>
          <w:color w:val="auto"/>
        </w:rPr>
        <w:t>Incentive Fees related to pre-incentive net investment income decreased from $62.6 million for the nine months ended September 30, 2025 to $59.8 million for the nine months ended September 30, 2026. For the nine months ended September 30, 2026 and 2025, $(14.9) million and $(3.8) million were accrued related to Capital Gains Fees, respectively. As of September 30, 2026, these accrued Incentive Fees are not contractually payable to the Adviser.</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Professional Fees and Other General and Administrative Expenses</w:t>
      </w:r>
    </w:p>
    <w:p>
      <w:pPr>
        <w:spacing w:after="0" w:line="227" w:lineRule="exact"/>
        <w:rPr>
          <w:sz w:val="20"/>
          <w:szCs w:val="20"/>
          <w:color w:val="auto"/>
        </w:rPr>
      </w:pPr>
    </w:p>
    <w:p>
      <w:pPr>
        <w:ind w:right="60" w:firstLine="255"/>
        <w:spacing w:after="0" w:line="266" w:lineRule="auto"/>
        <w:rPr>
          <w:sz w:val="20"/>
          <w:szCs w:val="20"/>
          <w:color w:val="auto"/>
        </w:rPr>
      </w:pPr>
      <w:r>
        <w:rPr>
          <w:rFonts w:ascii="Times New Roman" w:cs="Times New Roman" w:eastAsia="Times New Roman" w:hAnsi="Times New Roman"/>
          <w:sz w:val="18"/>
          <w:szCs w:val="18"/>
          <w:color w:val="auto"/>
        </w:rPr>
        <w:t>Professional fees increased from $1.7 million for the three months ended September 30, 2025 to $3.7 million for the three months ended September 30, 2026. For the three months ended September 30, 2026 and 2025, Trustees Fees were $0.2 million and $0.2 million, respectively. For the three months ended September 30, 2026 and 2025, Other general and administrative expenses were $1.8 million and $1.8 million, respectively.</w:t>
      </w:r>
    </w:p>
    <w:p>
      <w:pPr>
        <w:spacing w:after="0" w:line="176" w:lineRule="exact"/>
        <w:rPr>
          <w:sz w:val="20"/>
          <w:szCs w:val="20"/>
          <w:color w:val="auto"/>
        </w:rPr>
      </w:pPr>
    </w:p>
    <w:p>
      <w:pPr>
        <w:ind w:right="60" w:firstLine="255"/>
        <w:spacing w:after="0" w:line="266" w:lineRule="auto"/>
        <w:rPr>
          <w:sz w:val="20"/>
          <w:szCs w:val="20"/>
          <w:color w:val="auto"/>
        </w:rPr>
      </w:pPr>
      <w:r>
        <w:rPr>
          <w:rFonts w:ascii="Times New Roman" w:cs="Times New Roman" w:eastAsia="Times New Roman" w:hAnsi="Times New Roman"/>
          <w:sz w:val="18"/>
          <w:szCs w:val="18"/>
          <w:color w:val="auto"/>
        </w:rPr>
        <w:t>Professional fees increased from $5.9 million for the nine months ended September 30, 2025 to $7.5 million for the nine months ended September 30, 2026. For the nine months ended September 30, 2026 and 2025, Trustees Fees were $0.6 million and $0.5 million, respectively. For the nine months ended September 30, 2026 and 2025, Other general and administrative expenses were $5.8 million and $5.0 million,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 Including Excise Taxes</w:t>
      </w:r>
    </w:p>
    <w:p>
      <w:pPr>
        <w:spacing w:after="0" w:line="229" w:lineRule="exact"/>
        <w:rPr>
          <w:sz w:val="20"/>
          <w:szCs w:val="20"/>
          <w:color w:val="auto"/>
        </w:rPr>
      </w:pPr>
    </w:p>
    <w:p>
      <w:pPr>
        <w:ind w:right="160" w:firstLine="255"/>
        <w:spacing w:after="0" w:line="258" w:lineRule="auto"/>
        <w:rPr>
          <w:sz w:val="20"/>
          <w:szCs w:val="20"/>
          <w:color w:val="auto"/>
        </w:rPr>
      </w:pPr>
      <w:r>
        <w:rPr>
          <w:rFonts w:ascii="Times New Roman" w:cs="Times New Roman" w:eastAsia="Times New Roman" w:hAnsi="Times New Roman"/>
          <w:sz w:val="18"/>
          <w:szCs w:val="18"/>
          <w:color w:val="auto"/>
        </w:rPr>
        <w:t>We have elected to be treated as a RIC under Subchapter M of the Code, and we intend to operate in a manner so as to continue to qualify for the tax treatment applicable to RICs. To qualify as a RIC, we must, among other things, distribute to our shareholders in each taxable year generally at least 90% of our investment company taxable income, as defined by the Code, and net tax-exempt income for that taxable year. To maintain our RIC status, we, among other things, have made and intend to continue to make the requisite distributions to our shareholders, which generally relieve us from corporate-level U.S. federal income taxes.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60" w:name="page61"/>
    <w:bookmarkEnd w:id="60"/>
    <w:p>
      <w:pPr>
        <w:ind w:right="20" w:firstLine="255"/>
        <w:spacing w:after="0" w:line="258" w:lineRule="auto"/>
        <w:rPr>
          <w:sz w:val="20"/>
          <w:szCs w:val="20"/>
          <w:color w:val="auto"/>
        </w:rPr>
      </w:pPr>
      <w:r>
        <w:rPr>
          <w:rFonts w:ascii="Times New Roman" w:cs="Times New Roman" w:eastAsia="Times New Roman" w:hAnsi="Times New Roman"/>
          <w:sz w:val="18"/>
          <w:szCs w:val="18"/>
          <w:color w:val="auto"/>
        </w:rPr>
        <w:t>We evaluate tax positions taken or expected to be taken in the course of preparing our financial statements to determine whether the tax positions are “more-likely-than-not” to be sustained by the applicable tax authority. Tax positions not deemed to meet the “more-likely-than-not” threshold are reserved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w:t>
      </w:r>
    </w:p>
    <w:p>
      <w:pPr>
        <w:spacing w:after="0" w:line="183"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8"/>
          <w:szCs w:val="18"/>
          <w:color w:val="auto"/>
        </w:rPr>
        <w:t>Depending on the level of taxable income earned in a tax year, we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we determine that our estimated current year annual taxable income will be in excess of estimated current year dividend distributions from such income, we accrue excise tax on estimated excess taxable income.</w:t>
      </w:r>
    </w:p>
    <w:p>
      <w:pPr>
        <w:spacing w:after="0" w:line="180" w:lineRule="exact"/>
        <w:rPr>
          <w:sz w:val="20"/>
          <w:szCs w:val="20"/>
          <w:color w:val="auto"/>
        </w:rPr>
      </w:pPr>
    </w:p>
    <w:p>
      <w:pPr>
        <w:ind w:firstLine="255"/>
        <w:spacing w:after="0" w:line="266" w:lineRule="auto"/>
        <w:rPr>
          <w:sz w:val="20"/>
          <w:szCs w:val="20"/>
          <w:color w:val="auto"/>
        </w:rPr>
      </w:pPr>
      <w:r>
        <w:rPr>
          <w:rFonts w:ascii="Times New Roman" w:cs="Times New Roman" w:eastAsia="Times New Roman" w:hAnsi="Times New Roman"/>
          <w:sz w:val="18"/>
          <w:szCs w:val="18"/>
          <w:color w:val="auto"/>
        </w:rPr>
        <w:t>For both the three and nine months ended September 30, 2026, we recorded a net expense of less than $0.1 million for U.S. federal excise tax and other taxes. For the three and nine months ended September 30, 2025, we recorded no net expense and a net expense of less than $0.1 million, respectively, for U.S. federal excise tax and other taxes.</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For both the three and nine months ended September 30, 2026, there was no recorded deferred tax liability. For both the three and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2025, we recorded no provision pertaining to net unrealized gains from our investments. For both the three and nine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2025, we recognized a tax provision of $1.1 million pertaining to net realized gains from one of our investments.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Realized and Unrealized Gains and Losses</w:t>
      </w:r>
    </w:p>
    <w:p>
      <w:pPr>
        <w:spacing w:after="0" w:line="121" w:lineRule="exact"/>
        <w:rPr>
          <w:sz w:val="20"/>
          <w:szCs w:val="20"/>
          <w:color w:val="auto"/>
        </w:rPr>
      </w:pPr>
    </w:p>
    <w:p>
      <w:pPr>
        <w:ind w:right="40" w:firstLine="255"/>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net realized and unrealized gains (losses) for the three and nine months ended September 30, 2026 and September 30, 2025:</w:t>
      </w:r>
    </w:p>
    <w:p>
      <w:pPr>
        <w:spacing w:after="0" w:line="263"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60" w:type="dxa"/>
            <w:vAlign w:val="bottom"/>
            <w:gridSpan w:val="4"/>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40" w:type="dxa"/>
            <w:vAlign w:val="bottom"/>
            <w:gridSpan w:val="6"/>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17"/>
        </w:trPr>
        <w:tc>
          <w:tcPr>
            <w:tcW w:w="54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 xml:space="preserve">($ in millions) </w:t>
            </w:r>
            <w:r>
              <w:rPr>
                <w:rFonts w:ascii="Times New Roman" w:cs="Times New Roman" w:eastAsia="Times New Roman" w:hAnsi="Times New Roman"/>
                <w:sz w:val="19"/>
                <w:szCs w:val="19"/>
                <w:color w:val="auto"/>
                <w:vertAlign w:val="superscript"/>
              </w:rPr>
              <w:t>(1)</w:t>
            </w:r>
          </w:p>
        </w:tc>
        <w:tc>
          <w:tcPr>
            <w:tcW w:w="1220" w:type="dxa"/>
            <w:vAlign w:val="bottom"/>
            <w:tcBorders>
              <w:top w:val="single" w:sz="8" w:color="auto"/>
            </w:tcBorders>
            <w:gridSpan w:val="3"/>
          </w:tcPr>
          <w:p>
            <w:pPr>
              <w:jc w:val="right"/>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tcPr>
          <w:p>
            <w:pPr>
              <w:jc w:val="right"/>
              <w:ind w:right="1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Borders>
              <w:top w:val="single" w:sz="8" w:color="auto"/>
            </w:tcBorders>
            <w:gridSpan w:val="3"/>
          </w:tcPr>
          <w:p>
            <w:pPr>
              <w:jc w:val="right"/>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8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tcPr>
          <w:p>
            <w:pPr>
              <w:jc w:val="right"/>
              <w:ind w:right="51"/>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480" w:type="dxa"/>
            <w:vAlign w:val="bottom"/>
            <w:gridSpan w:val="2"/>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realized gains (losses) on investments</w:t>
            </w: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jc w:val="right"/>
              <w:ind w:right="49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8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8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Net realized gains (losses) on foreign currency investments </w:t>
            </w:r>
            <w:r>
              <w:rPr>
                <w:rFonts w:ascii="Times New Roman" w:cs="Times New Roman" w:eastAsia="Times New Roman" w:hAnsi="Times New Roman"/>
                <w:sz w:val="24"/>
                <w:szCs w:val="24"/>
                <w:color w:val="auto"/>
                <w:vertAlign w:val="superscript"/>
              </w:rPr>
              <w:t>(2)</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Net realized gains (losses) on foreign currency transactions </w:t>
            </w:r>
            <w:r>
              <w:rPr>
                <w:rFonts w:ascii="Times New Roman" w:cs="Times New Roman" w:eastAsia="Times New Roman" w:hAnsi="Times New Roman"/>
                <w:sz w:val="24"/>
                <w:szCs w:val="24"/>
                <w:color w:val="auto"/>
                <w:vertAlign w:val="superscript"/>
              </w:rPr>
              <w:t>(3)</w:t>
            </w:r>
          </w:p>
        </w:tc>
        <w:tc>
          <w:tcPr>
            <w:tcW w:w="2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Net realized gains (losses) on foreign currency borrowings </w:t>
            </w:r>
            <w:r>
              <w:rPr>
                <w:rFonts w:ascii="Times New Roman" w:cs="Times New Roman" w:eastAsia="Times New Roman" w:hAnsi="Times New Roman"/>
                <w:sz w:val="24"/>
                <w:szCs w:val="24"/>
                <w:color w:val="auto"/>
                <w:vertAlign w:val="superscript"/>
              </w:rPr>
              <w:t>(2)</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provision on net realized gains (losses)</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Net Realized Gains (Losses) </w:t>
            </w:r>
            <w:r>
              <w:rPr>
                <w:rFonts w:ascii="Times New Roman" w:cs="Times New Roman" w:eastAsia="Times New Roman" w:hAnsi="Times New Roman"/>
                <w:sz w:val="8"/>
                <w:szCs w:val="8"/>
                <w:b w:val="1"/>
                <w:bCs w:val="1"/>
                <w:color w:val="auto"/>
              </w:rPr>
              <w:t>(2)</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ind w:right="498"/>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60" w:type="dxa"/>
            <w:vAlign w:val="bottom"/>
          </w:tcPr>
          <w:p>
            <w:pPr>
              <w:spacing w:after="0"/>
              <w:rPr>
                <w:sz w:val="18"/>
                <w:szCs w:val="18"/>
                <w:color w:val="auto"/>
              </w:rPr>
            </w:pPr>
          </w:p>
        </w:tc>
        <w:tc>
          <w:tcPr>
            <w:tcW w:w="320" w:type="dxa"/>
            <w:vAlign w:val="bottom"/>
            <w:gridSpan w:val="2"/>
          </w:tcPr>
          <w:p>
            <w:pPr>
              <w:jc w:val="right"/>
              <w:ind w:right="8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18"/>
                <w:szCs w:val="18"/>
                <w:color w:val="auto"/>
              </w:rPr>
            </w:pPr>
          </w:p>
        </w:tc>
        <w:tc>
          <w:tcPr>
            <w:tcW w:w="320" w:type="dxa"/>
            <w:vAlign w:val="bottom"/>
            <w:gridSpan w:val="2"/>
          </w:tcPr>
          <w:p>
            <w:pPr>
              <w:jc w:val="right"/>
              <w:ind w:right="84"/>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54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Change in unrealized gains on investments</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60" w:type="dxa"/>
            <w:vAlign w:val="bottom"/>
          </w:tcPr>
          <w:p>
            <w:pPr>
              <w:spacing w:after="0"/>
              <w:rPr>
                <w:sz w:val="18"/>
                <w:szCs w:val="18"/>
                <w:color w:val="auto"/>
              </w:rPr>
            </w:pPr>
          </w:p>
        </w:tc>
        <w:tc>
          <w:tcPr>
            <w:tcW w:w="760" w:type="dxa"/>
            <w:vAlign w:val="bottom"/>
            <w:gridSpan w:val="2"/>
          </w:tcPr>
          <w:p>
            <w:pPr>
              <w:jc w:val="right"/>
              <w:ind w:right="49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60" w:type="dxa"/>
            <w:vAlign w:val="bottom"/>
          </w:tcPr>
          <w:p>
            <w:pPr>
              <w:spacing w:after="0"/>
              <w:rPr>
                <w:sz w:val="18"/>
                <w:szCs w:val="18"/>
                <w:color w:val="auto"/>
              </w:rPr>
            </w:pPr>
          </w:p>
        </w:tc>
        <w:tc>
          <w:tcPr>
            <w:tcW w:w="320" w:type="dxa"/>
            <w:vAlign w:val="bottom"/>
            <w:gridSpan w:val="2"/>
          </w:tcPr>
          <w:p>
            <w:pPr>
              <w:jc w:val="right"/>
              <w:ind w:right="8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40" w:type="dxa"/>
            <w:vAlign w:val="bottom"/>
          </w:tcPr>
          <w:p>
            <w:pPr>
              <w:spacing w:after="0"/>
              <w:rPr>
                <w:sz w:val="18"/>
                <w:szCs w:val="18"/>
                <w:color w:val="auto"/>
              </w:rPr>
            </w:pPr>
          </w:p>
        </w:tc>
        <w:tc>
          <w:tcPr>
            <w:tcW w:w="320" w:type="dxa"/>
            <w:vAlign w:val="bottom"/>
            <w:gridSpan w:val="2"/>
          </w:tcPr>
          <w:p>
            <w:pPr>
              <w:jc w:val="right"/>
              <w:ind w:right="8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unrealized (losses) on investments</w:t>
            </w:r>
          </w:p>
        </w:tc>
        <w:tc>
          <w:tcPr>
            <w:tcW w:w="2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(68.6)</w:t>
            </w: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w w:val="96"/>
              </w:rPr>
              <w:t>(44.9)</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(239.8)</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(87.5)</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460" w:type="dxa"/>
            <w:vAlign w:val="bottom"/>
            <w:tcBorders>
              <w:top w:val="single" w:sz="8" w:color="CFF0FC"/>
            </w:tcBorders>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Net Change in Unrealized Gains (Losses) on</w:t>
            </w:r>
          </w:p>
        </w:tc>
        <w:tc>
          <w:tcPr>
            <w:tcW w:w="2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60" w:type="dxa"/>
            <w:vAlign w:val="bottom"/>
            <w:tcBorders>
              <w:top w:val="single" w:sz="8" w:color="CFF0FC"/>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60" w:type="dxa"/>
            <w:vAlign w:val="bottom"/>
            <w:tcBorders>
              <w:top w:val="single" w:sz="8" w:color="CFF0FC"/>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4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(41.9)</w:t>
            </w:r>
          </w:p>
        </w:tc>
        <w:tc>
          <w:tcPr>
            <w:tcW w:w="760" w:type="dxa"/>
            <w:vAlign w:val="bottom"/>
            <w:gridSpan w:val="2"/>
          </w:tcPr>
          <w:p>
            <w:pPr>
              <w:jc w:val="right"/>
              <w:ind w:right="49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6"/>
              </w:rPr>
              <w:t>(19.3)</w:t>
            </w:r>
          </w:p>
        </w:tc>
        <w:tc>
          <w:tcPr>
            <w:tcW w:w="320" w:type="dxa"/>
            <w:vAlign w:val="bottom"/>
            <w:gridSpan w:val="2"/>
          </w:tcPr>
          <w:p>
            <w:pPr>
              <w:jc w:val="right"/>
              <w:ind w:right="84"/>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(216.8)</w:t>
            </w:r>
          </w:p>
        </w:tc>
        <w:tc>
          <w:tcPr>
            <w:tcW w:w="320" w:type="dxa"/>
            <w:vAlign w:val="bottom"/>
            <w:gridSpan w:val="2"/>
          </w:tcPr>
          <w:p>
            <w:pPr>
              <w:jc w:val="right"/>
              <w:ind w:right="8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Unrealized gains (losses) on foreign currency transactions </w:t>
            </w:r>
            <w:r>
              <w:rPr>
                <w:rFonts w:ascii="Times New Roman" w:cs="Times New Roman" w:eastAsia="Times New Roman" w:hAnsi="Times New Roman"/>
                <w:sz w:val="24"/>
                <w:szCs w:val="24"/>
                <w:color w:val="auto"/>
                <w:vertAlign w:val="superscript"/>
              </w:rPr>
              <w:t>(2)(3)</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Unrealized gains (losses) on foreign currency borrowings</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 on unrealized gains (losses)</w:t>
            </w:r>
          </w:p>
        </w:tc>
        <w:tc>
          <w:tcPr>
            <w:tcW w:w="2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460" w:type="dxa"/>
            <w:vAlign w:val="bottom"/>
            <w:shd w:val="clear" w:color="auto" w:fill="CFF0FC"/>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Net Change in Unrealized Gains (Losses) on Foreign</w:t>
            </w:r>
          </w:p>
        </w:tc>
        <w:tc>
          <w:tcPr>
            <w:tcW w:w="220" w:type="dxa"/>
            <w:vAlign w:val="bottom"/>
            <w:tcBorders>
              <w:top w:val="single" w:sz="8" w:color="auto"/>
            </w:tcBorders>
            <w:shd w:val="clear" w:color="auto" w:fill="CFF0FC"/>
          </w:tcPr>
          <w:p>
            <w:pPr>
              <w:spacing w:after="0"/>
              <w:rPr>
                <w:sz w:val="16"/>
                <w:szCs w:val="16"/>
                <w:color w:val="auto"/>
              </w:rPr>
            </w:pPr>
          </w:p>
        </w:tc>
        <w:tc>
          <w:tcPr>
            <w:tcW w:w="840" w:type="dxa"/>
            <w:vAlign w:val="bottom"/>
            <w:tcBorders>
              <w:top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380" w:type="dxa"/>
            <w:vAlign w:val="bottom"/>
            <w:tcBorders>
              <w:top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84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84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Currency Transactions</w:t>
            </w: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680" w:type="dxa"/>
            <w:vAlign w:val="bottom"/>
            <w:shd w:val="clear" w:color="auto" w:fill="CFF0FC"/>
          </w:tcPr>
          <w:p>
            <w:pPr>
              <w:jc w:val="right"/>
              <w:ind w:right="498"/>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60" w:type="dxa"/>
            <w:vAlign w:val="bottom"/>
            <w:shd w:val="clear" w:color="auto" w:fill="CFF0FC"/>
          </w:tcPr>
          <w:p>
            <w:pPr>
              <w:spacing w:after="0"/>
              <w:rPr>
                <w:sz w:val="20"/>
                <w:szCs w:val="20"/>
                <w:color w:val="auto"/>
              </w:rPr>
            </w:pPr>
          </w:p>
        </w:tc>
        <w:tc>
          <w:tcPr>
            <w:tcW w:w="320" w:type="dxa"/>
            <w:vAlign w:val="bottom"/>
            <w:gridSpan w:val="2"/>
            <w:shd w:val="clear" w:color="auto" w:fill="CFF0FC"/>
          </w:tcPr>
          <w:p>
            <w:pPr>
              <w:jc w:val="right"/>
              <w:ind w:right="8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40" w:type="dxa"/>
            <w:vAlign w:val="bottom"/>
            <w:shd w:val="clear" w:color="auto" w:fill="CFF0FC"/>
          </w:tcPr>
          <w:p>
            <w:pPr>
              <w:spacing w:after="0"/>
              <w:rPr>
                <w:sz w:val="20"/>
                <w:szCs w:val="20"/>
                <w:color w:val="auto"/>
              </w:rPr>
            </w:pPr>
          </w:p>
        </w:tc>
        <w:tc>
          <w:tcPr>
            <w:tcW w:w="320" w:type="dxa"/>
            <w:vAlign w:val="bottom"/>
            <w:gridSpan w:val="2"/>
            <w:shd w:val="clear" w:color="auto" w:fill="CFF0FC"/>
          </w:tcPr>
          <w:p>
            <w:pPr>
              <w:jc w:val="right"/>
              <w:ind w:right="84"/>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Change in Unrealized Gains (Losses)</w:t>
            </w: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60" w:type="dxa"/>
            <w:vAlign w:val="bottom"/>
            <w:vMerge w:val="continue"/>
          </w:tcPr>
          <w:p>
            <w:pPr>
              <w:spacing w:after="0"/>
              <w:rPr>
                <w:sz w:val="18"/>
                <w:szCs w:val="18"/>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(30.1)</w:t>
            </w:r>
          </w:p>
        </w:tc>
        <w:tc>
          <w:tcPr>
            <w:tcW w:w="80" w:type="dxa"/>
            <w:vAlign w:val="bottom"/>
            <w:vMerge w:val="continue"/>
          </w:tcPr>
          <w:p>
            <w:pPr>
              <w:spacing w:after="0"/>
              <w:rPr>
                <w:sz w:val="18"/>
                <w:szCs w:val="18"/>
                <w:color w:val="auto"/>
              </w:rPr>
            </w:pPr>
          </w:p>
        </w:tc>
        <w:tc>
          <w:tcPr>
            <w:tcW w:w="680" w:type="dxa"/>
            <w:vAlign w:val="bottom"/>
          </w:tcPr>
          <w:p>
            <w:pPr>
              <w:jc w:val="right"/>
              <w:ind w:right="498"/>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vMerge w:val="continue"/>
          </w:tcPr>
          <w:p>
            <w:pPr>
              <w:spacing w:after="0"/>
              <w:rPr>
                <w:sz w:val="18"/>
                <w:szCs w:val="18"/>
                <w:color w:val="auto"/>
              </w:rPr>
            </w:pPr>
          </w:p>
        </w:tc>
        <w:tc>
          <w:tcPr>
            <w:tcW w:w="240" w:type="dxa"/>
            <w:vAlign w:val="bottom"/>
          </w:tcPr>
          <w:p>
            <w:pPr>
              <w:jc w:val="right"/>
              <w:ind w:right="8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(164.1)</w:t>
            </w:r>
          </w:p>
        </w:tc>
        <w:tc>
          <w:tcPr>
            <w:tcW w:w="80" w:type="dxa"/>
            <w:vAlign w:val="bottom"/>
            <w:vMerge w:val="continue"/>
          </w:tcPr>
          <w:p>
            <w:pPr>
              <w:spacing w:after="0"/>
              <w:rPr>
                <w:sz w:val="18"/>
                <w:szCs w:val="18"/>
                <w:color w:val="auto"/>
              </w:rPr>
            </w:pPr>
          </w:p>
        </w:tc>
        <w:tc>
          <w:tcPr>
            <w:tcW w:w="240" w:type="dxa"/>
            <w:vAlign w:val="bottom"/>
          </w:tcPr>
          <w:p>
            <w:pPr>
              <w:jc w:val="right"/>
              <w:ind w:right="8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-1868170</wp:posOffset>
            </wp:positionV>
            <wp:extent cx="60325"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-1868170</wp:posOffset>
            </wp:positionV>
            <wp:extent cx="60325"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-1868170</wp:posOffset>
            </wp:positionV>
            <wp:extent cx="59690"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-1868170</wp:posOffset>
            </wp:positionV>
            <wp:extent cx="68580"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-1285240</wp:posOffset>
            </wp:positionV>
            <wp:extent cx="60325"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-1285240</wp:posOffset>
            </wp:positionV>
            <wp:extent cx="60325"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-1285240</wp:posOffset>
            </wp:positionV>
            <wp:extent cx="59690"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-1285240</wp:posOffset>
            </wp:positionV>
            <wp:extent cx="68580"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ind w:left="520" w:hanging="512"/>
        <w:spacing w:after="0"/>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Table may not sum due to rounding.</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round to less than $0.1 million.</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foreign exchange hedging activity.</w:t>
      </w:r>
    </w:p>
    <w:p>
      <w:pPr>
        <w:spacing w:after="0" w:line="117" w:lineRule="exact"/>
        <w:rPr>
          <w:sz w:val="20"/>
          <w:szCs w:val="20"/>
          <w:color w:val="auto"/>
        </w:rPr>
      </w:pPr>
    </w:p>
    <w:p>
      <w:pPr>
        <w:ind w:right="80" w:firstLine="255"/>
        <w:spacing w:after="0" w:line="261" w:lineRule="auto"/>
        <w:rPr>
          <w:sz w:val="20"/>
          <w:szCs w:val="20"/>
          <w:color w:val="auto"/>
        </w:rPr>
      </w:pPr>
      <w:r>
        <w:rPr>
          <w:rFonts w:ascii="Times New Roman" w:cs="Times New Roman" w:eastAsia="Times New Roman" w:hAnsi="Times New Roman"/>
          <w:sz w:val="18"/>
          <w:szCs w:val="18"/>
          <w:color w:val="auto"/>
        </w:rPr>
        <w:t>For the three and nine months ended September 30, 2026, we had no net realized gains or losses on investments and net realized gains on investments of $1.7 million, respectively. For the three and nine months ended September 30, 2026, we had net realized gains on foreign currency investments of $0.2 million and $0.2 million, respectively. For the three and nine months ended September 30, 2026, we had net realized losses of $0.1 million and $0.5 million, respectively, on foreign currency transactions, primarily as a result</w:t>
      </w:r>
    </w:p>
    <w:p>
      <w:pPr>
        <w:spacing w:after="0" w:line="1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28" w:right="419" w:bottom="1440" w:gutter="0" w:footer="0" w:header="0"/>
        </w:sectPr>
      </w:pPr>
    </w:p>
    <w:bookmarkStart w:id="61" w:name="page62"/>
    <w:bookmarkEnd w:id="61"/>
    <w:p>
      <w:pPr>
        <w:ind w:right="300"/>
        <w:spacing w:after="0" w:line="282" w:lineRule="auto"/>
        <w:rPr>
          <w:sz w:val="20"/>
          <w:szCs w:val="20"/>
          <w:color w:val="auto"/>
        </w:rPr>
      </w:pPr>
      <w:r>
        <w:rPr>
          <w:rFonts w:ascii="Times New Roman" w:cs="Times New Roman" w:eastAsia="Times New Roman" w:hAnsi="Times New Roman"/>
          <w:sz w:val="18"/>
          <w:szCs w:val="18"/>
          <w:color w:val="auto"/>
        </w:rPr>
        <w:t>of translating foreign currency related to our non-USD denominated investments. For the three and nine months ended September 30, 2026, we had net realized losses of $0.1 million and less than $0.1 million, respectively, on foreign currency borrowings.</w:t>
      </w:r>
    </w:p>
    <w:p>
      <w:pPr>
        <w:spacing w:after="0" w:line="162" w:lineRule="exact"/>
        <w:rPr>
          <w:sz w:val="20"/>
          <w:szCs w:val="20"/>
          <w:color w:val="auto"/>
        </w:rPr>
      </w:pPr>
    </w:p>
    <w:p>
      <w:pPr>
        <w:ind w:right="140" w:firstLine="255"/>
        <w:spacing w:after="0" w:line="254" w:lineRule="auto"/>
        <w:rPr>
          <w:sz w:val="20"/>
          <w:szCs w:val="20"/>
          <w:color w:val="auto"/>
        </w:rPr>
      </w:pPr>
      <w:r>
        <w:rPr>
          <w:rFonts w:ascii="Times New Roman" w:cs="Times New Roman" w:eastAsia="Times New Roman" w:hAnsi="Times New Roman"/>
          <w:sz w:val="18"/>
          <w:szCs w:val="18"/>
          <w:color w:val="auto"/>
        </w:rPr>
        <w:t>For the three months ended September 30, 2026, we had $26.6 million in unrealized gains on 36 portfolio company investments, which was offset by $68.6 million in unrealized losses on 45 portfolio company investments. Unrealized gains primarily resulted from tightening credit spreads and positive portfolio company specific developments. Unrealized losses primarily resulted from widening credit spreads, the reversal of prior period unrealized gains due to the realization of investments, negative portfolio company specific developments and fluctuations in foreign exchange rates. For the nine months ended September 30, 2026, we had $23.0 million in unrealized gains on 19 portfolio company investments, which was offset by $239.8 million in unrealized losses on 68 portfolio company investments. Unrealized gains primarily resulted from positive portfolio company specific developments. Unrealized losses primarily resulted from widening credit spreads, negative portfolio company specific developments, the reversal of prior period unrealized gains due to the realization of investments, and fluctuations in foreign exchange rates.</w:t>
      </w:r>
    </w:p>
    <w:p>
      <w:pPr>
        <w:spacing w:after="0" w:line="192" w:lineRule="exact"/>
        <w:rPr>
          <w:sz w:val="20"/>
          <w:szCs w:val="20"/>
          <w:color w:val="auto"/>
        </w:rPr>
      </w:pPr>
    </w:p>
    <w:p>
      <w:pPr>
        <w:ind w:right="60" w:firstLine="255"/>
        <w:spacing w:after="0" w:line="261" w:lineRule="auto"/>
        <w:rPr>
          <w:sz w:val="20"/>
          <w:szCs w:val="20"/>
          <w:color w:val="auto"/>
        </w:rPr>
      </w:pPr>
      <w:r>
        <w:rPr>
          <w:rFonts w:ascii="Times New Roman" w:cs="Times New Roman" w:eastAsia="Times New Roman" w:hAnsi="Times New Roman"/>
          <w:sz w:val="18"/>
          <w:szCs w:val="18"/>
          <w:color w:val="auto"/>
        </w:rPr>
        <w:t>For the three and nine months ended September 30, 2026, we had less than $0.1 million of unrealized losses and less than $0.1 million of unrealized gains, respectively, on foreign currency transactions. For the three and nine months ended September 30, 2026, we had unrealized gains of $11.9 million and $52.7 million, respectively, on foreign currency borrowings, primarily as a result of fluctuations in the GBP, EUR, CAD and SEK exchange rates. For both the three and nine months ended September 30, 2026, we had no unrealized gains or losses, related to a deferred tax liability.</w:t>
      </w:r>
    </w:p>
    <w:p>
      <w:pPr>
        <w:spacing w:after="0" w:line="180" w:lineRule="exact"/>
        <w:rPr>
          <w:sz w:val="20"/>
          <w:szCs w:val="20"/>
          <w:color w:val="auto"/>
        </w:rPr>
      </w:pPr>
    </w:p>
    <w:p>
      <w:pPr>
        <w:ind w:right="40" w:firstLine="255"/>
        <w:spacing w:after="0" w:line="256" w:lineRule="auto"/>
        <w:rPr>
          <w:sz w:val="20"/>
          <w:szCs w:val="20"/>
          <w:color w:val="auto"/>
        </w:rPr>
      </w:pPr>
      <w:r>
        <w:rPr>
          <w:rFonts w:ascii="Times New Roman" w:cs="Times New Roman" w:eastAsia="Times New Roman" w:hAnsi="Times New Roman"/>
          <w:sz w:val="18"/>
          <w:szCs w:val="18"/>
          <w:color w:val="auto"/>
        </w:rPr>
        <w:t>For the three and nine months ended September 30, 2025, we had net realized gains on investments of $6.2 million and $15.1 million, respectively. For both the three and nine months ended September 30, 2025, we had net realized gains on foreign currency investments of less than $0.1 million. For the three and nine months ended September 30, 2025, we had net realized losses of $4.2 million and $15.0 million, respectively, on foreign currency transactions, primarily as a result of translating foreign currency related to our non-USD denominated investments. For the three and nine months ended September 30, 2025, we had net realized losses of $0.1 million and $0.8 million, respectively, on foreign currency borrowings. For both the three and nine months ended September 30, 2025, we had net realized losses of $1.1 million related to tax expense.</w:t>
      </w:r>
    </w:p>
    <w:p>
      <w:pPr>
        <w:spacing w:after="0" w:line="187"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color w:val="auto"/>
        </w:rPr>
        <w:t>For the three months ended September 30, 2025, we had $25.6 million in unrealized gains on 29 portfolio company investments, which was offset by $44.9 million in unrealized losses on 46 portfolio company investments. Unrealized gains primarily resulted from positive portfolio company specific developments, and tightening credit spreads. Unrealized losses primarily resulted from the reversal of prior period unrealized gains due to the realization of the investments, fluctuations in GBP exchange rates, widening credit spreads and negative portfolio company specific developments. For the nine months ended September 30, 2025, we had $207.1 million in unrealized gains on 51 portfolio company investments, which was offset by $87.5 million in unrealized losses on 32 portfolio company investments. Unrealized gains primarily resulted from fluctuations in GBP, EUR, CAD, and SEK exchange rates, tightening credit spreads and positive portfolio company specific developments. Unrealized losses primarily resulted from the reversal of prior period unrealized gains due to the realization of investments and negative portfolio company specific developments.</w:t>
      </w:r>
    </w:p>
    <w:p>
      <w:pPr>
        <w:spacing w:after="0" w:line="192" w:lineRule="exact"/>
        <w:rPr>
          <w:sz w:val="20"/>
          <w:szCs w:val="20"/>
          <w:color w:val="auto"/>
        </w:rPr>
      </w:pPr>
    </w:p>
    <w:p>
      <w:pPr>
        <w:ind w:right="180" w:firstLine="255"/>
        <w:spacing w:after="0" w:line="261" w:lineRule="auto"/>
        <w:rPr>
          <w:sz w:val="20"/>
          <w:szCs w:val="20"/>
          <w:color w:val="auto"/>
        </w:rPr>
      </w:pPr>
      <w:r>
        <w:rPr>
          <w:rFonts w:ascii="Times New Roman" w:cs="Times New Roman" w:eastAsia="Times New Roman" w:hAnsi="Times New Roman"/>
          <w:sz w:val="18"/>
          <w:szCs w:val="18"/>
          <w:color w:val="auto"/>
        </w:rPr>
        <w:t>For the three and nine months ended September 30, 2025, we had $7.4 million and $1.7 million, respectively, of unrealized gains on foreign currency transactions. For the three and nine months ended September 30, 2025, we had unrealized gains of $6.0 million and unrealized losses of $137.4 million, respectively, on foreign currency borrowings, primarily as a result of fluctuations in the GBP, EUR, and SEK exchange rates. For the three and nine months ended September 30, 2025, we had unrealized gains of $0.8 million and no unrealized gains or losses, related to a deferred tax liability.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Realized Gross Internal Rate of Return</w:t>
      </w:r>
    </w:p>
    <w:p>
      <w:pPr>
        <w:spacing w:after="0" w:line="229"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Since we began investing in 2022 through September 30, 2026, weighted by capital invested, our exited investments have generated an average realized gross internal rate of return to us of 17.7% (based on total capital invested of $3.3 billion and total proceeds from these exited investments of $4.0 billion). Ninety-eight percent of these exited investments resulted in a realized gross internal rate of return to us of 10% or greater.</w:t>
      </w:r>
    </w:p>
    <w:p>
      <w:pPr>
        <w:spacing w:after="0" w:line="176" w:lineRule="exact"/>
        <w:rPr>
          <w:sz w:val="20"/>
          <w:szCs w:val="20"/>
          <w:color w:val="auto"/>
        </w:rPr>
      </w:pPr>
    </w:p>
    <w:p>
      <w:pPr>
        <w:ind w:right="300" w:firstLine="255"/>
        <w:spacing w:after="0" w:line="266" w:lineRule="auto"/>
        <w:rPr>
          <w:sz w:val="20"/>
          <w:szCs w:val="20"/>
          <w:color w:val="auto"/>
        </w:rPr>
      </w:pPr>
      <w:r>
        <w:rPr>
          <w:rFonts w:ascii="Times New Roman" w:cs="Times New Roman" w:eastAsia="Times New Roman" w:hAnsi="Times New Roman"/>
          <w:sz w:val="18"/>
          <w:szCs w:val="18"/>
          <w:color w:val="auto"/>
        </w:rPr>
        <w:t>Gross IRR, with respect to an investment, is calculated based on the dates that we invested capital and dates we received distributions, regardless of when we made distributions to our shareholders. Initial investments are assumed to occur at time zero, and all cash flows are deemed to occur on the fifteenth of each month in which they occur.</w:t>
      </w:r>
    </w:p>
    <w:p>
      <w:pPr>
        <w:spacing w:after="0" w:line="176" w:lineRule="exact"/>
        <w:rPr>
          <w:sz w:val="20"/>
          <w:szCs w:val="20"/>
          <w:color w:val="auto"/>
        </w:rPr>
      </w:pPr>
    </w:p>
    <w:p>
      <w:pPr>
        <w:jc w:val="both"/>
        <w:ind w:right="100" w:firstLine="255"/>
        <w:spacing w:after="0" w:line="282" w:lineRule="auto"/>
        <w:rPr>
          <w:sz w:val="20"/>
          <w:szCs w:val="20"/>
          <w:color w:val="auto"/>
        </w:rPr>
      </w:pPr>
      <w:r>
        <w:rPr>
          <w:rFonts w:ascii="Times New Roman" w:cs="Times New Roman" w:eastAsia="Times New Roman" w:hAnsi="Times New Roman"/>
          <w:sz w:val="18"/>
          <w:szCs w:val="18"/>
          <w:color w:val="auto"/>
        </w:rPr>
        <w:t>Gross IRR reflects historical results relating to our past performance and is not necessarily indicative of our future results. In addition, gross IRR does not reflect the effect of Management Fees, expenses, Incentive Fees or taxes borne, or to be borne, by us or our shareholders, and would be lower if it did.</w:t>
      </w:r>
    </w:p>
    <w:p>
      <w:pPr>
        <w:spacing w:after="0" w:line="162" w:lineRule="exact"/>
        <w:rPr>
          <w:sz w:val="20"/>
          <w:szCs w:val="20"/>
          <w:color w:val="auto"/>
        </w:rPr>
      </w:pPr>
    </w:p>
    <w:p>
      <w:pPr>
        <w:ind w:firstLine="255"/>
        <w:spacing w:after="0" w:line="282" w:lineRule="auto"/>
        <w:rPr>
          <w:sz w:val="20"/>
          <w:szCs w:val="20"/>
          <w:color w:val="auto"/>
        </w:rPr>
      </w:pPr>
      <w:r>
        <w:rPr>
          <w:rFonts w:ascii="Times New Roman" w:cs="Times New Roman" w:eastAsia="Times New Roman" w:hAnsi="Times New Roman"/>
          <w:sz w:val="18"/>
          <w:szCs w:val="18"/>
          <w:color w:val="auto"/>
        </w:rPr>
        <w:t>Average gross IRR is the average of the gross IRR for each of our exited investments (each calculated as described above), weighted by the total capital invested for each of those investments.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8" w:right="379" w:bottom="1440" w:gutter="0" w:footer="0" w:header="0"/>
        </w:sectPr>
      </w:pPr>
    </w:p>
    <w:bookmarkStart w:id="62" w:name="page63"/>
    <w:bookmarkEnd w:id="62"/>
    <w:p>
      <w:pPr>
        <w:ind w:right="160" w:firstLine="255"/>
        <w:spacing w:after="0" w:line="282" w:lineRule="auto"/>
        <w:rPr>
          <w:sz w:val="20"/>
          <w:szCs w:val="20"/>
          <w:color w:val="auto"/>
        </w:rPr>
      </w:pPr>
      <w:r>
        <w:rPr>
          <w:rFonts w:ascii="Times New Roman" w:cs="Times New Roman" w:eastAsia="Times New Roman" w:hAnsi="Times New Roman"/>
          <w:sz w:val="18"/>
          <w:szCs w:val="18"/>
          <w:color w:val="auto"/>
        </w:rPr>
        <w:t>Average gross IRR on our exited investments reflects only invested and realized cash amounts as described above, and does not reflect any unrealized gains or losses in our portfolio.</w:t>
      </w:r>
    </w:p>
    <w:p>
      <w:pPr>
        <w:spacing w:after="0" w:line="162" w:lineRule="exact"/>
        <w:rPr>
          <w:sz w:val="20"/>
          <w:szCs w:val="20"/>
          <w:color w:val="auto"/>
        </w:rPr>
      </w:pPr>
    </w:p>
    <w:p>
      <w:pPr>
        <w:ind w:right="120" w:firstLine="255"/>
        <w:spacing w:after="0" w:line="266" w:lineRule="auto"/>
        <w:rPr>
          <w:sz w:val="20"/>
          <w:szCs w:val="20"/>
          <w:color w:val="auto"/>
        </w:rPr>
      </w:pPr>
      <w:r>
        <w:rPr>
          <w:rFonts w:ascii="Times New Roman" w:cs="Times New Roman" w:eastAsia="Times New Roman" w:hAnsi="Times New Roman"/>
          <w:sz w:val="18"/>
          <w:szCs w:val="18"/>
          <w:color w:val="auto"/>
        </w:rPr>
        <w:t>Internal rate of return, or IRR, is a measure of our discounted cash flows (inflows and outflows). Specifically, IRR is the discount rate at which the net present value of all cash flows is equal to zero. That is, IRR is the discount rate at which the present value of total capital invested in each of our investments is equal to the present value of all realized returns from that investment. Our IRR calculations are unaudited.</w:t>
      </w:r>
    </w:p>
    <w:p>
      <w:pPr>
        <w:spacing w:after="0" w:line="176" w:lineRule="exact"/>
        <w:rPr>
          <w:sz w:val="20"/>
          <w:szCs w:val="20"/>
          <w:color w:val="auto"/>
        </w:rPr>
      </w:pPr>
    </w:p>
    <w:p>
      <w:pPr>
        <w:ind w:right="120" w:firstLine="255"/>
        <w:spacing w:after="0" w:line="266" w:lineRule="auto"/>
        <w:rPr>
          <w:sz w:val="20"/>
          <w:szCs w:val="20"/>
          <w:color w:val="auto"/>
        </w:rPr>
      </w:pPr>
      <w:r>
        <w:rPr>
          <w:rFonts w:ascii="Times New Roman" w:cs="Times New Roman" w:eastAsia="Times New Roman" w:hAnsi="Times New Roman"/>
          <w:sz w:val="18"/>
          <w:szCs w:val="18"/>
          <w:color w:val="auto"/>
        </w:rPr>
        <w:t>Capital invested, with respect to an investment, represents the aggregate cost basis allocable to the realized or unrealized portion of the investment, net of any upfront fees paid at closing for the term loan portion of the investment. Capital invested also includes realized losses on hedging activity, with respect to an investment, which represents any inception-to-date realized losses on foreign currency forward contracts allocable to the investment, if any.</w:t>
      </w:r>
    </w:p>
    <w:p>
      <w:pPr>
        <w:spacing w:after="0" w:line="176" w:lineRule="exact"/>
        <w:rPr>
          <w:sz w:val="20"/>
          <w:szCs w:val="20"/>
          <w:color w:val="auto"/>
        </w:rPr>
      </w:pPr>
    </w:p>
    <w:p>
      <w:pPr>
        <w:ind w:right="80" w:firstLine="255"/>
        <w:spacing w:after="0" w:line="261" w:lineRule="auto"/>
        <w:rPr>
          <w:sz w:val="20"/>
          <w:szCs w:val="20"/>
          <w:color w:val="auto"/>
        </w:rPr>
      </w:pPr>
      <w:r>
        <w:rPr>
          <w:rFonts w:ascii="Times New Roman" w:cs="Times New Roman" w:eastAsia="Times New Roman" w:hAnsi="Times New Roman"/>
          <w:sz w:val="18"/>
          <w:szCs w:val="18"/>
          <w:color w:val="auto"/>
        </w:rPr>
        <w:t>Realized returns, with respect to an investment, represents the total cash received with respect to each investment, including all amortization payments, interest, dividends, prepayment fees, upfront fees, administrative fees, agent fees, amendment fees, accrued interest, and other fees and proceeds. Realized returns also include realized gains on hedging activity, with respect to an investment, which represents any inception-to-date realized gains on foreign currency forward contracts allocable to the investment, if any.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and Foreign Currency Hedging</w:t>
      </w:r>
    </w:p>
    <w:p>
      <w:pPr>
        <w:spacing w:after="0" w:line="121" w:lineRule="exact"/>
        <w:rPr>
          <w:sz w:val="20"/>
          <w:szCs w:val="20"/>
          <w:color w:val="auto"/>
        </w:rPr>
      </w:pPr>
    </w:p>
    <w:p>
      <w:pPr>
        <w:ind w:right="180" w:firstLine="255"/>
        <w:spacing w:after="0" w:line="261" w:lineRule="auto"/>
        <w:rPr>
          <w:sz w:val="20"/>
          <w:szCs w:val="20"/>
          <w:color w:val="auto"/>
        </w:rPr>
      </w:pPr>
      <w:r>
        <w:rPr>
          <w:rFonts w:ascii="Times New Roman" w:cs="Times New Roman" w:eastAsia="Times New Roman" w:hAnsi="Times New Roman"/>
          <w:sz w:val="18"/>
          <w:szCs w:val="18"/>
          <w:color w:val="auto"/>
        </w:rPr>
        <w:t>We use interest rate swaps to hedge our fixed rate debt and certain fixed rate investments. We have designated certain interest rate swaps to be in a hedge accounting relationship. See Note 2 for additional disclosure regarding our accounting for derivative instruments designated in a hedge accounting relationship. See Note 5 for additional disclosure regarding these derivative instruments and the interest payments paid and received. See Note 7 for additional disclosure regarding the carrying value of our debt.</w:t>
      </w:r>
    </w:p>
    <w:p>
      <w:pPr>
        <w:spacing w:after="0" w:line="72" w:lineRule="exact"/>
        <w:rPr>
          <w:sz w:val="20"/>
          <w:szCs w:val="20"/>
          <w:color w:val="auto"/>
        </w:rPr>
      </w:pPr>
    </w:p>
    <w:p>
      <w:pPr>
        <w:ind w:firstLine="300"/>
        <w:spacing w:after="0" w:line="254" w:lineRule="auto"/>
        <w:rPr>
          <w:sz w:val="20"/>
          <w:szCs w:val="20"/>
          <w:color w:val="auto"/>
        </w:rPr>
      </w:pPr>
      <w:r>
        <w:rPr>
          <w:rFonts w:ascii="Times New Roman" w:cs="Times New Roman" w:eastAsia="Times New Roman" w:hAnsi="Times New Roman"/>
          <w:sz w:val="18"/>
          <w:szCs w:val="18"/>
          <w:color w:val="auto"/>
        </w:rPr>
        <w:t>Our current approach to hedging the foreign currency exposure in our non-U.S. dollar denominated investments is primarily to borrow the par amount in local currency under our Credit Facilities to fund these investments. For the three and nine months ended September 30, 2026, we had unrealized gains of $11.9 million and $52.7 million, respectively on the translation of our non-U.S. dollar denominated debt into U.S. dollars; such amounts approximate the corresponding unrealized gains on the translation of our non-U.S. dollar denominated investments into U.S. dollars for the three and nine months ended September 30, 2026. For the three and nine months ended September 30, 2025, we had unrealized gains of $6.0 million and unrealized losses of $137.4 million, respectively, on the translation of our non-U.S. dollar denominated debt into U.S. dollars; such amounts approximate the corresponding unrealized losses on the translation of our non-U.S. dollar denominated investments into U.S. dollars for the three and nine months ended September 30, 2025. See Note 2 for additional disclosure regarding our accounting for foreign currency. See our Consolidated Schedule of Investments for additional disclosure regarding the foreign currency amounts (in both par and fair value) of our non-U.S. dollar denominated investments.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 Liquidity and Capital Resources</w:t>
      </w:r>
    </w:p>
    <w:p>
      <w:pPr>
        <w:spacing w:after="0" w:line="121" w:lineRule="exact"/>
        <w:rPr>
          <w:sz w:val="20"/>
          <w:szCs w:val="20"/>
          <w:color w:val="auto"/>
        </w:rPr>
      </w:pPr>
    </w:p>
    <w:p>
      <w:pPr>
        <w:ind w:right="20" w:firstLine="255"/>
        <w:spacing w:after="0" w:line="282" w:lineRule="auto"/>
        <w:rPr>
          <w:sz w:val="20"/>
          <w:szCs w:val="20"/>
          <w:color w:val="auto"/>
        </w:rPr>
      </w:pPr>
      <w:r>
        <w:rPr>
          <w:rFonts w:ascii="Times New Roman" w:cs="Times New Roman" w:eastAsia="Times New Roman" w:hAnsi="Times New Roman"/>
          <w:sz w:val="18"/>
          <w:szCs w:val="18"/>
          <w:color w:val="auto"/>
        </w:rPr>
        <w:t>Our liquidity and capital resources are derived primarily from proceeds from equity issuances, advances from our Credit Facilities, and cash flows from operations. The primary uses of our cash and cash equivalents are:</w:t>
      </w:r>
    </w:p>
    <w:p>
      <w:pPr>
        <w:spacing w:after="0" w:line="54" w:lineRule="exact"/>
        <w:rPr>
          <w:sz w:val="20"/>
          <w:szCs w:val="20"/>
          <w:color w:val="auto"/>
        </w:rPr>
      </w:pPr>
    </w:p>
    <w:p>
      <w:pPr>
        <w:ind w:left="520" w:hanging="257"/>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portfolio companies and other investments and to comply with certain portfolio diversification requirements;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operations (including paying our Adviser);</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service, repayment, and other financing costs; and</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dividends to the holders of our shares.</w:t>
      </w:r>
    </w:p>
    <w:p>
      <w:pPr>
        <w:spacing w:after="0" w:line="225" w:lineRule="exact"/>
        <w:rPr>
          <w:sz w:val="20"/>
          <w:szCs w:val="20"/>
          <w:color w:val="auto"/>
        </w:rPr>
      </w:pPr>
    </w:p>
    <w:p>
      <w:pPr>
        <w:ind w:right="40" w:firstLine="255"/>
        <w:spacing w:after="0" w:line="254" w:lineRule="auto"/>
        <w:rPr>
          <w:sz w:val="20"/>
          <w:szCs w:val="20"/>
          <w:color w:val="auto"/>
        </w:rPr>
      </w:pPr>
      <w:r>
        <w:rPr>
          <w:rFonts w:ascii="Times New Roman" w:cs="Times New Roman" w:eastAsia="Times New Roman" w:hAnsi="Times New Roman"/>
          <w:sz w:val="18"/>
          <w:szCs w:val="18"/>
          <w:color w:val="auto"/>
        </w:rPr>
        <w:t>We intend to continue to generate cash primarily from cash flows from operations, future borrowings and future offerings of securities. We may from time to time enter into additional debt facilities, increase the size of existing facilities or issue debt securities. Any such incurrence or issuance would be subject to prevailing market conditions, our liquidity requirements, contractual and regulatory restrictions and other factors. In accordance with the 1940 Act, with certain limited exceptions, we are only allowed to incur borrowings, issue debt securities or issue preferred shares if immediately after the borrowing or issuance our ratio of total assets (less total liabilities other than indebtedness) to total indebtedness plus preferred shares, is at least 150%. For more information, see “</w:t>
      </w:r>
      <w:r>
        <w:rPr>
          <w:rFonts w:ascii="Times New Roman" w:cs="Times New Roman" w:eastAsia="Times New Roman" w:hAnsi="Times New Roman"/>
          <w:sz w:val="18"/>
          <w:szCs w:val="18"/>
          <w:i w:val="1"/>
          <w:iCs w:val="1"/>
          <w:color w:val="auto"/>
        </w:rPr>
        <w:t>Key Components of Our Results of Operations —Leverage</w:t>
      </w:r>
      <w:r>
        <w:rPr>
          <w:rFonts w:ascii="Times New Roman" w:cs="Times New Roman" w:eastAsia="Times New Roman" w:hAnsi="Times New Roman"/>
          <w:sz w:val="18"/>
          <w:szCs w:val="18"/>
          <w:color w:val="auto"/>
        </w:rPr>
        <w:t>” above. As of September 30, 2026 and December 31, 2025, our asset coverage ratio was 206.2% and 200.8%, respectively. We carefully consider our unfunded commitments for the purpose of planning our capital resources and ongoing liquidity including our financial leverage. Further, we maintain sufficient borrowing capacity within the 150% asset coverage limitation under the 1940 Act and the asset coverage limitation under our Credit Facilities to cover any outstanding unfunded commitments we are required to fund.</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63" w:name="page64"/>
    <w:bookmarkEnd w:id="63"/>
    <w:p>
      <w:pPr>
        <w:ind w:right="60" w:firstLine="255"/>
        <w:spacing w:after="0" w:line="261" w:lineRule="auto"/>
        <w:rPr>
          <w:sz w:val="20"/>
          <w:szCs w:val="20"/>
          <w:color w:val="auto"/>
        </w:rPr>
      </w:pPr>
      <w:r>
        <w:rPr>
          <w:rFonts w:ascii="Times New Roman" w:cs="Times New Roman" w:eastAsia="Times New Roman" w:hAnsi="Times New Roman"/>
          <w:sz w:val="18"/>
          <w:szCs w:val="18"/>
          <w:color w:val="auto"/>
        </w:rPr>
        <w:t>Cash and cash equivalents as of September 30, 2026, taken together with cash available under our Credit Facilities, and cash available from undrawn Capital Commitments, is expected to be sufficient for our investing activities and to conduct our operations in the near term. As of September 30, 2026, we had approximately $479.1 million and $726.4 million of availability on our Subscription Facility and Revolving Credit Facility, respectively, subject to asset coverage limitations.</w:t>
      </w:r>
    </w:p>
    <w:p>
      <w:pPr>
        <w:spacing w:after="0" w:line="180" w:lineRule="exact"/>
        <w:rPr>
          <w:sz w:val="20"/>
          <w:szCs w:val="20"/>
          <w:color w:val="auto"/>
        </w:rPr>
      </w:pPr>
    </w:p>
    <w:p>
      <w:pPr>
        <w:ind w:right="100" w:firstLine="255"/>
        <w:spacing w:after="0" w:line="256" w:lineRule="auto"/>
        <w:rPr>
          <w:sz w:val="20"/>
          <w:szCs w:val="20"/>
          <w:color w:val="auto"/>
        </w:rPr>
      </w:pPr>
      <w:r>
        <w:rPr>
          <w:rFonts w:ascii="Times New Roman" w:cs="Times New Roman" w:eastAsia="Times New Roman" w:hAnsi="Times New Roman"/>
          <w:sz w:val="18"/>
          <w:szCs w:val="18"/>
          <w:color w:val="auto"/>
        </w:rPr>
        <w:t>As of September 30, 2026, we had $622.6 million in cash and cash equivalents, including $77.2 million of restricted cash. For the nine months ended September 30, 2026, cash used in operating activities was $1,005.3 million, primarily attributable to funding portfolio investments of $2,465.4 million and other net operating activities of $253.0 million, which was partially offset by an increase in net assets resulting from operations of $270.6 million, repayments and proceeds from investments of $1,225.6 million and net change in unrealized losses from investments of $216.9 million. Cash provided by financing activities was $1,173.2 million during the period due to borrowings of $4,019.7 million and proceeds from capital calls of $750.0 million, which were partially offset by paydowns on debt of $3,328.6 million and other financing activities of $267.9 million.</w:t>
      </w:r>
    </w:p>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of September 30, 2025, we had $1,284.6 million in cash and cash equivalents, including $106.8 million of restricted cash. For the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2025, cash provided by operating activities was $100.1 million, primarily attributable to repayments and proceeds from investments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$1,802.3 million and an increase in net assets resulting from operations of $424.4 million, which was partially offset by funding portfolio investments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$2,047.7 million and other net operating activities of $78.9 million. Cash used in financing activities was $13.6 million during the period due to paydowns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debt of $2,652.1 million and other financing activities of $178.7 million, which were partially offset by borrowings of $2,817.2 million.</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w:t>
      </w:r>
    </w:p>
    <w:p>
      <w:pPr>
        <w:spacing w:after="0" w:line="229" w:lineRule="exact"/>
        <w:rPr>
          <w:sz w:val="20"/>
          <w:szCs w:val="20"/>
          <w:color w:val="auto"/>
        </w:rPr>
      </w:pPr>
    </w:p>
    <w:p>
      <w:pPr>
        <w:ind w:right="240" w:firstLine="255"/>
        <w:spacing w:after="0" w:line="258" w:lineRule="auto"/>
        <w:rPr>
          <w:sz w:val="20"/>
          <w:szCs w:val="20"/>
          <w:color w:val="auto"/>
        </w:rPr>
      </w:pPr>
      <w:r>
        <w:rPr>
          <w:rFonts w:ascii="Times New Roman" w:cs="Times New Roman" w:eastAsia="Times New Roman" w:hAnsi="Times New Roman"/>
          <w:sz w:val="18"/>
          <w:szCs w:val="18"/>
          <w:color w:val="auto"/>
        </w:rPr>
        <w:t>We have entered into subscription agreements (the “Subscription Agreements”) with investors providing for the private placement of our Common Shares. Under the terms of the Subscription Agreements, investors are required to fund drawdowns to purchase our Common Shares up to the amount of their respective Capital Commitment on an as-needed basis each time we deliver a drawdown notice to our investors. As of September 30, 2026, we had received Capital Commitments totaling $7.4 billion ($3.0 billion remaining undrawn). As of December 31, 2025, we had received Capital Commitments totaling $7.4 billion ($3.7 billion remaining undrawn).</w:t>
      </w:r>
    </w:p>
    <w:p>
      <w:pPr>
        <w:spacing w:after="0" w:line="183" w:lineRule="exact"/>
        <w:rPr>
          <w:sz w:val="20"/>
          <w:szCs w:val="20"/>
          <w:color w:val="auto"/>
        </w:rPr>
      </w:pPr>
    </w:p>
    <w:p>
      <w:pPr>
        <w:jc w:val="both"/>
        <w:ind w:right="420" w:firstLine="255"/>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total Common Shares issued and proceeds received related to our capital drawdowns delivered pursuant to the Subscription Agreements for the nine months ended September 30, 2026. There were no Common Shares issued and proceeds received related to the Company's capital drawdown delivered pursuant to the Subscription Agreements for the nine months ended September 30, 2025.</w:t>
      </w:r>
    </w:p>
    <w:p>
      <w:pPr>
        <w:spacing w:after="0" w:line="157" w:lineRule="exact"/>
        <w:rPr>
          <w:sz w:val="20"/>
          <w:szCs w:val="20"/>
          <w:color w:val="auto"/>
        </w:rPr>
      </w:pPr>
    </w:p>
    <w:tbl>
      <w:tblPr>
        <w:tblLayout w:type="fixed"/>
        <w:tblInd w:w="960" w:type="dxa"/>
        <w:tblCellMar>
          <w:top w:w="0" w:type="dxa"/>
          <w:left w:w="0" w:type="dxa"/>
          <w:bottom w:w="0" w:type="dxa"/>
          <w:right w:w="0" w:type="dxa"/>
        </w:tblCellMar>
      </w:tblPr>
      <w:tr>
        <w:trPr>
          <w:trHeight w:val="161"/>
        </w:trPr>
        <w:tc>
          <w:tcPr>
            <w:tcW w:w="5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Common Share Issuance Date</w:t>
            </w:r>
          </w:p>
        </w:tc>
        <w:tc>
          <w:tcPr>
            <w:tcW w:w="60" w:type="dxa"/>
            <w:vAlign w:val="bottom"/>
          </w:tcPr>
          <w:p>
            <w:pPr>
              <w:spacing w:after="0"/>
              <w:rPr>
                <w:sz w:val="13"/>
                <w:szCs w:val="13"/>
                <w:color w:val="auto"/>
              </w:rPr>
            </w:pPr>
          </w:p>
        </w:tc>
        <w:tc>
          <w:tcPr>
            <w:tcW w:w="212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Number of Common Shares</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Proceeds Received</w:t>
            </w:r>
          </w:p>
        </w:tc>
        <w:tc>
          <w:tcPr>
            <w:tcW w:w="0" w:type="dxa"/>
            <w:vAlign w:val="bottom"/>
          </w:tcPr>
          <w:p>
            <w:pPr>
              <w:spacing w:after="0"/>
              <w:rPr>
                <w:sz w:val="1"/>
                <w:szCs w:val="1"/>
                <w:color w:val="auto"/>
              </w:rPr>
            </w:pPr>
          </w:p>
        </w:tc>
      </w:tr>
      <w:tr>
        <w:trPr>
          <w:trHeight w:val="173"/>
        </w:trPr>
        <w:tc>
          <w:tcPr>
            <w:tcW w:w="52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2120" w:type="dxa"/>
            <w:vAlign w:val="bottom"/>
          </w:tcPr>
          <w:p>
            <w:pPr>
              <w:jc w:val="right"/>
              <w:ind w:right="799"/>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June 23, 2026</w:t>
            </w:r>
          </w:p>
        </w:tc>
        <w:tc>
          <w:tcPr>
            <w:tcW w:w="60" w:type="dxa"/>
            <w:vAlign w:val="bottom"/>
            <w:shd w:val="clear" w:color="auto" w:fill="CFF0FC"/>
          </w:tcPr>
          <w:p>
            <w:pPr>
              <w:spacing w:after="0"/>
              <w:rPr>
                <w:sz w:val="18"/>
                <w:szCs w:val="18"/>
                <w:color w:val="auto"/>
              </w:rPr>
            </w:pPr>
          </w:p>
        </w:tc>
        <w:tc>
          <w:tcPr>
            <w:tcW w:w="2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8,677,493</w:t>
            </w:r>
          </w:p>
        </w:tc>
        <w:tc>
          <w:tcPr>
            <w:tcW w:w="14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September 1, 2026</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17,373,129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80" w:type="dxa"/>
            <w:vAlign w:val="bottom"/>
            <w:tcBorders>
              <w:top w:val="single" w:sz="8" w:color="CFF0FC"/>
              <w:bottom w:val="single" w:sz="8" w:color="CFF0FC"/>
            </w:tcBorders>
            <w:shd w:val="clear" w:color="auto" w:fill="CFF0FC"/>
          </w:tcPr>
          <w:p>
            <w:pPr>
              <w:spacing w:after="0"/>
              <w:rPr>
                <w:sz w:val="21"/>
                <w:szCs w:val="21"/>
                <w:color w:val="auto"/>
              </w:rPr>
            </w:pPr>
          </w:p>
        </w:tc>
        <w:tc>
          <w:tcPr>
            <w:tcW w:w="60" w:type="dxa"/>
            <w:vAlign w:val="bottom"/>
            <w:tcBorders>
              <w:top w:val="single" w:sz="8" w:color="CFF0FC"/>
              <w:bottom w:val="single" w:sz="8" w:color="CFF0FC"/>
            </w:tcBorders>
            <w:shd w:val="clear" w:color="auto" w:fill="CFF0FC"/>
          </w:tcPr>
          <w:p>
            <w:pPr>
              <w:spacing w:after="0"/>
              <w:rPr>
                <w:sz w:val="21"/>
                <w:szCs w:val="21"/>
                <w:color w:val="auto"/>
              </w:rPr>
            </w:pPr>
          </w:p>
        </w:tc>
        <w:tc>
          <w:tcPr>
            <w:tcW w:w="2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26,050,622</w:t>
            </w:r>
          </w:p>
        </w:tc>
        <w:tc>
          <w:tcPr>
            <w:tcW w:w="140" w:type="dxa"/>
            <w:vAlign w:val="bottom"/>
            <w:tcBorders>
              <w:top w:val="single" w:sz="8" w:color="CFF0FC"/>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80" w:type="dxa"/>
            <w:vAlign w:val="bottom"/>
            <w:tcBorders>
              <w:top w:val="single" w:sz="8" w:color="CFF0FC"/>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5293995</wp:posOffset>
            </wp:positionH>
            <wp:positionV relativeFrom="paragraph">
              <wp:posOffset>-24765</wp:posOffset>
            </wp:positionV>
            <wp:extent cx="51435"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-7620</wp:posOffset>
            </wp:positionV>
            <wp:extent cx="51435"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-170815</wp:posOffset>
            </wp:positionV>
            <wp:extent cx="51435"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-24765</wp:posOffset>
            </wp:positionV>
            <wp:extent cx="51435"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-7620</wp:posOffset>
            </wp:positionV>
            <wp:extent cx="51435"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-170815</wp:posOffset>
            </wp:positionV>
            <wp:extent cx="51435"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8" w:lineRule="exact"/>
        <w:rPr>
          <w:sz w:val="20"/>
          <w:szCs w:val="20"/>
          <w:color w:val="auto"/>
        </w:rPr>
      </w:pPr>
    </w:p>
    <w:p>
      <w:pPr>
        <w:ind w:right="280" w:firstLine="255"/>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2026, we issued 8,070,513 Common Shares to investors who have not opted out of our dividend reinvestment plan for proceeds of $228.0 million. During the nine months ended September 30, 2025, we issued 4,495,015 Common Shares to investors who have not opted out of our dividend reinvestment plan for proceeds of $130.7 million.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Subscription Facility</w:t>
      </w:r>
    </w:p>
    <w:p>
      <w:pPr>
        <w:spacing w:after="0" w:line="227" w:lineRule="exact"/>
        <w:rPr>
          <w:sz w:val="20"/>
          <w:szCs w:val="20"/>
          <w:color w:val="auto"/>
        </w:rPr>
      </w:pPr>
    </w:p>
    <w:p>
      <w:pPr>
        <w:ind w:right="220" w:firstLine="255"/>
        <w:spacing w:after="0" w:line="266" w:lineRule="auto"/>
        <w:rPr>
          <w:sz w:val="20"/>
          <w:szCs w:val="20"/>
          <w:color w:val="auto"/>
        </w:rPr>
      </w:pPr>
      <w:r>
        <w:rPr>
          <w:rFonts w:ascii="Times New Roman" w:cs="Times New Roman" w:eastAsia="Times New Roman" w:hAnsi="Times New Roman"/>
          <w:sz w:val="18"/>
          <w:szCs w:val="18"/>
          <w:color w:val="auto"/>
        </w:rPr>
        <w:t>On September 1, 2022, we entered into a revolving credit agreement (as amended, the “Subscription Facility”) with Wells Fargo Bank, National Association, as administrative agent (the “Administrative Agent”), letter of credit issuer, lead arranger, as a lender and aggregate commitments under the Subscription Facility were $400 million.</w:t>
      </w:r>
    </w:p>
    <w:p>
      <w:pPr>
        <w:spacing w:after="0" w:line="176" w:lineRule="exact"/>
        <w:rPr>
          <w:sz w:val="20"/>
          <w:szCs w:val="20"/>
          <w:color w:val="auto"/>
        </w:rPr>
      </w:pPr>
    </w:p>
    <w:p>
      <w:pPr>
        <w:ind w:right="60" w:firstLine="255"/>
        <w:spacing w:after="0" w:line="266" w:lineRule="auto"/>
        <w:rPr>
          <w:sz w:val="20"/>
          <w:szCs w:val="20"/>
          <w:color w:val="auto"/>
        </w:rPr>
      </w:pPr>
      <w:r>
        <w:rPr>
          <w:rFonts w:ascii="Times New Roman" w:cs="Times New Roman" w:eastAsia="Times New Roman" w:hAnsi="Times New Roman"/>
          <w:sz w:val="18"/>
          <w:szCs w:val="18"/>
          <w:color w:val="auto"/>
        </w:rPr>
        <w:t>Pursuant to the third amendment to the Subscription Facility dated as of August 28, 2026 (the “Subscription Facility Third Amendment”), we exercised our option to extend the stated maturity date to August 27, 2027. As of September 30, 2026, aggregate commitments under the Subscription Facility were $500 million.</w:t>
      </w:r>
    </w:p>
    <w:p>
      <w:pPr>
        <w:spacing w:after="0" w:line="176" w:lineRule="exact"/>
        <w:rPr>
          <w:sz w:val="20"/>
          <w:szCs w:val="20"/>
          <w:color w:val="auto"/>
        </w:rPr>
      </w:pPr>
    </w:p>
    <w:p>
      <w:pPr>
        <w:ind w:right="20" w:firstLine="255"/>
        <w:spacing w:after="0" w:line="258" w:lineRule="auto"/>
        <w:rPr>
          <w:sz w:val="20"/>
          <w:szCs w:val="20"/>
          <w:color w:val="auto"/>
        </w:rPr>
      </w:pPr>
      <w:r>
        <w:rPr>
          <w:rFonts w:ascii="Times New Roman" w:cs="Times New Roman" w:eastAsia="Times New Roman" w:hAnsi="Times New Roman"/>
          <w:sz w:val="18"/>
          <w:szCs w:val="18"/>
          <w:color w:val="auto"/>
        </w:rPr>
        <w:t>Borrowings under the Subscription Facility bear interest, at our election at the time of drawdown, at a rate per annum equal to (i) in the case of loans denominated in dollars, at our option (a) an adjusted Daily Simple SOFR rate plus 1.70%, (b) an adjusted Term SOFR rate for the applicable interest period plus 1.70% and (c) in the case of reference rate loans, 0.70% plus the greatest of (1) a prime rate, (2) the federal funds rate plus 0.50% and (3) the adjusted Daily Simple SOFR plus 1.00%, (ii) in the case of loans denominated in euros or other alternative currencies (other than sterling), the adjusted Eurocurrency Rate for the applicable interest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64" w:name="page65"/>
    <w:bookmarkEnd w:id="64"/>
    <w:p>
      <w:pPr>
        <w:ind w:right="80"/>
        <w:spacing w:after="0" w:line="266" w:lineRule="auto"/>
        <w:rPr>
          <w:sz w:val="20"/>
          <w:szCs w:val="20"/>
          <w:color w:val="auto"/>
        </w:rPr>
      </w:pPr>
      <w:r>
        <w:rPr>
          <w:rFonts w:ascii="Times New Roman" w:cs="Times New Roman" w:eastAsia="Times New Roman" w:hAnsi="Times New Roman"/>
          <w:sz w:val="18"/>
          <w:szCs w:val="18"/>
          <w:color w:val="auto"/>
        </w:rPr>
        <w:t>period plus 1.70% or (iii) in the case of loans denominated in sterling, the adjusted SONIA rate plus 1.70%. SONIA loans are subject to a credit spread adjustment of 0.0326%. Loans denominated in dollars may be converted from one rate applicable to dollar denominated loans to another at any time at our election, subject to certain conditions. We also will pay an unused commitment fee of 0.25% per annum on the unused commitments.</w:t>
      </w:r>
    </w:p>
    <w:p>
      <w:pPr>
        <w:spacing w:after="0" w:line="176"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8"/>
          <w:szCs w:val="18"/>
          <w:color w:val="auto"/>
        </w:rPr>
        <w:t>We may borrow amounts in U.S. dollars or certain other permitted currencies. As of September 30, 2026, we had outstanding debt denominated in British pounds (GBP) of 9.8 million, and Euros (EUR) of 6.9 million on our Subscription Facility, included in the outstanding principal amount in the table below. As of December 31, 2025, we had outstanding debt denominated in British pounds (GBP) of 10.3 million, and Euros (EUR) of 7.3 million on its Subscription Facility, included in the outstanding principal amount in the table below.</w:t>
      </w:r>
    </w:p>
    <w:p>
      <w:pPr>
        <w:spacing w:after="0" w:line="180" w:lineRule="exact"/>
        <w:rPr>
          <w:sz w:val="20"/>
          <w:szCs w:val="20"/>
          <w:color w:val="auto"/>
        </w:rPr>
      </w:pPr>
    </w:p>
    <w:p>
      <w:pPr>
        <w:ind w:right="260" w:firstLine="255"/>
        <w:spacing w:after="0" w:line="282" w:lineRule="auto"/>
        <w:rPr>
          <w:sz w:val="20"/>
          <w:szCs w:val="20"/>
          <w:color w:val="auto"/>
        </w:rPr>
      </w:pPr>
      <w:r>
        <w:rPr>
          <w:rFonts w:ascii="Times New Roman" w:cs="Times New Roman" w:eastAsia="Times New Roman" w:hAnsi="Times New Roman"/>
          <w:sz w:val="18"/>
          <w:szCs w:val="18"/>
          <w:color w:val="auto"/>
        </w:rPr>
        <w:t>The amount available for borrowing under the Subscription Facility is reduced by any letters of credit issued through the Subscription Facility. As of September 30, 2026 and December 31, 2025, we had no outstanding letters of credit issued through the Subscription Facility.</w:t>
      </w:r>
    </w:p>
    <w:p>
      <w:pPr>
        <w:spacing w:after="0" w:line="162" w:lineRule="exact"/>
        <w:rPr>
          <w:sz w:val="20"/>
          <w:szCs w:val="20"/>
          <w:color w:val="auto"/>
        </w:rPr>
      </w:pPr>
    </w:p>
    <w:p>
      <w:pPr>
        <w:ind w:right="500" w:firstLine="255"/>
        <w:spacing w:after="0" w:line="282" w:lineRule="auto"/>
        <w:rPr>
          <w:sz w:val="20"/>
          <w:szCs w:val="20"/>
          <w:color w:val="auto"/>
        </w:rPr>
      </w:pPr>
      <w:r>
        <w:rPr>
          <w:rFonts w:ascii="Times New Roman" w:cs="Times New Roman" w:eastAsia="Times New Roman" w:hAnsi="Times New Roman"/>
          <w:sz w:val="18"/>
          <w:szCs w:val="18"/>
          <w:color w:val="auto"/>
        </w:rPr>
        <w:t>The Subscription Facility includes customary events of default, as well as customary covenants, including restrictions on certain distributions and financial covenants.</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of September 30, 2026 and December 31, 2025, we were in compliance with the terms of the Subscription Facility.</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19"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On January 19, 2023, we entered into a senior secured revolving credit agreement (the “Revolving Credit Facility”) with Truist Bank, as administrative agent, JPMorgan Chase Bank, N.A., Royal Bank of Canada, State Street Bank and Trust Company and Wells Fargo Bank, N.A., as joint lead arrangers, and certain other lenders.</w:t>
      </w:r>
    </w:p>
    <w:p>
      <w:pPr>
        <w:spacing w:after="0" w:line="68" w:lineRule="exact"/>
        <w:rPr>
          <w:sz w:val="20"/>
          <w:szCs w:val="20"/>
          <w:color w:val="auto"/>
        </w:rPr>
      </w:pPr>
    </w:p>
    <w:p>
      <w:pPr>
        <w:ind w:right="120" w:firstLine="255"/>
        <w:spacing w:after="0" w:line="312" w:lineRule="auto"/>
        <w:rPr>
          <w:sz w:val="20"/>
          <w:szCs w:val="20"/>
          <w:color w:val="auto"/>
        </w:rPr>
      </w:pPr>
      <w:r>
        <w:rPr>
          <w:rFonts w:ascii="Times New Roman" w:cs="Times New Roman" w:eastAsia="Times New Roman" w:hAnsi="Times New Roman"/>
          <w:sz w:val="17"/>
          <w:szCs w:val="17"/>
          <w:color w:val="auto"/>
        </w:rPr>
        <w:t>As of September 30, 2026, aggregate commitments under the Revolving Credit Facility were $2.675 billion. The Revolving Credit Facility includes an uncommitted accordion feature that allows us, under certain circumstances, to increase the size of the Revolving Credit Facility to up to $4.0125 billion.</w:t>
      </w:r>
    </w:p>
    <w:p>
      <w:pPr>
        <w:spacing w:after="0" w:line="140" w:lineRule="exact"/>
        <w:rPr>
          <w:sz w:val="20"/>
          <w:szCs w:val="20"/>
          <w:color w:val="auto"/>
        </w:rPr>
      </w:pPr>
    </w:p>
    <w:p>
      <w:pPr>
        <w:ind w:right="40" w:firstLine="255"/>
        <w:spacing w:after="0" w:line="266" w:lineRule="auto"/>
        <w:rPr>
          <w:sz w:val="20"/>
          <w:szCs w:val="20"/>
          <w:color w:val="auto"/>
        </w:rPr>
      </w:pPr>
      <w:r>
        <w:rPr>
          <w:rFonts w:ascii="Times New Roman" w:cs="Times New Roman" w:eastAsia="Times New Roman" w:hAnsi="Times New Roman"/>
          <w:sz w:val="18"/>
          <w:szCs w:val="18"/>
          <w:color w:val="auto"/>
        </w:rPr>
        <w:t>Pursuant to the Fifth Amendment dated May 1, 2026, with respect to $2.475 billion of commitments, the termination of the revolving period was extended to May 1, 2030 and the stated maturity was extended to May 1, 2031 and the uncommitted accordion was increased from up to $3.42 billion to up to $4.0125 billion.</w:t>
      </w:r>
    </w:p>
    <w:p>
      <w:pPr>
        <w:spacing w:after="0" w:line="176" w:lineRule="exact"/>
        <w:rPr>
          <w:sz w:val="20"/>
          <w:szCs w:val="20"/>
          <w:color w:val="auto"/>
        </w:rPr>
      </w:pPr>
    </w:p>
    <w:p>
      <w:pPr>
        <w:ind w:right="180" w:firstLine="255"/>
        <w:spacing w:after="0" w:line="258" w:lineRule="auto"/>
        <w:rPr>
          <w:sz w:val="20"/>
          <w:szCs w:val="20"/>
          <w:color w:val="auto"/>
        </w:rPr>
      </w:pPr>
      <w:r>
        <w:rPr>
          <w:rFonts w:ascii="Times New Roman" w:cs="Times New Roman" w:eastAsia="Times New Roman" w:hAnsi="Times New Roman"/>
          <w:sz w:val="18"/>
          <w:szCs w:val="18"/>
          <w:color w:val="auto"/>
        </w:rPr>
        <w:t>We may borrow amounts in U.S. dollars or certain other permitted currencies. As of September 30, 2026, we had outstanding debt denominated in British pounds (GBP) of 246.7 million, Canadian dollars (CAD) of 144.5 million, Euros (EUR) of 1,062.5 million and Swedish Krona (SEK) of 871.8 million on its Revolving Credit Facility, included in the outstanding principal amount in the table below. As of December 31, 2025, we had outstanding debt denominated in British pounds (GBP) of 244.7 million, Canadian dollars (CAD) of 142.0 million, Euros (EUR) of 974.5 million and Swedish Krona (SEK) of 218.0 million on its Revolving Credit Facility, included in the outstanding principal amount in the table below.</w:t>
      </w:r>
    </w:p>
    <w:p>
      <w:pPr>
        <w:spacing w:after="0" w:line="183" w:lineRule="exact"/>
        <w:rPr>
          <w:sz w:val="20"/>
          <w:szCs w:val="20"/>
          <w:color w:val="auto"/>
        </w:rPr>
      </w:pPr>
    </w:p>
    <w:p>
      <w:pPr>
        <w:ind w:right="180" w:firstLine="255"/>
        <w:spacing w:after="0" w:line="261" w:lineRule="auto"/>
        <w:rPr>
          <w:sz w:val="20"/>
          <w:szCs w:val="20"/>
          <w:color w:val="auto"/>
        </w:rPr>
      </w:pPr>
      <w:r>
        <w:rPr>
          <w:rFonts w:ascii="Times New Roman" w:cs="Times New Roman" w:eastAsia="Times New Roman" w:hAnsi="Times New Roman"/>
          <w:sz w:val="18"/>
          <w:szCs w:val="18"/>
          <w:color w:val="auto"/>
        </w:rPr>
        <w:t>The Revolving Credit Facility also provides for the issuance of letters of credit up to an aggregate amount of $100 million. As of September 30, 2026, we had $24.9 million in outstanding letters of credit issued through the Revolving Credit Facility. As of December 31, 2025, we had $32.0 million in outstanding letters of credit issued through the Revolving Credit Facility. The amount available for borrowing under the Revolving Credit Facility is reduced by any letters of credit issued through the Revolving Credit Facility.</w:t>
      </w:r>
    </w:p>
    <w:p>
      <w:pPr>
        <w:spacing w:after="0" w:line="180" w:lineRule="exact"/>
        <w:rPr>
          <w:sz w:val="20"/>
          <w:szCs w:val="20"/>
          <w:color w:val="auto"/>
        </w:rPr>
      </w:pPr>
    </w:p>
    <w:p>
      <w:pPr>
        <w:ind w:right="520" w:firstLine="255"/>
        <w:spacing w:after="0" w:line="261" w:lineRule="auto"/>
        <w:rPr>
          <w:sz w:val="20"/>
          <w:szCs w:val="20"/>
          <w:color w:val="auto"/>
        </w:rPr>
      </w:pPr>
      <w:r>
        <w:rPr>
          <w:rFonts w:ascii="Times New Roman" w:cs="Times New Roman" w:eastAsia="Times New Roman" w:hAnsi="Times New Roman"/>
          <w:sz w:val="18"/>
          <w:szCs w:val="18"/>
          <w:color w:val="auto"/>
        </w:rPr>
        <w:t>Amounts drawn under the Revolving Credit Facility, including amounts drawn in respect of letters of credit, bear interest at either the applicable reference rate plus an applicable credit spread adjustment, plus a margin of either 1.525%, 1.65%, or 1.775%, or the base rate plus a margin of either</w:t>
      </w:r>
    </w:p>
    <w:p>
      <w:pPr>
        <w:ind w:right="20"/>
        <w:spacing w:after="0" w:line="253" w:lineRule="auto"/>
        <w:rPr>
          <w:sz w:val="20"/>
          <w:szCs w:val="20"/>
          <w:color w:val="auto"/>
        </w:rPr>
      </w:pPr>
      <w:r>
        <w:rPr>
          <w:rFonts w:ascii="Times New Roman" w:cs="Times New Roman" w:eastAsia="Times New Roman" w:hAnsi="Times New Roman"/>
          <w:sz w:val="18"/>
          <w:szCs w:val="18"/>
          <w:color w:val="auto"/>
        </w:rPr>
        <w:t>0.525%, 0.65% or 0.775%, in each case, based on the total amount of the borrowing base relative to the sum of the total commitments (or, if greater, the total exposure) under the Revolving Credit Facility plus certain other designated secured debt. We may elect either the applicable reference rate or base rate at the time of drawdown, and loans may be converted from one rate to another at any time, subject to certain conditions. We also pay a fee of 0.325% per annum on the unused commitments and, in respect of each undrawn letter of credit, a fee and interest rate equal to the then applicable margin while the letter of credit is outstanding.</w:t>
      </w:r>
    </w:p>
    <w:p>
      <w:pPr>
        <w:spacing w:after="0" w:line="187" w:lineRule="exact"/>
        <w:rPr>
          <w:sz w:val="20"/>
          <w:szCs w:val="20"/>
          <w:color w:val="auto"/>
        </w:rPr>
      </w:pPr>
    </w:p>
    <w:p>
      <w:pPr>
        <w:jc w:val="both"/>
        <w:ind w:right="20" w:firstLine="255"/>
        <w:spacing w:after="0" w:line="266" w:lineRule="auto"/>
        <w:rPr>
          <w:sz w:val="20"/>
          <w:szCs w:val="20"/>
          <w:color w:val="auto"/>
        </w:rPr>
      </w:pPr>
      <w:r>
        <w:rPr>
          <w:rFonts w:ascii="Times New Roman" w:cs="Times New Roman" w:eastAsia="Times New Roman" w:hAnsi="Times New Roman"/>
          <w:sz w:val="18"/>
          <w:szCs w:val="18"/>
          <w:color w:val="auto"/>
        </w:rPr>
        <w:t>The Revolving Credit Facility is guaranteed by Sixth Street LP Holding II, LLC and SSLP Lending, LLC. The Revolving Credit Facility is secured by a perfected first-priority security interest in substantially all the portfolio investments held by us and each guarantor. Proceeds from borrowings may be used for general corporate purposes, including the funding of portfolio investments.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65" w:name="page66"/>
    <w:bookmarkEnd w:id="65"/>
    <w:p>
      <w:pPr>
        <w:ind w:left="260"/>
        <w:spacing w:after="0"/>
        <w:rPr>
          <w:sz w:val="20"/>
          <w:szCs w:val="20"/>
          <w:color w:val="auto"/>
        </w:rPr>
      </w:pPr>
      <w:r>
        <w:rPr>
          <w:rFonts w:ascii="Times New Roman" w:cs="Times New Roman" w:eastAsia="Times New Roman" w:hAnsi="Times New Roman"/>
          <w:sz w:val="18"/>
          <w:szCs w:val="18"/>
          <w:color w:val="auto"/>
        </w:rPr>
        <w:t>For further details, see Note 7 "Debt - Revolving Credit Facility" to our consolidated financial statements included in this Quarterly Report.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2029 Notes</w:t>
      </w:r>
    </w:p>
    <w:p>
      <w:pPr>
        <w:spacing w:after="0" w:line="119"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8"/>
          <w:szCs w:val="18"/>
          <w:color w:val="auto"/>
        </w:rPr>
        <w:t>In March 2024, we issued $600 million aggregate principal amount of unsecured notes that mature on March 11, 2029 (the “2029 Notes”). The principal amount of the 2029 Notes is payable at maturity. The 2029 Notes bear interest at a rate of 6.50% per year, payable semi-annually commencing on September 11, 2024, and may be redeemed in whole or in part at our option at any time at par plus a “make whole” premium. Total proceeds from the issuance of the 2029 Notes, net of underwriting discounts, offering costs and original issue discount, were $586.0 million. We used the net proceeds of the 2029 Notes to repay outstanding indebtedness under the Revolving Credit Facility and Subscription Facility.</w:t>
      </w:r>
    </w:p>
    <w:p>
      <w:pPr>
        <w:spacing w:after="0" w:line="183" w:lineRule="exact"/>
        <w:rPr>
          <w:sz w:val="20"/>
          <w:szCs w:val="20"/>
          <w:color w:val="auto"/>
        </w:rPr>
      </w:pPr>
    </w:p>
    <w:p>
      <w:pPr>
        <w:ind w:right="80" w:firstLine="255"/>
        <w:spacing w:after="0" w:line="258" w:lineRule="auto"/>
        <w:rPr>
          <w:sz w:val="20"/>
          <w:szCs w:val="20"/>
          <w:color w:val="auto"/>
        </w:rPr>
      </w:pPr>
      <w:r>
        <w:rPr>
          <w:rFonts w:ascii="Times New Roman" w:cs="Times New Roman" w:eastAsia="Times New Roman" w:hAnsi="Times New Roman"/>
          <w:sz w:val="18"/>
          <w:szCs w:val="18"/>
          <w:color w:val="auto"/>
        </w:rPr>
        <w:t>In June 2024, we issued an additional $150 million aggregate principal amount of unsecured notes that mature on March 11, 2029. The additional 2029 Notes are a further issuance of, fungible with, rank equally in right of payment with and have the same terms (other than the issue date and the public offering price) as the initial issuance of the 2029 Notes. Total proceeds from the issuance of the additional 2029 Notes, net of underwriting discounts, offering costs and original issue premium were $147.8 million. We used the net proceeds of the 2029 Notes to repay outstanding indebtedness under the Revolving Credit Facility and Subscription Facility.</w:t>
      </w:r>
    </w:p>
    <w:p>
      <w:pPr>
        <w:spacing w:after="0" w:line="183" w:lineRule="exact"/>
        <w:rPr>
          <w:sz w:val="20"/>
          <w:szCs w:val="20"/>
          <w:color w:val="auto"/>
        </w:rPr>
      </w:pPr>
    </w:p>
    <w:p>
      <w:pPr>
        <w:ind w:right="20" w:firstLine="255"/>
        <w:spacing w:after="0" w:line="255" w:lineRule="auto"/>
        <w:rPr>
          <w:sz w:val="20"/>
          <w:szCs w:val="20"/>
          <w:color w:val="auto"/>
        </w:rPr>
      </w:pPr>
      <w:r>
        <w:rPr>
          <w:rFonts w:ascii="Times New Roman" w:cs="Times New Roman" w:eastAsia="Times New Roman" w:hAnsi="Times New Roman"/>
          <w:sz w:val="18"/>
          <w:szCs w:val="18"/>
          <w:color w:val="auto"/>
        </w:rPr>
        <w:t>We entered into two interest rate swaps to align the interest rates of its liabilities with our investment portfolio, which consists of predominately floating rate loans. The notional amount of the two interest rate swaps are $600.0 million and $150.0 million, respectively, each of which matures on March 11, 2029, matching the maturity date of the 2029 Notes. As a result of the swap, our effective interest rate on the 2029 Notes is SOFR plus 2.45% (on a weighted average basis). The interest expense related to the 2029 Notes is offset by proceeds received from the interest rate swaps designated as a hedge. The swap adjusted interest expense is included as a component of interest expense on our Consolidated Statements of Operations. As of September 30, 2026 and December 31, 2025, the effective hedge interest rate swaps had a fair value of $(12.8) million and $15.1 million, respectively, which is offset within interest expense by an equal, but opposite, fair value change for the hedged risk on the 2029 Notes.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January 2030 Notes</w:t>
      </w:r>
    </w:p>
    <w:p>
      <w:pPr>
        <w:spacing w:after="0" w:line="227"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In September 2024, we issued $600 million aggregate principal amount of unsecured notes that mature on January 15, 2030 (the “January 2030 Notes”). The principal amount of the January 2030 Notes is payable at maturity. The January 2030 Notes bear interest at a rate of 5.75% per year, payable semi-annually commencing on January 15, 2025, and may be redeemed in whole or in part at our option at any time at par plus a “make whole” premium. Total proceeds from the issuance of the January 2030 Notes, net of underwriting discounts, offering costs and original issue discount, were $591.7 million. We used the net proceeds of the January 2030 Notes to repay outstanding indebtedness under the Revolving Credit Facility and Subscription Facility.</w:t>
      </w:r>
    </w:p>
    <w:p>
      <w:pPr>
        <w:spacing w:after="0" w:line="183" w:lineRule="exact"/>
        <w:rPr>
          <w:sz w:val="20"/>
          <w:szCs w:val="20"/>
          <w:color w:val="auto"/>
        </w:rPr>
      </w:pPr>
    </w:p>
    <w:p>
      <w:pPr>
        <w:ind w:right="20" w:firstLine="255"/>
        <w:spacing w:after="0" w:line="255" w:lineRule="auto"/>
        <w:rPr>
          <w:sz w:val="20"/>
          <w:szCs w:val="20"/>
          <w:color w:val="auto"/>
        </w:rPr>
      </w:pPr>
      <w:r>
        <w:rPr>
          <w:rFonts w:ascii="Times New Roman" w:cs="Times New Roman" w:eastAsia="Times New Roman" w:hAnsi="Times New Roman"/>
          <w:sz w:val="18"/>
          <w:szCs w:val="18"/>
          <w:color w:val="auto"/>
        </w:rPr>
        <w:t>In connection with the issuance of the January 2030 Notes, we entered into an interest rate swap to align the interest rate of its liability with our investment portfolio, which consists of predominately floating rate loans. The notional amount of the interest rate swap is $600.0 million which matures on January 15, 2030, matching the maturity date of the January 2030 Notes. As a result of the swap, our effective interest rate on the January 2030 Notes is SOFR plus 2.55%. The interest expense related to the January 2030 Notes is offset by proceeds received from the interest rate swaps designated as a hedge. The swap adjusted interest expense is included as a component of interest expense on our Consolidated Statements of Operations. As of September 30, 2026 and December 31, 2025, the effective hedge interest rate swaps had a fair value of $(29.5) million and $(5.2) million, respectively, which is offset within interest expense by an equal, but opposite, fair value change for the hedged risk on the January 2030 Notes.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July 2030 Notes</w:t>
      </w:r>
    </w:p>
    <w:p>
      <w:pPr>
        <w:spacing w:after="0" w:line="227" w:lineRule="exact"/>
        <w:rPr>
          <w:sz w:val="20"/>
          <w:szCs w:val="20"/>
          <w:color w:val="auto"/>
        </w:rPr>
      </w:pPr>
    </w:p>
    <w:p>
      <w:pPr>
        <w:ind w:right="260" w:firstLine="255"/>
        <w:spacing w:after="0" w:line="258" w:lineRule="auto"/>
        <w:rPr>
          <w:sz w:val="20"/>
          <w:szCs w:val="20"/>
          <w:color w:val="auto"/>
        </w:rPr>
      </w:pPr>
      <w:r>
        <w:rPr>
          <w:rFonts w:ascii="Times New Roman" w:cs="Times New Roman" w:eastAsia="Times New Roman" w:hAnsi="Times New Roman"/>
          <w:sz w:val="18"/>
          <w:szCs w:val="18"/>
          <w:color w:val="auto"/>
        </w:rPr>
        <w:t>In January 2025, we issued $750 million aggregate principal amount of unsecured notes that mature on July 15, 2030 (the “July 2030 Notes”). The principal amount of the July 2030 Notes is payable at maturity. The July 2030 Notes bear interest at a rate of 6.125% per year, payable semi-annually commencing on July 15, 2025, and may be redeemed in whole or in part at our option at any time at par plus a "make whole" premium. Total proceeds from the issuance of the July 2030 Notes, net of underwriting discounts, offering costs and original issue discount, were $737.6 million. We used the net proceeds of the July 2030 Notes to repay outstanding indebtedness under the Revolving Credit Facility and Subscription Facility.</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66" w:name="page67"/>
    <w:bookmarkEnd w:id="66"/>
    <w:p>
      <w:pPr>
        <w:ind w:right="80" w:firstLine="255"/>
        <w:spacing w:after="0" w:line="255" w:lineRule="auto"/>
        <w:rPr>
          <w:sz w:val="20"/>
          <w:szCs w:val="20"/>
          <w:color w:val="auto"/>
        </w:rPr>
      </w:pPr>
      <w:r>
        <w:rPr>
          <w:rFonts w:ascii="Times New Roman" w:cs="Times New Roman" w:eastAsia="Times New Roman" w:hAnsi="Times New Roman"/>
          <w:sz w:val="18"/>
          <w:szCs w:val="18"/>
          <w:color w:val="auto"/>
        </w:rPr>
        <w:t>In connection with the issuance of the July 2030 Notes, we entered into an interest rate swap to align the interest rate of its liability with our investment portfolio, which consists of predominately floating rate loans. The notional amount of the interest rate swap is $750.0 million which matures on July 15, 2030, matching the maturity date of the July 2030 Notes. As a result of the swap, our effective interest rate on the July 2030 Notes is SOFR plus 2.01%. The interest expense related to the July 2030 Notes is offset by proceeds received from the interest rate swaps designated as a hedge. The swap adjusted interest expense is included as a component of interest expense on our Consolidated Statements of Operations. As of September 30, 2026 and December 31, 2025, the effective hedge interest rate swaps had a fair value of $(17.9) million and $21.0 million, respectively, which is offset within interest expense by an equal, but opposite, fair value change for the hedged risk on the July 2030 Notes.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2031 Notes</w:t>
      </w:r>
    </w:p>
    <w:p>
      <w:pPr>
        <w:spacing w:after="0" w:line="227"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8"/>
          <w:szCs w:val="18"/>
          <w:color w:val="auto"/>
        </w:rPr>
        <w:t>In September 2026, we issued $750 million aggregate principal amount of unsecured notes that mature on December 15, 2031 (the “2031 Notes”). The principal amount of the 2031 Notes is payable at maturity. The 2031 Notes bear interest at a rate of 6.50% per year, payable semi-annually commencing on December 15, 2026, and may be redeemed in whole or in part at our option at any time at par plus a "make whole" premium. Total proceeds from the issuance of the 2031 Notes, net of underwriting discounts, offering costs and original issue discount, were $734.9 million. We used the net proceeds of the 2031 Notes to repay a portion of outstanding indebtedness under the Revolving Credit Facility and Subscription Facility, and for general corporate matters.</w:t>
      </w:r>
    </w:p>
    <w:p>
      <w:pPr>
        <w:spacing w:after="0" w:line="183" w:lineRule="exact"/>
        <w:rPr>
          <w:sz w:val="20"/>
          <w:szCs w:val="20"/>
          <w:color w:val="auto"/>
        </w:rPr>
      </w:pPr>
    </w:p>
    <w:p>
      <w:pPr>
        <w:ind w:right="100" w:firstLine="255"/>
        <w:spacing w:after="0" w:line="255" w:lineRule="auto"/>
        <w:rPr>
          <w:sz w:val="20"/>
          <w:szCs w:val="20"/>
          <w:color w:val="auto"/>
        </w:rPr>
      </w:pPr>
      <w:r>
        <w:rPr>
          <w:rFonts w:ascii="Times New Roman" w:cs="Times New Roman" w:eastAsia="Times New Roman" w:hAnsi="Times New Roman"/>
          <w:sz w:val="18"/>
          <w:szCs w:val="18"/>
          <w:color w:val="auto"/>
        </w:rPr>
        <w:t>In connection with the issuance of the 2031 Notes, we entered into an interest rate swap to align the interest rate of its liability with our investment portfolio, which consists of predominately floating rate loans. The notional amount of the interest rate swap is $750.0 million which matures on December 15, 2031, matching the maturity date of the 2031 Notes. As a result of the swap, our effective interest rate on the 2031 Notes is SOFR plus 1.96%. The interest expense related to the 2031 Notes is offset by proceeds received from the interest rate swaps designated as a hedge. The swap adjusted interest expense is included as a component of interest expense on our Consolidated Statements of Operations. As of September 30, 2026, the effective hedge interest rate swaps had a fair value of $(10.1) million, which is offset within interest expense by an equal, but opposite, fair value change for the hedged risk on the 2031 Notes.</w:t>
      </w:r>
    </w:p>
    <w:p>
      <w:pPr>
        <w:spacing w:after="0" w:line="1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Debt obligations consisted of the following as of September 30, 2026 and December 31, 2025:</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6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15"/>
        </w:trPr>
        <w:tc>
          <w:tcPr>
            <w:tcW w:w="4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60" w:type="dxa"/>
            <w:vAlign w:val="bottom"/>
          </w:tcPr>
          <w:p>
            <w:pPr>
              <w:jc w:val="right"/>
              <w:ind w:right="175"/>
              <w:spacing w:after="0" w:line="115" w:lineRule="exact"/>
              <w:rPr>
                <w:sz w:val="20"/>
                <w:szCs w:val="20"/>
                <w:color w:val="auto"/>
              </w:rPr>
            </w:pPr>
            <w:r>
              <w:rPr>
                <w:rFonts w:ascii="Times New Roman" w:cs="Times New Roman" w:eastAsia="Times New Roman" w:hAnsi="Times New Roman"/>
                <w:sz w:val="13"/>
                <w:szCs w:val="13"/>
                <w:b w:val="1"/>
                <w:bCs w:val="1"/>
                <w:color w:val="auto"/>
              </w:rPr>
              <w:t>Aggregate Principal</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tcPr>
          <w:p>
            <w:pPr>
              <w:jc w:val="right"/>
              <w:ind w:right="256"/>
              <w:spacing w:after="0" w:line="115" w:lineRule="exact"/>
              <w:rPr>
                <w:sz w:val="20"/>
                <w:szCs w:val="20"/>
                <w:color w:val="auto"/>
              </w:rPr>
            </w:pPr>
            <w:r>
              <w:rPr>
                <w:rFonts w:ascii="Times New Roman" w:cs="Times New Roman" w:eastAsia="Times New Roman" w:hAnsi="Times New Roman"/>
                <w:sz w:val="13"/>
                <w:szCs w:val="13"/>
                <w:b w:val="1"/>
                <w:bCs w:val="1"/>
                <w:color w:val="auto"/>
              </w:rPr>
              <w:t>Outstanding</w:t>
            </w: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ind w:left="140"/>
              <w:spacing w:after="0" w:line="115" w:lineRule="exact"/>
              <w:rPr>
                <w:sz w:val="20"/>
                <w:szCs w:val="20"/>
                <w:color w:val="auto"/>
              </w:rPr>
            </w:pPr>
            <w:r>
              <w:rPr>
                <w:rFonts w:ascii="Times New Roman" w:cs="Times New Roman" w:eastAsia="Times New Roman" w:hAnsi="Times New Roman"/>
                <w:sz w:val="13"/>
                <w:szCs w:val="13"/>
                <w:b w:val="1"/>
                <w:bCs w:val="1"/>
                <w:color w:val="auto"/>
              </w:rPr>
              <w:t>Amount</w:t>
            </w: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jc w:val="right"/>
              <w:ind w:right="318"/>
              <w:spacing w:after="0" w:line="115"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100" w:type="dxa"/>
            <w:vAlign w:val="bottom"/>
          </w:tcPr>
          <w:p>
            <w:pPr>
              <w:spacing w:after="0"/>
              <w:rPr>
                <w:sz w:val="10"/>
                <w:szCs w:val="10"/>
                <w:color w:val="auto"/>
              </w:rPr>
            </w:pPr>
          </w:p>
        </w:tc>
      </w:tr>
      <w:tr>
        <w:trPr>
          <w:trHeight w:val="203"/>
        </w:trPr>
        <w:tc>
          <w:tcPr>
            <w:tcW w:w="4540" w:type="dxa"/>
            <w:vAlign w:val="bottom"/>
          </w:tcPr>
          <w:p>
            <w:pPr>
              <w:spacing w:after="0" w:line="203" w:lineRule="exact"/>
              <w:rPr>
                <w:sz w:val="20"/>
                <w:szCs w:val="20"/>
                <w:color w:val="auto"/>
              </w:rPr>
            </w:pPr>
            <w:r>
              <w:rPr>
                <w:rFonts w:ascii="Times New Roman" w:cs="Times New Roman" w:eastAsia="Times New Roman" w:hAnsi="Times New Roman"/>
                <w:sz w:val="14"/>
                <w:szCs w:val="14"/>
                <w:color w:val="auto"/>
              </w:rPr>
              <w:t xml:space="preserve">($ in millions) </w:t>
            </w:r>
            <w:r>
              <w:rPr>
                <w:rFonts w:ascii="Times New Roman" w:cs="Times New Roman" w:eastAsia="Times New Roman" w:hAnsi="Times New Roman"/>
                <w:sz w:val="19"/>
                <w:szCs w:val="19"/>
                <w:color w:val="auto"/>
                <w:vertAlign w:val="superscript"/>
              </w:rPr>
              <w:t>(1)</w:t>
            </w: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Amount Committed</w:t>
            </w:r>
          </w:p>
        </w:tc>
        <w:tc>
          <w:tcPr>
            <w:tcW w:w="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Available</w:t>
            </w:r>
          </w:p>
        </w:tc>
        <w:tc>
          <w:tcPr>
            <w:tcW w:w="44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8"/>
                <w:szCs w:val="8"/>
                <w:b w:val="1"/>
                <w:bCs w:val="1"/>
                <w:color w:val="auto"/>
                <w:w w:val="85"/>
              </w:rPr>
              <w:t>(2)</w:t>
            </w: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98"/>
              <w:spacing w:after="0" w:line="202" w:lineRule="exact"/>
              <w:rPr>
                <w:sz w:val="20"/>
                <w:szCs w:val="20"/>
                <w:color w:val="auto"/>
              </w:rPr>
            </w:pPr>
            <w:r>
              <w:rPr>
                <w:rFonts w:ascii="Times New Roman" w:cs="Times New Roman" w:eastAsia="Times New Roman" w:hAnsi="Times New Roman"/>
                <w:sz w:val="23"/>
                <w:szCs w:val="23"/>
                <w:b w:val="1"/>
                <w:bCs w:val="1"/>
                <w:color w:val="auto"/>
                <w:vertAlign w:val="subscript"/>
              </w:rPr>
              <w:t>Value</w:t>
            </w:r>
            <w:r>
              <w:rPr>
                <w:rFonts w:ascii="Times New Roman" w:cs="Times New Roman" w:eastAsia="Times New Roman" w:hAnsi="Times New Roman"/>
                <w:sz w:val="9"/>
                <w:szCs w:val="9"/>
                <w:b w:val="1"/>
                <w:bCs w:val="1"/>
                <w:color w:val="auto"/>
              </w:rPr>
              <w:t xml:space="preserve"> (3)(4)</w:t>
            </w:r>
          </w:p>
        </w:tc>
        <w:tc>
          <w:tcPr>
            <w:tcW w:w="100" w:type="dxa"/>
            <w:vAlign w:val="bottom"/>
          </w:tcPr>
          <w:p>
            <w:pPr>
              <w:spacing w:after="0"/>
              <w:rPr>
                <w:sz w:val="17"/>
                <w:szCs w:val="17"/>
                <w:color w:val="auto"/>
              </w:rPr>
            </w:pPr>
          </w:p>
        </w:tc>
      </w:tr>
      <w:tr>
        <w:trPr>
          <w:trHeight w:val="210"/>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Subscription Facility</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4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52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479.1</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FF0FC"/>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2,675.0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1,923.6</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1,904.6</w:t>
            </w:r>
          </w:p>
        </w:tc>
        <w:tc>
          <w:tcPr>
            <w:tcW w:w="100" w:type="dxa"/>
            <w:vAlign w:val="bottom"/>
          </w:tcPr>
          <w:p>
            <w:pPr>
              <w:spacing w:after="0"/>
              <w:rPr>
                <w:sz w:val="18"/>
                <w:szCs w:val="18"/>
                <w:color w:val="auto"/>
              </w:rPr>
            </w:pPr>
          </w:p>
        </w:tc>
      </w:tr>
      <w:tr>
        <w:trPr>
          <w:trHeight w:val="216"/>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 Notes</w:t>
            </w: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728.7</w:t>
            </w:r>
          </w:p>
        </w:tc>
        <w:tc>
          <w:tcPr>
            <w:tcW w:w="100" w:type="dxa"/>
            <w:vAlign w:val="bottom"/>
            <w:shd w:val="clear" w:color="auto" w:fill="CFF0FC"/>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January 2030 Notes</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565.2</w:t>
            </w:r>
          </w:p>
        </w:tc>
        <w:tc>
          <w:tcPr>
            <w:tcW w:w="100" w:type="dxa"/>
            <w:vAlign w:val="bottom"/>
          </w:tcPr>
          <w:p>
            <w:pPr>
              <w:spacing w:after="0"/>
              <w:rPr>
                <w:sz w:val="18"/>
                <w:szCs w:val="18"/>
                <w:color w:val="auto"/>
              </w:rPr>
            </w:pPr>
          </w:p>
        </w:tc>
      </w:tr>
      <w:tr>
        <w:trPr>
          <w:trHeight w:val="216"/>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July 2030 Notes</w:t>
            </w: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721.5</w:t>
            </w:r>
          </w:p>
        </w:tc>
        <w:tc>
          <w:tcPr>
            <w:tcW w:w="100" w:type="dxa"/>
            <w:vAlign w:val="bottom"/>
            <w:shd w:val="clear" w:color="auto" w:fill="CFF0FC"/>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2031 Notes</w:t>
            </w: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723.0</w:t>
            </w:r>
          </w:p>
        </w:tc>
        <w:tc>
          <w:tcPr>
            <w:tcW w:w="100" w:type="dxa"/>
            <w:vAlign w:val="bottom"/>
          </w:tcPr>
          <w:p>
            <w:pPr>
              <w:spacing w:after="0"/>
              <w:rPr>
                <w:sz w:val="18"/>
                <w:szCs w:val="18"/>
                <w:color w:val="auto"/>
              </w:rPr>
            </w:pPr>
          </w:p>
        </w:tc>
      </w:tr>
      <w:tr>
        <w:trPr>
          <w:trHeight w:val="230"/>
        </w:trPr>
        <w:tc>
          <w:tcPr>
            <w:tcW w:w="4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6,025.0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4,794.5</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1,205.6</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4,662.5</w:t>
            </w:r>
          </w:p>
        </w:tc>
        <w:tc>
          <w:tcPr>
            <w:tcW w:w="100" w:type="dxa"/>
            <w:vAlign w:val="bottom"/>
            <w:shd w:val="clear" w:color="auto" w:fill="CFF0FC"/>
          </w:tcPr>
          <w:p>
            <w:pPr>
              <w:spacing w:after="0"/>
              <w:rPr>
                <w:sz w:val="19"/>
                <w:szCs w:val="19"/>
                <w:color w:val="auto"/>
              </w:rPr>
            </w:pPr>
          </w:p>
        </w:tc>
      </w:tr>
      <w:tr>
        <w:trPr>
          <w:trHeight w:val="20"/>
        </w:trPr>
        <w:tc>
          <w:tcPr>
            <w:tcW w:w="45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-24765</wp:posOffset>
            </wp:positionV>
            <wp:extent cx="77470"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-8255</wp:posOffset>
            </wp:positionV>
            <wp:extent cx="77470"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-24765</wp:posOffset>
            </wp:positionV>
            <wp:extent cx="68580"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-8255</wp:posOffset>
            </wp:positionV>
            <wp:extent cx="68580"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68580"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-8255</wp:posOffset>
            </wp:positionV>
            <wp:extent cx="68580"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Table may not sum due to rounding.</w:t>
      </w:r>
    </w:p>
    <w:p>
      <w:pPr>
        <w:spacing w:after="0" w:line="27" w:lineRule="exact"/>
        <w:rPr>
          <w:rFonts w:ascii="Times New Roman" w:cs="Times New Roman" w:eastAsia="Times New Roman" w:hAnsi="Times New Roman"/>
          <w:sz w:val="18"/>
          <w:szCs w:val="18"/>
          <w:color w:val="auto"/>
        </w:rPr>
      </w:pPr>
    </w:p>
    <w:p>
      <w:pPr>
        <w:ind w:left="520" w:right="380" w:hanging="512"/>
        <w:spacing w:after="0" w:line="260" w:lineRule="auto"/>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available may be subject to limitations related to the borrowing base under the Subscription Facility, the Revolving Credit Facility, outstanding letters of credit issued and asset coverage requirements.</w:t>
      </w:r>
    </w:p>
    <w:p>
      <w:pPr>
        <w:spacing w:after="0" w:line="5" w:lineRule="exact"/>
        <w:rPr>
          <w:rFonts w:ascii="Times New Roman" w:cs="Times New Roman" w:eastAsia="Times New Roman" w:hAnsi="Times New Roman"/>
          <w:sz w:val="18"/>
          <w:szCs w:val="18"/>
          <w:color w:val="auto"/>
        </w:rPr>
      </w:pPr>
    </w:p>
    <w:p>
      <w:pPr>
        <w:jc w:val="both"/>
        <w:ind w:left="520" w:right="420" w:hanging="512"/>
        <w:spacing w:after="0" w:line="260" w:lineRule="auto"/>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values of the Subscription Facility, the Revolving Credit Facility, the 2029 Notes, January 2030 Notes, July 2030 Notes and 2031 Notes are presented net of deferred financing costs and original issue discounts of $1.4 million, $19.0 million, $8.5 million, $5.4 million, $10.6 million and $16.9 million, respectively.</w:t>
      </w:r>
    </w:p>
    <w:p>
      <w:pPr>
        <w:spacing w:after="0" w:line="2" w:lineRule="exact"/>
        <w:rPr>
          <w:rFonts w:ascii="Times New Roman" w:cs="Times New Roman" w:eastAsia="Times New Roman" w:hAnsi="Times New Roman"/>
          <w:sz w:val="18"/>
          <w:szCs w:val="18"/>
          <w:color w:val="auto"/>
        </w:rPr>
      </w:pPr>
    </w:p>
    <w:p>
      <w:pPr>
        <w:ind w:left="520" w:right="520" w:hanging="512"/>
        <w:spacing w:after="0" w:line="282" w:lineRule="auto"/>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value of the 2029 Notes, January 2030 Notes, July 2030 Notes and 2031 Notes are presented inclusive of an incremental $(12.8) million, $(29.5) million, $(17.9) million and $(10.1) million respectively, which represents an adjustment in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67" w:name="page68"/>
    <w:bookmarkEnd w:id="67"/>
    <w:p>
      <w:pPr>
        <w:ind w:left="520"/>
        <w:spacing w:after="0"/>
        <w:rPr>
          <w:sz w:val="20"/>
          <w:szCs w:val="20"/>
          <w:color w:val="auto"/>
        </w:rPr>
      </w:pPr>
      <w:r>
        <w:rPr>
          <w:rFonts w:ascii="Times New Roman" w:cs="Times New Roman" w:eastAsia="Times New Roman" w:hAnsi="Times New Roman"/>
          <w:sz w:val="18"/>
          <w:szCs w:val="18"/>
          <w:color w:val="auto"/>
        </w:rPr>
        <w:t>the carrying value of the 2029 Notes, January 2030 Notes, July 2030 Notes and 2031 Notes, each resulting from a hedge accounting relationship.</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4"/>
          </w:tcPr>
          <w:p>
            <w:pPr>
              <w:ind w:left="8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5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15"/>
        </w:trPr>
        <w:tc>
          <w:tcPr>
            <w:tcW w:w="4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20" w:type="dxa"/>
            <w:vAlign w:val="bottom"/>
          </w:tcPr>
          <w:p>
            <w:pPr>
              <w:jc w:val="right"/>
              <w:ind w:right="75"/>
              <w:spacing w:after="0" w:line="115" w:lineRule="exact"/>
              <w:rPr>
                <w:sz w:val="20"/>
                <w:szCs w:val="20"/>
                <w:color w:val="auto"/>
              </w:rPr>
            </w:pPr>
            <w:r>
              <w:rPr>
                <w:rFonts w:ascii="Times New Roman" w:cs="Times New Roman" w:eastAsia="Times New Roman" w:hAnsi="Times New Roman"/>
                <w:sz w:val="13"/>
                <w:szCs w:val="13"/>
                <w:b w:val="1"/>
                <w:bCs w:val="1"/>
                <w:color w:val="auto"/>
              </w:rPr>
              <w:t>Aggregate Principal</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00" w:type="dxa"/>
            <w:vAlign w:val="bottom"/>
          </w:tcPr>
          <w:p>
            <w:pPr>
              <w:jc w:val="right"/>
              <w:ind w:right="317"/>
              <w:spacing w:after="0" w:line="115" w:lineRule="exact"/>
              <w:rPr>
                <w:sz w:val="20"/>
                <w:szCs w:val="20"/>
                <w:color w:val="auto"/>
              </w:rPr>
            </w:pPr>
            <w:r>
              <w:rPr>
                <w:rFonts w:ascii="Times New Roman" w:cs="Times New Roman" w:eastAsia="Times New Roman" w:hAnsi="Times New Roman"/>
                <w:sz w:val="13"/>
                <w:szCs w:val="13"/>
                <w:b w:val="1"/>
                <w:bCs w:val="1"/>
                <w:color w:val="auto"/>
              </w:rPr>
              <w:t>Outstanding</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ind w:left="260"/>
              <w:spacing w:after="0" w:line="115" w:lineRule="exact"/>
              <w:rPr>
                <w:sz w:val="20"/>
                <w:szCs w:val="20"/>
                <w:color w:val="auto"/>
              </w:rPr>
            </w:pPr>
            <w:r>
              <w:rPr>
                <w:rFonts w:ascii="Times New Roman" w:cs="Times New Roman" w:eastAsia="Times New Roman" w:hAnsi="Times New Roman"/>
                <w:sz w:val="13"/>
                <w:szCs w:val="13"/>
                <w:b w:val="1"/>
                <w:bCs w:val="1"/>
                <w:color w:val="auto"/>
              </w:rPr>
              <w:t>Amount</w:t>
            </w: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80" w:type="dxa"/>
            <w:vAlign w:val="bottom"/>
          </w:tcPr>
          <w:p>
            <w:pPr>
              <w:jc w:val="right"/>
              <w:ind w:right="419"/>
              <w:spacing w:after="0" w:line="115"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100" w:type="dxa"/>
            <w:vAlign w:val="bottom"/>
          </w:tcPr>
          <w:p>
            <w:pPr>
              <w:spacing w:after="0"/>
              <w:rPr>
                <w:sz w:val="10"/>
                <w:szCs w:val="10"/>
                <w:color w:val="auto"/>
              </w:rPr>
            </w:pPr>
          </w:p>
        </w:tc>
      </w:tr>
      <w:tr>
        <w:trPr>
          <w:trHeight w:val="203"/>
        </w:trPr>
        <w:tc>
          <w:tcPr>
            <w:tcW w:w="4240" w:type="dxa"/>
            <w:vAlign w:val="bottom"/>
          </w:tcPr>
          <w:p>
            <w:pPr>
              <w:spacing w:after="0" w:line="203" w:lineRule="exact"/>
              <w:rPr>
                <w:sz w:val="20"/>
                <w:szCs w:val="20"/>
                <w:color w:val="auto"/>
              </w:rPr>
            </w:pPr>
            <w:r>
              <w:rPr>
                <w:rFonts w:ascii="Times New Roman" w:cs="Times New Roman" w:eastAsia="Times New Roman" w:hAnsi="Times New Roman"/>
                <w:sz w:val="14"/>
                <w:szCs w:val="14"/>
                <w:color w:val="auto"/>
              </w:rPr>
              <w:t xml:space="preserve">($ in millions) </w:t>
            </w:r>
            <w:r>
              <w:rPr>
                <w:rFonts w:ascii="Times New Roman" w:cs="Times New Roman" w:eastAsia="Times New Roman" w:hAnsi="Times New Roman"/>
                <w:sz w:val="19"/>
                <w:szCs w:val="19"/>
                <w:color w:val="auto"/>
                <w:vertAlign w:val="superscript"/>
              </w:rPr>
              <w:t>(1)</w:t>
            </w:r>
          </w:p>
        </w:tc>
        <w:tc>
          <w:tcPr>
            <w:tcW w:w="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Amount Committed</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Available</w:t>
            </w:r>
          </w:p>
        </w:tc>
        <w:tc>
          <w:tcPr>
            <w:tcW w:w="52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8"/>
                <w:szCs w:val="8"/>
                <w:b w:val="1"/>
                <w:bCs w:val="1"/>
                <w:color w:val="auto"/>
                <w:w w:val="85"/>
              </w:rPr>
              <w:t>(2)</w:t>
            </w: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99"/>
              <w:spacing w:after="0" w:line="202" w:lineRule="exact"/>
              <w:rPr>
                <w:sz w:val="20"/>
                <w:szCs w:val="20"/>
                <w:color w:val="auto"/>
              </w:rPr>
            </w:pPr>
            <w:r>
              <w:rPr>
                <w:rFonts w:ascii="Times New Roman" w:cs="Times New Roman" w:eastAsia="Times New Roman" w:hAnsi="Times New Roman"/>
                <w:sz w:val="23"/>
                <w:szCs w:val="23"/>
                <w:b w:val="1"/>
                <w:bCs w:val="1"/>
                <w:color w:val="auto"/>
                <w:vertAlign w:val="subscript"/>
              </w:rPr>
              <w:t>Value</w:t>
            </w:r>
            <w:r>
              <w:rPr>
                <w:rFonts w:ascii="Times New Roman" w:cs="Times New Roman" w:eastAsia="Times New Roman" w:hAnsi="Times New Roman"/>
                <w:sz w:val="9"/>
                <w:szCs w:val="9"/>
                <w:b w:val="1"/>
                <w:bCs w:val="1"/>
                <w:color w:val="auto"/>
              </w:rPr>
              <w:t xml:space="preserve"> (3)(4)</w:t>
            </w:r>
          </w:p>
        </w:tc>
        <w:tc>
          <w:tcPr>
            <w:tcW w:w="100" w:type="dxa"/>
            <w:vAlign w:val="bottom"/>
          </w:tcPr>
          <w:p>
            <w:pPr>
              <w:spacing w:after="0"/>
              <w:rPr>
                <w:sz w:val="17"/>
                <w:szCs w:val="17"/>
                <w:color w:val="auto"/>
              </w:rPr>
            </w:pPr>
          </w:p>
        </w:tc>
      </w:tr>
      <w:tr>
        <w:trPr>
          <w:trHeight w:val="209"/>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Subscription Facility</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477.6</w:t>
            </w:r>
          </w:p>
        </w:tc>
        <w:tc>
          <w:tcPr>
            <w:tcW w:w="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shd w:val="clear" w:color="auto" w:fill="CFF0FC"/>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2,675.0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617.1</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2,010.4</w:t>
            </w:r>
          </w:p>
        </w:tc>
        <w:tc>
          <w:tcPr>
            <w:tcW w:w="100" w:type="dxa"/>
            <w:vAlign w:val="bottom"/>
          </w:tcPr>
          <w:p>
            <w:pPr>
              <w:spacing w:after="0"/>
              <w:rPr>
                <w:sz w:val="18"/>
                <w:szCs w:val="18"/>
                <w:color w:val="auto"/>
              </w:rPr>
            </w:pPr>
          </w:p>
        </w:tc>
      </w:tr>
      <w:tr>
        <w:trPr>
          <w:trHeight w:val="216"/>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 Notes</w:t>
            </w: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754.2</w:t>
            </w:r>
          </w:p>
        </w:tc>
        <w:tc>
          <w:tcPr>
            <w:tcW w:w="100" w:type="dxa"/>
            <w:vAlign w:val="bottom"/>
            <w:shd w:val="clear" w:color="auto" w:fill="CFF0FC"/>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January 2030 Notes</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588.3</w:t>
            </w:r>
          </w:p>
        </w:tc>
        <w:tc>
          <w:tcPr>
            <w:tcW w:w="100" w:type="dxa"/>
            <w:vAlign w:val="bottom"/>
          </w:tcPr>
          <w:p>
            <w:pPr>
              <w:spacing w:after="0"/>
              <w:rPr>
                <w:sz w:val="18"/>
                <w:szCs w:val="18"/>
                <w:color w:val="auto"/>
              </w:rPr>
            </w:pPr>
          </w:p>
        </w:tc>
      </w:tr>
      <w:tr>
        <w:trPr>
          <w:trHeight w:val="216"/>
        </w:trPr>
        <w:tc>
          <w:tcPr>
            <w:tcW w:w="4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July 2030 Notes</w:t>
            </w:r>
          </w:p>
        </w:tc>
        <w:tc>
          <w:tcPr>
            <w:tcW w:w="1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2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5,275.0</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4,148.3</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1,094.7</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4,132.8</w:t>
            </w:r>
          </w:p>
        </w:tc>
        <w:tc>
          <w:tcPr>
            <w:tcW w:w="100" w:type="dxa"/>
            <w:vAlign w:val="bottom"/>
          </w:tcPr>
          <w:p>
            <w:pPr>
              <w:spacing w:after="0"/>
              <w:rPr>
                <w:sz w:val="18"/>
                <w:szCs w:val="18"/>
                <w:color w:val="auto"/>
              </w:rPr>
            </w:pPr>
          </w:p>
        </w:tc>
      </w:tr>
      <w:tr>
        <w:trPr>
          <w:trHeight w:val="20"/>
        </w:trPr>
        <w:tc>
          <w:tcPr>
            <w:tcW w:w="4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-170815</wp:posOffset>
            </wp:positionV>
            <wp:extent cx="68580"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-170815</wp:posOffset>
            </wp:positionV>
            <wp:extent cx="68580"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-170815</wp:posOffset>
            </wp:positionV>
            <wp:extent cx="68580"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Table may not sum due to rounding.</w:t>
      </w:r>
    </w:p>
    <w:p>
      <w:pPr>
        <w:spacing w:after="0" w:line="27" w:lineRule="exact"/>
        <w:rPr>
          <w:rFonts w:ascii="Times New Roman" w:cs="Times New Roman" w:eastAsia="Times New Roman" w:hAnsi="Times New Roman"/>
          <w:sz w:val="18"/>
          <w:szCs w:val="18"/>
          <w:color w:val="auto"/>
        </w:rPr>
      </w:pPr>
    </w:p>
    <w:p>
      <w:pPr>
        <w:ind w:left="520" w:right="380" w:hanging="512"/>
        <w:spacing w:after="0" w:line="250" w:lineRule="auto"/>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available may be subject to limitations related to the borrowing base under the Subscription Facility, the Revolving Credit Facility, outstanding letters of credit issued and asset coverage requirements.</w:t>
      </w:r>
    </w:p>
    <w:p>
      <w:pPr>
        <w:ind w:left="520" w:right="180" w:hanging="512"/>
        <w:spacing w:after="0" w:line="250" w:lineRule="auto"/>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values of the Subscription Facility, the Revolving Credit Facility, the 2029 Notes, January 2030 Notes and July 2030 Notes are presented net of deferred financing costs and original issue discounts of $1.0 million, $15.5 million, $11.0 million, $6.6 million and $12.4 million, respectively.</w:t>
      </w:r>
    </w:p>
    <w:p>
      <w:pPr>
        <w:spacing w:after="0" w:line="1" w:lineRule="exact"/>
        <w:rPr>
          <w:rFonts w:ascii="Times New Roman" w:cs="Times New Roman" w:eastAsia="Times New Roman" w:hAnsi="Times New Roman"/>
          <w:sz w:val="18"/>
          <w:szCs w:val="18"/>
          <w:color w:val="auto"/>
        </w:rPr>
      </w:pPr>
    </w:p>
    <w:p>
      <w:pPr>
        <w:ind w:left="520" w:right="180" w:hanging="512"/>
        <w:spacing w:after="0" w:line="255" w:lineRule="auto"/>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value of the 2029 Notes, January 2030 Notes and July 2030 Notes are presented inclusive of an incremental $15.1 million, $(5.2) million and $21.0 million respectively, which represents an adjustment in the carrying value of the 2029 Notes, January 2030 Notes and July 2030 Notes, each resulting from a hedge accounting relationship.</w:t>
      </w:r>
    </w:p>
    <w:p>
      <w:pPr>
        <w:spacing w:after="0" w:line="186" w:lineRule="exact"/>
        <w:rPr>
          <w:sz w:val="20"/>
          <w:szCs w:val="20"/>
          <w:color w:val="auto"/>
        </w:rPr>
      </w:pPr>
    </w:p>
    <w:p>
      <w:pPr>
        <w:ind w:right="1940" w:firstLine="255"/>
        <w:spacing w:after="0" w:line="282" w:lineRule="auto"/>
        <w:rPr>
          <w:sz w:val="20"/>
          <w:szCs w:val="20"/>
          <w:color w:val="auto"/>
        </w:rPr>
      </w:pPr>
      <w:r>
        <w:rPr>
          <w:rFonts w:ascii="Times New Roman" w:cs="Times New Roman" w:eastAsia="Times New Roman" w:hAnsi="Times New Roman"/>
          <w:sz w:val="18"/>
          <w:szCs w:val="18"/>
          <w:color w:val="auto"/>
        </w:rPr>
        <w:t>The Revolving Credit Facility includes customary events of default, as well as customary covenants, including restrictions on certain distributions and financial covenants.</w:t>
      </w:r>
    </w:p>
    <w:p>
      <w:pPr>
        <w:spacing w:after="0" w:line="162" w:lineRule="exact"/>
        <w:rPr>
          <w:sz w:val="20"/>
          <w:szCs w:val="20"/>
          <w:color w:val="auto"/>
        </w:rPr>
      </w:pPr>
    </w:p>
    <w:p>
      <w:pPr>
        <w:ind w:firstLine="255"/>
        <w:spacing w:after="0" w:line="282" w:lineRule="auto"/>
        <w:rPr>
          <w:sz w:val="20"/>
          <w:szCs w:val="20"/>
          <w:color w:val="auto"/>
        </w:rPr>
      </w:pPr>
      <w:r>
        <w:rPr>
          <w:rFonts w:ascii="Times New Roman" w:cs="Times New Roman" w:eastAsia="Times New Roman" w:hAnsi="Times New Roman"/>
          <w:sz w:val="18"/>
          <w:szCs w:val="18"/>
          <w:color w:val="auto"/>
        </w:rPr>
        <w:t>As of September 30, 2026 and December 31, 2025, we were in compliance with the terms of our debt arrangements. We intend to continue to utilize our Credit Facilities to fund investments and for other general corporate purposes.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Portfolio Company Commitments</w:t>
      </w:r>
    </w:p>
    <w:p>
      <w:pPr>
        <w:spacing w:after="0" w:line="121" w:lineRule="exact"/>
        <w:rPr>
          <w:sz w:val="20"/>
          <w:szCs w:val="20"/>
          <w:color w:val="auto"/>
        </w:rPr>
      </w:pPr>
    </w:p>
    <w:p>
      <w:pPr>
        <w:ind w:right="140" w:firstLine="255"/>
        <w:spacing w:after="0" w:line="256" w:lineRule="auto"/>
        <w:rPr>
          <w:sz w:val="20"/>
          <w:szCs w:val="20"/>
          <w:color w:val="auto"/>
        </w:rPr>
      </w:pPr>
      <w:r>
        <w:rPr>
          <w:rFonts w:ascii="Times New Roman" w:cs="Times New Roman" w:eastAsia="Times New Roman" w:hAnsi="Times New Roman"/>
          <w:sz w:val="18"/>
          <w:szCs w:val="18"/>
          <w:color w:val="auto"/>
        </w:rPr>
        <w:t>From time to time, we may enter into commitments to fund investments. We incorporate these commitments into our assessment of our liquidity position. Our senior secured revolving loan commitments are generally available on a borrower’s demand and may remain outstanding until the maturity date of the applicable loan. Our senior secured delayed draw term loan commitments are generally available on a borrower’s demand and, once drawn, generally have the same remaining term as the associated loan agreement. Undrawn senior secured delayed draw term loan commitments generally have a shorter availability period than the term of the associated loan agreement. As of September 30, 2026 and December 31, 2025, we had the following commitments to fund investments in current portfolio companies: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173"/>
        </w:trPr>
        <w:tc>
          <w:tcPr>
            <w:tcW w:w="53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 in millions)</w:t>
            </w:r>
          </w:p>
        </w:tc>
        <w:tc>
          <w:tcPr>
            <w:tcW w:w="2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60" w:type="dxa"/>
            <w:vAlign w:val="bottom"/>
            <w:gridSpan w:val="2"/>
          </w:tcPr>
          <w:p>
            <w:pPr>
              <w:spacing w:after="0"/>
              <w:rPr>
                <w:sz w:val="15"/>
                <w:szCs w:val="15"/>
                <w:color w:val="auto"/>
              </w:rPr>
            </w:pPr>
          </w:p>
        </w:tc>
      </w:tr>
      <w:tr>
        <w:trPr>
          <w:trHeight w:val="210"/>
        </w:trPr>
        <w:tc>
          <w:tcPr>
            <w:tcW w:w="80" w:type="dxa"/>
            <w:vAlign w:val="bottom"/>
          </w:tcPr>
          <w:p>
            <w:pPr>
              <w:spacing w:after="0"/>
              <w:rPr>
                <w:sz w:val="18"/>
                <w:szCs w:val="18"/>
                <w:color w:val="auto"/>
              </w:rPr>
            </w:pPr>
          </w:p>
        </w:tc>
        <w:tc>
          <w:tcPr>
            <w:tcW w:w="530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 xml:space="preserve">Alaska Bidco Oy - Delayed Draw &amp; Revolver </w:t>
            </w:r>
            <w:r>
              <w:rPr>
                <w:rFonts w:ascii="Times New Roman" w:cs="Times New Roman" w:eastAsia="Times New Roman" w:hAnsi="Times New Roman"/>
                <w:sz w:val="24"/>
                <w:szCs w:val="24"/>
                <w:color w:val="auto"/>
                <w:vertAlign w:val="superscript"/>
              </w:rPr>
              <w:t>(3)</w:t>
            </w:r>
          </w:p>
        </w:tc>
        <w:tc>
          <w:tcPr>
            <w:tcW w:w="2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Aledade, Inc. - Revolver</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Arcwood Environmental, Inc. - Revolver</w:t>
            </w:r>
          </w:p>
        </w:tc>
        <w:tc>
          <w:tcPr>
            <w:tcW w:w="2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Arrowhead Pharmaceuticals, Inc. - Delayed Draw</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Artisan Bidco, Inc. - Revolver</w:t>
            </w:r>
          </w:p>
        </w:tc>
        <w:tc>
          <w:tcPr>
            <w:tcW w:w="2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AVSC Holding Corp. - Revolver</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Azurite Intermediate Holdings, Inc. - Revolver &amp; Equity</w:t>
            </w:r>
          </w:p>
        </w:tc>
        <w:tc>
          <w:tcPr>
            <w:tcW w:w="2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BCTO Ace Purchaser, Inc. - Revolver</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Beam Therapeutics, Inc. - Delayed Draw</w:t>
            </w:r>
          </w:p>
        </w:tc>
        <w:tc>
          <w:tcPr>
            <w:tcW w:w="2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Cascade Parent Limited - Revolver</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Cirrus (Bidco) Ltd - Delayed Draw</w:t>
            </w:r>
          </w:p>
        </w:tc>
        <w:tc>
          <w:tcPr>
            <w:tcW w:w="2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Cordance Operations, LLC - Delayed Draw</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Coupa Holdings, LLC - Delayed Draw &amp; Revolver</w:t>
            </w:r>
          </w:p>
        </w:tc>
        <w:tc>
          <w:tcPr>
            <w:tcW w:w="2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Crewline Buyer, Inc. - Revolver &amp; Equity</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Crucible Buyer, Inc - Delayed Draw &amp; Revolver</w:t>
            </w:r>
          </w:p>
        </w:tc>
        <w:tc>
          <w:tcPr>
            <w:tcW w:w="2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EC Homecare Holdings Buyer, Inc. - Delayed Draw &amp; Revolver</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EDB Parent, LLC - Delayed Draw</w:t>
            </w:r>
          </w:p>
        </w:tc>
        <w:tc>
          <w:tcPr>
            <w:tcW w:w="2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Erling Lux Bidco SARL - Delayed Draw &amp; Revolver</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Eventus Buyer, LLC - Delayed Draw &amp; Revolver</w:t>
            </w:r>
          </w:p>
        </w:tc>
        <w:tc>
          <w:tcPr>
            <w:tcW w:w="2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Flight Intermediate HoldCo, Inc. - Delayed Draw</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Frontline Road Safety Operations, LLC - Delayed Draw</w:t>
            </w:r>
          </w:p>
        </w:tc>
        <w:tc>
          <w:tcPr>
            <w:tcW w:w="2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Galileo Parent, Inc. - Revolver</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Greenshoot Bidco B.V. - Revolver</w:t>
            </w:r>
          </w:p>
        </w:tc>
        <w:tc>
          <w:tcPr>
            <w:tcW w:w="2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Hippo XPA Bidco AB - Delayed Draw &amp; Revolver</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HireVue, Inc. - Delayed Draw</w:t>
            </w:r>
          </w:p>
        </w:tc>
        <w:tc>
          <w:tcPr>
            <w:tcW w:w="2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HMP Omnimedia, LLC - Delayed Draw &amp; Revolver</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Ingenovis Health Finance, LLC - Revolver</w:t>
            </w:r>
          </w:p>
        </w:tc>
        <w:tc>
          <w:tcPr>
            <w:tcW w:w="2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Kangaroo Bidco AS - Delayed Draw</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Kaseware Intermediate Holding Company - Delayed Draw &amp; Revolver</w:t>
            </w:r>
          </w:p>
        </w:tc>
        <w:tc>
          <w:tcPr>
            <w:tcW w:w="2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Kryptona BidCo US, LLC - Revolver</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LIHA Holdco B.V. - Delayed Draw &amp; Revolver</w:t>
            </w:r>
          </w:p>
        </w:tc>
        <w:tc>
          <w:tcPr>
            <w:tcW w:w="2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Lynx BidCo - Delayed Draw &amp; Revolver</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Mindbody, Inc. - Revolver</w:t>
            </w:r>
          </w:p>
        </w:tc>
        <w:tc>
          <w:tcPr>
            <w:tcW w:w="2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Omnigo Software, LLC - Delayed Draw &amp; Revolver</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Otodata Holdings, Inc. - Delayed Draw &amp; Revolver</w:t>
            </w:r>
          </w:p>
        </w:tc>
        <w:tc>
          <w:tcPr>
            <w:tcW w:w="2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PDI TA Holdings, Inc. - Revolver</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Rail Acquisitions LLC - Delayed Draw &amp; Revolver</w:t>
            </w:r>
          </w:p>
        </w:tc>
        <w:tc>
          <w:tcPr>
            <w:tcW w:w="2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RainFocus, LLC - Delayed Draw</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Rapid Data GmbH Unternehmensberatung - Delayed Draw &amp; Revolver</w:t>
            </w:r>
          </w:p>
        </w:tc>
        <w:tc>
          <w:tcPr>
            <w:tcW w:w="2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Raptor US Buyer II Corp. - Revolver</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Resistance Holdings, Inc. - Revolver</w:t>
            </w:r>
          </w:p>
        </w:tc>
        <w:tc>
          <w:tcPr>
            <w:tcW w:w="2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Sapphire Software Buyer, Inc. - Revolver</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Scorpio Bidco - Delayed Draw</w:t>
            </w:r>
          </w:p>
        </w:tc>
        <w:tc>
          <w:tcPr>
            <w:tcW w:w="2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Sediver S.p.A. - Delayed Draw</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Severin Acquisition, LLC - Delayed Draw &amp; Revolver</w:t>
            </w:r>
          </w:p>
        </w:tc>
        <w:tc>
          <w:tcPr>
            <w:tcW w:w="2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Shiftmove GmbH - Delayed Draw</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SMA Technologies Holdings, LLC - Revolver</w:t>
            </w:r>
          </w:p>
        </w:tc>
        <w:tc>
          <w:tcPr>
            <w:tcW w:w="2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Sport Alliance GmbH - Revolver</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Structured Credit Partners JV, LLC - Equity</w:t>
            </w:r>
          </w:p>
        </w:tc>
        <w:tc>
          <w:tcPr>
            <w:tcW w:w="2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Tango Management Consulting, LLC - Delayed Draw &amp; Revolver</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Truck-Lite Co., LLC - Delayed Draw &amp; Revolver</w:t>
            </w:r>
          </w:p>
        </w:tc>
        <w:tc>
          <w:tcPr>
            <w:tcW w:w="2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USA DeBusk, LLC - Delayed Draw &amp; Revolver</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Varinem German Bidco GmbH - Delayed Draw</w:t>
            </w:r>
          </w:p>
        </w:tc>
        <w:tc>
          <w:tcPr>
            <w:tcW w:w="2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Velocity Clinical Research, Inc. - Delayed Draw &amp; Revolver</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Women's Care Holdings, Inc. - Revolver</w:t>
            </w:r>
          </w:p>
        </w:tc>
        <w:tc>
          <w:tcPr>
            <w:tcW w:w="2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432"/>
        </w:trPr>
        <w:tc>
          <w:tcPr>
            <w:tcW w:w="8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2240" w:type="dxa"/>
            <w:vAlign w:val="bottom"/>
          </w:tcPr>
          <w:p>
            <w:pPr>
              <w:jc w:val="right"/>
              <w:ind w:right="1810"/>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763"/>
        </w:trPr>
        <w:tc>
          <w:tcPr>
            <w:tcW w:w="80" w:type="dxa"/>
            <w:vAlign w:val="bottom"/>
            <w:tcBorders>
              <w:bottom w:val="single" w:sz="8" w:color="9A9A9A"/>
            </w:tcBorders>
          </w:tcPr>
          <w:p>
            <w:pPr>
              <w:spacing w:after="0"/>
              <w:rPr>
                <w:sz w:val="24"/>
                <w:szCs w:val="24"/>
                <w:color w:val="auto"/>
              </w:rPr>
            </w:pPr>
          </w:p>
        </w:tc>
        <w:tc>
          <w:tcPr>
            <w:tcW w:w="530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6" w:right="339" w:bottom="1440" w:gutter="0" w:footer="0" w:header="0"/>
        </w:sectPr>
      </w:pPr>
    </w:p>
    <w:bookmarkStart w:id="69" w:name="page70"/>
    <w:bookmarkEnd w:id="69"/>
    <w:tbl>
      <w:tblPr>
        <w:tblLayout w:type="fixed"/>
        <w:tblInd w:w="60" w:type="dxa"/>
        <w:tblCellMar>
          <w:top w:w="0" w:type="dxa"/>
          <w:left w:w="0" w:type="dxa"/>
          <w:bottom w:w="0" w:type="dxa"/>
          <w:right w:w="0" w:type="dxa"/>
        </w:tblCellMar>
      </w:tblPr>
      <w:tr>
        <w:trPr>
          <w:trHeight w:val="234"/>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Wrangler TopCo, LLC - Delayed Draw &amp; Revolver</w:t>
            </w:r>
          </w:p>
        </w:tc>
        <w:tc>
          <w:tcPr>
            <w:tcW w:w="190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2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5640" w:type="dxa"/>
            <w:vAlign w:val="bottom"/>
            <w:shd w:val="clear" w:color="auto" w:fill="CFF0FC"/>
          </w:tcPr>
          <w:p>
            <w:pPr>
              <w:ind w:left="120"/>
              <w:spacing w:after="0" w:line="210" w:lineRule="exact"/>
              <w:rPr>
                <w:sz w:val="20"/>
                <w:szCs w:val="20"/>
                <w:color w:val="auto"/>
              </w:rPr>
            </w:pPr>
            <w:r>
              <w:rPr>
                <w:rFonts w:ascii="Times New Roman" w:cs="Times New Roman" w:eastAsia="Times New Roman" w:hAnsi="Times New Roman"/>
                <w:sz w:val="18"/>
                <w:szCs w:val="18"/>
                <w:b w:val="1"/>
                <w:bCs w:val="1"/>
                <w:color w:val="auto"/>
              </w:rPr>
              <w:t xml:space="preserve">Total Portfolio Company Commitments </w:t>
            </w:r>
            <w:r>
              <w:rPr>
                <w:rFonts w:ascii="Times New Roman" w:cs="Times New Roman" w:eastAsia="Times New Roman" w:hAnsi="Times New Roman"/>
                <w:sz w:val="24"/>
                <w:szCs w:val="24"/>
                <w:b w:val="1"/>
                <w:bCs w:val="1"/>
                <w:color w:val="auto"/>
                <w:vertAlign w:val="superscript"/>
              </w:rPr>
              <w:t>(1)(2)</w:t>
            </w:r>
          </w:p>
        </w:tc>
        <w:tc>
          <w:tcPr>
            <w:tcW w:w="244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1,148.1</w:t>
            </w:r>
          </w:p>
        </w:tc>
        <w:tc>
          <w:tcPr>
            <w:tcW w:w="900" w:type="dxa"/>
            <w:vAlign w:val="bottom"/>
            <w:gridSpan w:val="2"/>
            <w:shd w:val="clear" w:color="auto" w:fill="CFF0FC"/>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857.8</w:t>
            </w:r>
          </w:p>
        </w:tc>
        <w:tc>
          <w:tcPr>
            <w:tcW w:w="100" w:type="dxa"/>
            <w:vAlign w:val="bottom"/>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Borders>
              <w:top w:val="single" w:sz="8" w:color="CFF0FC"/>
            </w:tcBorders>
            <w:shd w:val="clear" w:color="auto" w:fill="CFF0FC"/>
          </w:tcPr>
          <w:p>
            <w:pPr>
              <w:spacing w:after="0" w:line="20" w:lineRule="exact"/>
              <w:rPr>
                <w:sz w:val="1"/>
                <w:szCs w:val="1"/>
                <w:color w:val="auto"/>
              </w:rPr>
            </w:pPr>
          </w:p>
        </w:tc>
        <w:tc>
          <w:tcPr>
            <w:tcW w:w="190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-24765</wp:posOffset>
            </wp:positionV>
            <wp:extent cx="68580"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-7620</wp:posOffset>
            </wp:positionV>
            <wp:extent cx="68580"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-24765</wp:posOffset>
            </wp:positionV>
            <wp:extent cx="68580"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-7620</wp:posOffset>
            </wp:positionV>
            <wp:extent cx="68580"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left="520" w:right="300" w:hanging="512"/>
        <w:spacing w:after="0" w:line="266" w:lineRule="auto"/>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full amount of our commitments to fund investments on such date. Commitments may be subject to limitations on borrowings set forth in the agreements between us and the applicable portfolio company. As a result, portfolio companies may not be eligible to borrow the full commitment amount on such date.</w:t>
      </w:r>
    </w:p>
    <w:p>
      <w:pPr>
        <w:ind w:left="520" w:right="700" w:hanging="512"/>
        <w:spacing w:after="0" w:line="266" w:lineRule="auto"/>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 of the fair value of the current investments in these portfolio companies includes an analysis of the fair value of any unfunded commitments.</w:t>
      </w:r>
    </w:p>
    <w:p>
      <w:pPr>
        <w:ind w:left="520" w:hanging="512"/>
        <w:spacing w:after="0"/>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round to less than $0.1 million.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 and Contingencies</w:t>
      </w:r>
    </w:p>
    <w:p>
      <w:pPr>
        <w:spacing w:after="0" w:line="229" w:lineRule="exact"/>
        <w:rPr>
          <w:sz w:val="20"/>
          <w:szCs w:val="20"/>
          <w:color w:val="auto"/>
        </w:rPr>
      </w:pPr>
    </w:p>
    <w:p>
      <w:pPr>
        <w:ind w:right="280" w:firstLine="255"/>
        <w:spacing w:after="0" w:line="282" w:lineRule="auto"/>
        <w:rPr>
          <w:sz w:val="20"/>
          <w:szCs w:val="20"/>
          <w:color w:val="auto"/>
        </w:rPr>
      </w:pPr>
      <w:r>
        <w:rPr>
          <w:rFonts w:ascii="Times New Roman" w:cs="Times New Roman" w:eastAsia="Times New Roman" w:hAnsi="Times New Roman"/>
          <w:sz w:val="18"/>
          <w:szCs w:val="18"/>
          <w:color w:val="auto"/>
        </w:rPr>
        <w:t>As of September 30, 2026 and December 31, 2025, we did not have any unfunded commitments to fund investments to new borrowers that were not current portfolio companies as of such date.</w:t>
      </w:r>
    </w:p>
    <w:p>
      <w:pPr>
        <w:spacing w:after="0" w:line="162" w:lineRule="exact"/>
        <w:rPr>
          <w:sz w:val="20"/>
          <w:szCs w:val="20"/>
          <w:color w:val="auto"/>
        </w:rPr>
      </w:pPr>
    </w:p>
    <w:p>
      <w:pPr>
        <w:ind w:right="160" w:firstLine="255"/>
        <w:spacing w:after="0" w:line="266" w:lineRule="auto"/>
        <w:rPr>
          <w:sz w:val="20"/>
          <w:szCs w:val="20"/>
          <w:color w:val="auto"/>
        </w:rPr>
      </w:pPr>
      <w:r>
        <w:rPr>
          <w:rFonts w:ascii="Times New Roman" w:cs="Times New Roman" w:eastAsia="Times New Roman" w:hAnsi="Times New Roman"/>
          <w:sz w:val="18"/>
          <w:szCs w:val="18"/>
          <w:color w:val="auto"/>
        </w:rPr>
        <w:t>From time to time, we may become a party to certain legal proceedings incidental to the normal course of our business. As of September 30, 2026 and December 31, 2025, management is not aware of any material pending or threatened litigation that would require accounting recognition or financial statement disclosure.</w:t>
      </w:r>
    </w:p>
    <w:p>
      <w:pPr>
        <w:spacing w:after="0" w:line="176" w:lineRule="exact"/>
        <w:rPr>
          <w:sz w:val="20"/>
          <w:szCs w:val="20"/>
          <w:color w:val="auto"/>
        </w:rPr>
      </w:pPr>
    </w:p>
    <w:p>
      <w:pPr>
        <w:ind w:right="20" w:firstLine="255"/>
        <w:spacing w:after="0" w:line="282" w:lineRule="auto"/>
        <w:rPr>
          <w:sz w:val="20"/>
          <w:szCs w:val="20"/>
          <w:color w:val="auto"/>
        </w:rPr>
      </w:pPr>
      <w:r>
        <w:rPr>
          <w:rFonts w:ascii="Times New Roman" w:cs="Times New Roman" w:eastAsia="Times New Roman" w:hAnsi="Times New Roman"/>
          <w:sz w:val="18"/>
          <w:szCs w:val="18"/>
          <w:color w:val="auto"/>
        </w:rPr>
        <w:t>We have certain contracts under which we have material future commitments. Under the Investment Advisory Agreement, our Adviser provides us with investment advisory and management services. For these services, we pay the Management Fee and the Incentive Fee.</w:t>
      </w:r>
    </w:p>
    <w:p>
      <w:pPr>
        <w:spacing w:after="0" w:line="162" w:lineRule="exact"/>
        <w:rPr>
          <w:sz w:val="20"/>
          <w:szCs w:val="20"/>
          <w:color w:val="auto"/>
        </w:rPr>
      </w:pPr>
    </w:p>
    <w:p>
      <w:pPr>
        <w:ind w:right="40" w:firstLine="255"/>
        <w:spacing w:after="0" w:line="253" w:lineRule="auto"/>
        <w:rPr>
          <w:sz w:val="20"/>
          <w:szCs w:val="20"/>
          <w:color w:val="auto"/>
        </w:rPr>
      </w:pPr>
      <w:r>
        <w:rPr>
          <w:rFonts w:ascii="Times New Roman" w:cs="Times New Roman" w:eastAsia="Times New Roman" w:hAnsi="Times New Roman"/>
          <w:sz w:val="18"/>
          <w:szCs w:val="18"/>
          <w:color w:val="auto"/>
        </w:rPr>
        <w:t>Under the Administration Agreement, our Adviser furnishes us with office facilities and equipment, provides us clerical, bookkeeping and record keeping services at such facilities and provides us with other administrative services necessary to conduct our day-to-day operations. We reimburse our Adviser or its affiliates for the allocable portion (subject to the review and approval of our Board) of expenses incurred by it in performing its obligations under the Administration Agreement, and the fees and expenses associated with performing compliance functions. Such reimbursable amounts include the allocable portion of the compensation of our Chief Compliance Officer, Chief Financial Officer and other professionals who provide operational and administrative services to us pursuant to the Administration Agreement. We reimburse the Adviser (or its affiliates) for the allocable portion of the compensation paid by the Adviser (or its affiliates) to such individuals based on a percentage of time those individuals devote, on an estimated basis, to our business and affairs. We may also reimburse the Adviser or its affiliates for the allocable portion of overhead expenses (including rent, office equipment and utilities) attributable thereto. Our Adviser also offers on our behalf significant managerial assistance to those portfolio companies to which we are required to offer to provide such assistance.</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 summary of our contractual payment obligations as of September 30, 2026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 xml:space="preserve">($ in millions) </w:t>
            </w:r>
            <w:r>
              <w:rPr>
                <w:rFonts w:ascii="Times New Roman" w:cs="Times New Roman" w:eastAsia="Times New Roman" w:hAnsi="Times New Roman"/>
                <w:sz w:val="19"/>
                <w:szCs w:val="19"/>
                <w:color w:val="auto"/>
                <w:vertAlign w:val="superscript"/>
              </w:rPr>
              <w:t>(1)</w:t>
            </w: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right"/>
              <w:ind w:right="115"/>
              <w:spacing w:after="0" w:line="131"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5160" w:type="dxa"/>
            <w:vAlign w:val="bottom"/>
            <w:gridSpan w:val="2"/>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After 5 years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Subscription Facility</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 Notes</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2030 Notes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July 2030 Notes</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2031 Notes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1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b w:val="1"/>
                <w:bCs w:val="1"/>
                <w:color w:val="auto"/>
              </w:rPr>
              <w:t>Total Contractual Obligations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4,794.5</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3,273.6</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3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(1)</w:t>
            </w:r>
          </w:p>
        </w:tc>
        <w:tc>
          <w:tcPr>
            <w:tcW w:w="4800" w:type="dxa"/>
            <w:vAlign w:val="bottom"/>
            <w:tcBorders>
              <w:top w:val="single" w:sz="8" w:color="CFF0FC"/>
            </w:tcBorders>
          </w:tcPr>
          <w:p>
            <w:pPr>
              <w:ind w:left="160"/>
              <w:spacing w:after="0"/>
              <w:rPr>
                <w:sz w:val="20"/>
                <w:szCs w:val="20"/>
                <w:color w:val="auto"/>
              </w:rPr>
            </w:pPr>
            <w:r>
              <w:rPr>
                <w:rFonts w:ascii="Times New Roman" w:cs="Times New Roman" w:eastAsia="Times New Roman" w:hAnsi="Times New Roman"/>
                <w:sz w:val="18"/>
                <w:szCs w:val="18"/>
                <w:color w:val="auto"/>
              </w:rPr>
              <w:t>Table may not sum due to rounding.</w:t>
            </w:r>
          </w:p>
        </w:tc>
        <w:tc>
          <w:tcPr>
            <w:tcW w:w="2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-367665</wp:posOffset>
            </wp:positionV>
            <wp:extent cx="77470"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-350520</wp:posOffset>
            </wp:positionV>
            <wp:extent cx="77470"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-367665</wp:posOffset>
            </wp:positionV>
            <wp:extent cx="68580"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-350520</wp:posOffset>
            </wp:positionV>
            <wp:extent cx="68580"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-367665</wp:posOffset>
            </wp:positionV>
            <wp:extent cx="68580"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-350520</wp:posOffset>
            </wp:positionV>
            <wp:extent cx="68580"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-367665</wp:posOffset>
            </wp:positionV>
            <wp:extent cx="68580"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-350520</wp:posOffset>
            </wp:positionV>
            <wp:extent cx="68580"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wp:posOffset>
            </wp:positionV>
            <wp:extent cx="68580"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121" w:lineRule="exact"/>
        <w:rPr>
          <w:sz w:val="20"/>
          <w:szCs w:val="20"/>
          <w:color w:val="auto"/>
        </w:rPr>
      </w:pPr>
    </w:p>
    <w:p>
      <w:pPr>
        <w:ind w:right="80" w:firstLine="255"/>
        <w:spacing w:after="0" w:line="282" w:lineRule="auto"/>
        <w:rPr>
          <w:sz w:val="20"/>
          <w:szCs w:val="20"/>
          <w:color w:val="auto"/>
        </w:rPr>
      </w:pPr>
      <w:r>
        <w:rPr>
          <w:rFonts w:ascii="Times New Roman" w:cs="Times New Roman" w:eastAsia="Times New Roman" w:hAnsi="Times New Roman"/>
          <w:sz w:val="18"/>
          <w:szCs w:val="18"/>
          <w:color w:val="auto"/>
        </w:rPr>
        <w:t>We have elected and qualified to be treated for U.S. federal income tax purposes as a RIC under subchapter M of the Code. To maintain RIC status, we must distribute (or be treated as distributing) in each taxable year dividends for tax purposes equal to at least 90 percent of the sum of our: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70" w:name="page71"/>
    <w:bookmarkEnd w:id="70"/>
    <w:p>
      <w:pPr>
        <w:ind w:left="520" w:right="200" w:hanging="257"/>
        <w:spacing w:after="0" w:line="282" w:lineRule="auto"/>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company taxable income (which is generally our ordinary income plus the excess of realized net short-term capital gains over realized net long-term capital losses), determined without regard to the deduction for dividends paid, for such taxable year; and</w:t>
      </w:r>
    </w:p>
    <w:p>
      <w:pPr>
        <w:spacing w:after="0" w:line="53" w:lineRule="exact"/>
        <w:rPr>
          <w:rFonts w:ascii="Times New Roman" w:cs="Times New Roman" w:eastAsia="Times New Roman" w:hAnsi="Times New Roman"/>
          <w:sz w:val="18"/>
          <w:szCs w:val="18"/>
          <w:color w:val="auto"/>
        </w:rPr>
      </w:pPr>
    </w:p>
    <w:p>
      <w:pPr>
        <w:ind w:left="520" w:right="260" w:hanging="257"/>
        <w:spacing w:after="0" w:line="282" w:lineRule="auto"/>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tax-exempt interest income (which is the excess of our gross tax-exempt interest income over certain disallowed deductions) for such taxable year.</w:t>
      </w:r>
    </w:p>
    <w:p>
      <w:pPr>
        <w:spacing w:after="0" w:line="162" w:lineRule="exact"/>
        <w:rPr>
          <w:sz w:val="20"/>
          <w:szCs w:val="20"/>
          <w:color w:val="auto"/>
        </w:rPr>
      </w:pPr>
    </w:p>
    <w:p>
      <w:pPr>
        <w:ind w:right="40" w:firstLine="255"/>
        <w:spacing w:after="0" w:line="282" w:lineRule="auto"/>
        <w:rPr>
          <w:sz w:val="20"/>
          <w:szCs w:val="20"/>
          <w:color w:val="auto"/>
        </w:rPr>
      </w:pPr>
      <w:r>
        <w:rPr>
          <w:rFonts w:ascii="Times New Roman" w:cs="Times New Roman" w:eastAsia="Times New Roman" w:hAnsi="Times New Roman"/>
          <w:sz w:val="18"/>
          <w:szCs w:val="18"/>
          <w:color w:val="auto"/>
        </w:rPr>
        <w:t>As a RIC, we (but not our shareholders) generally will not be subject to U.S. federal income tax on investment company taxable income and net capital gains that we distribute to our shareholders.</w:t>
      </w:r>
    </w:p>
    <w:p>
      <w:pPr>
        <w:spacing w:after="0" w:line="162" w:lineRule="exact"/>
        <w:rPr>
          <w:sz w:val="20"/>
          <w:szCs w:val="20"/>
          <w:color w:val="auto"/>
        </w:rPr>
      </w:pPr>
    </w:p>
    <w:p>
      <w:pPr>
        <w:jc w:val="both"/>
        <w:ind w:right="220" w:firstLine="255"/>
        <w:spacing w:after="0" w:line="266" w:lineRule="auto"/>
        <w:rPr>
          <w:sz w:val="20"/>
          <w:szCs w:val="20"/>
          <w:color w:val="auto"/>
        </w:rPr>
      </w:pPr>
      <w:r>
        <w:rPr>
          <w:rFonts w:ascii="Times New Roman" w:cs="Times New Roman" w:eastAsia="Times New Roman" w:hAnsi="Times New Roman"/>
          <w:sz w:val="18"/>
          <w:szCs w:val="18"/>
          <w:color w:val="auto"/>
        </w:rPr>
        <w:t>We intend to distribute annually all or substantially all of such income. To the extent that we retain our net capital gains or any investment company taxable income, we generally will be subject to corporate-level U.S. federal income tax. We may choose to retain our net capital gains or any investment company taxable income, and pay the U.S. federal excise tax described below.</w:t>
      </w:r>
    </w:p>
    <w:p>
      <w:pPr>
        <w:spacing w:after="0" w:line="176" w:lineRule="exact"/>
        <w:rPr>
          <w:sz w:val="20"/>
          <w:szCs w:val="20"/>
          <w:color w:val="auto"/>
        </w:rPr>
      </w:pPr>
    </w:p>
    <w:p>
      <w:pPr>
        <w:ind w:right="100" w:firstLine="255"/>
        <w:spacing w:after="0" w:line="266" w:lineRule="auto"/>
        <w:rPr>
          <w:sz w:val="20"/>
          <w:szCs w:val="20"/>
          <w:color w:val="auto"/>
        </w:rPr>
      </w:pPr>
      <w:r>
        <w:rPr>
          <w:rFonts w:ascii="Times New Roman" w:cs="Times New Roman" w:eastAsia="Times New Roman" w:hAnsi="Times New Roman"/>
          <w:sz w:val="18"/>
          <w:szCs w:val="18"/>
          <w:color w:val="auto"/>
        </w:rPr>
        <w:t>Amounts not distributed on a timely basis in accordance with a calendar year distribution requirement are subject to a nondeductible 4% U.S. federal excise tax payable by us. To avoid this tax, we must distribute (or be treated as distributing) during each calendar year an amount at least equal to the sum of:</w:t>
      </w:r>
    </w:p>
    <w:p>
      <w:pPr>
        <w:spacing w:after="0" w:line="68" w:lineRule="exact"/>
        <w:rPr>
          <w:sz w:val="20"/>
          <w:szCs w:val="20"/>
          <w:color w:val="auto"/>
        </w:rPr>
      </w:pPr>
    </w:p>
    <w:p>
      <w:pPr>
        <w:ind w:left="520" w:hanging="257"/>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 of our net ordinary income excluding certain ordinary gains or losses for that calendar year;</w:t>
      </w:r>
    </w:p>
    <w:p>
      <w:pPr>
        <w:spacing w:after="0" w:line="117" w:lineRule="exact"/>
        <w:rPr>
          <w:rFonts w:ascii="Times New Roman" w:cs="Times New Roman" w:eastAsia="Times New Roman" w:hAnsi="Times New Roman"/>
          <w:sz w:val="18"/>
          <w:szCs w:val="18"/>
          <w:color w:val="auto"/>
        </w:rPr>
      </w:pPr>
    </w:p>
    <w:p>
      <w:pPr>
        <w:ind w:left="520" w:right="120" w:hanging="257"/>
        <w:spacing w:after="0" w:line="282" w:lineRule="auto"/>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98.2% of our capital gain net income, adjusted for certain ordinary gains and losses, recognized for the twelve-month period ending on October 31 of that calendar year; and</w:t>
      </w:r>
    </w:p>
    <w:p>
      <w:pPr>
        <w:spacing w:after="0" w:line="53"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any income or gains recognized, but not distributed, in preceding years.</w:t>
      </w:r>
    </w:p>
    <w:p>
      <w:pPr>
        <w:spacing w:after="0" w:line="225" w:lineRule="exact"/>
        <w:rPr>
          <w:sz w:val="20"/>
          <w:szCs w:val="20"/>
          <w:color w:val="auto"/>
        </w:rPr>
      </w:pPr>
    </w:p>
    <w:p>
      <w:pPr>
        <w:ind w:right="20" w:firstLine="255"/>
        <w:spacing w:after="0" w:line="266" w:lineRule="auto"/>
        <w:rPr>
          <w:sz w:val="20"/>
          <w:szCs w:val="20"/>
          <w:color w:val="auto"/>
        </w:rPr>
      </w:pPr>
      <w:r>
        <w:rPr>
          <w:rFonts w:ascii="Times New Roman" w:cs="Times New Roman" w:eastAsia="Times New Roman" w:hAnsi="Times New Roman"/>
          <w:sz w:val="18"/>
          <w:szCs w:val="18"/>
          <w:color w:val="auto"/>
        </w:rPr>
        <w:t>While we intend to distribute any income and capital gains in the manner necessary to minimize imposition of the 4% U.S. federal excise tax, sufficient amounts of our taxable income and capital gains may not be distributed to avoid entirely the imposition of this tax. In that event, we will be liable for this tax only on the amount by which we do not meet the foregoing distribution requirement.</w:t>
      </w:r>
    </w:p>
    <w:p>
      <w:pPr>
        <w:spacing w:after="0" w:line="176" w:lineRule="exact"/>
        <w:rPr>
          <w:sz w:val="20"/>
          <w:szCs w:val="20"/>
          <w:color w:val="auto"/>
        </w:rPr>
      </w:pPr>
    </w:p>
    <w:p>
      <w:pPr>
        <w:jc w:val="both"/>
        <w:ind w:right="200" w:firstLine="255"/>
        <w:spacing w:after="0" w:line="266" w:lineRule="auto"/>
        <w:rPr>
          <w:sz w:val="20"/>
          <w:szCs w:val="20"/>
          <w:color w:val="auto"/>
        </w:rPr>
      </w:pPr>
      <w:r>
        <w:rPr>
          <w:rFonts w:ascii="Times New Roman" w:cs="Times New Roman" w:eastAsia="Times New Roman" w:hAnsi="Times New Roman"/>
          <w:sz w:val="18"/>
          <w:szCs w:val="18"/>
          <w:color w:val="auto"/>
        </w:rPr>
        <w:t>We intend to pay quarterly dividends to our shareholders out of assets legally available for distribution. All dividends will be paid at the discretion of our Board and will depend on our earnings, financial condition, maintenance of RIC status, compliance with applicable BDC regulations and such other factors as our Board may deem relevant from time to time.</w:t>
      </w:r>
    </w:p>
    <w:p>
      <w:pPr>
        <w:spacing w:after="0" w:line="176"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8"/>
          <w:szCs w:val="18"/>
          <w:color w:val="auto"/>
        </w:rPr>
        <w:t>To the extent our current taxable earnings for a year fall below the total amount of our distributions for that year, a portion of those distributions may be deemed a return of capital to our shareholders for U.S. federal income tax purposes. Thus, the source of a distribution to our shareholders may be the original capital invested by the shareholder rather than our income or gains. Shareholders should read any written disclosure carefully and should not assume that the source of any distribution is our ordinary income or gains.</w:t>
      </w:r>
    </w:p>
    <w:p>
      <w:pPr>
        <w:spacing w:after="0" w:line="180"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8"/>
          <w:szCs w:val="18"/>
          <w:color w:val="auto"/>
        </w:rPr>
        <w:t>We have adopted an “opt out” dividend reinvestment plan for our common shareholders. As a result, if we declare a cash dividend or other distribution, each shareholder that has not “opted out” of our dividend reinvestment plan will have their dividends or distributions automatically reinvested in additional shares of our Common Shares rather than receiving cash dividends. Shareholders who receive distributions in the form of Common Shares will be subject to the same U.S. federal, state and local tax consequences as if they received cash distributions.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Related-Party Transactions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have entered into a number of business relationships with affiliated or related parties, including the following:</w:t>
      </w:r>
    </w:p>
    <w:p>
      <w:pPr>
        <w:spacing w:after="0" w:line="117" w:lineRule="exact"/>
        <w:rPr>
          <w:sz w:val="20"/>
          <w:szCs w:val="20"/>
          <w:color w:val="auto"/>
        </w:rPr>
      </w:pPr>
    </w:p>
    <w:p>
      <w:pPr>
        <w:ind w:left="520" w:hanging="257"/>
        <w:spacing w:after="0"/>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Advisory Agreement; and</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Administration Agreement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right="80" w:firstLine="255"/>
        <w:spacing w:after="0" w:line="261" w:lineRule="auto"/>
        <w:rPr>
          <w:sz w:val="20"/>
          <w:szCs w:val="20"/>
          <w:color w:val="auto"/>
        </w:rPr>
      </w:pPr>
      <w:r>
        <w:rPr>
          <w:rFonts w:ascii="Times New Roman" w:cs="Times New Roman" w:eastAsia="Times New Roman" w:hAnsi="Times New Roman"/>
          <w:sz w:val="18"/>
          <w:szCs w:val="18"/>
          <w:color w:val="auto"/>
        </w:rPr>
        <w:t>Our critical accounting policies and estimates, including those relating to the valuation of our investment portfolio, are described in our Annual Report on Form 10-K for the fiscal year ended December 31, 2025, filed with the SEC on February 13, 2026, and elsewhere in our filings with the SEC. The critical accounting policies and estimates should be read in connection with our risk factors discussed in Part I, “Item 1A. Risk Factors” in our Annual Report on Form 10-K for the fiscal year ended December 31, 2025.</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are subject to financial market risks, including valuation risk, interest rate risk and currency risk.</w:t>
      </w:r>
    </w:p>
    <w:p>
      <w:pPr>
        <w:spacing w:after="0" w:line="2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Valuation Risk</w:t>
      </w:r>
    </w:p>
    <w:p>
      <w:pPr>
        <w:spacing w:after="0" w:line="121" w:lineRule="exact"/>
        <w:rPr>
          <w:sz w:val="20"/>
          <w:szCs w:val="20"/>
          <w:color w:val="auto"/>
        </w:rPr>
      </w:pPr>
    </w:p>
    <w:p>
      <w:pPr>
        <w:ind w:right="60" w:firstLine="255"/>
        <w:spacing w:after="0" w:line="256" w:lineRule="auto"/>
        <w:rPr>
          <w:sz w:val="20"/>
          <w:szCs w:val="20"/>
          <w:color w:val="auto"/>
        </w:rPr>
      </w:pPr>
      <w:r>
        <w:rPr>
          <w:rFonts w:ascii="Times New Roman" w:cs="Times New Roman" w:eastAsia="Times New Roman" w:hAnsi="Times New Roman"/>
          <w:sz w:val="18"/>
          <w:szCs w:val="18"/>
          <w:color w:val="auto"/>
        </w:rPr>
        <w:t>We have invested, and plan to continue to invest, primarily in illiquid debt and equity securities of private companies. Most of our investments will not have a readily available market price, and we value these investments at fair value as determined in good faith by our Board in accordance with our valuation policy. There is no single standard for determining fair value. As a result, determining fair value requires that judgment be applied to the specific facts and circumstances of each portfolio investment while employing a consistently applied valuation process for the types of investments we make. If we were required to liquidate a portfolio investment in a forced or liquidation sale, we may realize amounts that are different from the amounts presented and such differences could be material.</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firstLine="255"/>
        <w:spacing w:after="0" w:line="266" w:lineRule="auto"/>
        <w:rPr>
          <w:sz w:val="20"/>
          <w:szCs w:val="20"/>
          <w:color w:val="auto"/>
        </w:rPr>
      </w:pPr>
      <w:r>
        <w:rPr>
          <w:rFonts w:ascii="Times New Roman" w:cs="Times New Roman" w:eastAsia="Times New Roman" w:hAnsi="Times New Roman"/>
          <w:sz w:val="18"/>
          <w:szCs w:val="18"/>
          <w:color w:val="auto"/>
        </w:rPr>
        <w:t>Interest rate sensitivity refers to the change in earnings that may result from changes in the level of interest rates. We also fund portions of our investments with borrowings. Our net investment income is affected by the difference between the rate at which we invest and the rate at which we borrow. Accordingly, we cannot assure you that a significant change in market interest rates will not have a material adverse effect on our net investment income.</w:t>
      </w:r>
    </w:p>
    <w:p>
      <w:pPr>
        <w:spacing w:after="0" w:line="176" w:lineRule="exact"/>
        <w:rPr>
          <w:sz w:val="20"/>
          <w:szCs w:val="20"/>
          <w:color w:val="auto"/>
        </w:rPr>
      </w:pPr>
    </w:p>
    <w:p>
      <w:pPr>
        <w:ind w:right="480" w:firstLine="255"/>
        <w:spacing w:after="0" w:line="266" w:lineRule="auto"/>
        <w:rPr>
          <w:sz w:val="20"/>
          <w:szCs w:val="20"/>
          <w:color w:val="auto"/>
        </w:rPr>
      </w:pPr>
      <w:r>
        <w:rPr>
          <w:rFonts w:ascii="Times New Roman" w:cs="Times New Roman" w:eastAsia="Times New Roman" w:hAnsi="Times New Roman"/>
          <w:sz w:val="18"/>
          <w:szCs w:val="18"/>
          <w:color w:val="auto"/>
        </w:rPr>
        <w:t>We regularly measure our exposure to interest rate risk. We assess interest rate risk and manage our interest rate exposure on an ongoing basis by comparing our interest rate-sensitive assets to our interest rate-sensitive liabilities. Based on that review, we determine whether or not any hedging transactions are necessary to mitigate exposure to changes in interest rates.</w:t>
      </w:r>
    </w:p>
    <w:p>
      <w:pPr>
        <w:spacing w:after="0" w:line="392" w:lineRule="exact"/>
        <w:rPr>
          <w:sz w:val="20"/>
          <w:szCs w:val="20"/>
          <w:color w:val="auto"/>
        </w:rPr>
      </w:pPr>
    </w:p>
    <w:p>
      <w:pPr>
        <w:ind w:right="80" w:firstLine="255"/>
        <w:spacing w:after="0" w:line="261" w:lineRule="auto"/>
        <w:rPr>
          <w:sz w:val="20"/>
          <w:szCs w:val="20"/>
          <w:color w:val="auto"/>
        </w:rPr>
      </w:pPr>
      <w:r>
        <w:rPr>
          <w:rFonts w:ascii="Times New Roman" w:cs="Times New Roman" w:eastAsia="Times New Roman" w:hAnsi="Times New Roman"/>
          <w:sz w:val="18"/>
          <w:szCs w:val="18"/>
          <w:color w:val="auto"/>
        </w:rPr>
        <w:t>As of September 30, 2026, 98.0% of our debt investments based on fair value in our portfolio bore interest at floating rates, with 100% of these subject to interest rate floors. Our credit facilities also bear interest at floating rates, and in connection with our 2029 Notes, January 2030 Notes, July 2030 Notes and 2031 Notes, which bear interest at fixed rates, we entered into fixed-to-floating interest rate swaps in order to align the interest rates of our liabilities with our investment portfolio.</w:t>
      </w:r>
    </w:p>
    <w:p>
      <w:pPr>
        <w:spacing w:after="0" w:line="180" w:lineRule="exact"/>
        <w:rPr>
          <w:sz w:val="20"/>
          <w:szCs w:val="20"/>
          <w:color w:val="auto"/>
        </w:rPr>
      </w:pPr>
    </w:p>
    <w:p>
      <w:pPr>
        <w:ind w:right="140" w:firstLine="255"/>
        <w:spacing w:after="0" w:line="266" w:lineRule="auto"/>
        <w:rPr>
          <w:sz w:val="20"/>
          <w:szCs w:val="20"/>
          <w:color w:val="auto"/>
        </w:rPr>
      </w:pPr>
      <w:r>
        <w:rPr>
          <w:rFonts w:ascii="Times New Roman" w:cs="Times New Roman" w:eastAsia="Times New Roman" w:hAnsi="Times New Roman"/>
          <w:sz w:val="18"/>
          <w:szCs w:val="18"/>
          <w:color w:val="auto"/>
        </w:rPr>
        <w:t>Assuming that our Consolidated Balance Sheet as of September 30, 2026 were to remain constant and that we took no actions to alter our existing interest rate sensitivity, the following table shows the annualized impact of hypothetical base rate changes in interest rates (considering interest rate floors for floating rate instruments):</w:t>
      </w:r>
    </w:p>
    <w:p>
      <w:pPr>
        <w:spacing w:after="0" w:line="171" w:lineRule="exact"/>
        <w:rPr>
          <w:sz w:val="20"/>
          <w:szCs w:val="20"/>
          <w:color w:val="auto"/>
        </w:rPr>
      </w:pPr>
    </w:p>
    <w:tbl>
      <w:tblPr>
        <w:tblLayout w:type="fixed"/>
        <w:tblInd w:w="1520" w:type="dxa"/>
        <w:tblCellMar>
          <w:top w:w="0" w:type="dxa"/>
          <w:left w:w="0" w:type="dxa"/>
          <w:bottom w:w="0" w:type="dxa"/>
          <w:right w:w="0" w:type="dxa"/>
        </w:tblCellMar>
      </w:tblPr>
      <w:tr>
        <w:trPr>
          <w:trHeight w:val="188"/>
        </w:trPr>
        <w:tc>
          <w:tcPr>
            <w:tcW w:w="3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Net Interest</w:t>
            </w:r>
          </w:p>
        </w:tc>
        <w:tc>
          <w:tcPr>
            <w:tcW w:w="0" w:type="dxa"/>
            <w:vAlign w:val="bottom"/>
          </w:tcPr>
          <w:p>
            <w:pPr>
              <w:spacing w:after="0"/>
              <w:rPr>
                <w:sz w:val="1"/>
                <w:szCs w:val="1"/>
                <w:color w:val="auto"/>
              </w:rPr>
            </w:pPr>
          </w:p>
        </w:tc>
      </w:tr>
      <w:tr>
        <w:trPr>
          <w:trHeight w:val="107"/>
        </w:trPr>
        <w:tc>
          <w:tcPr>
            <w:tcW w:w="3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Basis Point Change</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Interest Income</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Interest Expense</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37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Up 300 basis points</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264.7</w:t>
            </w:r>
          </w:p>
        </w:tc>
        <w:tc>
          <w:tcPr>
            <w:tcW w:w="10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1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Up 200 basis points</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10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2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Up 100 basis points</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0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Down 25 basis points</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(22.1)</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(12.0)</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Down 50 basis points</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(44.1)</w:t>
            </w: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(24.0)</w:t>
            </w: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Down 75 basis points</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(66.2)</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(36.0)</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Down 100 basis points</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(88.2)</w:t>
            </w: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(47.9)</w:t>
            </w: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(40.3)</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0" w:firstLine="255"/>
        <w:spacing w:after="0" w:line="266" w:lineRule="auto"/>
        <w:rPr>
          <w:sz w:val="20"/>
          <w:szCs w:val="20"/>
          <w:color w:val="auto"/>
        </w:rPr>
      </w:pPr>
      <w:r>
        <w:rPr>
          <w:rFonts w:ascii="Times New Roman" w:cs="Times New Roman" w:eastAsia="Times New Roman" w:hAnsi="Times New Roman"/>
          <w:sz w:val="18"/>
          <w:szCs w:val="18"/>
          <w:color w:val="auto"/>
        </w:rPr>
        <w:t>Although we believe that this analysis is indicative of our existing sensitivity to interest rate changes, it does not adjust for changes in the credit market, credit quality, the size and composition of the assets in our portfolio and other business developments that could affect our net income. Accordingly, we cannot assure you that actual results would not differ materially from the analysis above.</w:t>
      </w:r>
    </w:p>
    <w:p>
      <w:pPr>
        <w:spacing w:after="0" w:line="176" w:lineRule="exact"/>
        <w:rPr>
          <w:sz w:val="20"/>
          <w:szCs w:val="20"/>
          <w:color w:val="auto"/>
        </w:rPr>
      </w:pPr>
    </w:p>
    <w:p>
      <w:pPr>
        <w:ind w:right="220" w:firstLine="255"/>
        <w:spacing w:after="0" w:line="261" w:lineRule="auto"/>
        <w:rPr>
          <w:sz w:val="20"/>
          <w:szCs w:val="20"/>
          <w:color w:val="auto"/>
        </w:rPr>
      </w:pPr>
      <w:r>
        <w:rPr>
          <w:rFonts w:ascii="Times New Roman" w:cs="Times New Roman" w:eastAsia="Times New Roman" w:hAnsi="Times New Roman"/>
          <w:sz w:val="18"/>
          <w:szCs w:val="18"/>
          <w:color w:val="auto"/>
        </w:rPr>
        <w:t>We may in the future hedge against interest rate fluctuations by using hedging instruments such as additional interest rate swaps, futures, options and forward contracts. While hedging activities may mitigate our exposure to adverse fluctuations in interest rates, certain hedging transactions that we may enter into in the future, such as interest rate swap agreements, may also limit our ability to participate in the benefits of changes in interest rates with respect to our portfolio investments.</w:t>
      </w:r>
    </w:p>
    <w:p>
      <w:pPr>
        <w:spacing w:after="0" w:line="2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Currency Risk</w:t>
      </w:r>
    </w:p>
    <w:p>
      <w:pPr>
        <w:spacing w:after="0" w:line="121" w:lineRule="exact"/>
        <w:rPr>
          <w:sz w:val="20"/>
          <w:szCs w:val="20"/>
          <w:color w:val="auto"/>
        </w:rPr>
      </w:pPr>
    </w:p>
    <w:p>
      <w:pPr>
        <w:ind w:right="340" w:firstLine="255"/>
        <w:spacing w:after="0" w:line="282" w:lineRule="auto"/>
        <w:rPr>
          <w:sz w:val="20"/>
          <w:szCs w:val="20"/>
          <w:color w:val="auto"/>
        </w:rPr>
      </w:pPr>
      <w:r>
        <w:rPr>
          <w:rFonts w:ascii="Times New Roman" w:cs="Times New Roman" w:eastAsia="Times New Roman" w:hAnsi="Times New Roman"/>
          <w:sz w:val="18"/>
          <w:szCs w:val="18"/>
          <w:color w:val="auto"/>
        </w:rPr>
        <w:t>From time to time, we may make investments that are denominated in a foreign currency. These investments are translated into U.S. dollars at each balance sheet date, exposing us to movements in foreign exchange rates. We may employ hedging techniques to</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2" w:right="359" w:bottom="1440" w:gutter="0" w:footer="0" w:header="0"/>
        </w:sectPr>
      </w:pPr>
    </w:p>
    <w:bookmarkStart w:id="72" w:name="page73"/>
    <w:bookmarkEnd w:id="72"/>
    <w:p>
      <w:pPr>
        <w:ind w:right="180"/>
        <w:spacing w:after="0" w:line="256" w:lineRule="auto"/>
        <w:rPr>
          <w:sz w:val="20"/>
          <w:szCs w:val="20"/>
          <w:color w:val="auto"/>
        </w:rPr>
      </w:pPr>
      <w:r>
        <w:rPr>
          <w:rFonts w:ascii="Times New Roman" w:cs="Times New Roman" w:eastAsia="Times New Roman" w:hAnsi="Times New Roman"/>
          <w:sz w:val="18"/>
          <w:szCs w:val="18"/>
          <w:color w:val="auto"/>
        </w:rPr>
        <w:t>minimize these risks, but we cannot assure you that such strategies will be effective or without risk to us. We may seek to utilize instruments such as, but not limited to, forward contracts to seek to hedge against fluctuations in the relative values of our portfolio positions from changes in currency exchange rates. We also have the ability to borrow in certain foreign currencies under our Credit Facilities. Instead of entering into a foreign exchange forward contract in connection with loans or other investments we have made that are denominated in a foreign currency, we may borrow in that currency to establish a natural hedge against our loan or investment. To the extent the loan or investment is based on a floating rate other than a rate under which we can borrow under our Credit Facilities, we may seek to utilize interest rate derivatives to hedge our exposure to changes in the associated rate.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Evaluation of Disclosure Controls and Procedures. </w:t>
      </w:r>
      <w:r>
        <w:rPr>
          <w:rFonts w:ascii="Times New Roman" w:cs="Times New Roman" w:eastAsia="Times New Roman" w:hAnsi="Times New Roman"/>
          <w:sz w:val="18"/>
          <w:szCs w:val="18"/>
          <w:color w:val="auto"/>
        </w:rPr>
        <w:t>As of the end of the period covered by this report, we carried out an evaluation, under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supervision and with the participation of our management, including our Chief Executive Officer and Chief Financial Officer, of the effectiveness of the design and operation of our disclosure controls and procedures (as defined in Rule 13a-15 under the Securities Exchange Act of 1934, as amended (the “Exchange Act”)). Any controls and procedures, no matter how well designed and operated, can provide only reasonable assurance of achieving the desired control objectives. Based on that evaluation, our Chief Executive Officer and Chief Financial Officer have concluded that our current disclosure controls and procedures are effective in timely alerting them to material information relating to us that is required to be disclosed by us in the reports we file or submit under the Exchange Act.</w:t>
      </w:r>
    </w:p>
    <w:p>
      <w:pPr>
        <w:spacing w:after="0" w:line="183" w:lineRule="exact"/>
        <w:rPr>
          <w:sz w:val="20"/>
          <w:szCs w:val="20"/>
          <w:color w:val="auto"/>
        </w:rPr>
      </w:pPr>
    </w:p>
    <w:p>
      <w:pPr>
        <w:jc w:val="both"/>
        <w:ind w:right="440" w:firstLine="25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Changes in Internal Control over Financial Reporting. </w:t>
      </w:r>
      <w:r>
        <w:rPr>
          <w:rFonts w:ascii="Times New Roman" w:cs="Times New Roman" w:eastAsia="Times New Roman" w:hAnsi="Times New Roman"/>
          <w:sz w:val="18"/>
          <w:szCs w:val="18"/>
          <w:color w:val="auto"/>
        </w:rPr>
        <w:t>There have been no changes in our internal control over financial reporting that occurred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during our most recently completed fiscal quarter that have materially affected, or are reasonably likely to materially affect, our internal control over financial reporting.</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80" w:firstLine="255"/>
        <w:spacing w:after="0" w:line="266" w:lineRule="auto"/>
        <w:rPr>
          <w:sz w:val="20"/>
          <w:szCs w:val="20"/>
          <w:color w:val="auto"/>
        </w:rPr>
      </w:pPr>
      <w:r>
        <w:rPr>
          <w:rFonts w:ascii="Times New Roman" w:cs="Times New Roman" w:eastAsia="Times New Roman" w:hAnsi="Times New Roman"/>
          <w:sz w:val="18"/>
          <w:szCs w:val="18"/>
          <w:color w:val="auto"/>
        </w:rPr>
        <w:t>From time to time, we may be a party to certain legal proceedings in the ordinary course of business, including proceedings relating to the enforcement of our rights under loans to or other contracts with our portfolio companies. We are not currently subject to any material legal proceedings, nor, to our knowledge, is any material legal proceeding threatened against us.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80" w:firstLine="255"/>
        <w:spacing w:after="0" w:line="261"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you should carefully consider the risk factors discussed in Part I, “Item 1A. Risk Factors” in our Annual Report on Form 10-K for the fiscal year ended December 31, 2025, which could materially affect our business, financial condition and/or operating results. These risks are not the only risks facing our Company. Additional risks and uncertainties not currently known to us or that we currently deem to be immaterial also may materially and adversely affect our business, financial condition and/or operating results.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right="40" w:firstLine="255"/>
        <w:spacing w:after="0" w:line="282" w:lineRule="auto"/>
        <w:rPr>
          <w:sz w:val="20"/>
          <w:szCs w:val="20"/>
          <w:color w:val="auto"/>
        </w:rPr>
      </w:pPr>
      <w:r>
        <w:rPr>
          <w:rFonts w:ascii="Times New Roman" w:cs="Times New Roman" w:eastAsia="Times New Roman" w:hAnsi="Times New Roman"/>
          <w:sz w:val="18"/>
          <w:szCs w:val="18"/>
          <w:color w:val="auto"/>
        </w:rPr>
        <w:t>Refer to our Current Report on Form 8-K filed with SEC on September 4, 2026, for information about unregistered sales of our Common Shares during the quarter ended September 30, 2026.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002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689">
              <w:r>
                <w:rPr>
                  <w:rFonts w:ascii="Times New Roman" w:cs="Times New Roman" w:eastAsia="Times New Roman" w:hAnsi="Times New Roman"/>
                  <w:sz w:val="18"/>
                  <w:szCs w:val="18"/>
                  <w:color w:val="0000FF"/>
                </w:rPr>
                <w:t>Second Amended and Restated Declaration of Trust (incorporated by reference to Exhibit 3.1 to the Company’s Registration Statement on</w:t>
              </w:r>
            </w:hyperlink>
          </w:p>
        </w:tc>
        <w:tc>
          <w:tcPr>
            <w:tcW w:w="220" w:type="dxa"/>
            <w:vAlign w:val="bottom"/>
            <w:gridSpan w:val="6"/>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0240" w:type="dxa"/>
            <w:vAlign w:val="bottom"/>
            <w:gridSpan w:val="22"/>
          </w:tcPr>
          <w:p>
            <w:pPr>
              <w:spacing w:after="0" w:line="196" w:lineRule="exact"/>
              <w:rPr>
                <w:rFonts w:ascii="Times New Roman" w:cs="Times New Roman" w:eastAsia="Times New Roman" w:hAnsi="Times New Roman"/>
                <w:sz w:val="18"/>
                <w:szCs w:val="18"/>
                <w:color w:val="0000FF"/>
              </w:rPr>
            </w:pPr>
            <w:hyperlink r:id="rId689">
              <w:r>
                <w:rPr>
                  <w:rFonts w:ascii="Times New Roman" w:cs="Times New Roman" w:eastAsia="Times New Roman" w:hAnsi="Times New Roman"/>
                  <w:sz w:val="18"/>
                  <w:szCs w:val="18"/>
                  <w:color w:val="0000FF"/>
                </w:rPr>
                <w:t>Form 10, filed on August 22, 2022)</w:t>
              </w:r>
            </w:hyperlink>
          </w:p>
        </w:tc>
      </w:tr>
      <w:tr>
        <w:trPr>
          <w:trHeight w:val="20"/>
        </w:trPr>
        <w:tc>
          <w:tcPr>
            <w:tcW w:w="100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010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690">
              <w:r>
                <w:rPr>
                  <w:rFonts w:ascii="Times New Roman" w:cs="Times New Roman" w:eastAsia="Times New Roman" w:hAnsi="Times New Roman"/>
                  <w:sz w:val="18"/>
                  <w:szCs w:val="18"/>
                  <w:color w:val="0000FF"/>
                </w:rPr>
                <w:t>Amended and Restated Bylaws dated August 4, 2026 (Incorporated by reference to Exhibit 3.2 to the Company's Quarterly Report on Form</w:t>
              </w:r>
            </w:hyperlink>
          </w:p>
        </w:tc>
        <w:tc>
          <w:tcPr>
            <w:tcW w:w="140" w:type="dxa"/>
            <w:vAlign w:val="bottom"/>
            <w:gridSpan w:val="3"/>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0240" w:type="dxa"/>
            <w:vAlign w:val="bottom"/>
            <w:gridSpan w:val="22"/>
          </w:tcPr>
          <w:p>
            <w:pPr>
              <w:spacing w:after="0" w:line="196" w:lineRule="exact"/>
              <w:rPr>
                <w:rFonts w:ascii="Times New Roman" w:cs="Times New Roman" w:eastAsia="Times New Roman" w:hAnsi="Times New Roman"/>
                <w:sz w:val="18"/>
                <w:szCs w:val="18"/>
                <w:color w:val="0000FF"/>
              </w:rPr>
            </w:pPr>
            <w:hyperlink r:id="rId690">
              <w:r>
                <w:rPr>
                  <w:rFonts w:ascii="Times New Roman" w:cs="Times New Roman" w:eastAsia="Times New Roman" w:hAnsi="Times New Roman"/>
                  <w:sz w:val="18"/>
                  <w:szCs w:val="18"/>
                  <w:color w:val="0000FF"/>
                </w:rPr>
                <w:t>10-Q filed on August 5, 2026)</w:t>
              </w:r>
            </w:hyperlink>
          </w:p>
        </w:tc>
      </w:tr>
      <w:tr>
        <w:trPr>
          <w:trHeight w:val="20"/>
        </w:trPr>
        <w:tc>
          <w:tcPr>
            <w:tcW w:w="100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970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rPr>
            </w:pPr>
            <w:hyperlink r:id="rId691">
              <w:r>
                <w:rPr>
                  <w:rFonts w:ascii="Times New Roman" w:cs="Times New Roman" w:eastAsia="Times New Roman" w:hAnsi="Times New Roman"/>
                  <w:sz w:val="18"/>
                  <w:szCs w:val="18"/>
                  <w:color w:val="0000FF"/>
                </w:rPr>
                <w:t>Fifth Supplemental Indenture, dated as of September 21, 2026, between Sixth Street Lending Partners and U.S. Bank Trust Company,</w:t>
              </w:r>
            </w:hyperlink>
          </w:p>
        </w:tc>
        <w:tc>
          <w:tcPr>
            <w:tcW w:w="540" w:type="dxa"/>
            <w:vAlign w:val="bottom"/>
            <w:gridSpan w:val="10"/>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0240" w:type="dxa"/>
            <w:vAlign w:val="bottom"/>
            <w:gridSpan w:val="22"/>
          </w:tcPr>
          <w:p>
            <w:pPr>
              <w:spacing w:after="0" w:line="196" w:lineRule="exact"/>
              <w:rPr>
                <w:rFonts w:ascii="Times New Roman" w:cs="Times New Roman" w:eastAsia="Times New Roman" w:hAnsi="Times New Roman"/>
                <w:sz w:val="18"/>
                <w:szCs w:val="18"/>
                <w:color w:val="0000FF"/>
              </w:rPr>
            </w:pPr>
            <w:hyperlink r:id="rId691">
              <w:r>
                <w:rPr>
                  <w:rFonts w:ascii="Times New Roman" w:cs="Times New Roman" w:eastAsia="Times New Roman" w:hAnsi="Times New Roman"/>
                  <w:sz w:val="18"/>
                  <w:szCs w:val="18"/>
                  <w:color w:val="0000FF"/>
                </w:rPr>
                <w:t>National Association, as Trustee (incorporated by reference to Exhibit 4.2 to the Company's Current Report on Form 8-K filed on September</w:t>
              </w:r>
            </w:hyperlink>
          </w:p>
        </w:tc>
      </w:tr>
      <w:tr>
        <w:trPr>
          <w:trHeight w:val="196"/>
        </w:trPr>
        <w:tc>
          <w:tcPr>
            <w:tcW w:w="1000" w:type="dxa"/>
            <w:vAlign w:val="bottom"/>
          </w:tcPr>
          <w:p>
            <w:pPr>
              <w:spacing w:after="0"/>
              <w:rPr>
                <w:sz w:val="17"/>
                <w:szCs w:val="17"/>
                <w:color w:val="auto"/>
              </w:rPr>
            </w:pPr>
          </w:p>
        </w:tc>
        <w:tc>
          <w:tcPr>
            <w:tcW w:w="70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8"/>
              </w:rPr>
            </w:pPr>
            <w:hyperlink r:id="rId691">
              <w:r>
                <w:rPr>
                  <w:rFonts w:ascii="Times New Roman" w:cs="Times New Roman" w:eastAsia="Times New Roman" w:hAnsi="Times New Roman"/>
                  <w:sz w:val="18"/>
                  <w:szCs w:val="18"/>
                  <w:color w:val="0000FF"/>
                  <w:w w:val="98"/>
                </w:rPr>
                <w:t>21, 2026)</w:t>
              </w:r>
            </w:hyperlink>
          </w:p>
        </w:tc>
        <w:tc>
          <w:tcPr>
            <w:tcW w:w="20" w:type="dxa"/>
            <w:vAlign w:val="bottom"/>
            <w:tcBorders>
              <w:top w:val="single" w:sz="8" w:color="0000FF"/>
              <w:bottom w:val="single" w:sz="8" w:color="0000EE"/>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660" w:type="dxa"/>
            <w:vAlign w:val="bottom"/>
            <w:tcBorders>
              <w:top w:val="single" w:sz="8" w:color="0000FF"/>
            </w:tcBorders>
          </w:tcPr>
          <w:p>
            <w:pPr>
              <w:spacing w:after="0"/>
              <w:rPr>
                <w:sz w:val="17"/>
                <w:szCs w:val="17"/>
                <w:color w:val="auto"/>
              </w:rPr>
            </w:pPr>
          </w:p>
        </w:tc>
        <w:tc>
          <w:tcPr>
            <w:tcW w:w="8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6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996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691">
              <w:r>
                <w:rPr>
                  <w:rFonts w:ascii="Times New Roman" w:cs="Times New Roman" w:eastAsia="Times New Roman" w:hAnsi="Times New Roman"/>
                  <w:sz w:val="18"/>
                  <w:szCs w:val="18"/>
                  <w:color w:val="0000FF"/>
                </w:rPr>
                <w:t>Form of 6.500% Note Due 2031 (included in Exhibit 4.2 to the Company’s Current Report on Form 8-K filed on September 21, 2026 and</w:t>
              </w:r>
            </w:hyperlink>
          </w:p>
        </w:tc>
        <w:tc>
          <w:tcPr>
            <w:tcW w:w="280" w:type="dxa"/>
            <w:vAlign w:val="bottom"/>
            <w:gridSpan w:val="7"/>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0240" w:type="dxa"/>
            <w:vAlign w:val="bottom"/>
            <w:gridSpan w:val="22"/>
          </w:tcPr>
          <w:p>
            <w:pPr>
              <w:spacing w:after="0" w:line="196" w:lineRule="exact"/>
              <w:rPr>
                <w:rFonts w:ascii="Times New Roman" w:cs="Times New Roman" w:eastAsia="Times New Roman" w:hAnsi="Times New Roman"/>
                <w:sz w:val="18"/>
                <w:szCs w:val="18"/>
                <w:color w:val="0000FF"/>
              </w:rPr>
            </w:pPr>
            <w:hyperlink r:id="rId691">
              <w:r>
                <w:rPr>
                  <w:rFonts w:ascii="Times New Roman" w:cs="Times New Roman" w:eastAsia="Times New Roman" w:hAnsi="Times New Roman"/>
                  <w:sz w:val="18"/>
                  <w:szCs w:val="18"/>
                  <w:color w:val="0000FF"/>
                </w:rPr>
                <w:t>incorporated by reference herein)</w:t>
              </w:r>
            </w:hyperlink>
          </w:p>
        </w:tc>
      </w:tr>
      <w:tr>
        <w:trPr>
          <w:trHeight w:val="20"/>
        </w:trPr>
        <w:tc>
          <w:tcPr>
            <w:tcW w:w="1000" w:type="dxa"/>
            <w:vAlign w:val="bottom"/>
          </w:tcPr>
          <w:p>
            <w:pPr>
              <w:spacing w:after="0" w:line="20" w:lineRule="exact"/>
              <w:rPr>
                <w:sz w:val="1"/>
                <w:szCs w:val="1"/>
                <w:color w:val="auto"/>
              </w:rPr>
            </w:pPr>
          </w:p>
        </w:tc>
        <w:tc>
          <w:tcPr>
            <w:tcW w:w="880" w:type="dxa"/>
            <w:vAlign w:val="bottom"/>
            <w:tcBorders>
              <w:right w:val="single" w:sz="8" w:color="0000FF"/>
            </w:tcBorders>
            <w:gridSpan w:val="3"/>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tcBorders>
              <w:right w:val="single" w:sz="8" w:color="0000EE"/>
            </w:tcBorders>
            <w:gridSpan w:val="2"/>
            <w:shd w:val="clear" w:color="auto" w:fill="0000FF"/>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1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1020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692">
              <w:r>
                <w:rPr>
                  <w:rFonts w:ascii="Times New Roman" w:cs="Times New Roman" w:eastAsia="Times New Roman" w:hAnsi="Times New Roman"/>
                  <w:sz w:val="18"/>
                  <w:szCs w:val="18"/>
                  <w:color w:val="0000FF"/>
                </w:rPr>
                <w:t>Registration Rights Agreement, dated as of September 21, 2026, relating to the 6.500% Notes Due 2031, by and among Sixth Street Lending</w:t>
              </w:r>
            </w:hyperlink>
          </w:p>
        </w:tc>
        <w:tc>
          <w:tcPr>
            <w:tcW w:w="40" w:type="dxa"/>
            <w:vAlign w:val="bottom"/>
            <w:gridSpan w:val="2"/>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978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rPr>
            </w:pPr>
            <w:hyperlink r:id="rId692">
              <w:r>
                <w:rPr>
                  <w:rFonts w:ascii="Times New Roman" w:cs="Times New Roman" w:eastAsia="Times New Roman" w:hAnsi="Times New Roman"/>
                  <w:sz w:val="18"/>
                  <w:szCs w:val="18"/>
                  <w:color w:val="0000FF"/>
                </w:rPr>
                <w:t>Partners and BofA Securities, Inc. as representative of the initial purchasers (incorporated by reference to Exhibit 4.4 to the Company's</w:t>
              </w:r>
            </w:hyperlink>
          </w:p>
        </w:tc>
        <w:tc>
          <w:tcPr>
            <w:tcW w:w="460" w:type="dxa"/>
            <w:vAlign w:val="bottom"/>
            <w:gridSpan w:val="9"/>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0240" w:type="dxa"/>
            <w:vAlign w:val="bottom"/>
            <w:gridSpan w:val="22"/>
          </w:tcPr>
          <w:p>
            <w:pPr>
              <w:spacing w:after="0" w:line="196" w:lineRule="exact"/>
              <w:rPr>
                <w:rFonts w:ascii="Times New Roman" w:cs="Times New Roman" w:eastAsia="Times New Roman" w:hAnsi="Times New Roman"/>
                <w:sz w:val="18"/>
                <w:szCs w:val="18"/>
                <w:color w:val="0000FF"/>
              </w:rPr>
            </w:pPr>
            <w:hyperlink r:id="rId692">
              <w:r>
                <w:rPr>
                  <w:rFonts w:ascii="Times New Roman" w:cs="Times New Roman" w:eastAsia="Times New Roman" w:hAnsi="Times New Roman"/>
                  <w:sz w:val="18"/>
                  <w:szCs w:val="18"/>
                  <w:color w:val="0000FF"/>
                </w:rPr>
                <w:t>Current Report on Form 8-K filed on September 21, 2026)</w:t>
              </w:r>
            </w:hyperlink>
          </w:p>
        </w:tc>
      </w:tr>
      <w:tr>
        <w:trPr>
          <w:trHeight w:val="20"/>
        </w:trPr>
        <w:tc>
          <w:tcPr>
            <w:tcW w:w="1000" w:type="dxa"/>
            <w:vAlign w:val="bottom"/>
          </w:tcPr>
          <w:p>
            <w:pPr>
              <w:spacing w:after="0" w:line="20" w:lineRule="exact"/>
              <w:rPr>
                <w:sz w:val="1"/>
                <w:szCs w:val="1"/>
                <w:color w:val="auto"/>
              </w:rPr>
            </w:pPr>
          </w:p>
        </w:tc>
        <w:tc>
          <w:tcPr>
            <w:tcW w:w="880" w:type="dxa"/>
            <w:vAlign w:val="bottom"/>
            <w:tcBorders>
              <w:right w:val="single" w:sz="8" w:color="0000FF"/>
            </w:tcBorders>
            <w:gridSpan w:val="3"/>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60" w:type="dxa"/>
            <w:vAlign w:val="bottom"/>
            <w:tcBorders>
              <w:right w:val="single" w:sz="8" w:color="0000EE"/>
            </w:tcBorders>
            <w:gridSpan w:val="4"/>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2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r>
      <w:tr>
        <w:trPr>
          <w:trHeight w:val="41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08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693">
              <w:r>
                <w:rPr>
                  <w:rFonts w:ascii="Times New Roman" w:cs="Times New Roman" w:eastAsia="Times New Roman" w:hAnsi="Times New Roman"/>
                  <w:sz w:val="18"/>
                  <w:szCs w:val="18"/>
                  <w:color w:val="0000FF"/>
                </w:rPr>
                <w:t>Purchase Agreement dated September 14, 2026, by and among Sixth Street Lending Partners, Sixth Street Lending Partners Advisers, LLC</w:t>
              </w:r>
            </w:hyperlink>
          </w:p>
        </w:tc>
        <w:tc>
          <w:tcPr>
            <w:tcW w:w="160" w:type="dxa"/>
            <w:vAlign w:val="bottom"/>
            <w:gridSpan w:val="4"/>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006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693">
              <w:r>
                <w:rPr>
                  <w:rFonts w:ascii="Times New Roman" w:cs="Times New Roman" w:eastAsia="Times New Roman" w:hAnsi="Times New Roman"/>
                  <w:sz w:val="18"/>
                  <w:szCs w:val="18"/>
                  <w:color w:val="0000FF"/>
                </w:rPr>
                <w:t>and BofA Securities, Inc., as representative of the several initial purchasers named therein (incorporated by reference to Exhibit 10.1 to the</w:t>
              </w:r>
            </w:hyperlink>
          </w:p>
        </w:tc>
        <w:tc>
          <w:tcPr>
            <w:tcW w:w="180" w:type="dxa"/>
            <w:vAlign w:val="bottom"/>
            <w:gridSpan w:val="5"/>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508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693">
              <w:r>
                <w:rPr>
                  <w:rFonts w:ascii="Times New Roman" w:cs="Times New Roman" w:eastAsia="Times New Roman" w:hAnsi="Times New Roman"/>
                  <w:sz w:val="18"/>
                  <w:szCs w:val="18"/>
                  <w:color w:val="0000FF"/>
                  <w:w w:val="99"/>
                </w:rPr>
                <w:t>Company's Current Report on Form 8-K filed on September 18, 2026)</w:t>
              </w:r>
            </w:hyperlink>
          </w:p>
        </w:tc>
        <w:tc>
          <w:tcPr>
            <w:tcW w:w="20" w:type="dxa"/>
            <w:vAlign w:val="bottom"/>
            <w:tcBorders>
              <w:bottom w:val="single" w:sz="8" w:color="0000EE"/>
            </w:tcBorders>
          </w:tcPr>
          <w:p>
            <w:pPr>
              <w:spacing w:after="0"/>
              <w:rPr>
                <w:sz w:val="17"/>
                <w:szCs w:val="17"/>
                <w:color w:val="auto"/>
              </w:rPr>
            </w:pPr>
          </w:p>
        </w:tc>
        <w:tc>
          <w:tcPr>
            <w:tcW w:w="5140" w:type="dxa"/>
            <w:vAlign w:val="bottom"/>
            <w:gridSpan w:val="11"/>
          </w:tcPr>
          <w:p>
            <w:pPr>
              <w:spacing w:after="0"/>
              <w:rPr>
                <w:sz w:val="17"/>
                <w:szCs w:val="17"/>
                <w:color w:val="auto"/>
              </w:rPr>
            </w:pPr>
          </w:p>
        </w:tc>
      </w:tr>
      <w:tr>
        <w:trPr>
          <w:trHeight w:val="41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8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Exchange Act Rule 13a-14(a), as Adopted Pursuant to Section 302 of the Sarbanes-</w:t>
            </w:r>
          </w:p>
        </w:tc>
        <w:tc>
          <w:tcPr>
            <w:tcW w:w="420" w:type="dxa"/>
            <w:vAlign w:val="bottom"/>
            <w:gridSpan w:val="8"/>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36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Oxley Act of 2002</w:t>
            </w:r>
          </w:p>
        </w:tc>
        <w:tc>
          <w:tcPr>
            <w:tcW w:w="20" w:type="dxa"/>
            <w:vAlign w:val="bottom"/>
            <w:tcBorders>
              <w:bottom w:val="single" w:sz="8" w:color="0000EE"/>
            </w:tcBorders>
          </w:tcPr>
          <w:p>
            <w:pPr>
              <w:spacing w:after="0"/>
              <w:rPr>
                <w:sz w:val="17"/>
                <w:szCs w:val="17"/>
                <w:color w:val="auto"/>
              </w:rPr>
            </w:pPr>
          </w:p>
        </w:tc>
        <w:tc>
          <w:tcPr>
            <w:tcW w:w="8860" w:type="dxa"/>
            <w:vAlign w:val="bottom"/>
            <w:gridSpan w:val="17"/>
          </w:tcPr>
          <w:p>
            <w:pPr>
              <w:spacing w:after="0"/>
              <w:rPr>
                <w:sz w:val="17"/>
                <w:szCs w:val="17"/>
                <w:color w:val="auto"/>
              </w:rPr>
            </w:pPr>
          </w:p>
        </w:tc>
      </w:tr>
      <w:tr>
        <w:trPr>
          <w:trHeight w:val="41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24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Exchange Act Rule 13a-14(a), as Adopted Pursuant to Section 302 of the Sarbanes-Oxley</w:t>
            </w:r>
          </w:p>
        </w:tc>
      </w:tr>
      <w:tr>
        <w:trPr>
          <w:trHeight w:val="196"/>
        </w:trPr>
        <w:tc>
          <w:tcPr>
            <w:tcW w:w="1000" w:type="dxa"/>
            <w:vAlign w:val="bottom"/>
          </w:tcPr>
          <w:p>
            <w:pPr>
              <w:spacing w:after="0"/>
              <w:rPr>
                <w:sz w:val="17"/>
                <w:szCs w:val="17"/>
                <w:color w:val="auto"/>
              </w:rPr>
            </w:pPr>
          </w:p>
        </w:tc>
        <w:tc>
          <w:tcPr>
            <w:tcW w:w="102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r>
      <w:tr>
        <w:trPr>
          <w:trHeight w:val="20"/>
        </w:trPr>
        <w:tc>
          <w:tcPr>
            <w:tcW w:w="100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5" w:lineRule="exact"/>
        <w:rPr>
          <w:sz w:val="20"/>
          <w:szCs w:val="20"/>
          <w:color w:val="auto"/>
        </w:rPr>
      </w:pPr>
    </w:p>
    <w:p>
      <w:pPr>
        <w:ind w:left="1000" w:hanging="992"/>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Certification of CEO and CFO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-7620</wp:posOffset>
            </wp:positionV>
            <wp:extent cx="6372225"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94">
                      <a:extLst>
                        <a:ext uri="{28A0092B-C50C-407E-A947-70E740481C1C}"/>
                      </a:extLst>
                    </a:blip>
                    <a:srcRect/>
                    <a:stretch>
                      <a:fillRect/>
                    </a:stretch>
                  </pic:blipFill>
                  <pic:spPr bwMode="auto">
                    <a:xfrm>
                      <a:off x="0" y="0"/>
                      <a:ext cx="6372225" cy="8255"/>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98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XBRL tags are embedded</w:t>
            </w:r>
          </w:p>
        </w:tc>
      </w:tr>
      <w:tr>
        <w:trPr>
          <w:trHeight w:val="216"/>
        </w:trPr>
        <w:tc>
          <w:tcPr>
            <w:tcW w:w="840" w:type="dxa"/>
            <w:vAlign w:val="bottom"/>
          </w:tcPr>
          <w:p>
            <w:pPr>
              <w:spacing w:after="0"/>
              <w:rPr>
                <w:sz w:val="18"/>
                <w:szCs w:val="18"/>
                <w:color w:val="auto"/>
              </w:rPr>
            </w:pPr>
          </w:p>
        </w:tc>
        <w:tc>
          <w:tcPr>
            <w:tcW w:w="9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r>
        <w:trPr>
          <w:trHeight w:val="23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10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agreements and other documents filed as exhibits to this Quarterly Report on Form 10-Q are not intended to provide factual information or other disclosure other than with respect to the terms of the agreements or other documents themselves, and shareholders should not rely on them for that purpose. In particular, any representations and warranties made by us in these agreements or other documents were made solely within the specific context of the relevant agreement or document and may not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describe the actual state of affairs as of the date they were made or at any other time.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74" w:name="page75"/>
    <w:bookmarkEnd w:id="7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40" w:firstLine="25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7580" w:type="dxa"/>
            <w:vAlign w:val="bottom"/>
            <w:gridSpan w:val="2"/>
          </w:tcPr>
          <w:p>
            <w:pPr>
              <w:ind w:left="3000"/>
              <w:spacing w:after="0"/>
              <w:rPr>
                <w:sz w:val="20"/>
                <w:szCs w:val="20"/>
                <w:color w:val="auto"/>
              </w:rPr>
            </w:pPr>
            <w:r>
              <w:rPr>
                <w:rFonts w:ascii="Times New Roman" w:cs="Times New Roman" w:eastAsia="Times New Roman" w:hAnsi="Times New Roman"/>
                <w:sz w:val="18"/>
                <w:szCs w:val="18"/>
                <w:color w:val="auto"/>
              </w:rPr>
              <w:t>Sixth Street Lending Partners</w:t>
            </w:r>
          </w:p>
        </w:tc>
      </w:tr>
      <w:tr>
        <w:trPr>
          <w:trHeight w:val="459"/>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4, 2026</w:t>
            </w:r>
          </w:p>
        </w:tc>
        <w:tc>
          <w:tcPr>
            <w:tcW w:w="3480" w:type="dxa"/>
            <w:vAlign w:val="bottom"/>
          </w:tcPr>
          <w:p>
            <w:pPr>
              <w:ind w:left="3000"/>
              <w:spacing w:after="0"/>
              <w:rPr>
                <w:sz w:val="20"/>
                <w:szCs w:val="20"/>
                <w:color w:val="auto"/>
              </w:rPr>
            </w:pPr>
            <w:r>
              <w:rPr>
                <w:rFonts w:ascii="Times New Roman" w:cs="Times New Roman" w:eastAsia="Times New Roman" w:hAnsi="Times New Roman"/>
                <w:sz w:val="18"/>
                <w:szCs w:val="18"/>
                <w:color w:val="auto"/>
              </w:rPr>
              <w:t>By:</w:t>
            </w:r>
          </w:p>
        </w:tc>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("Bo") Stanley</w:t>
            </w:r>
          </w:p>
        </w:tc>
      </w:tr>
      <w:tr>
        <w:trPr>
          <w:trHeight w:val="191"/>
        </w:trPr>
        <w:tc>
          <w:tcPr>
            <w:tcW w:w="366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41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Robert ("Bo") Stanley</w:t>
            </w:r>
          </w:p>
        </w:tc>
      </w:tr>
      <w:tr>
        <w:trPr>
          <w:trHeight w:val="216"/>
        </w:trPr>
        <w:tc>
          <w:tcPr>
            <w:tcW w:w="36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66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59"/>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4, 2026</w:t>
            </w:r>
          </w:p>
        </w:tc>
        <w:tc>
          <w:tcPr>
            <w:tcW w:w="3480" w:type="dxa"/>
            <w:vAlign w:val="bottom"/>
          </w:tcPr>
          <w:p>
            <w:pPr>
              <w:ind w:left="3000"/>
              <w:spacing w:after="0"/>
              <w:rPr>
                <w:sz w:val="20"/>
                <w:szCs w:val="20"/>
                <w:color w:val="auto"/>
              </w:rPr>
            </w:pPr>
            <w:r>
              <w:rPr>
                <w:rFonts w:ascii="Times New Roman" w:cs="Times New Roman" w:eastAsia="Times New Roman" w:hAnsi="Times New Roman"/>
                <w:sz w:val="18"/>
                <w:szCs w:val="18"/>
                <w:color w:val="auto"/>
              </w:rPr>
              <w:t>By:</w:t>
            </w:r>
          </w:p>
        </w:tc>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Ian Simmonds</w:t>
            </w:r>
          </w:p>
        </w:tc>
      </w:tr>
      <w:tr>
        <w:trPr>
          <w:trHeight w:val="191"/>
        </w:trPr>
        <w:tc>
          <w:tcPr>
            <w:tcW w:w="366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41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Ian Simmonds</w:t>
            </w:r>
          </w:p>
        </w:tc>
      </w:tr>
      <w:tr>
        <w:trPr>
          <w:trHeight w:val="216"/>
        </w:trPr>
        <w:tc>
          <w:tcPr>
            <w:tcW w:w="36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66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648"/>
        </w:trPr>
        <w:tc>
          <w:tcPr>
            <w:tcW w:w="3660" w:type="dxa"/>
            <w:vAlign w:val="bottom"/>
          </w:tcPr>
          <w:p>
            <w:pPr>
              <w:spacing w:after="0"/>
              <w:rPr>
                <w:sz w:val="24"/>
                <w:szCs w:val="24"/>
                <w:color w:val="auto"/>
              </w:rPr>
            </w:pPr>
          </w:p>
        </w:tc>
        <w:tc>
          <w:tcPr>
            <w:tcW w:w="3480" w:type="dxa"/>
            <w:vAlign w:val="bottom"/>
          </w:tcPr>
          <w:p>
            <w:pPr>
              <w:jc w:val="right"/>
              <w:ind w:right="1330"/>
              <w:spacing w:after="0"/>
              <w:rPr>
                <w:sz w:val="20"/>
                <w:szCs w:val="20"/>
                <w:color w:val="auto"/>
              </w:rPr>
            </w:pPr>
            <w:r>
              <w:rPr>
                <w:rFonts w:ascii="Times New Roman" w:cs="Times New Roman" w:eastAsia="Times New Roman" w:hAnsi="Times New Roman"/>
                <w:sz w:val="18"/>
                <w:szCs w:val="18"/>
                <w:color w:val="auto"/>
              </w:rPr>
              <w:t>75</w:t>
            </w:r>
          </w:p>
        </w:tc>
        <w:tc>
          <w:tcPr>
            <w:tcW w:w="4100" w:type="dxa"/>
            <w:vAlign w:val="bottom"/>
          </w:tcPr>
          <w:p>
            <w:pPr>
              <w:spacing w:after="0"/>
              <w:rPr>
                <w:sz w:val="24"/>
                <w:szCs w:val="24"/>
                <w:color w:val="auto"/>
              </w:rPr>
            </w:pPr>
          </w:p>
        </w:tc>
      </w:tr>
      <w:tr>
        <w:trPr>
          <w:trHeight w:val="763"/>
        </w:trPr>
        <w:tc>
          <w:tcPr>
            <w:tcW w:w="3660" w:type="dxa"/>
            <w:vAlign w:val="bottom"/>
            <w:tcBorders>
              <w:bottom w:val="single" w:sz="8" w:color="9A9A9A"/>
            </w:tcBorders>
          </w:tcPr>
          <w:p>
            <w:pPr>
              <w:spacing w:after="0"/>
              <w:rPr>
                <w:sz w:val="24"/>
                <w:szCs w:val="24"/>
                <w:color w:val="auto"/>
              </w:rPr>
            </w:pPr>
          </w:p>
        </w:tc>
        <w:tc>
          <w:tcPr>
            <w:tcW w:w="3480" w:type="dxa"/>
            <w:vAlign w:val="bottom"/>
            <w:tcBorders>
              <w:bottom w:val="single" w:sz="8" w:color="9A9A9A"/>
            </w:tcBorders>
          </w:tcPr>
          <w:p>
            <w:pPr>
              <w:spacing w:after="0"/>
              <w:rPr>
                <w:sz w:val="24"/>
                <w:szCs w:val="24"/>
                <w:color w:val="auto"/>
              </w:rPr>
            </w:pPr>
          </w:p>
        </w:tc>
        <w:tc>
          <w:tcPr>
            <w:tcW w:w="4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75" w:name="page76"/>
    <w:bookmarkEnd w:id="75"/>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CEO 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("Bo") Stanley, certify that:</w:t>
      </w:r>
    </w:p>
    <w:p>
      <w:pPr>
        <w:spacing w:after="0" w:line="117" w:lineRule="exact"/>
        <w:rPr>
          <w:sz w:val="20"/>
          <w:szCs w:val="20"/>
          <w:color w:val="auto"/>
        </w:rPr>
      </w:pPr>
    </w:p>
    <w:p>
      <w:pPr>
        <w:ind w:left="620" w:hanging="357"/>
        <w:spacing w:after="0"/>
        <w:tabs>
          <w:tab w:leader="none" w:pos="6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Sixth Street Lending Partners;</w:t>
      </w:r>
    </w:p>
    <w:p>
      <w:pPr>
        <w:spacing w:after="0" w:line="117" w:lineRule="exact"/>
        <w:rPr>
          <w:rFonts w:ascii="Times New Roman" w:cs="Times New Roman" w:eastAsia="Times New Roman" w:hAnsi="Times New Roman"/>
          <w:sz w:val="18"/>
          <w:szCs w:val="18"/>
          <w:color w:val="auto"/>
        </w:rPr>
      </w:pPr>
    </w:p>
    <w:p>
      <w:pPr>
        <w:ind w:left="780" w:hanging="517"/>
        <w:spacing w:after="0" w:line="266" w:lineRule="auto"/>
        <w:tabs>
          <w:tab w:leader="none" w:pos="63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780" w:right="100" w:hanging="517"/>
        <w:spacing w:after="0" w:line="282" w:lineRule="auto"/>
        <w:tabs>
          <w:tab w:leader="none" w:pos="63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right"/>
        <w:ind w:left="780" w:right="300" w:hanging="517"/>
        <w:spacing w:after="0" w:line="276" w:lineRule="auto"/>
        <w:tabs>
          <w:tab w:leader="none" w:pos="631"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7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98" w:lineRule="exact"/>
        <w:rPr>
          <w:rFonts w:ascii="Times New Roman" w:cs="Times New Roman" w:eastAsia="Times New Roman" w:hAnsi="Times New Roman"/>
          <w:sz w:val="17"/>
          <w:szCs w:val="17"/>
          <w:color w:val="auto"/>
        </w:rPr>
      </w:pPr>
    </w:p>
    <w:p>
      <w:pPr>
        <w:ind w:left="1280" w:right="60" w:hanging="509"/>
        <w:spacing w:after="0" w:line="266" w:lineRule="auto"/>
        <w:tabs>
          <w:tab w:leader="none" w:pos="1131"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280" w:right="40" w:hanging="509"/>
        <w:spacing w:after="0" w:line="266" w:lineRule="auto"/>
        <w:tabs>
          <w:tab w:leader="none" w:pos="1131"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280" w:right="220" w:hanging="509"/>
        <w:spacing w:after="0" w:line="312" w:lineRule="auto"/>
        <w:tabs>
          <w:tab w:leader="none" w:pos="1131"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280" w:right="60" w:hanging="509"/>
        <w:spacing w:after="0" w:line="266" w:lineRule="auto"/>
        <w:tabs>
          <w:tab w:leader="none" w:pos="1131"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780" w:hanging="517"/>
        <w:spacing w:after="0" w:line="282" w:lineRule="auto"/>
        <w:tabs>
          <w:tab w:leader="none" w:pos="63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53" w:lineRule="exact"/>
        <w:rPr>
          <w:rFonts w:ascii="Times New Roman" w:cs="Times New Roman" w:eastAsia="Times New Roman" w:hAnsi="Times New Roman"/>
          <w:sz w:val="18"/>
          <w:szCs w:val="18"/>
          <w:color w:val="auto"/>
        </w:rPr>
      </w:pPr>
    </w:p>
    <w:p>
      <w:pPr>
        <w:ind w:left="1280" w:right="600" w:hanging="509"/>
        <w:spacing w:after="0" w:line="282" w:lineRule="auto"/>
        <w:tabs>
          <w:tab w:leader="none" w:pos="1131"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280" w:right="280" w:hanging="509"/>
        <w:spacing w:after="0" w:line="282" w:lineRule="auto"/>
        <w:tabs>
          <w:tab w:leader="none" w:pos="1131"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November 4, 2026</w:t>
      </w:r>
      <w:r>
        <w:rPr>
          <w:sz w:val="20"/>
          <w:szCs w:val="20"/>
          <w:color w:val="auto"/>
        </w:rPr>
        <w:tab/>
      </w:r>
      <w:r>
        <w:rPr>
          <w:rFonts w:ascii="Times New Roman" w:cs="Times New Roman" w:eastAsia="Times New Roman" w:hAnsi="Times New Roman"/>
          <w:sz w:val="18"/>
          <w:szCs w:val="18"/>
          <w:color w:val="auto"/>
        </w:rPr>
        <w:t>By:</w:t>
        <w:tab/>
        <w:t>/s/ Robert ("Bo") Stanley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4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Robert ("Bo") Stanley</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76" w:name="page77"/>
    <w:bookmarkEnd w:id="76"/>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CFO 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Ian Simmonds, certify that:</w:t>
      </w:r>
    </w:p>
    <w:p>
      <w:pPr>
        <w:spacing w:after="0" w:line="117" w:lineRule="exact"/>
        <w:rPr>
          <w:sz w:val="20"/>
          <w:szCs w:val="20"/>
          <w:color w:val="auto"/>
        </w:rPr>
      </w:pPr>
    </w:p>
    <w:p>
      <w:pPr>
        <w:ind w:left="620" w:hanging="357"/>
        <w:spacing w:after="0"/>
        <w:tabs>
          <w:tab w:leader="none" w:pos="6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Sixth Street Lending Partners;</w:t>
      </w:r>
    </w:p>
    <w:p>
      <w:pPr>
        <w:spacing w:after="0" w:line="117" w:lineRule="exact"/>
        <w:rPr>
          <w:rFonts w:ascii="Times New Roman" w:cs="Times New Roman" w:eastAsia="Times New Roman" w:hAnsi="Times New Roman"/>
          <w:sz w:val="18"/>
          <w:szCs w:val="18"/>
          <w:color w:val="auto"/>
        </w:rPr>
      </w:pPr>
    </w:p>
    <w:p>
      <w:pPr>
        <w:ind w:left="780" w:hanging="517"/>
        <w:spacing w:after="0" w:line="266" w:lineRule="auto"/>
        <w:tabs>
          <w:tab w:leader="none" w:pos="63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780" w:right="100" w:hanging="517"/>
        <w:spacing w:after="0" w:line="282" w:lineRule="auto"/>
        <w:tabs>
          <w:tab w:leader="none" w:pos="63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right"/>
        <w:ind w:left="780" w:right="300" w:hanging="517"/>
        <w:spacing w:after="0" w:line="276" w:lineRule="auto"/>
        <w:tabs>
          <w:tab w:leader="none" w:pos="631"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7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98" w:lineRule="exact"/>
        <w:rPr>
          <w:rFonts w:ascii="Times New Roman" w:cs="Times New Roman" w:eastAsia="Times New Roman" w:hAnsi="Times New Roman"/>
          <w:sz w:val="17"/>
          <w:szCs w:val="17"/>
          <w:color w:val="auto"/>
        </w:rPr>
      </w:pPr>
    </w:p>
    <w:p>
      <w:pPr>
        <w:ind w:left="1280" w:right="60" w:hanging="509"/>
        <w:spacing w:after="0" w:line="266" w:lineRule="auto"/>
        <w:tabs>
          <w:tab w:leader="none" w:pos="1131"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280" w:right="40" w:hanging="509"/>
        <w:spacing w:after="0" w:line="266" w:lineRule="auto"/>
        <w:tabs>
          <w:tab w:leader="none" w:pos="1131"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280" w:right="220" w:hanging="509"/>
        <w:spacing w:after="0" w:line="312" w:lineRule="auto"/>
        <w:tabs>
          <w:tab w:leader="none" w:pos="1131"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280" w:right="60" w:hanging="509"/>
        <w:spacing w:after="0" w:line="266" w:lineRule="auto"/>
        <w:tabs>
          <w:tab w:leader="none" w:pos="1131"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780" w:hanging="517"/>
        <w:spacing w:after="0" w:line="282" w:lineRule="auto"/>
        <w:tabs>
          <w:tab w:leader="none" w:pos="63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53" w:lineRule="exact"/>
        <w:rPr>
          <w:rFonts w:ascii="Times New Roman" w:cs="Times New Roman" w:eastAsia="Times New Roman" w:hAnsi="Times New Roman"/>
          <w:sz w:val="18"/>
          <w:szCs w:val="18"/>
          <w:color w:val="auto"/>
        </w:rPr>
      </w:pPr>
    </w:p>
    <w:p>
      <w:pPr>
        <w:ind w:left="1280" w:right="600" w:hanging="509"/>
        <w:spacing w:after="0" w:line="282" w:lineRule="auto"/>
        <w:tabs>
          <w:tab w:leader="none" w:pos="1131"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280" w:right="280" w:hanging="509"/>
        <w:spacing w:after="0" w:line="282" w:lineRule="auto"/>
        <w:tabs>
          <w:tab w:leader="none" w:pos="1131"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November 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0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4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Ian Simmonds</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77" w:name="page78"/>
    <w:bookmarkEnd w:id="77"/>
    <w:p>
      <w:pPr>
        <w:ind w:left="10400"/>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CEO and CFO Pursuant to</w:t>
      </w:r>
    </w:p>
    <w:p>
      <w:pPr>
        <w:spacing w:after="0" w:line="3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Sixth Street Lending Partners (the “Company”) for the quarterly period ended September 30, 2026, as filed with the Securities and Exchange Commission on the date hereof (the “Report”), Robert ("Bo") Stanley, as Chief Executive Officer of the Company, and Ian Simmonds, as Chief Financial Officer of the Company, each hereby certifies, pursuant to 18 U.S.C. § 1350, as adopted pursuant to § 906 of the Sarbanes-Oxley Act of 2002, that, to such officer’s knowledge:</w:t>
      </w:r>
    </w:p>
    <w:p>
      <w:pPr>
        <w:spacing w:after="0" w:line="72" w:lineRule="exact"/>
        <w:rPr>
          <w:sz w:val="20"/>
          <w:szCs w:val="20"/>
          <w:color w:val="auto"/>
        </w:rPr>
      </w:pPr>
    </w:p>
    <w:p>
      <w:pPr>
        <w:ind w:left="780" w:hanging="263"/>
        <w:spacing w:after="0"/>
        <w:tabs>
          <w:tab w:leader="none" w:pos="7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Robert ("Bo") Stanley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0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Name:</w:t>
        <w:tab/>
        <w:t>Robert ("Bo") Stanley</w:t>
      </w:r>
    </w:p>
    <w:p>
      <w:pPr>
        <w:spacing w:after="0" w:line="2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9"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4, 2026</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0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Name:</w:t>
        <w:tab/>
        <w:t>Ian Simmonds</w:t>
      </w:r>
    </w:p>
    <w:p>
      <w:pPr>
        <w:spacing w:after="0" w:line="2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9"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4, 2026</w:t>
      </w:r>
    </w:p>
    <w:p>
      <w:pPr>
        <w:spacing w:after="0" w:line="207" w:lineRule="exact"/>
        <w:rPr>
          <w:sz w:val="20"/>
          <w:szCs w:val="20"/>
          <w:color w:val="auto"/>
        </w:rPr>
      </w:pPr>
    </w:p>
    <w:p>
      <w:pPr>
        <w:ind w:right="640" w:firstLine="509"/>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§1350 and is not being filed as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598805</wp:posOffset>
            </wp:positionV>
            <wp:extent cx="7157720" cy="4254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8" w:name="page79"/>
    <w:bookmarkEnd w:id="7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1"/>
      <w:numFmt w:val="decimal"/>
      <w:start w:val="1"/>
    </w:lvl>
    <w:lvl w:ilvl="1">
      <w:lvlJc w:val="left"/>
      <w:lvlText w:val="(%2)"/>
      <w:numFmt w:val="lowerLetter"/>
      <w:start w:val="1"/>
    </w:lvl>
  </w:abstractNum>
  <w:abstractNum w:abstractNumId="4">
    <w:nsid w:val="79838CB2"/>
    <w:multiLevelType w:val="hybridMultilevel"/>
    <w:lvl w:ilvl="0">
      <w:lvlJc w:val="left"/>
      <w:lvlText w:val="(%1)"/>
      <w:numFmt w:val="decimal"/>
      <w:start w:val="1"/>
    </w:lvl>
    <w:lvl w:ilvl="1">
      <w:lvlJc w:val="left"/>
      <w:lvlText w:val="%2"/>
      <w:numFmt w:val="lowerLetter"/>
      <w:start w:val="1"/>
    </w:lvl>
  </w:abstractNum>
  <w:abstractNum w:abstractNumId="5">
    <w:nsid w:val="4353D0CD"/>
    <w:multiLevelType w:val="hybridMultilevel"/>
    <w:lvl w:ilvl="0">
      <w:lvlJc w:val="left"/>
      <w:lvlText w:val="%1"/>
      <w:numFmt w:val="decimal"/>
      <w:start w:val="1"/>
    </w:lvl>
    <w:lvl w:ilvl="1">
      <w:lvlJc w:val="left"/>
      <w:lvlText w:val="(%2)"/>
      <w:numFmt w:val="lowerLetter"/>
      <w:start w:val="1"/>
    </w:lvl>
  </w:abstractNum>
  <w:abstractNum w:abstractNumId="6">
    <w:nsid w:val="B03E0C6"/>
    <w:multiLevelType w:val="hybridMultilevel"/>
    <w:lvl w:ilvl="0">
      <w:lvlJc w:val="left"/>
      <w:lvlText w:val="(%1)"/>
      <w:numFmt w:val="decimal"/>
      <w:start w:val="7"/>
    </w:lvl>
    <w:lvl w:ilvl="1">
      <w:lvlJc w:val="left"/>
      <w:lvlText w:val="%2"/>
      <w:numFmt w:val="lowerLetter"/>
      <w:start w:val="1"/>
    </w:lvl>
  </w:abstractNum>
  <w:abstractNum w:abstractNumId="7">
    <w:nsid w:val="189A769B"/>
    <w:multiLevelType w:val="hybridMultilevel"/>
    <w:lvl w:ilvl="0">
      <w:lvlJc w:val="left"/>
      <w:lvlText w:val="%1"/>
      <w:numFmt w:val="decimal"/>
      <w:start w:val="1"/>
    </w:lvl>
    <w:lvl w:ilvl="1">
      <w:lvlJc w:val="left"/>
      <w:lvlText w:val="(%2)"/>
      <w:numFmt w:val="lowerLetter"/>
      <w:start w:val="1"/>
    </w:lvl>
  </w:abstractNum>
  <w:abstractNum w:abstractNumId="8">
    <w:nsid w:val="54E49EB4"/>
    <w:multiLevelType w:val="hybridMultilevel"/>
    <w:lvl w:ilvl="0">
      <w:lvlJc w:val="left"/>
      <w:lvlText w:val="(%1)"/>
      <w:numFmt w:val="decimal"/>
      <w:start w:val="1"/>
    </w:lvl>
    <w:lvl w:ilvl="1">
      <w:lvlJc w:val="left"/>
      <w:lvlText w:val="%2"/>
      <w:numFmt w:val="lowerLetter"/>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1)"/>
      <w:numFmt w:val="lowerRoman"/>
      <w:start w:val="1"/>
    </w:lvl>
  </w:abstractNum>
  <w:abstractNum w:abstractNumId="13">
    <w:nsid w:val="3A95F874"/>
    <w:multiLevelType w:val="hybridMultilevel"/>
    <w:lvl w:ilvl="0">
      <w:lvlJc w:val="left"/>
      <w:lvlText w:val="(%1)"/>
      <w:numFmt w:val="decimal"/>
      <w:start w:val="1"/>
    </w:lvl>
  </w:abstractNum>
  <w:abstractNum w:abstractNumId="14">
    <w:nsid w:val="8138641"/>
    <w:multiLevelType w:val="hybridMultilevel"/>
    <w:lvl w:ilvl="0">
      <w:lvlJc w:val="left"/>
      <w:lvlText w:val="(%1)"/>
      <w:numFmt w:val="decimal"/>
      <w:start w:val="1"/>
    </w:lvl>
  </w:abstractNum>
  <w:abstractNum w:abstractNumId="15">
    <w:nsid w:val="1E7FF521"/>
    <w:multiLevelType w:val="hybridMultilevel"/>
    <w:lvl w:ilvl="0">
      <w:lvlJc w:val="left"/>
      <w:lvlText w:val="(%1)"/>
      <w:numFmt w:val="decimal"/>
      <w:start w:val="1"/>
    </w:lvl>
  </w:abstractNum>
  <w:abstractNum w:abstractNumId="16">
    <w:nsid w:val="7C3DBD3D"/>
    <w:multiLevelType w:val="hybridMultilevel"/>
    <w:lvl w:ilvl="0">
      <w:lvlJc w:val="left"/>
      <w:lvlText w:val="(%1)"/>
      <w:numFmt w:val="decimal"/>
      <w:start w:val="1"/>
    </w:lvl>
  </w:abstractNum>
  <w:abstractNum w:abstractNumId="17">
    <w:nsid w:val="737B8DDC"/>
    <w:multiLevelType w:val="hybridMultilevel"/>
    <w:lvl w:ilvl="0">
      <w:lvlJc w:val="left"/>
      <w:lvlText w:val="(%1)"/>
      <w:numFmt w:val="decimal"/>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1)"/>
      <w:numFmt w:val="decimal"/>
      <w:start w:val="1"/>
    </w:lvl>
  </w:abstractNum>
  <w:abstractNum w:abstractNumId="20">
    <w:nsid w:val="4516DDE9"/>
    <w:multiLevelType w:val="hybridMultilevel"/>
    <w:lvl w:ilvl="0">
      <w:lvlJc w:val="left"/>
      <w:lvlText w:val="(%1)"/>
      <w:numFmt w:val="decimal"/>
      <w:start w:val="1"/>
    </w:lvl>
  </w:abstractNum>
  <w:abstractNum w:abstractNumId="21">
    <w:nsid w:val="3006C83E"/>
    <w:multiLevelType w:val="hybridMultilevel"/>
    <w:lvl w:ilvl="0">
      <w:lvlJc w:val="left"/>
      <w:lvlText w:val="(%1)"/>
      <w:numFmt w:val="decimal"/>
      <w:start w:val="1"/>
    </w:lvl>
  </w:abstractNum>
  <w:abstractNum w:abstractNumId="22">
    <w:nsid w:val="614FD4A1"/>
    <w:multiLevelType w:val="hybridMultilevel"/>
    <w:lvl w:ilvl="0">
      <w:lvlJc w:val="left"/>
      <w:lvlText w:val="%1."/>
      <w:numFmt w:val="decimal"/>
      <w:start w:val="11"/>
    </w:lvl>
  </w:abstractNum>
  <w:abstractNum w:abstractNumId="23">
    <w:nsid w:val="419AC241"/>
    <w:multiLevelType w:val="hybridMultilevel"/>
    <w:lvl w:ilvl="0">
      <w:lvlJc w:val="left"/>
      <w:lvlText w:val="(%1)"/>
      <w:numFmt w:val="decimal"/>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1)"/>
      <w:numFmt w:val="decimal"/>
      <w:start w:val="1"/>
    </w:lvl>
  </w:abstractNum>
  <w:abstractNum w:abstractNumId="28">
    <w:nsid w:val="77465F01"/>
    <w:multiLevelType w:val="hybridMultilevel"/>
    <w:lvl w:ilvl="0">
      <w:lvlJc w:val="left"/>
      <w:lvlText w:val="(%1)"/>
      <w:numFmt w:val="decimal"/>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1)"/>
      <w:numFmt w:val="decimal"/>
      <w:start w:val="1"/>
    </w:lvl>
  </w:abstractNum>
  <w:abstractNum w:abstractNumId="32">
    <w:nsid w:val="5E884ADC"/>
    <w:multiLevelType w:val="hybridMultilevel"/>
    <w:lvl w:ilvl="0">
      <w:lvlJc w:val="left"/>
      <w:lvlText w:val="(%1)"/>
      <w:numFmt w:val="decimal"/>
      <w:start w:val="1"/>
    </w:lvl>
  </w:abstractNum>
  <w:abstractNum w:abstractNumId="33">
    <w:nsid w:val="51EAD36B"/>
    <w:multiLevelType w:val="hybridMultilevel"/>
    <w:lvl w:ilvl="0">
      <w:lvlJc w:val="left"/>
      <w:lvlText w:val="(%1)"/>
      <w:numFmt w:val="decimal"/>
      <w:start w:val="1"/>
    </w:lvl>
  </w:abstractNum>
  <w:abstractNum w:abstractNumId="34">
    <w:nsid w:val="2D517796"/>
    <w:multiLevelType w:val="hybridMultilevel"/>
    <w:lvl w:ilvl="0">
      <w:lvlJc w:val="left"/>
      <w:lvlText w:val="•"/>
      <w:numFmt w:val="bullet"/>
      <w:start w:val="1"/>
    </w:lvl>
  </w:abstractNum>
  <w:abstractNum w:abstractNumId="35">
    <w:nsid w:val="580BD78F"/>
    <w:multiLevelType w:val="hybridMultilevel"/>
    <w:lvl w:ilvl="0">
      <w:lvlJc w:val="left"/>
      <w:lvlText w:val="(%1)"/>
      <w:numFmt w:val="decimal"/>
      <w:start w:val="1"/>
    </w:lvl>
  </w:abstractNum>
  <w:abstractNum w:abstractNumId="36">
    <w:nsid w:val="153EA438"/>
    <w:multiLevelType w:val="hybridMultilevel"/>
    <w:lvl w:ilvl="0">
      <w:lvlJc w:val="left"/>
      <w:lvlText w:val="(%1)"/>
      <w:numFmt w:val="decimal"/>
      <w:start w:val="1"/>
    </w:lvl>
  </w:abstractNum>
  <w:abstractNum w:abstractNumId="37">
    <w:nsid w:val="3855585C"/>
    <w:multiLevelType w:val="hybridMultilevel"/>
    <w:lvl w:ilvl="0">
      <w:lvlJc w:val="left"/>
      <w:lvlText w:val="(%1)"/>
      <w:numFmt w:val="decimal"/>
      <w:start w:val="1"/>
    </w:lvl>
  </w:abstractNum>
  <w:abstractNum w:abstractNumId="38">
    <w:nsid w:val="70A64E2A"/>
    <w:multiLevelType w:val="hybridMultilevel"/>
    <w:lvl w:ilvl="0">
      <w:lvlJc w:val="left"/>
      <w:lvlText w:val="•"/>
      <w:numFmt w:val="bullet"/>
      <w:start w:val="1"/>
    </w:lvl>
  </w:abstractNum>
  <w:abstractNum w:abstractNumId="39">
    <w:nsid w:val="6A2342EC"/>
    <w:multiLevelType w:val="hybridMultilevel"/>
    <w:lvl w:ilvl="0">
      <w:lvlJc w:val="left"/>
      <w:lvlText w:val="•"/>
      <w:numFmt w:val="bullet"/>
      <w:start w:val="1"/>
    </w:lvl>
  </w:abstractNum>
  <w:abstractNum w:abstractNumId="40">
    <w:nsid w:val="2A487CB0"/>
    <w:multiLevelType w:val="hybridMultilevel"/>
    <w:lvl w:ilvl="0">
      <w:lvlJc w:val="left"/>
      <w:lvlText w:val="•"/>
      <w:numFmt w:val="bullet"/>
      <w:start w:val="1"/>
    </w:lvl>
  </w:abstractNum>
  <w:abstractNum w:abstractNumId="41">
    <w:nsid w:val="1D4ED43B"/>
    <w:multiLevelType w:val="hybridMultilevel"/>
    <w:lvl w:ilvl="0">
      <w:lvlJc w:val="left"/>
      <w:lvlText w:val="%1"/>
      <w:numFmt w:val="decimal"/>
      <w:start w:val="32"/>
    </w:lvl>
  </w:abstractNum>
  <w:abstractNum w:abstractNumId="42">
    <w:nsid w:val="725A06FB"/>
    <w:multiLevelType w:val="hybridMultilevel"/>
    <w:lvl w:ilvl="0">
      <w:lvlJc w:val="left"/>
      <w:lvlText w:val="(%1)"/>
      <w:numFmt w:val="decimal"/>
      <w:start w:val="1"/>
    </w:lvl>
    <w:lvl w:ilvl="1">
      <w:lvlJc w:val="left"/>
      <w:lvlText w:val="%2."/>
      <w:numFmt w:val="lowerLetter"/>
      <w:start w:val="1"/>
    </w:lvl>
  </w:abstractNum>
  <w:abstractNum w:abstractNumId="43">
    <w:nsid w:val="2CD89A32"/>
    <w:multiLevelType w:val="hybridMultilevel"/>
    <w:lvl w:ilvl="0">
      <w:lvlJc w:val="left"/>
      <w:lvlText w:val="(%1)"/>
      <w:numFmt w:val="decimal"/>
      <w:start w:val="1"/>
    </w:lvl>
    <w:lvl w:ilvl="1">
      <w:lvlJc w:val="left"/>
      <w:lvlText w:val="%2."/>
      <w:numFmt w:val="lowerLetter"/>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94" Type="http://schemas.openxmlformats.org/officeDocument/2006/relationships/image" Target="media/image682.png"/><Relationship Id="rId695" Type="http://schemas.openxmlformats.org/officeDocument/2006/relationships/image" Target="media/image683.png"/><Relationship Id="rId696" Type="http://schemas.openxmlformats.org/officeDocument/2006/relationships/image" Target="media/image684.png"/><Relationship Id="rId697" Type="http://schemas.openxmlformats.org/officeDocument/2006/relationships/image" Target="media/image685.png"/><Relationship Id="rId698" Type="http://schemas.openxmlformats.org/officeDocument/2006/relationships/image" Target="media/image686.png"/><Relationship Id="rId699" Type="http://schemas.openxmlformats.org/officeDocument/2006/relationships/image" Target="media/image687.png"/><Relationship Id="rId700" Type="http://schemas.openxmlformats.org/officeDocument/2006/relationships/image" Target="media/image688.png"/><Relationship Id="rId701" Type="http://schemas.openxmlformats.org/officeDocument/2006/relationships/image" Target="media/image689.png"/><Relationship Id="rId702" Type="http://schemas.openxmlformats.org/officeDocument/2006/relationships/image" Target="media/image690.png"/><Relationship Id="rId703" Type="http://schemas.openxmlformats.org/officeDocument/2006/relationships/image" Target="media/image691.png"/><Relationship Id="rId704" Type="http://schemas.openxmlformats.org/officeDocument/2006/relationships/image" Target="media/image692.png"/><Relationship Id="rId689" Type="http://schemas.openxmlformats.org/officeDocument/2006/relationships/hyperlink" Target="https://www.sec.gov/Archives/edgar/data/1925309/000119312522226504/d260658dex31.htm" TargetMode="External"/><Relationship Id="rId690" Type="http://schemas.openxmlformats.org/officeDocument/2006/relationships/hyperlink" Target="https://www.sec.gov/Archives/edgar/data/1925309/000119312526335004/ck0001925309-ex3_2.htm" TargetMode="External"/><Relationship Id="rId691" Type="http://schemas.openxmlformats.org/officeDocument/2006/relationships/hyperlink" Target="https://www.sec.gov/Archives/edgar/data/1925309/000119312526396659/d422629dex42.htm" TargetMode="External"/><Relationship Id="rId692" Type="http://schemas.openxmlformats.org/officeDocument/2006/relationships/hyperlink" Target="https://www.sec.gov/Archives/edgar/data/1925309/000119312526396659/d422629dex44.htm" TargetMode="External"/><Relationship Id="rId693" Type="http://schemas.openxmlformats.org/officeDocument/2006/relationships/hyperlink" Target="https://www.sec.gov/Archives/edgar/data/1925309/000119312526395557/d117260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2026-11-04T15:23:05Z</dcterms:created>
  <dcterms:modified xsi:type="dcterms:W3CDTF">2026-11-04T15:23:05Z</dcterms:modified>
</cp:coreProperties>
</file>