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925309-20260630.htm"/>
      <w:bookmarkStart w:id="1" w:name="ksck000192530920260630"/>
      <w:bookmarkEnd w:id="0"/>
      <w:bookmarkEnd w:id="1"/>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814-01543</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Sixth Street Lending Partners</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607" w:type="dxa"/>
        <w:jc w:val="left"/>
        <w:tblInd w:w="0" w:type="dxa"/>
        <w:tblLayout w:type="fixed"/>
        <w:tblCellMar>
          <w:top w:w="28" w:type="dxa"/>
          <w:left w:w="28" w:type="dxa"/>
          <w:bottom w:w="28" w:type="dxa"/>
          <w:right w:w="28" w:type="dxa"/>
        </w:tblCellMar>
      </w:tblPr>
      <w:tblGrid>
        <w:gridCol w:w="3121"/>
        <w:gridCol w:w="1486"/>
      </w:tblGrid>
      <w:tr>
        <w:trPr/>
        <w:tc>
          <w:tcPr>
            <w:tcW w:w="312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88-1710161</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(469) 621-3001</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Not applicable</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(Former name, former address and former fiscal year, if changed since last report)</w:t>
      </w:r>
    </w:p>
    <w:p>
      <w:pPr>
        <w:pStyle w:val="TextBody"/>
        <w:bidi w:val="0"/>
        <w:jc w:val="center"/>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Securities registered pursuant to Section 12(b) of the Act:</w:t>
      </w:r>
    </w:p>
    <w:tbl>
      <w:tblPr>
        <w:tblW w:w="5988" w:type="dxa"/>
        <w:jc w:val="left"/>
        <w:tblInd w:w="0" w:type="dxa"/>
        <w:tblLayout w:type="fixed"/>
        <w:tblCellMar>
          <w:top w:w="28" w:type="dxa"/>
          <w:left w:w="28" w:type="dxa"/>
          <w:bottom w:w="28" w:type="dxa"/>
          <w:right w:w="28" w:type="dxa"/>
        </w:tblCellMar>
      </w:tblPr>
      <w:tblGrid>
        <w:gridCol w:w="1396"/>
        <w:gridCol w:w="1276"/>
        <w:gridCol w:w="3316"/>
      </w:tblGrid>
      <w:tr>
        <w:trPr/>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3316" w:type="dxa"/>
            <w:tcBorders/>
            <w:shd w:fill="FFFFFF" w:val="clear"/>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r>
    </w:tbl>
    <w:p>
      <w:pPr>
        <w:pStyle w:val="TextBody"/>
        <w:bidi w:val="0"/>
        <w:jc w:val="center"/>
        <w:rPr/>
      </w:pPr>
      <w:r>
        <w:rPr/>
        <w:t> </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34" w:type="dxa"/>
        <w:jc w:val="left"/>
        <w:tblInd w:w="0" w:type="dxa"/>
        <w:tblLayout w:type="fixed"/>
        <w:tblCellMar>
          <w:top w:w="28" w:type="dxa"/>
          <w:left w:w="28" w:type="dxa"/>
          <w:bottom w:w="28" w:type="dxa"/>
          <w:right w:w="28" w:type="dxa"/>
        </w:tblCellMar>
      </w:tblPr>
      <w:tblGrid>
        <w:gridCol w:w="1666"/>
        <w:gridCol w:w="376"/>
        <w:gridCol w:w="2071"/>
        <w:gridCol w:w="42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The number of common shares of beneficial interest, $.001 par value per share, outstanding at August 5, 2026 was 161,090,631.</w:t>
      </w:r>
    </w:p>
    <w:p>
      <w:pPr>
        <w:pStyle w:val="TextBody"/>
        <w:bidi w:val="0"/>
        <w:jc w:val="left"/>
        <w:rPr/>
      </w:pPr>
      <w:r>
        <w:rPr/>
        <w: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88"/>
        <w:gridCol w:w="146"/>
        <w:gridCol w:w="8508"/>
        <w:gridCol w:w="146"/>
        <w:gridCol w:w="617"/>
      </w:tblGrid>
      <w:tr>
        <w:trPr/>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June 30, 2026</w:t>
              </w:r>
            </w:hyperlink>
            <w:hyperlink w:anchor="consolidated_balance_sheets">
              <w:r>
                <w:rPr>
                  <w:rStyle w:val="InternetLink"/>
                  <w:rFonts w:ascii="Times New Roman" w:hAnsi="Times New Roman"/>
                  <w:color w:val="0000FF"/>
                  <w:sz w:val="20"/>
                </w:rPr>
                <w:t xml:space="preserve"> </w:t>
              </w:r>
            </w:hyperlink>
            <w:hyperlink w:anchor="consolidated_balance_sheets">
              <w:r>
                <w:rPr>
                  <w:rStyle w:val="InternetLink"/>
                  <w:rFonts w:ascii="Times New Roman" w:hAnsi="Times New Roman"/>
                  <w:color w:val="0000FF"/>
                  <w:sz w:val="20"/>
                  <w:u w:val="single"/>
                </w:rPr>
                <w:t>(Unaudited)</w:t>
              </w:r>
            </w:hyperlink>
            <w:hyperlink w:anchor="consolidated_balance_sheets">
              <w:r>
                <w:rPr>
                  <w:rStyle w:val="InternetLink"/>
                  <w:rFonts w:ascii="Times New Roman" w:hAnsi="Times New Roman"/>
                  <w:color w:val="0000FF"/>
                  <w:sz w:val="20"/>
                </w:rPr>
                <w:t xml:space="preserve"> </w:t>
              </w:r>
            </w:hyperlink>
            <w:hyperlink w:anchor="consolidated_balance_sheets">
              <w:r>
                <w:rPr>
                  <w:rStyle w:val="InternetLink"/>
                  <w:rFonts w:ascii="Times New Roman" w:hAnsi="Times New Roman"/>
                  <w:color w:val="0000FF"/>
                  <w:sz w:val="20"/>
                  <w:u w:val="single"/>
                </w:rPr>
                <w:t>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three and six months ended June 30, 2026 and 2025</w:t>
              </w:r>
            </w:hyperlink>
            <w:r>
              <w:rPr>
                <w:rFonts w:ascii="Times New Roman" w:hAnsi="Times New Roman"/>
                <w:color w:val="000000"/>
                <w:sz w:val="20"/>
              </w:rPr>
              <w:t xml:space="preserve"> </w:t>
            </w:r>
            <w:hyperlink w:anchor="consolidated_statements_operations">
              <w:r>
                <w:rPr>
                  <w:rStyle w:val="InternetLink"/>
                  <w:rFonts w:ascii="Times New Roman" w:hAnsi="Times New Roman"/>
                  <w:color w:val="0000FF"/>
                  <w:sz w:val="20"/>
                  <w:u w:val="single"/>
                </w:rPr>
                <w:t>(Unaudited)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schedule_of_investments">
              <w:r>
                <w:rPr>
                  <w:rStyle w:val="InternetLink"/>
                  <w:rFonts w:ascii="Times New Roman" w:hAnsi="Times New Roman"/>
                  <w:color w:val="0000FF"/>
                  <w:sz w:val="20"/>
                  <w:u w:val="single"/>
                </w:rPr>
                <w:t>Consolidated Schedules of Investments as of June 30,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tatements_changes_in_net_a">
              <w:r>
                <w:rPr>
                  <w:rStyle w:val="InternetLink"/>
                  <w:rFonts w:ascii="Times New Roman" w:hAnsi="Times New Roman"/>
                  <w:color w:val="0000FF"/>
                  <w:sz w:val="20"/>
                  <w:u w:val="single"/>
                </w:rPr>
                <w:t>Consolidated Statements of Changes in Net Assets for the three and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42"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STATEMENT REGARDING FORWARD-LOOKING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factors previously identified elsewhere in the reports and other documents Sixth Street Lending Partners (the “Company”, “we”, “us” or “our”), has filed with the U.S. Securities and Exchange Commission (the “SEC”), the following factors, among others, could cause actual results to differ materially from forward-looking statements or historical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economic downturn could impair our portfolio companies’ abilities to continue to operate, which could lead to the loss of some or all of our investments in those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also impact availability and pricing of our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access the capital markets could impair our ability to raise capital and our investment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could negatively impact our business, including our ability to access the debt markets on favorable terms, or could negatively impact our portfolio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political, economic or industry conditions, the interest rate environment or conditions affecting the financial and capital markets, including the effects of trade policies, government regulation and geopolitical conflicts may adversely affect our operations and the operations of our portfolio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risks, uncertainties and other factors we identify in the section entitled “Risk Factors” in this report, in our Annual Report on Form 10-K for the year ended December 31, 2025, filed with the SEC on February 13, 2026, and elsewhere in our filings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83"/>
        <w:gridCol w:w="146"/>
        <w:gridCol w:w="196"/>
        <w:gridCol w:w="826"/>
        <w:gridCol w:w="146"/>
        <w:gridCol w:w="146"/>
        <w:gridCol w:w="205"/>
        <w:gridCol w:w="865"/>
        <w:gridCol w:w="592"/>
      </w:tblGrid>
      <w:tr>
        <w:trPr/>
        <w:tc>
          <w:tcPr>
            <w:tcW w:w="7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Non-controlled, non-affiliated investments (amortized cost of $8,586,771</w:t>
            </w:r>
            <w:r>
              <w:rPr>
                <w:rFonts w:ascii="Times New Roman" w:hAnsi="Times New Roman"/>
                <w:color w:val="000000"/>
                <w:sz w:val="20"/>
              </w:rPr>
              <w:t> </w:t>
            </w:r>
            <w:r>
              <w:rPr>
                <w:rFonts w:ascii="Times New Roman" w:hAnsi="Times New Roman"/>
                <w:color w:val="000000"/>
                <w:sz w:val="16"/>
              </w:rPr>
              <w:t>and $7,892,866,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8,626,425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8,108,654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Non-controlled, affiliated investments (amortized cost of $25,704</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(amortized cost of $8,612,475</w:t>
            </w:r>
            <w:r>
              <w:rPr>
                <w:rFonts w:ascii="Times New Roman" w:hAnsi="Times New Roman"/>
                <w:color w:val="000000"/>
                <w:sz w:val="20"/>
              </w:rPr>
              <w:t> </w:t>
            </w:r>
            <w:r>
              <w:rPr>
                <w:rFonts w:ascii="Times New Roman" w:hAnsi="Times New Roman"/>
                <w:color w:val="000000"/>
                <w:sz w:val="16"/>
              </w:rPr>
              <w:t>and $7,892,866,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8,653,350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8,108,654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(restricted cash of $63,654</w:t>
            </w:r>
            <w:r>
              <w:rPr>
                <w:rFonts w:ascii="Times New Roman" w:hAnsi="Times New Roman"/>
                <w:color w:val="000000"/>
                <w:sz w:val="20"/>
              </w:rPr>
              <w:t> </w:t>
            </w:r>
            <w:r>
              <w:rPr>
                <w:rFonts w:ascii="Times New Roman" w:hAnsi="Times New Roman"/>
                <w:color w:val="000000"/>
                <w:sz w:val="16"/>
              </w:rPr>
              <w:t>and $47,671,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454,681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75,018</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52,948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8,849,182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8,691,301</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Debt (net of deferred financing costs of $38,624</w:t>
            </w:r>
            <w:r>
              <w:rPr>
                <w:rFonts w:ascii="Times New Roman" w:hAnsi="Times New Roman"/>
                <w:color w:val="000000"/>
                <w:sz w:val="20"/>
              </w:rPr>
              <w:t> </w:t>
            </w:r>
            <w:r>
              <w:rPr>
                <w:rFonts w:ascii="Times New Roman" w:hAnsi="Times New Roman"/>
                <w:color w:val="000000"/>
                <w:sz w:val="16"/>
              </w:rPr>
              <w:t>and $37,041,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4,088,266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4,132,825</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19,818</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260,389</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78,405</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4,319,493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4,520,813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shares, $0.001</w:t>
            </w:r>
            <w:r>
              <w:rPr>
                <w:rFonts w:ascii="Times New Roman" w:hAnsi="Times New Roman"/>
                <w:color w:val="000000"/>
                <w:sz w:val="20"/>
              </w:rPr>
              <w:t> </w:t>
            </w:r>
            <w:r>
              <w:rPr>
                <w:rFonts w:ascii="Times New Roman" w:hAnsi="Times New Roman"/>
                <w:color w:val="000000"/>
                <w:sz w:val="16"/>
              </w:rPr>
              <w:t>par value; unlimited</w:t>
            </w:r>
            <w:r>
              <w:rPr>
                <w:rFonts w:ascii="Times New Roman" w:hAnsi="Times New Roman"/>
                <w:color w:val="000000"/>
                <w:sz w:val="20"/>
              </w:rPr>
              <w:t> </w:t>
            </w:r>
            <w:r>
              <w:rPr>
                <w:rFonts w:ascii="Times New Roman" w:hAnsi="Times New Roman"/>
                <w:color w:val="000000"/>
                <w:sz w:val="16"/>
              </w:rPr>
              <w:t>shares authorized (161,090,631</w:t>
            </w:r>
            <w:r>
              <w:rPr>
                <w:rFonts w:ascii="Times New Roman" w:hAnsi="Times New Roman"/>
                <w:color w:val="000000"/>
                <w:sz w:val="20"/>
              </w:rPr>
              <w:t> </w:t>
            </w:r>
            <w:r>
              <w:rPr>
                <w:rFonts w:ascii="Times New Roman" w:hAnsi="Times New Roman"/>
                <w:color w:val="000000"/>
                <w:sz w:val="16"/>
              </w:rPr>
              <w:t>and 146,285,685, shares 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4,523,648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4,100,272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70,070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4,529,689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4,170,488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8,849,182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8,691,301</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8"/>
        <w:gridCol w:w="146"/>
        <w:gridCol w:w="196"/>
        <w:gridCol w:w="1006"/>
        <w:gridCol w:w="166"/>
        <w:gridCol w:w="146"/>
        <w:gridCol w:w="196"/>
        <w:gridCol w:w="1006"/>
        <w:gridCol w:w="166"/>
        <w:gridCol w:w="146"/>
        <w:gridCol w:w="196"/>
        <w:gridCol w:w="1006"/>
        <w:gridCol w:w="166"/>
        <w:gridCol w:w="146"/>
        <w:gridCol w:w="196"/>
        <w:gridCol w:w="1006"/>
        <w:gridCol w:w="166"/>
        <w:gridCol w:w="991"/>
      </w:tblGrid>
      <w:tr>
        <w:trPr/>
        <w:tc>
          <w:tcPr>
            <w:tcW w:w="3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481,618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Trustees’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waived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153,978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152,429,976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142,575,112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150,850,360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141,881,062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Lending Partners</w:t>
      </w:r>
    </w:p>
    <w:p>
      <w:pPr>
        <w:pStyle w:val="TextBody"/>
        <w:bidi w:val="0"/>
        <w:spacing w:before="240" w:after="283"/>
        <w:jc w:val="center"/>
        <w:rPr>
          <w:rFonts w:ascii="Times New Roman" w:hAnsi="Times New Roman"/>
          <w:b/>
          <w:color w:val="000000"/>
          <w:sz w:val="20"/>
        </w:rPr>
      </w:pPr>
      <w:bookmarkStart w:id="6" w:name="schedule_of_investments"/>
      <w:bookmarkEnd w:id="6"/>
      <w:r>
        <w:rPr>
          <w:rFonts w:ascii="Times New Roman" w:hAnsi="Times New Roman"/>
          <w:b/>
          <w:color w:val="000000"/>
          <w:sz w:val="20"/>
        </w:rPr>
        <w:t>Consolidated Schedule of Investments as of June 30, 2026</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3"/>
        <w:gridCol w:w="146"/>
        <w:gridCol w:w="1571"/>
        <w:gridCol w:w="146"/>
        <w:gridCol w:w="796"/>
        <w:gridCol w:w="146"/>
        <w:gridCol w:w="146"/>
        <w:gridCol w:w="870"/>
        <w:gridCol w:w="211"/>
        <w:gridCol w:w="146"/>
        <w:gridCol w:w="207"/>
        <w:gridCol w:w="621"/>
        <w:gridCol w:w="211"/>
        <w:gridCol w:w="146"/>
        <w:gridCol w:w="181"/>
        <w:gridCol w:w="691"/>
        <w:gridCol w:w="146"/>
        <w:gridCol w:w="146"/>
        <w:gridCol w:w="187"/>
        <w:gridCol w:w="717"/>
        <w:gridCol w:w="146"/>
        <w:gridCol w:w="146"/>
        <w:gridCol w:w="224"/>
        <w:gridCol w:w="555"/>
        <w:gridCol w:w="260"/>
      </w:tblGrid>
      <w:tr>
        <w:trPr/>
        <w:tc>
          <w:tcPr>
            <w:tcW w:w="1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Truck-Lite Co.,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($302,396</w:t>
            </w:r>
            <w:r>
              <w:rPr>
                <w:rFonts w:ascii="Times New Roman" w:hAnsi="Times New Roman"/>
                <w:color w:val="000000"/>
                <w:sz w:val="20"/>
              </w:rPr>
              <w:t> </w:t>
            </w:r>
            <w:r>
              <w:rPr>
                <w:rFonts w:ascii="Times New Roman" w:hAnsi="Times New Roman"/>
                <w:color w:val="000000"/>
                <w:sz w:val="14"/>
              </w:rPr>
              <w:t>par, due 2/2032)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Artisan Bidco, Inc.</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($112,416</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51,077</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56,936</w:t>
              <w:br/>
              <w:t> (EUR 49,800)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($13,790</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Azurite Intermediate Holdings,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($213,216</w:t>
            </w:r>
            <w:r>
              <w:rPr>
                <w:rFonts w:ascii="Times New Roman" w:hAnsi="Times New Roman"/>
                <w:color w:val="000000"/>
                <w:sz w:val="20"/>
              </w:rPr>
              <w:t> </w:t>
            </w:r>
            <w:r>
              <w:rPr>
                <w:rFonts w:ascii="Times New Roman" w:hAnsi="Times New Roman"/>
                <w:color w:val="000000"/>
                <w:sz w:val="14"/>
              </w:rPr>
              <w:t>par, due 3/2031)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Ignition Purchaser,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holdco loan ($231,172</w:t>
            </w:r>
            <w:r>
              <w:rPr>
                <w:rFonts w:ascii="Times New Roman" w:hAnsi="Times New Roman"/>
                <w:color w:val="000000"/>
                <w:sz w:val="20"/>
              </w:rPr>
              <w:t> </w:t>
            </w:r>
            <w:r>
              <w:rPr>
                <w:rFonts w:ascii="Times New Roman" w:hAnsi="Times New Roman"/>
                <w:color w:val="000000"/>
                <w:sz w:val="14"/>
              </w:rPr>
              <w:t>par, due 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Crewline Buyer,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($152,696</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Elements Finco Limited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($25,911</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 (incl. 2.25%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($20,857</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120,284</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 (incl. 2.50%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158,450</w:t>
              <w:br/>
              <w:t> (GBP 119,382)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Lynx BidCo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($44,104</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68,300</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77,207</w:t>
              <w:br/>
              <w:t> (EUR 67,530)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Price Fx Inc.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1,046</w:t>
              <w:br/>
              <w:t> (EUR 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1,046</w:t>
              <w:br/>
              <w:t> (EUR 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USA DeBusk,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($141,669</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($16,031</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Wrangler TopCo,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($134,232</w:t>
            </w:r>
            <w:r>
              <w:rPr>
                <w:rFonts w:ascii="Times New Roman" w:hAnsi="Times New Roman"/>
                <w:color w:val="000000"/>
                <w:sz w:val="20"/>
              </w:rPr>
              <w:t> </w:t>
            </w:r>
            <w:r>
              <w:rPr>
                <w:rFonts w:ascii="Times New Roman" w:hAnsi="Times New Roman"/>
                <w:color w:val="000000"/>
                <w:sz w:val="14"/>
              </w:rPr>
              <w:t>par, due 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132,356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1,386,449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Erling Lux Bidco SARL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11,549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13,017</w:t>
              <w:br/>
              <w:t> (EUR 11,386)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19,959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26,226</w:t>
              <w:br/>
              <w:t> (GBP 19,760)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(NOK 7,427</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N</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743</w:t>
              <w:br/>
              <w:t> (NOK 7,353)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(GBP 635</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834</w:t>
              <w:br/>
              <w:t> (GBP 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Aurelia Netherlands B.V.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326,566</w:t>
            </w:r>
            <w:r>
              <w:rPr>
                <w:rFonts w:ascii="Times New Roman" w:hAnsi="Times New Roman"/>
                <w:color w:val="000000"/>
                <w:sz w:val="20"/>
              </w:rPr>
              <w:t> </w:t>
            </w:r>
            <w:r>
              <w:rPr>
                <w:rFonts w:ascii="Times New Roman" w:hAnsi="Times New Roman"/>
                <w:color w:val="000000"/>
                <w:sz w:val="14"/>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371,496</w:t>
              <w:br/>
              <w:t> (EUR 324,933)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Kangaroo Bidco AS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($157,500</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Severin Acquisition,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($191,928</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 (incl. 2.25%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($11,227</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Sapphire Software Buyer,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($223,581</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Alaska Bidco Oy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w:t>
              <w:br/>
              <w:t> (EUR 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Arlberg Bidco, LLC </w:t>
            </w:r>
            <w:r>
              <w:rPr>
                <w:rFonts w:ascii="Times New Roman" w:hAnsi="Times New Roman"/>
                <w:color w:val="000000"/>
                <w:sz w:val="9"/>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($5,000</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GreenShoot BidCo B.V.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5,107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5,650</w:t>
              <w:br/>
              <w:t> (EUR 4,942)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Volante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($3,029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Aledade,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($42,051</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1"/>
        <w:gridCol w:w="146"/>
        <w:gridCol w:w="1895"/>
        <w:gridCol w:w="146"/>
        <w:gridCol w:w="569"/>
        <w:gridCol w:w="146"/>
        <w:gridCol w:w="146"/>
        <w:gridCol w:w="884"/>
        <w:gridCol w:w="211"/>
        <w:gridCol w:w="146"/>
        <w:gridCol w:w="238"/>
        <w:gridCol w:w="714"/>
        <w:gridCol w:w="211"/>
        <w:gridCol w:w="146"/>
        <w:gridCol w:w="146"/>
        <w:gridCol w:w="586"/>
        <w:gridCol w:w="146"/>
        <w:gridCol w:w="146"/>
        <w:gridCol w:w="155"/>
        <w:gridCol w:w="739"/>
        <w:gridCol w:w="146"/>
        <w:gridCol w:w="146"/>
        <w:gridCol w:w="146"/>
        <w:gridCol w:w="361"/>
        <w:gridCol w:w="259"/>
      </w:tblGrid>
      <w:tr>
        <w:trPr/>
        <w:tc>
          <w:tcPr>
            <w:tcW w:w="1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Ace Purchaser, Inc.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($90,000</w:t>
            </w:r>
            <w:r>
              <w:rPr>
                <w:rFonts w:ascii="Times New Roman" w:hAnsi="Times New Roman"/>
                <w:color w:val="000000"/>
                <w:sz w:val="20"/>
              </w:rPr>
              <w:t> </w:t>
            </w:r>
            <w:r>
              <w:rPr>
                <w:rFonts w:ascii="Times New Roman" w:hAnsi="Times New Roman"/>
                <w:color w:val="000000"/>
                <w:sz w:val="14"/>
              </w:rPr>
              <w:t>par, due 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Eventus Buyer,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($53,512</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($3,493</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HMP Omnimedia,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($124,288</w:t>
            </w:r>
            <w:r>
              <w:rPr>
                <w:rFonts w:ascii="Times New Roman" w:hAnsi="Times New Roman"/>
                <w:color w:val="000000"/>
                <w:sz w:val="20"/>
              </w:rPr>
              <w:t> </w:t>
            </w:r>
            <w:r>
              <w:rPr>
                <w:rFonts w:ascii="Times New Roman" w:hAnsi="Times New Roman"/>
                <w:color w:val="000000"/>
                <w:sz w:val="14"/>
              </w:rPr>
              <w:t>par, due 7/2032)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Ingenovis Health Finance,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($10,000</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LIHA Holdco B.V. </w:t>
            </w:r>
            <w:r>
              <w:rPr>
                <w:rFonts w:ascii="Times New Roman" w:hAnsi="Times New Roman"/>
                <w:color w:val="000000"/>
                <w:sz w:val="9"/>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5,873</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6,715</w:t>
              <w:br/>
              <w:t> (EUR 5,873)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318</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w:t>
              <w:br/>
              <w:t> (EUR 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($113,093</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($518</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Resistance Holdings,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($292,500</w:t>
            </w:r>
            <w:r>
              <w:rPr>
                <w:rFonts w:ascii="Times New Roman" w:hAnsi="Times New Roman"/>
                <w:color w:val="000000"/>
                <w:sz w:val="20"/>
              </w:rPr>
              <w:t> </w:t>
            </w:r>
            <w:r>
              <w:rPr>
                <w:rFonts w:ascii="Times New Roman" w:hAnsi="Times New Roman"/>
                <w:color w:val="000000"/>
                <w:sz w:val="14"/>
              </w:rPr>
              <w:t>par, due 3/2031)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Symplr Software Inc. </w:t>
            </w:r>
            <w:r>
              <w:rPr>
                <w:rFonts w:ascii="Times New Roman" w:hAnsi="Times New Roman"/>
                <w:color w:val="000000"/>
                <w:sz w:val="9"/>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($1,263</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Velocity Clinical Research,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($273,523</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($2,236</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996,450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1,004,276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AVSC Holding Corp.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($245,314</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($3,190</w:t>
            </w:r>
            <w:r>
              <w:rPr>
                <w:rFonts w:ascii="Times New Roman" w:hAnsi="Times New Roman"/>
                <w:color w:val="000000"/>
                <w:sz w:val="20"/>
              </w:rPr>
              <w:t> </w:t>
            </w:r>
            <w:r>
              <w:rPr>
                <w:rFonts w:ascii="Times New Roman" w:hAnsi="Times New Roman"/>
                <w:color w:val="000000"/>
                <w:sz w:val="14"/>
              </w:rPr>
              <w:t>par, due 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Equinox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($208,376 par, due 3/2029)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($11,872</w:t>
            </w:r>
            <w:r>
              <w:rPr>
                <w:rFonts w:ascii="Times New Roman" w:hAnsi="Times New Roman"/>
                <w:color w:val="000000"/>
                <w:sz w:val="20"/>
              </w:rPr>
              <w:t> </w:t>
            </w:r>
            <w:r>
              <w:rPr>
                <w:rFonts w:ascii="Times New Roman" w:hAnsi="Times New Roman"/>
                <w:color w:val="000000"/>
                <w:sz w:val="14"/>
              </w:rPr>
              <w:t>par, due 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Mindbody,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($177,778</w:t>
            </w:r>
            <w:r>
              <w:rPr>
                <w:rFonts w:ascii="Times New Roman" w:hAnsi="Times New Roman"/>
                <w:color w:val="000000"/>
                <w:sz w:val="20"/>
              </w:rPr>
              <w:t> </w:t>
            </w:r>
            <w:r>
              <w:rPr>
                <w:rFonts w:ascii="Times New Roman" w:hAnsi="Times New Roman"/>
                <w:color w:val="000000"/>
                <w:sz w:val="14"/>
              </w:rPr>
              <w:t>par, due 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Sport Alliance GmbH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37,912</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 (incl. 4.13%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42,871</w:t>
              <w:br/>
              <w:t> (EUR 37,497)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208</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br/>
              <w:t> (EUR 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($210,368</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HireVue,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($116,330</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($14,257</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PayScale Holdings, Inc.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($71,723</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408,207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 Buyer,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($134,158</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Big Wombat Holdings, Inc.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($25,832</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Coupa Holdings,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($157,284</w:t>
            </w:r>
            <w:r>
              <w:rPr>
                <w:rFonts w:ascii="Times New Roman" w:hAnsi="Times New Roman"/>
                <w:color w:val="000000"/>
                <w:sz w:val="20"/>
              </w:rPr>
              <w:t> </w:t>
            </w:r>
            <w:r>
              <w:rPr>
                <w:rFonts w:ascii="Times New Roman" w:hAnsi="Times New Roman"/>
                <w:color w:val="000000"/>
                <w:sz w:val="14"/>
              </w:rPr>
              <w:t>par, due 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($6,692</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EDB Parent,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($18,627</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Flight Intermediate HoldCo,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($46,500</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Hippo XPA Bidco AB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(SEK 286,087</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STIBOR</w:t>
            </w:r>
            <w:r>
              <w:rPr>
                <w:rFonts w:ascii="Times New Roman" w:hAnsi="Times New Roman"/>
                <w:color w:val="000000"/>
                <w:sz w:val="20"/>
              </w:rPr>
              <w:t> </w:t>
            </w:r>
            <w:r>
              <w:rPr>
                <w:rFonts w:ascii="Times New Roman" w:hAnsi="Times New Roman"/>
                <w:color w:val="000000"/>
                <w:sz w:val="14"/>
              </w:rPr>
              <w:t>+ 6.75%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 (incl. 3.63%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29,560</w:t>
              <w:br/>
              <w:t> (SEK 286,087)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2,618</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9.04% (incl. 3.63%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2,993</w:t>
              <w:br/>
              <w:t> (EUR 2,618)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(SEK 3,906</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STIBOR</w:t>
            </w:r>
            <w:r>
              <w:rPr>
                <w:rFonts w:ascii="Times New Roman" w:hAnsi="Times New Roman"/>
                <w:color w:val="000000"/>
                <w:sz w:val="20"/>
              </w:rPr>
              <w:t> </w:t>
            </w:r>
            <w:r>
              <w:rPr>
                <w:rFonts w:ascii="Times New Roman" w:hAnsi="Times New Roman"/>
                <w:color w:val="000000"/>
                <w:sz w:val="14"/>
              </w:rPr>
              <w:t>+ 6.25%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404</w:t>
              <w:br/>
              <w:t> (SEK 3,906)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Kaseware Intermediate Holding Company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($32,941</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($206</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Kryptona BidCo US,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($222,529</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 (incl. 3.13%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9"/>
        <w:gridCol w:w="146"/>
        <w:gridCol w:w="1881"/>
        <w:gridCol w:w="146"/>
        <w:gridCol w:w="575"/>
        <w:gridCol w:w="146"/>
        <w:gridCol w:w="146"/>
        <w:gridCol w:w="886"/>
        <w:gridCol w:w="211"/>
        <w:gridCol w:w="146"/>
        <w:gridCol w:w="251"/>
        <w:gridCol w:w="749"/>
        <w:gridCol w:w="211"/>
        <w:gridCol w:w="146"/>
        <w:gridCol w:w="146"/>
        <w:gridCol w:w="586"/>
        <w:gridCol w:w="146"/>
        <w:gridCol w:w="146"/>
        <w:gridCol w:w="168"/>
        <w:gridCol w:w="676"/>
        <w:gridCol w:w="146"/>
        <w:gridCol w:w="146"/>
        <w:gridCol w:w="146"/>
        <w:gridCol w:w="361"/>
        <w:gridCol w:w="259"/>
      </w:tblGrid>
      <w:tr>
        <w:trPr/>
        <w:tc>
          <w:tcPr>
            <w:tcW w:w="1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49,883</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 (incl. 3.13%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56,457</w:t>
              <w:br/>
              <w:t> (EUR 49,381)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Rainfocus, LLC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($11,135</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SMA Technologies Holdings,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($31,841</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769,056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ASP Unifrax Holdings, Inc. </w:t>
            </w:r>
            <w:r>
              <w:rPr>
                <w:rFonts w:ascii="Times New Roman" w:hAnsi="Times New Roman"/>
                <w:color w:val="000000"/>
                <w:sz w:val="9"/>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($3,676 par, due 9/2029)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 (incl. 4.75%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note ($2,031</w:t>
            </w:r>
            <w:r>
              <w:rPr>
                <w:rFonts w:ascii="Times New Roman" w:hAnsi="Times New Roman"/>
                <w:color w:val="000000"/>
                <w:sz w:val="20"/>
              </w:rPr>
              <w:t> </w:t>
            </w:r>
            <w:r>
              <w:rPr>
                <w:rFonts w:ascii="Times New Roman" w:hAnsi="Times New Roman"/>
                <w:color w:val="000000"/>
                <w:sz w:val="14"/>
              </w:rPr>
              <w:t>par, due 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 (incl. 1.25%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Leg Purchaser,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($194,087</w:t>
            </w:r>
            <w:r>
              <w:rPr>
                <w:rFonts w:ascii="Times New Roman" w:hAnsi="Times New Roman"/>
                <w:color w:val="000000"/>
                <w:sz w:val="20"/>
              </w:rPr>
              <w:t> </w:t>
            </w:r>
            <w:r>
              <w:rPr>
                <w:rFonts w:ascii="Times New Roman" w:hAnsi="Times New Roman"/>
                <w:color w:val="000000"/>
                <w:sz w:val="14"/>
              </w:rPr>
              <w:t>par, due 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($11,348</w:t>
            </w:r>
            <w:r>
              <w:rPr>
                <w:rFonts w:ascii="Times New Roman" w:hAnsi="Times New Roman"/>
                <w:color w:val="000000"/>
                <w:sz w:val="20"/>
              </w:rPr>
              <w:t> </w:t>
            </w:r>
            <w:r>
              <w:rPr>
                <w:rFonts w:ascii="Times New Roman" w:hAnsi="Times New Roman"/>
                <w:color w:val="000000"/>
                <w:sz w:val="14"/>
              </w:rPr>
              <w:t>par, due 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P</w:t>
            </w:r>
            <w:r>
              <w:rPr>
                <w:rFonts w:ascii="Times New Roman" w:hAnsi="Times New Roman"/>
                <w:color w:val="000000"/>
                <w:sz w:val="20"/>
              </w:rPr>
              <w:t> </w:t>
            </w:r>
            <w:r>
              <w:rPr>
                <w:rFonts w:ascii="Times New Roman" w:hAnsi="Times New Roman"/>
                <w:color w:val="000000"/>
                <w:sz w:val="14"/>
              </w:rPr>
              <w:t>+ 4.25%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Varinem German BidCo GmbH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12,696</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14,588</w:t>
              <w:br/>
              <w:t> (EUR 12,760)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5,216</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5,890</w:t>
              <w:br/>
              <w:t> (EUR 5,151)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Laramie Energy,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($97,561</w:t>
            </w:r>
            <w:r>
              <w:rPr>
                <w:rFonts w:ascii="Times New Roman" w:hAnsi="Times New Roman"/>
                <w:color w:val="000000"/>
                <w:sz w:val="20"/>
              </w:rPr>
              <w:t> </w:t>
            </w:r>
            <w:r>
              <w:rPr>
                <w:rFonts w:ascii="Times New Roman" w:hAnsi="Times New Roman"/>
                <w:color w:val="000000"/>
                <w:sz w:val="14"/>
              </w:rPr>
              <w:t>par, due 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Boréal Bidco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(EUR 133,458</w:t>
            </w:r>
            <w:r>
              <w:rPr>
                <w:rFonts w:ascii="Times New Roman" w:hAnsi="Times New Roman"/>
                <w:color w:val="000000"/>
                <w:sz w:val="20"/>
              </w:rPr>
              <w:t> </w:t>
            </w:r>
            <w:r>
              <w:rPr>
                <w:rFonts w:ascii="Times New Roman" w:hAnsi="Times New Roman"/>
                <w:color w:val="000000"/>
                <w:sz w:val="14"/>
              </w:rPr>
              <w:t>par, due 3/2032)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 (incl. 4.00%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151,438</w:t>
              <w:br/>
              <w:t> (EUR 132,457)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Cast &amp; Crew,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(CAD 141,298</w:t>
            </w:r>
            <w:r>
              <w:rPr>
                <w:rFonts w:ascii="Times New Roman" w:hAnsi="Times New Roman"/>
                <w:color w:val="000000"/>
                <w:sz w:val="20"/>
              </w:rPr>
              <w:t> </w:t>
            </w:r>
            <w:r>
              <w:rPr>
                <w:rFonts w:ascii="Times New Roman" w:hAnsi="Times New Roman"/>
                <w:color w:val="000000"/>
                <w:sz w:val="14"/>
              </w:rPr>
              <w:t>par, due 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C</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37,597</w:t>
              <w:br/>
              <w:t> (CAD 53,340)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($13,457</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Omnigo Software,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($70,521</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Scorpio Bidco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75,326</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85,349</w:t>
              <w:br/>
              <w:t> (EUR 74,651)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Sediver S.p.A.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(EUR 57,989</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65,950</w:t>
              <w:br/>
              <w:t> (EUR 57,684)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($160,437</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Arrowhead Pharmaceuticals, Inc. </w:t>
            </w: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($113,832</w:t>
            </w:r>
            <w:r>
              <w:rPr>
                <w:rFonts w:ascii="Times New Roman" w:hAnsi="Times New Roman"/>
                <w:color w:val="000000"/>
                <w:sz w:val="20"/>
              </w:rPr>
              <w:t> </w:t>
            </w:r>
            <w:r>
              <w:rPr>
                <w:rFonts w:ascii="Times New Roman" w:hAnsi="Times New Roman"/>
                <w:color w:val="000000"/>
                <w:sz w:val="14"/>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Beam Therapeutics, Inc.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($50,000</w:t>
            </w:r>
            <w:r>
              <w:rPr>
                <w:rFonts w:ascii="Times New Roman" w:hAnsi="Times New Roman"/>
                <w:color w:val="000000"/>
                <w:sz w:val="20"/>
              </w:rPr>
              <w:t> </w:t>
            </w:r>
            <w:r>
              <w:rPr>
                <w:rFonts w:ascii="Times New Roman" w:hAnsi="Times New Roman"/>
                <w:color w:val="000000"/>
                <w:sz w:val="14"/>
              </w:rPr>
              <w:t>par, due 2/2033)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Elysium BidCo Limited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139,148</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155,906</w:t>
              <w:br/>
              <w:t> (EUR 136,365)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77,006</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100,418</w:t>
              <w:br/>
              <w:t> (GBP 75,659)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401,849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434,794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Cirrus (BidCo) Limited </w:t>
            </w:r>
            <w:r>
              <w:rPr>
                <w:rFonts w:ascii="Times New Roman" w:hAnsi="Times New Roman"/>
                <w:color w:val="000000"/>
                <w:sz w:val="9"/>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705</w:t>
            </w:r>
            <w:r>
              <w:rPr>
                <w:rFonts w:ascii="Times New Roman" w:hAnsi="Times New Roman"/>
                <w:color w:val="000000"/>
                <w:sz w:val="20"/>
              </w:rPr>
              <w:t> </w:t>
            </w:r>
            <w:r>
              <w:rPr>
                <w:rFonts w:ascii="Times New Roman" w:hAnsi="Times New Roman"/>
                <w:color w:val="000000"/>
                <w:sz w:val="14"/>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 (incl. 2.50%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w:t>
              <w:br/>
              <w:t> (GBP 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58</w:t>
            </w:r>
            <w:r>
              <w:rPr>
                <w:rFonts w:ascii="Times New Roman" w:hAnsi="Times New Roman"/>
                <w:color w:val="000000"/>
                <w:sz w:val="20"/>
              </w:rPr>
              <w:t> </w:t>
            </w:r>
            <w:r>
              <w:rPr>
                <w:rFonts w:ascii="Times New Roman" w:hAnsi="Times New Roman"/>
                <w:color w:val="000000"/>
                <w:sz w:val="14"/>
              </w:rPr>
              <w:t>par, due 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br/>
              <w:t> (GBP 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Acosta </w:t>
            </w:r>
            <w:r>
              <w:rPr>
                <w:rFonts w:ascii="Times New Roman" w:hAnsi="Times New Roman"/>
                <w:color w:val="000000"/>
                <w:sz w:val="9"/>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($193,480</w:t>
            </w:r>
            <w:r>
              <w:rPr>
                <w:rFonts w:ascii="Times New Roman" w:hAnsi="Times New Roman"/>
                <w:color w:val="000000"/>
                <w:sz w:val="20"/>
              </w:rPr>
              <w:t> </w:t>
            </w:r>
            <w:r>
              <w:rPr>
                <w:rFonts w:ascii="Times New Roman" w:hAnsi="Times New Roman"/>
                <w:color w:val="000000"/>
                <w:sz w:val="14"/>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Bed Bath and Beyond Inc. </w:t>
            </w:r>
            <w:r>
              <w:rPr>
                <w:rFonts w:ascii="Times New Roman" w:hAnsi="Times New Roman"/>
                <w:color w:val="000000"/>
                <w:sz w:val="9"/>
              </w:rPr>
              <w:t>(3)(11)(13)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($7,084</w:t>
            </w:r>
            <w:r>
              <w:rPr>
                <w:rFonts w:ascii="Times New Roman" w:hAnsi="Times New Roman"/>
                <w:color w:val="000000"/>
                <w:sz w:val="20"/>
              </w:rPr>
              <w:t> </w:t>
            </w:r>
            <w:r>
              <w:rPr>
                <w:rFonts w:ascii="Times New Roman" w:hAnsi="Times New Roman"/>
                <w:color w:val="000000"/>
                <w:sz w:val="14"/>
              </w:rPr>
              <w:t>par, due 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+ 9.90%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Roll Up DIP term loan ($43,217</w:t>
            </w:r>
            <w:r>
              <w:rPr>
                <w:rFonts w:ascii="Times New Roman" w:hAnsi="Times New Roman"/>
                <w:color w:val="000000"/>
                <w:sz w:val="20"/>
              </w:rPr>
              <w:t> </w:t>
            </w:r>
            <w:r>
              <w:rPr>
                <w:rFonts w:ascii="Times New Roman" w:hAnsi="Times New Roman"/>
                <w:color w:val="000000"/>
                <w:sz w:val="14"/>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11.54%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Super-Priority DIP term loan ($5,826</w:t>
            </w:r>
            <w:r>
              <w:rPr>
                <w:rFonts w:ascii="Times New Roman" w:hAnsi="Times New Roman"/>
                <w:color w:val="000000"/>
                <w:sz w:val="20"/>
              </w:rPr>
              <w:t> </w:t>
            </w:r>
            <w:r>
              <w:rPr>
                <w:rFonts w:ascii="Times New Roman" w:hAnsi="Times New Roman"/>
                <w:color w:val="000000"/>
                <w:sz w:val="14"/>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Belk,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($167,164</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Blazing Star Parent,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($196,250</w:t>
            </w:r>
            <w:r>
              <w:rPr>
                <w:rFonts w:ascii="Times New Roman" w:hAnsi="Times New Roman"/>
                <w:color w:val="000000"/>
                <w:sz w:val="20"/>
              </w:rPr>
              <w:t> </w:t>
            </w:r>
            <w:r>
              <w:rPr>
                <w:rFonts w:ascii="Times New Roman" w:hAnsi="Times New Roman"/>
                <w:color w:val="000000"/>
                <w:sz w:val="14"/>
              </w:rPr>
              <w:t>par, due 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Cordance Operations,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($32,385</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+ 8.15%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PDI TA Holdings,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($163,876</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 (incl. 2.50%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($13,234</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Photo Holdings,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($250,000</w:t>
            </w:r>
            <w:r>
              <w:rPr>
                <w:rFonts w:ascii="Times New Roman" w:hAnsi="Times New Roman"/>
                <w:color w:val="000000"/>
                <w:sz w:val="20"/>
              </w:rPr>
              <w:t> </w:t>
            </w:r>
            <w:r>
              <w:rPr>
                <w:rFonts w:ascii="Times New Roman" w:hAnsi="Times New Roman"/>
                <w:color w:val="000000"/>
                <w:sz w:val="14"/>
              </w:rPr>
              <w:t>par, due 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8"/>
        <w:gridCol w:w="146"/>
        <w:gridCol w:w="1778"/>
        <w:gridCol w:w="146"/>
        <w:gridCol w:w="530"/>
        <w:gridCol w:w="146"/>
        <w:gridCol w:w="146"/>
        <w:gridCol w:w="874"/>
        <w:gridCol w:w="211"/>
        <w:gridCol w:w="146"/>
        <w:gridCol w:w="161"/>
        <w:gridCol w:w="483"/>
        <w:gridCol w:w="211"/>
        <w:gridCol w:w="146"/>
        <w:gridCol w:w="181"/>
        <w:gridCol w:w="691"/>
        <w:gridCol w:w="146"/>
        <w:gridCol w:w="146"/>
        <w:gridCol w:w="183"/>
        <w:gridCol w:w="701"/>
        <w:gridCol w:w="146"/>
        <w:gridCol w:w="146"/>
        <w:gridCol w:w="146"/>
        <w:gridCol w:w="436"/>
        <w:gridCol w:w="291"/>
      </w:tblGrid>
      <w:tr>
        <w:trPr/>
        <w:tc>
          <w:tcPr>
            <w:tcW w:w="1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Rapid Data GmbH Unternehmensberatung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7,546</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8,438</w:t>
              <w:br/>
              <w:t> (EUR 7,381)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328</w:t>
            </w:r>
            <w:r>
              <w:rPr>
                <w:rFonts w:ascii="Times New Roman" w:hAnsi="Times New Roman"/>
                <w:color w:val="000000"/>
                <w:sz w:val="20"/>
              </w:rPr>
              <w:t> </w:t>
            </w:r>
            <w:r>
              <w:rPr>
                <w:rFonts w:ascii="Times New Roman" w:hAnsi="Times New Roman"/>
                <w:color w:val="000000"/>
                <w:sz w:val="14"/>
              </w:rPr>
              <w:t>par, due 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w:t>
              <w:br/>
              <w:t> (EUR 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Tango Management Consulting,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($13,693</w:t>
            </w:r>
            <w:r>
              <w:rPr>
                <w:rFonts w:ascii="Times New Roman" w:hAnsi="Times New Roman"/>
                <w:color w:val="000000"/>
                <w:sz w:val="20"/>
              </w:rPr>
              <w:t> </w:t>
            </w:r>
            <w:r>
              <w:rPr>
                <w:rFonts w:ascii="Times New Roman" w:hAnsi="Times New Roman"/>
                <w:color w:val="000000"/>
                <w:sz w:val="14"/>
              </w:rPr>
              <w:t>par, due 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1,072,201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1,065,347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Ben Nevis Midco Limited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($100,000</w:t>
            </w:r>
            <w:r>
              <w:rPr>
                <w:rFonts w:ascii="Times New Roman" w:hAnsi="Times New Roman"/>
                <w:color w:val="000000"/>
                <w:sz w:val="20"/>
              </w:rPr>
              <w:t> </w:t>
            </w:r>
            <w:r>
              <w:rPr>
                <w:rFonts w:ascii="Times New Roman" w:hAnsi="Times New Roman"/>
                <w:color w:val="000000"/>
                <w:sz w:val="14"/>
              </w:rPr>
              <w:t>par, due 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Frontline Road Safety Operations,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($40,625</w:t>
            </w:r>
            <w:r>
              <w:rPr>
                <w:rFonts w:ascii="Times New Roman" w:hAnsi="Times New Roman"/>
                <w:color w:val="000000"/>
                <w:sz w:val="20"/>
              </w:rPr>
              <w:t> </w:t>
            </w:r>
            <w:r>
              <w:rPr>
                <w:rFonts w:ascii="Times New Roman" w:hAnsi="Times New Roman"/>
                <w:color w:val="000000"/>
                <w:sz w:val="14"/>
              </w:rPr>
              <w:t>par, due 3/2032)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Rail Acquisitions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($27,963 par, due 1/2030)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note ($28,662</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Ranger Intermediate II,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($299,813</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Shiftmove GmbH </w:t>
            </w:r>
            <w:r>
              <w:rPr>
                <w:rFonts w:ascii="Times New Roman" w:hAnsi="Times New Roman"/>
                <w:color w:val="000000"/>
                <w:sz w:val="9"/>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16,150</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18,236</w:t>
              <w:br/>
              <w:t> (EUR 15,950)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504,085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8,428,262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8,451,941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Artisan Topco LP </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Preferred Units (7,882,736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Insight Hideaway Aggregator, L.P. </w:t>
            </w: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Interest (2,170,139</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Newark FP Co-Invest, L.P. </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(8,555,356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Warrior TopCo LP </w:t>
            </w: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(9,576,271</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AF Eagle Parent, L.P. </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Units (337,024</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Ordinary Shares (83,408</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(7,606,491</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Bigtincan Holdings L.P. </w:t>
            </w:r>
            <w:r>
              <w:rPr>
                <w:rFonts w:ascii="Times New Roman" w:hAnsi="Times New Roman"/>
                <w:color w:val="000000"/>
                <w:sz w:val="9"/>
              </w:rPr>
              <w:t>(9)(10)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(1,597,110</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SMA Technologies Holdings, LLC </w:t>
            </w: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(244</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B Units (173,048</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Elysium BidCo Limited </w:t>
            </w:r>
            <w:r>
              <w:rPr>
                <w:rFonts w:ascii="Times New Roman" w:hAnsi="Times New Roman"/>
                <w:color w:val="000000"/>
                <w:sz w:val="9"/>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Convertible Preference Shares (38,503,125</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53,403</w:t>
              <w:br/>
              <w:t> (GBP 40,236)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Railtrac Holdings Inc. </w:t>
            </w: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Warrants (3,824</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Ranger Parent I, Inc. </w:t>
            </w: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A-1 Preferred Shares (24,436</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Warrants (16,643 warrants) </w:t>
            </w: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Structured Credit Partners JV, LLC </w:t>
            </w:r>
            <w:r>
              <w:rPr>
                <w:rFonts w:ascii="Times New Roman" w:hAnsi="Times New Roman"/>
                <w:color w:val="000000"/>
                <w:sz w:val="9"/>
              </w:rPr>
              <w:t>(4)(6)(10)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Partnership Interest (25.00%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8,612,475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8,653,350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191.0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Derivative Instruments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Interest rate swaps</w:t>
      </w:r>
    </w:p>
    <w:tbl>
      <w:tblPr>
        <w:tblW w:w="10205" w:type="dxa"/>
        <w:jc w:val="left"/>
        <w:tblInd w:w="0" w:type="dxa"/>
        <w:tblLayout w:type="fixed"/>
        <w:tblCellMar>
          <w:top w:w="28" w:type="dxa"/>
          <w:left w:w="28" w:type="dxa"/>
          <w:bottom w:w="28" w:type="dxa"/>
          <w:right w:w="28" w:type="dxa"/>
        </w:tblCellMar>
      </w:tblPr>
      <w:tblGrid>
        <w:gridCol w:w="1693"/>
        <w:gridCol w:w="146"/>
        <w:gridCol w:w="811"/>
        <w:gridCol w:w="146"/>
        <w:gridCol w:w="970"/>
        <w:gridCol w:w="146"/>
        <w:gridCol w:w="954"/>
        <w:gridCol w:w="146"/>
        <w:gridCol w:w="196"/>
        <w:gridCol w:w="826"/>
        <w:gridCol w:w="146"/>
        <w:gridCol w:w="146"/>
        <w:gridCol w:w="196"/>
        <w:gridCol w:w="661"/>
        <w:gridCol w:w="166"/>
        <w:gridCol w:w="146"/>
        <w:gridCol w:w="351"/>
        <w:gridCol w:w="622"/>
        <w:gridCol w:w="146"/>
        <w:gridCol w:w="146"/>
        <w:gridCol w:w="239"/>
        <w:gridCol w:w="812"/>
        <w:gridCol w:w="394"/>
      </w:tblGrid>
      <w:tr>
        <w:trPr/>
        <w:tc>
          <w:tcPr>
            <w:tcW w:w="1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2"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June 30,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(9,701</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(39,345</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pPr>
      <w:r>
        <w:rPr>
          <w:rFonts w:ascii="Times New Roman" w:hAnsi="Times New Roman"/>
          <w:color w:val="000000"/>
          <w:sz w:val="20"/>
        </w:rPr>
        <w:t>Contains a variable rate structure. Bears interest at a rate determined by SOFR.</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the Company’s portfolio companies are domiciled in the United States. 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w:t>
        <w:br/>
        <w:t>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pPr>
      <w:r>
        <w:rPr>
          <w:rFonts w:ascii="Times New Roman" w:hAnsi="Times New Roman"/>
          <w:color w:val="000000"/>
          <w:sz w:val="20"/>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23.9%</w:t>
      </w:r>
      <w:r>
        <w:rPr>
          <w:color w:val="000000"/>
        </w:rPr>
        <w:t xml:space="preserve"> </w:t>
      </w:r>
      <w:r>
        <w:rPr>
          <w:rFonts w:ascii="Times New Roman" w:hAnsi="Times New Roman"/>
          <w:color w:val="000000"/>
          <w:sz w:val="20"/>
        </w:rPr>
        <w:t>of total assets as of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Under the 1940 Act, the Company is deemed to be an "Affiliated Person" (as defined in the 1940 Act) of the portfolio company as the Company owns more than 5% of the portfolio company's outstanding voting securities. Transactions during the six months ended June 30, 2026 in which the Company was an Affiliated Person of the portfolio company are as follows:</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Non-controlled, Affiliated Investments during the six months ended June 30, 2026</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57"/>
        <w:gridCol w:w="146"/>
        <w:gridCol w:w="312"/>
        <w:gridCol w:w="597"/>
        <w:gridCol w:w="146"/>
        <w:gridCol w:w="146"/>
        <w:gridCol w:w="189"/>
        <w:gridCol w:w="535"/>
        <w:gridCol w:w="146"/>
        <w:gridCol w:w="146"/>
        <w:gridCol w:w="274"/>
        <w:gridCol w:w="525"/>
        <w:gridCol w:w="146"/>
        <w:gridCol w:w="146"/>
        <w:gridCol w:w="227"/>
        <w:gridCol w:w="549"/>
        <w:gridCol w:w="146"/>
        <w:gridCol w:w="146"/>
        <w:gridCol w:w="223"/>
        <w:gridCol w:w="428"/>
        <w:gridCol w:w="146"/>
        <w:gridCol w:w="146"/>
        <w:gridCol w:w="228"/>
        <w:gridCol w:w="644"/>
        <w:gridCol w:w="146"/>
        <w:gridCol w:w="146"/>
        <w:gridCol w:w="196"/>
        <w:gridCol w:w="375"/>
        <w:gridCol w:w="146"/>
        <w:gridCol w:w="146"/>
        <w:gridCol w:w="256"/>
        <w:gridCol w:w="469"/>
        <w:gridCol w:w="146"/>
        <w:gridCol w:w="146"/>
        <w:gridCol w:w="185"/>
        <w:gridCol w:w="356"/>
        <w:gridCol w:w="198"/>
      </w:tblGrid>
      <w:tr>
        <w:trPr/>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Gross</w:t>
              <w:br/>
              <w:t>Reductions</w:t>
            </w:r>
            <w:r>
              <w:rPr>
                <w:rFonts w:ascii="Times New Roman" w:hAnsi="Times New Roman"/>
                <w:color w:val="000000"/>
                <w:sz w:val="14"/>
              </w:rPr>
              <w:t xml:space="preserve"> </w:t>
            </w:r>
            <w:r>
              <w:rPr>
                <w:rFonts w:ascii="Times New Roman" w:hAnsi="Times New Roman"/>
                <w:b/>
                <w:color w:val="000000"/>
                <w:sz w:val="14"/>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Change</w:t>
              <w:br/>
              <w:t>in Unrealized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br/>
              <w:t>Income</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Structured Credit Partners JV,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26,925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June 30, 2026, the estimated cost basis of investments for U.S. federal tax purposes was $8,638,659, resulting in estimated gross unrealized gains and losses of $192,501</w:t>
      </w:r>
      <w:r>
        <w:rPr>
          <w:color w:val="000000"/>
        </w:rPr>
        <w:t xml:space="preserve"> </w:t>
      </w:r>
      <w:r>
        <w:rPr>
          <w:rFonts w:ascii="Times New Roman" w:hAnsi="Times New Roman"/>
          <w:color w:val="000000"/>
          <w:sz w:val="20"/>
        </w:rPr>
        <w:t>and $244,500,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w:t>
        <w:br/>
        <w:t>Measurements (“ASC Topic 820”), unless otherwise indicated, the fair values of all investments were determined using</w:t>
        <w:br/>
        <w:t>significant unobservable inputs and are considered Level 3 investments. See Note 6 for further information related to</w:t>
        <w:br/>
        <w:t>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as amended (the “Securities Act”), and may be deemed to be “restricted securities” under the Securities Act. As of June 30, 2026, the aggregate fair value of these securities is $51,545, or 1.1%</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is on non-accrual status as of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w:t>
        <w:br/>
        <w:t>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$30.9</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Lending Partners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Consolidated Schedule of Investments as of December 31, 2025</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8"/>
        <w:gridCol w:w="146"/>
        <w:gridCol w:w="1504"/>
        <w:gridCol w:w="146"/>
        <w:gridCol w:w="796"/>
        <w:gridCol w:w="146"/>
        <w:gridCol w:w="146"/>
        <w:gridCol w:w="867"/>
        <w:gridCol w:w="211"/>
        <w:gridCol w:w="146"/>
        <w:gridCol w:w="257"/>
        <w:gridCol w:w="682"/>
        <w:gridCol w:w="211"/>
        <w:gridCol w:w="146"/>
        <w:gridCol w:w="181"/>
        <w:gridCol w:w="691"/>
        <w:gridCol w:w="146"/>
        <w:gridCol w:w="146"/>
        <w:gridCol w:w="186"/>
        <w:gridCol w:w="714"/>
        <w:gridCol w:w="146"/>
        <w:gridCol w:w="146"/>
        <w:gridCol w:w="223"/>
        <w:gridCol w:w="553"/>
        <w:gridCol w:w="261"/>
      </w:tblGrid>
      <w:tr>
        <w:trPr/>
        <w:tc>
          <w:tcPr>
            <w:tcW w:w="1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Truck-Lite Co.,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($303,927</w:t>
            </w:r>
            <w:r>
              <w:rPr>
                <w:rFonts w:ascii="Times New Roman" w:hAnsi="Times New Roman"/>
                <w:color w:val="000000"/>
                <w:sz w:val="20"/>
              </w:rPr>
              <w:t> </w:t>
            </w:r>
            <w:r>
              <w:rPr>
                <w:rFonts w:ascii="Times New Roman" w:hAnsi="Times New Roman"/>
                <w:color w:val="000000"/>
                <w:sz w:val="14"/>
              </w:rPr>
              <w:t>par, due 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Artisan Bidco, Inc.</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($112,992</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51,339</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59,993</w:t>
              <w:br/>
              <w:t> (EUR 51,082)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($12,664</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Azurite Intermediate Holdings,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($213,750</w:t>
            </w:r>
            <w:r>
              <w:rPr>
                <w:rFonts w:ascii="Times New Roman" w:hAnsi="Times New Roman"/>
                <w:color w:val="000000"/>
                <w:sz w:val="20"/>
              </w:rPr>
              <w:t> </w:t>
            </w:r>
            <w:r>
              <w:rPr>
                <w:rFonts w:ascii="Times New Roman" w:hAnsi="Times New Roman"/>
                <w:color w:val="000000"/>
                <w:sz w:val="14"/>
              </w:rPr>
              <w:t>par, due 3/2031)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Ignition Purchaser,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holdco loan ($218,542</w:t>
            </w:r>
            <w:r>
              <w:rPr>
                <w:rFonts w:ascii="Times New Roman" w:hAnsi="Times New Roman"/>
                <w:color w:val="000000"/>
                <w:sz w:val="20"/>
              </w:rPr>
              <w:t> </w:t>
            </w:r>
            <w:r>
              <w:rPr>
                <w:rFonts w:ascii="Times New Roman" w:hAnsi="Times New Roman"/>
                <w:color w:val="000000"/>
                <w:sz w:val="14"/>
              </w:rPr>
              <w:t>par, due 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11.37%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Crewline Buyer,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($152,696</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Dye &amp; Durham Corp. </w:t>
            </w:r>
            <w:r>
              <w:rPr>
                <w:rFonts w:ascii="Times New Roman" w:hAnsi="Times New Roman"/>
                <w:color w:val="000000"/>
                <w:sz w:val="9"/>
              </w:rPr>
              <w:t>(3)(4)(12)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($945</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Elements Finco Limited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($25,620</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8.97% (incl. 2.25</w:t>
            </w:r>
            <w:r>
              <w:rPr>
                <w:rFonts w:ascii="Times New Roman" w:hAnsi="Times New Roman"/>
                <w:color w:val="000000"/>
                <w:sz w:val="20"/>
              </w:rPr>
              <w:t> </w:t>
            </w:r>
            <w:r>
              <w:rPr>
                <w:rFonts w:ascii="Times New Roman" w:hAnsi="Times New Roman"/>
                <w:color w:val="000000"/>
                <w:sz w:val="14"/>
              </w:rPr>
              <w:t>%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($20,857</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118,804</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 (incl. 2.50%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161,795</w:t>
              <w:br/>
              <w:t> (GBP 120,289)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Galileo Parent,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($148,035</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($15,481</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Lynx BidCo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($42,872</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63,686</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74,642</w:t>
              <w:br/>
              <w:t> (EUR 63,555)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Price Fx Inc.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w:t>
              <w:br/>
              <w:t> (EUR 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1,079</w:t>
              <w:br/>
              <w:t> (EUR 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USA DeBusk,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($124,825</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($13,511</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Wrangler TopCo,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($134,915</w:t>
            </w:r>
            <w:r>
              <w:rPr>
                <w:rFonts w:ascii="Times New Roman" w:hAnsi="Times New Roman"/>
                <w:color w:val="000000"/>
                <w:sz w:val="20"/>
              </w:rPr>
              <w:t> </w:t>
            </w:r>
            <w:r>
              <w:rPr>
                <w:rFonts w:ascii="Times New Roman" w:hAnsi="Times New Roman"/>
                <w:color w:val="000000"/>
                <w:sz w:val="14"/>
              </w:rPr>
              <w:t>par, due 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1,546,100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Erling Lux Bidco SARL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11,549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13,809</w:t>
              <w:br/>
              <w:t> (EUR 11,758)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19,592</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26,681</w:t>
              <w:br/>
              <w:t> (GBP 19,836)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(NOK 7,427</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 + 7.00%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745</w:t>
              <w:br/>
              <w:t> (NOK 7,520)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(GBP 592</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807</w:t>
              <w:br/>
              <w:t> (GBP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FGI Acquisition Corp.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($89,550</w:t>
            </w:r>
            <w:r>
              <w:rPr>
                <w:rFonts w:ascii="Times New Roman" w:hAnsi="Times New Roman"/>
                <w:color w:val="000000"/>
                <w:sz w:val="20"/>
              </w:rPr>
              <w:t> </w:t>
            </w:r>
            <w:r>
              <w:rPr>
                <w:rFonts w:ascii="Times New Roman" w:hAnsi="Times New Roman"/>
                <w:color w:val="000000"/>
                <w:sz w:val="14"/>
              </w:rPr>
              <w:t>par, due 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88,878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Aurelia Netherlands B.V.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326,566</w:t>
            </w:r>
            <w:r>
              <w:rPr>
                <w:rFonts w:ascii="Times New Roman" w:hAnsi="Times New Roman"/>
                <w:color w:val="000000"/>
                <w:sz w:val="20"/>
              </w:rPr>
              <w:t> </w:t>
            </w:r>
            <w:r>
              <w:rPr>
                <w:rFonts w:ascii="Times New Roman" w:hAnsi="Times New Roman"/>
                <w:color w:val="000000"/>
                <w:sz w:val="14"/>
              </w:rPr>
              <w:t>par, due 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385,453</w:t>
              <w:br/>
              <w:t> (EUR 328,199)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X Holdings. Inc. </w:t>
            </w:r>
            <w:r>
              <w:rPr>
                <w:rFonts w:ascii="Times New Roman" w:hAnsi="Times New Roman"/>
                <w:color w:val="000000"/>
                <w:sz w:val="9"/>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($37,351 par, due 10/2029)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($29,710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Kangaroo Bidco AS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($157,500</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Severin Acquisition,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($188,983</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8.47% (incl. 2.25%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188,763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Sapphire Software Buyer,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($224,695</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Alaska Bidco Oy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w:t>
              <w:br/>
              <w:t> (EUR 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8"/>
        <w:gridCol w:w="146"/>
        <w:gridCol w:w="1877"/>
        <w:gridCol w:w="146"/>
        <w:gridCol w:w="565"/>
        <w:gridCol w:w="146"/>
        <w:gridCol w:w="146"/>
        <w:gridCol w:w="884"/>
        <w:gridCol w:w="211"/>
        <w:gridCol w:w="146"/>
        <w:gridCol w:w="240"/>
        <w:gridCol w:w="745"/>
        <w:gridCol w:w="226"/>
        <w:gridCol w:w="146"/>
        <w:gridCol w:w="146"/>
        <w:gridCol w:w="586"/>
        <w:gridCol w:w="146"/>
        <w:gridCol w:w="146"/>
        <w:gridCol w:w="165"/>
        <w:gridCol w:w="665"/>
        <w:gridCol w:w="146"/>
        <w:gridCol w:w="146"/>
        <w:gridCol w:w="146"/>
        <w:gridCol w:w="361"/>
        <w:gridCol w:w="260"/>
      </w:tblGrid>
      <w:tr>
        <w:trPr/>
        <w:tc>
          <w:tcPr>
            <w:tcW w:w="1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Arlberg Bidco, LLC </w:t>
            </w:r>
            <w:r>
              <w:rPr>
                <w:rFonts w:ascii="Times New Roman" w:hAnsi="Times New Roman"/>
                <w:color w:val="000000"/>
                <w:sz w:val="9"/>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($5,000</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GreenShoot BidCo B.V.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5,107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5,917</w:t>
              <w:br/>
              <w:t> (EUR 5,038)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Volante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($3,619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Aledade,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($27,935</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Eventus Buyer,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($48,106</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($3,493</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HMP Omnimedia,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($124,914</w:t>
            </w:r>
            <w:r>
              <w:rPr>
                <w:rFonts w:ascii="Times New Roman" w:hAnsi="Times New Roman"/>
                <w:color w:val="000000"/>
                <w:sz w:val="20"/>
              </w:rPr>
              <w:t> </w:t>
            </w:r>
            <w:r>
              <w:rPr>
                <w:rFonts w:ascii="Times New Roman" w:hAnsi="Times New Roman"/>
                <w:color w:val="000000"/>
                <w:sz w:val="14"/>
              </w:rPr>
              <w:t>par, due 7/2032)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($2,591</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Ingenovis Health Finance,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($10,000</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LIHA Holdco B.V </w:t>
            </w:r>
            <w:r>
              <w:rPr>
                <w:rFonts w:ascii="Times New Roman" w:hAnsi="Times New Roman"/>
                <w:color w:val="000000"/>
                <w:sz w:val="9"/>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5,903</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6,989</w:t>
              <w:br/>
              <w:t> (EUR 5,951)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318</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br/>
              <w:t> (EUR 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($113,676</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($518</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Symplr Software Inc. </w:t>
            </w:r>
            <w:r>
              <w:rPr>
                <w:rFonts w:ascii="Times New Roman" w:hAnsi="Times New Roman"/>
                <w:color w:val="000000"/>
                <w:sz w:val="1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($1,269</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Velocity Clinical Research,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($266,113</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($2,236</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AVSC Holding Corp.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($246,557</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Equinox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($206,789 par, due 3/2029)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11.92% (incl. 4.13%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($10,983</w:t>
            </w:r>
            <w:r>
              <w:rPr>
                <w:rFonts w:ascii="Times New Roman" w:hAnsi="Times New Roman"/>
                <w:color w:val="000000"/>
                <w:sz w:val="20"/>
              </w:rPr>
              <w:t> </w:t>
            </w:r>
            <w:r>
              <w:rPr>
                <w:rFonts w:ascii="Times New Roman" w:hAnsi="Times New Roman"/>
                <w:color w:val="000000"/>
                <w:sz w:val="14"/>
              </w:rPr>
              <w:t>par, due 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Sport Alliance GmbH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37,133</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 (incl. 4.13%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43,502</w:t>
              <w:br/>
              <w:t> (EUR 37,041)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208</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w:t>
              <w:br/>
              <w:t> (EUR 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($211,448</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HireVue,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($108,669</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($14,113</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MadCap Software, Inc.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($2,450</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PayScale Holdings, Inc.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($72,084</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 Buyer,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($134,846</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Big Wombat Holdings, Inc.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($25,962</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Coupa Holdings,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($127,629</w:t>
            </w:r>
            <w:r>
              <w:rPr>
                <w:rFonts w:ascii="Times New Roman" w:hAnsi="Times New Roman"/>
                <w:color w:val="000000"/>
                <w:sz w:val="20"/>
              </w:rPr>
              <w:t> </w:t>
            </w:r>
            <w:r>
              <w:rPr>
                <w:rFonts w:ascii="Times New Roman" w:hAnsi="Times New Roman"/>
                <w:color w:val="000000"/>
                <w:sz w:val="14"/>
              </w:rPr>
              <w:t>par, due 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EDB Parent,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($17,830</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Flight Intermediate HoldCo,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($46,500</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Hippo XPA Bidco AB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(SEK 214,115</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STIBOR</w:t>
            </w:r>
            <w:r>
              <w:rPr>
                <w:rFonts w:ascii="Times New Roman" w:hAnsi="Times New Roman"/>
                <w:color w:val="000000"/>
                <w:sz w:val="20"/>
              </w:rPr>
              <w:t> </w:t>
            </w:r>
            <w:r>
              <w:rPr>
                <w:rFonts w:ascii="Times New Roman" w:hAnsi="Times New Roman"/>
                <w:color w:val="000000"/>
                <w:sz w:val="14"/>
              </w:rPr>
              <w:t>+ 6.75%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 (incl. 3.63%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23,226</w:t>
              <w:br/>
              <w:t> (SEK 214,115)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2,571</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8.77% (incl. 3.63%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3,019</w:t>
              <w:br/>
              <w:t> (EUR 2,571)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(SEK 3,906</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STIBOR + 6.25%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w:t>
              <w:br/>
              <w:t> (SEK 3,906)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Kaseware Intermediate Holding Company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($30,276</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Kryptona BidCo US,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($139,587</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 (incl. 3.25%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9"/>
        <w:gridCol w:w="146"/>
        <w:gridCol w:w="1731"/>
        <w:gridCol w:w="146"/>
        <w:gridCol w:w="546"/>
        <w:gridCol w:w="146"/>
        <w:gridCol w:w="146"/>
        <w:gridCol w:w="878"/>
        <w:gridCol w:w="211"/>
        <w:gridCol w:w="146"/>
        <w:gridCol w:w="232"/>
        <w:gridCol w:w="694"/>
        <w:gridCol w:w="211"/>
        <w:gridCol w:w="146"/>
        <w:gridCol w:w="146"/>
        <w:gridCol w:w="586"/>
        <w:gridCol w:w="146"/>
        <w:gridCol w:w="146"/>
        <w:gridCol w:w="164"/>
        <w:gridCol w:w="660"/>
        <w:gridCol w:w="146"/>
        <w:gridCol w:w="146"/>
        <w:gridCol w:w="146"/>
        <w:gridCol w:w="361"/>
        <w:gridCol w:w="260"/>
      </w:tblGrid>
      <w:tr>
        <w:trPr/>
        <w:tc>
          <w:tcPr>
            <w:tcW w:w="1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32,304</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 (incl. 3.25%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38,224</w:t>
              <w:br/>
              <w:t> (EUR 32,546)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Rainfocus,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($10,709</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SMA Technologies Holdings, LLC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($31,921</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Arcwood Environmental,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($130,358</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($43,450</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ASP Unifrax Holdings, Inc. </w:t>
            </w:r>
            <w:r>
              <w:rPr>
                <w:rFonts w:ascii="Times New Roman" w:hAnsi="Times New Roman"/>
                <w:color w:val="000000"/>
                <w:sz w:val="9"/>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($3,619 par, due 9/2029)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11.75% (incl. 4.75%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Second-lien note ($2,024 par, due 9/2029) </w:t>
            </w:r>
            <w:r>
              <w:rPr>
                <w:rFonts w:ascii="Times New Roman" w:hAnsi="Times New Roman"/>
                <w:color w:val="000000"/>
                <w:sz w:val="9"/>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 (incl. 1.25%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Varinem German BidCo GmbH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12,696</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15,097</w:t>
              <w:br/>
              <w:t> (EUR 12,855)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4,392</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5,158</w:t>
              <w:br/>
              <w:t> (EUR 4,392)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Laramie Energy,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($97,561</w:t>
            </w:r>
            <w:r>
              <w:rPr>
                <w:rFonts w:ascii="Times New Roman" w:hAnsi="Times New Roman"/>
                <w:color w:val="000000"/>
                <w:sz w:val="20"/>
              </w:rPr>
              <w:t> </w:t>
            </w:r>
            <w:r>
              <w:rPr>
                <w:rFonts w:ascii="Times New Roman" w:hAnsi="Times New Roman"/>
                <w:color w:val="000000"/>
                <w:sz w:val="14"/>
              </w:rPr>
              <w:t>par, due 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Boréal Bidco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(EUR 130,813</w:t>
            </w:r>
            <w:r>
              <w:rPr>
                <w:rFonts w:ascii="Times New Roman" w:hAnsi="Times New Roman"/>
                <w:color w:val="000000"/>
                <w:sz w:val="20"/>
              </w:rPr>
              <w:t> </w:t>
            </w:r>
            <w:r>
              <w:rPr>
                <w:rFonts w:ascii="Times New Roman" w:hAnsi="Times New Roman"/>
                <w:color w:val="000000"/>
                <w:sz w:val="14"/>
              </w:rPr>
              <w:t>par, due 3/2032)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 (incl. 5.75%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152,482</w:t>
              <w:br/>
              <w:t> (EUR 129,832)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Cast &amp; Crew,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(CAD 142,016</w:t>
            </w:r>
            <w:r>
              <w:rPr>
                <w:rFonts w:ascii="Times New Roman" w:hAnsi="Times New Roman"/>
                <w:color w:val="000000"/>
                <w:sz w:val="20"/>
              </w:rPr>
              <w:t> </w:t>
            </w:r>
            <w:r>
              <w:rPr>
                <w:rFonts w:ascii="Times New Roman" w:hAnsi="Times New Roman"/>
                <w:color w:val="000000"/>
                <w:sz w:val="14"/>
              </w:rPr>
              <w:t>par, due 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C</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60,867</w:t>
              <w:br/>
              <w:t> (CAD 83,434)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Omnigo Software,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($70,875</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Scorpio Bidco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75,326</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88,995</w:t>
              <w:br/>
              <w:t> (EUR 75,776)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Sediver S.p.A.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(EUR 57,989</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68,001</w:t>
              <w:br/>
              <w:t> (EUR 57,900)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($160,437</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157,662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Apellis Pharmaceuticals, Inc.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($157,895</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Arrowhead Pharmaceuticals, Inc. </w:t>
            </w: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($113,694</w:t>
            </w:r>
            <w:r>
              <w:rPr>
                <w:rFonts w:ascii="Times New Roman" w:hAnsi="Times New Roman"/>
                <w:color w:val="000000"/>
                <w:sz w:val="20"/>
              </w:rPr>
              <w:t> </w:t>
            </w:r>
            <w:r>
              <w:rPr>
                <w:rFonts w:ascii="Times New Roman" w:hAnsi="Times New Roman"/>
                <w:color w:val="000000"/>
                <w:sz w:val="14"/>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Elysium BidCo Limited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139,148</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161,788</w:t>
              <w:br/>
              <w:t> (EUR 137,756)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77,006</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102,800</w:t>
              <w:br/>
              <w:t> (GBP 76,429)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509,622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Cirrus (BidCo) Limited </w:t>
            </w:r>
            <w:r>
              <w:rPr>
                <w:rFonts w:ascii="Times New Roman" w:hAnsi="Times New Roman"/>
                <w:color w:val="000000"/>
                <w:sz w:val="9"/>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698</w:t>
            </w:r>
            <w:r>
              <w:rPr>
                <w:rFonts w:ascii="Times New Roman" w:hAnsi="Times New Roman"/>
                <w:color w:val="000000"/>
                <w:sz w:val="20"/>
              </w:rPr>
              <w:t> </w:t>
            </w:r>
            <w:r>
              <w:rPr>
                <w:rFonts w:ascii="Times New Roman" w:hAnsi="Times New Roman"/>
                <w:color w:val="000000"/>
                <w:sz w:val="14"/>
              </w:rPr>
              <w:t>par, due 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939</w:t>
              <w:br/>
              <w:t> (GBP 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Acosta </w:t>
            </w:r>
            <w:r>
              <w:rPr>
                <w:rFonts w:ascii="Times New Roman" w:hAnsi="Times New Roman"/>
                <w:color w:val="000000"/>
                <w:sz w:val="9"/>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($194,460</w:t>
            </w:r>
            <w:r>
              <w:rPr>
                <w:rFonts w:ascii="Times New Roman" w:hAnsi="Times New Roman"/>
                <w:color w:val="000000"/>
                <w:sz w:val="20"/>
              </w:rPr>
              <w:t> </w:t>
            </w:r>
            <w:r>
              <w:rPr>
                <w:rFonts w:ascii="Times New Roman" w:hAnsi="Times New Roman"/>
                <w:color w:val="000000"/>
                <w:sz w:val="14"/>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Bed Bath and Beyond Inc. </w:t>
            </w:r>
            <w:r>
              <w:rPr>
                <w:rFonts w:ascii="Times New Roman" w:hAnsi="Times New Roman"/>
                <w:color w:val="000000"/>
                <w:sz w:val="9"/>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($10,746</w:t>
            </w:r>
            <w:r>
              <w:rPr>
                <w:rFonts w:ascii="Times New Roman" w:hAnsi="Times New Roman"/>
                <w:color w:val="000000"/>
                <w:sz w:val="20"/>
              </w:rPr>
              <w:t> </w:t>
            </w:r>
            <w:r>
              <w:rPr>
                <w:rFonts w:ascii="Times New Roman" w:hAnsi="Times New Roman"/>
                <w:color w:val="000000"/>
                <w:sz w:val="14"/>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Roll Up DIP term loan ($45,919</w:t>
            </w:r>
            <w:r>
              <w:rPr>
                <w:rFonts w:ascii="Times New Roman" w:hAnsi="Times New Roman"/>
                <w:color w:val="000000"/>
                <w:sz w:val="20"/>
              </w:rPr>
              <w:t> </w:t>
            </w:r>
            <w:r>
              <w:rPr>
                <w:rFonts w:ascii="Times New Roman" w:hAnsi="Times New Roman"/>
                <w:color w:val="000000"/>
                <w:sz w:val="14"/>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Super-Priority DIP term loan ($6,500</w:t>
            </w:r>
            <w:r>
              <w:rPr>
                <w:rFonts w:ascii="Times New Roman" w:hAnsi="Times New Roman"/>
                <w:color w:val="000000"/>
                <w:sz w:val="20"/>
              </w:rPr>
              <w:t> </w:t>
            </w:r>
            <w:r>
              <w:rPr>
                <w:rFonts w:ascii="Times New Roman" w:hAnsi="Times New Roman"/>
                <w:color w:val="000000"/>
                <w:sz w:val="14"/>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Belk,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($182,813</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Blazing Star Parent,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($198,750</w:t>
            </w:r>
            <w:r>
              <w:rPr>
                <w:rFonts w:ascii="Times New Roman" w:hAnsi="Times New Roman"/>
                <w:color w:val="000000"/>
                <w:sz w:val="20"/>
              </w:rPr>
              <w:t> </w:t>
            </w:r>
            <w:r>
              <w:rPr>
                <w:rFonts w:ascii="Times New Roman" w:hAnsi="Times New Roman"/>
                <w:color w:val="000000"/>
                <w:sz w:val="14"/>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Cordance Operations,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($4,326</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PDI TA Holdings,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($163,683</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($9,705</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Rapid Data GmbH Unternehmensberatung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7,546</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8,862</w:t>
              <w:br/>
              <w:t> (EUR 7,546)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328</w:t>
            </w:r>
            <w:r>
              <w:rPr>
                <w:rFonts w:ascii="Times New Roman" w:hAnsi="Times New Roman"/>
                <w:color w:val="000000"/>
                <w:sz w:val="20"/>
              </w:rPr>
              <w:t> </w:t>
            </w:r>
            <w:r>
              <w:rPr>
                <w:rFonts w:ascii="Times New Roman" w:hAnsi="Times New Roman"/>
                <w:color w:val="000000"/>
                <w:sz w:val="14"/>
              </w:rPr>
              <w:t>par, due 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w:t>
              <w:br/>
              <w:t> (EUR 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Tango Management Consulting,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($12,825</w:t>
            </w:r>
            <w:r>
              <w:rPr>
                <w:rFonts w:ascii="Times New Roman" w:hAnsi="Times New Roman"/>
                <w:color w:val="000000"/>
                <w:sz w:val="20"/>
              </w:rPr>
              <w:t> </w:t>
            </w:r>
            <w:r>
              <w:rPr>
                <w:rFonts w:ascii="Times New Roman" w:hAnsi="Times New Roman"/>
                <w:color w:val="000000"/>
                <w:sz w:val="14"/>
              </w:rPr>
              <w:t>par, due 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826,756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1"/>
        <w:gridCol w:w="146"/>
        <w:gridCol w:w="1961"/>
        <w:gridCol w:w="146"/>
        <w:gridCol w:w="581"/>
        <w:gridCol w:w="146"/>
        <w:gridCol w:w="146"/>
        <w:gridCol w:w="888"/>
        <w:gridCol w:w="211"/>
        <w:gridCol w:w="146"/>
        <w:gridCol w:w="185"/>
        <w:gridCol w:w="463"/>
        <w:gridCol w:w="211"/>
        <w:gridCol w:w="146"/>
        <w:gridCol w:w="181"/>
        <w:gridCol w:w="691"/>
        <w:gridCol w:w="146"/>
        <w:gridCol w:w="146"/>
        <w:gridCol w:w="185"/>
        <w:gridCol w:w="706"/>
        <w:gridCol w:w="146"/>
        <w:gridCol w:w="146"/>
        <w:gridCol w:w="146"/>
        <w:gridCol w:w="436"/>
        <w:gridCol w:w="289"/>
      </w:tblGrid>
      <w:tr>
        <w:trPr/>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Ben Nevis Midco Limited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($100,000</w:t>
            </w:r>
            <w:r>
              <w:rPr>
                <w:rFonts w:ascii="Times New Roman" w:hAnsi="Times New Roman"/>
                <w:color w:val="000000"/>
                <w:sz w:val="20"/>
              </w:rPr>
              <w:t> </w:t>
            </w:r>
            <w:r>
              <w:rPr>
                <w:rFonts w:ascii="Times New Roman" w:hAnsi="Times New Roman"/>
                <w:color w:val="000000"/>
                <w:sz w:val="14"/>
              </w:rPr>
              <w:t>par, due 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Rail Acquisitions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($31,521 par, due 1/2030)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note ($26,779</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Ranger Intermediate II,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($300,564</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Shiftmove GmbH </w:t>
            </w:r>
            <w:r>
              <w:rPr>
                <w:rFonts w:ascii="Times New Roman" w:hAnsi="Times New Roman"/>
                <w:color w:val="000000"/>
                <w:sz w:val="9"/>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16,150</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19,026</w:t>
              <w:br/>
              <w:t> (EUR 16,200)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7,734,357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7,919,661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189.9</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Artisan Topco LP </w:t>
            </w: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Preferred Units (7,882,736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Insight Hideaway Aggregator, L.P. </w:t>
            </w: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Interest (2,170,139</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Newark FP Co-Invest, L.P. </w:t>
            </w: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(8,555,356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Warrior TopCo LP </w:t>
            </w: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(9,576,271</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AF Eagle Parent, L.P. </w:t>
            </w: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Units (337,024</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Ordinary Shares (83,408</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bswift,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(7,606,491</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Bigtincan Holdings L.P. </w:t>
            </w:r>
            <w:r>
              <w:rPr>
                <w:rFonts w:ascii="Times New Roman" w:hAnsi="Times New Roman"/>
                <w:color w:val="000000"/>
                <w:sz w:val="9"/>
              </w:rPr>
              <w:t>(8)(10)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(1,597,110</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SMA Technologies Holdings, LLC </w:t>
            </w: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(244</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B Units (173,048</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Elysium BidCo Limited </w:t>
            </w:r>
            <w:r>
              <w:rPr>
                <w:rFonts w:ascii="Times New Roman" w:hAnsi="Times New Roman"/>
                <w:color w:val="000000"/>
                <w:sz w:val="9"/>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Convertible Preference Shares (38,503,125</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58,651</w:t>
              <w:br/>
              <w:t> (GBP 43,605)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Railtrac Holdings Inc. </w:t>
            </w:r>
            <w:r>
              <w:rPr>
                <w:rFonts w:ascii="Times New Roman" w:hAnsi="Times New Roman"/>
                <w:color w:val="000000"/>
                <w:sz w:val="9"/>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Warrants (3,824</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Ranger Parent I, Inc. </w:t>
            </w: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A-1 Preferred Shares (24,436</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Warrants (16,643 warrants) </w:t>
            </w: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188,993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7,892,866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8,108,654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194.4</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Derivative Instruments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Interest rate swaps</w:t>
      </w:r>
    </w:p>
    <w:tbl>
      <w:tblPr>
        <w:tblW w:w="9744" w:type="dxa"/>
        <w:jc w:val="left"/>
        <w:tblInd w:w="0" w:type="dxa"/>
        <w:tblLayout w:type="fixed"/>
        <w:tblCellMar>
          <w:top w:w="28" w:type="dxa"/>
          <w:left w:w="28" w:type="dxa"/>
          <w:bottom w:w="28" w:type="dxa"/>
          <w:right w:w="28" w:type="dxa"/>
        </w:tblCellMar>
      </w:tblPr>
      <w:tblGrid>
        <w:gridCol w:w="1906"/>
        <w:gridCol w:w="146"/>
        <w:gridCol w:w="676"/>
        <w:gridCol w:w="146"/>
        <w:gridCol w:w="931"/>
        <w:gridCol w:w="146"/>
        <w:gridCol w:w="946"/>
        <w:gridCol w:w="146"/>
        <w:gridCol w:w="181"/>
        <w:gridCol w:w="691"/>
        <w:gridCol w:w="146"/>
        <w:gridCol w:w="146"/>
        <w:gridCol w:w="181"/>
        <w:gridCol w:w="511"/>
        <w:gridCol w:w="151"/>
        <w:gridCol w:w="146"/>
        <w:gridCol w:w="288"/>
        <w:gridCol w:w="552"/>
        <w:gridCol w:w="146"/>
        <w:gridCol w:w="146"/>
        <w:gridCol w:w="278"/>
        <w:gridCol w:w="787"/>
        <w:gridCol w:w="35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December 31, 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Market</w:t>
              <w:br/>
              <w:t>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 in</w:t>
              <w:br/>
              <w:t>Unrealized</w:t>
              <w:br/>
              <w:t>Gains / (Losses)</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rate swap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SOFR + 2.51%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13,262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rate swap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SOFR + 2.22%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rate swap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SOFR + 2.55%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18,974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rate swap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SOFR + 2.01%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20,952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56,146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4"/>
              </w:rPr>
            </w:pPr>
            <w:r>
              <w:rPr>
                <w:rFonts w:ascii="Times New Roman" w:hAnsi="Times New Roman"/>
                <w:b/>
                <w:color w:val="000000"/>
                <w:sz w:val="14"/>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78,603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56,146</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pPr>
      <w:r>
        <w:rPr>
          <w:rFonts w:ascii="Times New Roman" w:hAnsi="Times New Roman"/>
          <w:color w:val="000000"/>
          <w:sz w:val="20"/>
        </w:rPr>
        <w:t>Contains a variable rate structure. Bears interest at a rate determined by SOFR.</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the Company’s portfolio companies are domiciled in the United States. Under the Investment Company Act of 1940, as amended (the “1940 Act”), the Company would “control” a portfolio company if the Company owned</w:t>
        <w:br/>
        <w:t>more than 25% of its outstanding voting securities and/or had the power to exercise control over the management or policies of</w:t>
        <w:br/>
        <w:t>such portfolio company. As of December 31, 2025, the Company does not “control” any of the portfolio companies. Also under the 1940 Act, the Company would be deemed to be an “Affiliated Person” of a portfolio company if the Company owns more than 5% of the portfolio company’s outstanding voting securities. As of December 31, 2025, the Company does not identify any of its portfolio companies as affiliates.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w:t>
        <w:br/>
        <w:t>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pPr>
      <w:r>
        <w:rPr>
          <w:rFonts w:ascii="Times New Roman" w:hAnsi="Times New Roman"/>
          <w:color w:val="000000"/>
          <w:sz w:val="20"/>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26.7%</w:t>
      </w:r>
      <w:r>
        <w:rPr>
          <w:color w:val="000000"/>
        </w:rPr>
        <w:t xml:space="preserve"> </w:t>
      </w:r>
      <w:r>
        <w:rPr>
          <w:rFonts w:ascii="Times New Roman" w:hAnsi="Times New Roman"/>
          <w:color w:val="000000"/>
          <w:sz w:val="20"/>
        </w:rPr>
        <w:t>of total assets as of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w:t>
        <w:br/>
        <w:t>Measurements (“ASC Topic 820”), unless otherwise indicated, the fair values of all investments were determined using</w:t>
        <w:br/>
        <w:t>significant unobservable inputs and are considered Level 3 investments. See Note 6 for further information related to</w:t>
        <w:br/>
        <w:t>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December 31, 2025, the estimated cost basis of investments for U.S. federal tax purposes was $7,918,126</w:t>
      </w:r>
      <w:r>
        <w:rPr>
          <w:color w:val="000000"/>
        </w:rPr>
        <w:t xml:space="preserve"> </w:t>
      </w:r>
      <w:r>
        <w:rPr>
          <w:rFonts w:ascii="Times New Roman" w:hAnsi="Times New Roman"/>
          <w:color w:val="000000"/>
          <w:sz w:val="20"/>
        </w:rPr>
        <w:t>resulting in estimated gross unrealized gains and losses of $290,520</w:t>
      </w:r>
      <w:r>
        <w:rPr>
          <w:color w:val="000000"/>
        </w:rPr>
        <w:t xml:space="preserve"> </w:t>
      </w:r>
      <w:r>
        <w:rPr>
          <w:rFonts w:ascii="Times New Roman" w:hAnsi="Times New Roman"/>
          <w:color w:val="000000"/>
          <w:sz w:val="20"/>
        </w:rPr>
        <w:t>and $207,578,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as amended (the “Securities Act”), and may be deemed to be “restricted securities” under the Securities Act. As of December 31, 2025, the aggregate fair value of these securities is $29,105, or 0.7%</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$28.8</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w:t>
        <w:br/>
        <w:t>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jc w:val="left"/>
        <w:rPr>
          <w:rFonts w:ascii="Times New Roman" w:hAnsi="Times New Roman"/>
          <w:color w:val="000000"/>
          <w:sz w:val="20"/>
        </w:rPr>
      </w:pPr>
      <w:r>
        <w:rPr>
          <w:rFonts w:ascii="Times New Roman" w:hAnsi="Times New Roman"/>
          <w:color w:val="000000"/>
          <w:sz w:val="20"/>
        </w:rPr>
        <w:t>Investment is on non-accrual status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7" w:name="consolidated_statements_changes_in_net_a"/>
      <w:bookmarkEnd w:id="7"/>
      <w:r>
        <w:rPr>
          <w:rFonts w:ascii="Times New Roman" w:hAnsi="Times New Roman"/>
          <w:b/>
          <w:color w:val="000000"/>
          <w:sz w:val="20"/>
        </w:rPr>
        <w:t>Consolidated Statements of Changes in Net Assets</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74"/>
        <w:gridCol w:w="146"/>
        <w:gridCol w:w="146"/>
        <w:gridCol w:w="1006"/>
        <w:gridCol w:w="146"/>
        <w:gridCol w:w="146"/>
        <w:gridCol w:w="196"/>
        <w:gridCol w:w="376"/>
        <w:gridCol w:w="146"/>
        <w:gridCol w:w="146"/>
        <w:gridCol w:w="209"/>
        <w:gridCol w:w="885"/>
        <w:gridCol w:w="146"/>
        <w:gridCol w:w="146"/>
        <w:gridCol w:w="257"/>
        <w:gridCol w:w="986"/>
        <w:gridCol w:w="166"/>
        <w:gridCol w:w="146"/>
        <w:gridCol w:w="196"/>
        <w:gridCol w:w="826"/>
        <w:gridCol w:w="414"/>
      </w:tblGrid>
      <w:tr>
        <w:trPr/>
        <w:tc>
          <w:tcPr>
            <w:tcW w:w="3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146,285,685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4,100,272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70,070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4,170,488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143,769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(147,025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122,384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(105,405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150,578,335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4,222,651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4,185,646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investment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142,736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(decrease) in net assets resulting from capital share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Issuance of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8,677,493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to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Dividends declared from 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(112,763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161,090,631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4,523,648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4,529,689</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461"/>
        <w:gridCol w:w="146"/>
        <w:gridCol w:w="146"/>
        <w:gridCol w:w="1006"/>
        <w:gridCol w:w="146"/>
        <w:gridCol w:w="146"/>
        <w:gridCol w:w="196"/>
        <w:gridCol w:w="376"/>
        <w:gridCol w:w="146"/>
        <w:gridCol w:w="146"/>
        <w:gridCol w:w="214"/>
        <w:gridCol w:w="903"/>
        <w:gridCol w:w="146"/>
        <w:gridCol w:w="146"/>
        <w:gridCol w:w="276"/>
        <w:gridCol w:w="1058"/>
        <w:gridCol w:w="166"/>
        <w:gridCol w:w="146"/>
        <w:gridCol w:w="196"/>
        <w:gridCol w:w="826"/>
        <w:gridCol w:w="213"/>
      </w:tblGrid>
      <w:tr>
        <w:trPr/>
        <w:tc>
          <w:tcPr>
            <w:tcW w:w="3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140,208,028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3,923,739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4,036,470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investment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152,562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(24,733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to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41,945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Dividends declared from 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(94,916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141,664,937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3,965,682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145,782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4,111,606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investment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to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Dividends declared from 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(100,200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143,143,972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4,008,602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203,508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4,212,253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8" w:name="consolidated_statements_cash_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9770" w:type="dxa"/>
        <w:jc w:val="left"/>
        <w:tblInd w:w="0" w:type="dxa"/>
        <w:tblLayout w:type="fixed"/>
        <w:tblCellMar>
          <w:top w:w="28" w:type="dxa"/>
          <w:left w:w="28" w:type="dxa"/>
          <w:bottom w:w="28" w:type="dxa"/>
          <w:right w:w="28" w:type="dxa"/>
        </w:tblCellMar>
      </w:tblPr>
      <w:tblGrid>
        <w:gridCol w:w="5881"/>
        <w:gridCol w:w="146"/>
        <w:gridCol w:w="255"/>
        <w:gridCol w:w="1155"/>
        <w:gridCol w:w="166"/>
        <w:gridCol w:w="146"/>
        <w:gridCol w:w="255"/>
        <w:gridCol w:w="1155"/>
        <w:gridCol w:w="61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286,033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increase (decrease) in net assets resulting from operations </w:t>
              <w:br/>
              <w:t>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amortization of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discount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and originations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(1,307,497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155,552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1,099,912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 paid-in-kind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payables to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69,345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1,917,694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 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(2,201,893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calls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(406,017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1,198,013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1,048,355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Excise and other taxes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declared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Reinvestment of dividends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unless otherwise indicated;</w:t>
      </w:r>
    </w:p>
    <w:p>
      <w:pPr>
        <w:pStyle w:val="TextBody"/>
        <w:bidi w:val="0"/>
        <w:jc w:val="center"/>
        <w:rPr>
          <w:rFonts w:ascii="Times New Roman" w:hAnsi="Times New Roman"/>
          <w:sz w:val="20"/>
        </w:rPr>
      </w:pPr>
      <w:r>
        <w:rPr>
          <w:rFonts w:ascii="Times New Roman" w:hAnsi="Times New Roman"/>
          <w:b/>
          <w:color w:val="000000"/>
          <w:sz w:val="20"/>
        </w:rPr>
        <w:t>for example, with the word "million" or otherwise)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Lending Partners Advisers, LLC (the “Adviser”).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12, 2022, the Company formed a wholly-owned subsidiary, SSLP Lending, LLC, a Delaware limited liability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8, 2022, the Company formed a wholly-owned subsidiary, Sixth Street LP Holding II, LLC, a Delaware limited liability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21, 2023, the Company formed a wholly-owned subsidiary, Sixth Street Lending Partners Sub, LLC, a Cayman Islands limited liability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conducting a private offering (the “Private Offering”) of its Common Shares of beneficial interest (the “Common Shares”) to accredited investors, as defined in Regulation D under the Securities Act of 1933, as amended (the “Securities Act”) in reliance on exemptions from the registration requirements of the Securities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completed its initial closing of Capital Commitments and commenced its loan origination and investment activities on August 31, 2022 (“Commencement of Operations”), the date of receipt of the initial drawdown from investors in the Private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23, 2025, affiliates of Sixth Street, including the Company,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The Company has 25.0% voting ownership in SCP and has commitments to fund, from time to time, capital of up to $100.0 million. Refer to Note 6, Fair Value of Financial Instruments, to these consolidated financial statements for further details.</w:t>
      </w:r>
    </w:p>
    <w:p>
      <w:pPr>
        <w:pStyle w:val="TextBody"/>
        <w:bidi w:val="0"/>
        <w:spacing w:before="36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2025, which was filed with the Securities and Exchange Commission (“SEC”), on February 13, 2026.</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is an investment company and, therefore, applies the specialized accounting and reporting guidance in Accounting Standards Codification (“ASC”) Topic 946, </w:t>
      </w:r>
      <w:r>
        <w:rPr>
          <w:rFonts w:ascii="Times New Roman" w:hAnsi="Times New Roman"/>
          <w:i/>
          <w:color w:val="000000"/>
          <w:sz w:val="20"/>
        </w:rPr>
        <w:t>Financial Services – Investment Companies.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fiscal year ends on December 31. </w:t>
      </w:r>
    </w:p>
    <w:p>
      <w:pPr>
        <w:pStyle w:val="TextBody"/>
        <w:bidi w:val="0"/>
        <w:spacing w:before="360" w:after="283"/>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 </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Company's Board of Trustees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valuation process, the Board takes into account relevant factors in determining the fair value of the Company's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undertakes a multi-step valuation process, which includes, among other procedures,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management reviews the preliminary valuations with the investment professionals. Agreed upon valuation recommendations are presented to the Audit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reviews the valuations presented and recommends values for each investment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conducts this valuation process on a quarterly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has engaged independent third-party valuation firms to perform certain limited procedures that the Board has identified and requested them to perform in connection with the valuation process of investments for which no market quotations are readily available. At June 30, 2026,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applies Financial Accounting Standards Board Accounting Standards Codification Topic 820, </w:t>
      </w:r>
      <w:r>
        <w:rPr>
          <w:rFonts w:ascii="Times New Roman" w:hAnsi="Times New Roman"/>
          <w:i/>
          <w:color w:val="000000"/>
          <w:sz w:val="20"/>
        </w:rPr>
        <w:t xml:space="preserve">Fair Value Measurement </w:t>
      </w:r>
      <w:r>
        <w:rPr>
          <w:rFonts w:ascii="Times New Roman" w:hAnsi="Times New Roman"/>
          <w:color w:val="000000"/>
          <w:sz w:val="20"/>
        </w:rPr>
        <w:t xml:space="preserve">(“ASC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based on quoted prices in active markets for identical assets or liabilities that the Company has the ability to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based on quoted prices in markets that are not active or for which all significant inputs are observable, either directly or indirectly.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3—Valuations based on inputs that are unobservable and significant to the overall fair value measurement.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and Derivative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normal course of business, the Company has commitments and risks resulting from its investment transactions, which may include those involving derivative instruments. Derivative instruments are measured in terms of the notional contract amount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Derivatives, including the Company’s interest rate swaps, for which broker quotes are available are typically valued at those broker quotes. </w:t>
      </w:r>
    </w:p>
    <w:p>
      <w:pPr>
        <w:pStyle w:val="TextBody"/>
        <w:bidi w:val="0"/>
        <w:spacing w:before="360" w:after="283"/>
        <w:jc w:val="left"/>
        <w:rPr>
          <w:rFonts w:ascii="Times New Roman" w:hAnsi="Times New Roman"/>
          <w:sz w:val="20"/>
        </w:rPr>
      </w:pPr>
      <w:r>
        <w:rPr>
          <w:rFonts w:ascii="Times New Roman" w:hAnsi="Times New Roman"/>
          <w:i/>
          <w:color w:val="000000"/>
          <w:sz w:val="20"/>
        </w:rPr>
        <w:t>Offsetting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pStyle w:val="TextBody"/>
        <w:bidi w:val="0"/>
        <w:spacing w:before="360" w:after="283"/>
        <w:jc w:val="left"/>
        <w:rPr>
          <w:rFonts w:ascii="Times New Roman" w:hAnsi="Times New Roman"/>
          <w:sz w:val="20"/>
        </w:rPr>
      </w:pPr>
      <w:r>
        <w:rPr>
          <w:rFonts w:ascii="Times New Roman" w:hAnsi="Times New Roman"/>
          <w:i/>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amounts are translated into U.S. dollars on the following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market value of investments, outstanding debt on revolving credit facilities, other assets and liabilities: at the spot exchange rate on the last business day of the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purchases and sales of investments, borrowings and repayments of such borrowings, income and expenses: at the rates of exchange prevailing on the respective dates of such transactions.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denominated in foreign currencies and foreign currency transactions may involve certain considerations and risks not typically associated with those of domestic origin, including unanticipated movements in the value of the foreign currency relative to the U.S. dollar. </w:t>
      </w:r>
    </w:p>
    <w:p>
      <w:pPr>
        <w:pStyle w:val="TextBody"/>
        <w:bidi w:val="0"/>
        <w:spacing w:before="360" w:after="283"/>
        <w:jc w:val="left"/>
        <w:rPr>
          <w:rFonts w:ascii="Times New Roman" w:hAnsi="Times New Roman"/>
          <w:sz w:val="20"/>
        </w:rPr>
      </w:pPr>
      <w:r>
        <w:rPr>
          <w:rFonts w:ascii="Times New Roman" w:hAnsi="Times New Roman"/>
          <w:i/>
          <w:color w:val="000000"/>
          <w:sz w:val="20"/>
        </w:rPr>
        <w:t>Organization and Offering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June 30, 2025, 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and Dividend Income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providing services in connection with an investment, such as syndication, structuring or diligence, all or a portion of any loan fees received by the Company will be deferred and amortized over the investment’s life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pStyle w:val="TextBody"/>
        <w:bidi w:val="0"/>
        <w:spacing w:before="360" w:after="283"/>
        <w:jc w:val="left"/>
        <w:rPr>
          <w:rFonts w:ascii="Times New Roman" w:hAnsi="Times New Roman"/>
          <w:sz w:val="20"/>
        </w:rPr>
      </w:pPr>
      <w:r>
        <w:rPr>
          <w:rFonts w:ascii="Times New Roman" w:hAnsi="Times New Roman"/>
          <w:i/>
          <w:color w:val="000000"/>
          <w:sz w:val="20"/>
        </w:rPr>
        <w:t>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earnings per share (“EPS”) amounts have been computed based on the weighted-average number of Common Shares outstanding for the period. Basic EPS is computed by dividing net increase (decrease) in net assets resulting from operations by the weighted average number of Common Shares outstanding during the period. Diluted EPS is computed by dividing net increase (decrease) in net assets resulting from operations by the weighted average number of Common Shares assuming all potential shares had been issued and the additional Common Shares were dilutive. Diluted EPS reflects the potential dilution, using the if-converted method for convertible debt, which could occur if all potentially dilutive securities were exercised. </w:t>
      </w:r>
    </w:p>
    <w:p>
      <w:pPr>
        <w:pStyle w:val="TextBody"/>
        <w:bidi w:val="0"/>
        <w:spacing w:before="360" w:after="283"/>
        <w:jc w:val="left"/>
        <w:rPr>
          <w:rFonts w:ascii="Times New Roman" w:hAnsi="Times New Roman"/>
          <w:sz w:val="20"/>
        </w:rPr>
      </w:pPr>
      <w:r>
        <w:rPr>
          <w:rFonts w:ascii="Times New Roman" w:hAnsi="Times New Roman"/>
          <w:i/>
          <w:color w:val="000000"/>
          <w:sz w:val="20"/>
        </w:rPr>
        <w:t>Reimbursement of Transaction-Related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elected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intends to continue to make the requisite distributions to its shareholders, which generally relieves the Company from corporate-level U.S. federal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both the three and six months ended June 30, 2026, the Company recorded a net expense of less than $0.1 million for U.S. federal excise tax and other taxes. For both the three and six months ended June 30, 2025, the Company recorded a net expense of less than $0.1 million for U.S. federal excise tax and other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both the three and six months ended June 30, 2026, there was no recorded deferred tax liability. For both the three and six months ended June 30, 2025, the Company recorded a deferred tax liability of $0.8 million pertaining to net unrealized gains from one of our investments.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Dividends to Common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11 for further information related to dividends.</w:t>
      </w:r>
    </w:p>
    <w:p>
      <w:pPr>
        <w:pStyle w:val="TextBody"/>
        <w:bidi w:val="0"/>
        <w:spacing w:before="240" w:after="283"/>
        <w:jc w:val="left"/>
        <w:rPr>
          <w:rFonts w:ascii="Times New Roman" w:hAnsi="Times New Roman"/>
          <w:sz w:val="20"/>
        </w:rPr>
      </w:pPr>
      <w:r>
        <w:rPr>
          <w:rFonts w:ascii="Times New Roman" w:hAnsi="Times New Roman"/>
          <w:i/>
          <w:color w:val="000000"/>
          <w:sz w:val="20"/>
        </w:rPr>
        <w:t>Segment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chief operating decision maker (the “CODM”) is comprised of the senior executive committee that includes the Chief Executive Officer, Chief Financial Officer, and the Deputy Chief Financial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Recent Accounting Standards and Regulatory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2025, the FASB issued ASU No. 2025-09, “Derivatives and Hedging (Topic 815): Hedge Accounting Improvements”, which intends to more closely align hedge accounting with the economics of an entity’s risk management activities. This update is effective for annual periods beginning after December 15, 2026, including interim periods within those fiscal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though early adoption is permitted. The Company does not expect this update to have a material effect on the Company’s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the FASB issued ASU No. 2025-11, “Interim Reporting (Topic 270): Narrow-Scope Improvements (“ASU 2025-11”)”, which intends to improve the guidance in Topic 270, Interim Reporting, in order to improve navigability of required interim disclosures and clarify when that guidance is applicable. This update is effective for interim periods in fiscal years beginning after December 15, 2027. The Company does not expect this update to have a material effect on the Company’s consolidated financial statements.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March 2026, the FASB issued ASU No. 2025-12, “Codification Improvements”, which is part of a standing project to address suggestions received from stakeholders that intends to clarify accounting guidance, correct errors and make technical corrections to the Accounting Standards Codification. This update is effective for interim periods in fiscal years beginning after December 15, 2026, though early adoption is permitted. The Company does not expect this update to have a material effect on the Company’s consolidated financial statements.</w:t>
      </w:r>
    </w:p>
    <w:p>
      <w:pPr>
        <w:pStyle w:val="TextBody"/>
        <w:bidi w:val="0"/>
        <w:spacing w:before="200" w:after="283"/>
        <w:jc w:val="left"/>
        <w:rPr>
          <w:rFonts w:ascii="Times New Roman" w:hAnsi="Times New Roman"/>
          <w:sz w:val="20"/>
        </w:rPr>
      </w:pPr>
      <w:r>
        <w:rPr>
          <w:rFonts w:ascii="Times New Roman" w:hAnsi="Times New Roman"/>
          <w:b/>
          <w:color w:val="000000"/>
          <w:sz w:val="20"/>
        </w:rPr>
        <w:t>3. Agreements and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Administration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the Company incurred expenses of $1.4 million and $2.4 million, respectively, for administrative services payable to the Adviser under the terms of the Administration Agreement, which is included in other general and administrative expenses in the Consolidated Statements of Operations. For the three and six months ended June 30, 2025, the Company incurred $0.9 million and $2.0 million, respectively for administrative services payable to the Adviser under the terms of the Administration Agreement. </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 “Incentive Fee”).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may be terminated by either party without penalty on 60 days’ written notice to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Management Fee is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Management Fees (gross of waivers) were $27.3 million and $54.5 million, respectively. For the three and six months ended June 30, 2025, Management Fees (gross of waivers) were $26.2 million and $51.9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and six months ended June 30, 2026, Management Fees of $16.7 million and $33.7 million, respectively, have been waived. For the three and six months ended June 30, 2025, Management Fees of $16.3 million and $32.2 million, respectively, have been waived.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Incentive Fee consists of two parts,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In the determination of the second component of the Incentive Fee, any unrealized gains/(losses) specifically related to the foreign currency denominated borrowings of non-US dollar denominated investments is offset against any associated unrealized gains/(losses) related to foreign currency denominated investments.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Incentive Fees on net investment income were $20.4 million and $38.8 million, respectively. For the three and six months ended June 30, 2026, the Company had no accrual and an accrual of $(14.9) million, respectively, related to capital gains fees. For the three and six months ended June 30, 2025, Incentive Fees on net investment income were $21.0 million and $42.4 million, respectively. For the three and six months ended June 30, 2025, the Company had an accrual of $0.2 million and $(2.8) million, respectively, related to Capital Gains Fees. As of June 30, 2026, the Capital Gains Fees accrued are not contractually payable to the Adviser.</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Expense Support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2025, the Adviser had not provided any written commitments for Expense Payments. The Company has not made any Reimbursement Payments to the Adviser. The Company may or may not reimburse remaining expenses in the future.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License Agreement with Austin IP, LLC that grants us a non-exclusive, royalty-free license to use the mark “Sixth Street” and any derivative thereof.</w:t>
      </w:r>
    </w:p>
    <w:p>
      <w:pPr>
        <w:pStyle w:val="TextBody"/>
        <w:bidi w:val="0"/>
        <w:spacing w:before="360" w:after="283"/>
        <w:jc w:val="left"/>
        <w:rPr>
          <w:rFonts w:ascii="Times New Roman" w:hAnsi="Times New Roman"/>
          <w:sz w:val="20"/>
        </w:rPr>
      </w:pPr>
      <w:r>
        <w:rPr>
          <w:rFonts w:ascii="Times New Roman" w:hAnsi="Times New Roman"/>
          <w:b/>
          <w:color w:val="000000"/>
          <w:sz w:val="20"/>
        </w:rPr>
        <w:t>4. 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at fair value consisted of the following at June 30, 2026 and December 31, 2025:</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82"/>
        <w:gridCol w:w="903"/>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8,653,350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52"/>
        <w:gridCol w:w="933"/>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amortized cost represents the original cost adjusted for the amortization of discounts or premiums, as applicable, on debt investments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industry composition of investments at fair value at June 30, 2026 and December 31, 2025 is as follows: </w:t>
      </w:r>
    </w:p>
    <w:tbl>
      <w:tblPr>
        <w:tblW w:w="6615" w:type="dxa"/>
        <w:jc w:val="left"/>
        <w:tblInd w:w="0" w:type="dxa"/>
        <w:tblLayout w:type="fixed"/>
        <w:tblCellMar>
          <w:top w:w="28" w:type="dxa"/>
          <w:left w:w="28" w:type="dxa"/>
          <w:bottom w:w="28" w:type="dxa"/>
          <w:right w:w="28" w:type="dxa"/>
        </w:tblCellMar>
      </w:tblPr>
      <w:tblGrid>
        <w:gridCol w:w="2911"/>
        <w:gridCol w:w="146"/>
        <w:gridCol w:w="229"/>
        <w:gridCol w:w="896"/>
        <w:gridCol w:w="271"/>
        <w:gridCol w:w="1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 Gaming and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 Estate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Value rounds to less than 0.1%.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joint venture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geographic composition of investments at fair value at June 30, 2026 and December 31, 2025 is as follows: </w:t>
      </w:r>
    </w:p>
    <w:tbl>
      <w:tblPr>
        <w:tblW w:w="5190" w:type="dxa"/>
        <w:jc w:val="left"/>
        <w:tblInd w:w="0" w:type="dxa"/>
        <w:tblLayout w:type="fixed"/>
        <w:tblCellMar>
          <w:top w:w="28" w:type="dxa"/>
          <w:left w:w="28" w:type="dxa"/>
          <w:bottom w:w="28" w:type="dxa"/>
          <w:right w:w="28" w:type="dxa"/>
        </w:tblCellMar>
      </w:tblPr>
      <w:tblGrid>
        <w:gridCol w:w="1486"/>
        <w:gridCol w:w="146"/>
        <w:gridCol w:w="229"/>
        <w:gridCol w:w="896"/>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Canada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Finland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Value rounds to less than 0.1%.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Derivatives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Swaps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enter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flows related to the Company's derivatives are included within operating activities on the Consolidated Statements of Cash Flows. The following tables present the amounts paid and received on the Company’s interest rate swap transactions, excluding upfront fees, for the three and six months ended June 30, 2026 and 2025, respectively: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03"/>
        <w:gridCol w:w="146"/>
        <w:gridCol w:w="874"/>
        <w:gridCol w:w="146"/>
        <w:gridCol w:w="214"/>
        <w:gridCol w:w="903"/>
        <w:gridCol w:w="146"/>
        <w:gridCol w:w="146"/>
        <w:gridCol w:w="202"/>
        <w:gridCol w:w="684"/>
        <w:gridCol w:w="171"/>
        <w:gridCol w:w="150"/>
        <w:gridCol w:w="202"/>
        <w:gridCol w:w="622"/>
        <w:gridCol w:w="150"/>
        <w:gridCol w:w="150"/>
        <w:gridCol w:w="202"/>
        <w:gridCol w:w="451"/>
        <w:gridCol w:w="166"/>
        <w:gridCol w:w="146"/>
        <w:gridCol w:w="196"/>
        <w:gridCol w:w="662"/>
        <w:gridCol w:w="166"/>
        <w:gridCol w:w="146"/>
        <w:gridCol w:w="196"/>
        <w:gridCol w:w="602"/>
        <w:gridCol w:w="146"/>
        <w:gridCol w:w="146"/>
        <w:gridCol w:w="196"/>
        <w:gridCol w:w="572"/>
        <w:gridCol w:w="403"/>
      </w:tblGrid>
      <w:tr>
        <w:trPr/>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8,625</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(31,971</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32,298</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1,323</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857"/>
        <w:gridCol w:w="146"/>
        <w:gridCol w:w="846"/>
        <w:gridCol w:w="146"/>
        <w:gridCol w:w="209"/>
        <w:gridCol w:w="883"/>
        <w:gridCol w:w="146"/>
        <w:gridCol w:w="146"/>
        <w:gridCol w:w="198"/>
        <w:gridCol w:w="671"/>
        <w:gridCol w:w="168"/>
        <w:gridCol w:w="148"/>
        <w:gridCol w:w="198"/>
        <w:gridCol w:w="610"/>
        <w:gridCol w:w="148"/>
        <w:gridCol w:w="148"/>
        <w:gridCol w:w="198"/>
        <w:gridCol w:w="579"/>
        <w:gridCol w:w="166"/>
        <w:gridCol w:w="146"/>
        <w:gridCol w:w="196"/>
        <w:gridCol w:w="662"/>
        <w:gridCol w:w="166"/>
        <w:gridCol w:w="146"/>
        <w:gridCol w:w="196"/>
        <w:gridCol w:w="602"/>
        <w:gridCol w:w="146"/>
        <w:gridCol w:w="146"/>
        <w:gridCol w:w="196"/>
        <w:gridCol w:w="572"/>
        <w:gridCol w:w="420"/>
      </w:tblGrid>
      <w:tr>
        <w:trPr/>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8,625</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(3,555</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11,484</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8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32,297</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(5,737</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the Company recognized $22.6 million and $39.3 million, respectively, of unrealized losses on interest rate swaps designated as hedging instruments in the Consolidated Statements of Operations. For the three and six months ended June 30, 2026, this amount was offset by a decrease of $7.6 million and $14.0 million, respectively, for a change in carrying value of the 2029 Notes, a decrease of $5.8 million and $9.7 million, respectively, for a change in carrying value of the January 2030 Notes and a decrease of $9.2 million and $15.6 million, respectively, for a change in carrying value of the July 2030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the Company recognized $22.0 million and $56.8 million, respectively, of unrealized gains on interest rate swaps designated as hedging instruments in the Consolidated Statements of Operations. For the three and six months ended June 30, 2025, this amount was offset by $6.6 million and $16.8 million, respectively, increase in the carrying value of the 2029 Notes. For the three and six months ended June 30, 2025, this amount was offset by $7.2 million and $17.6 million, respectively, increase in the carrying value of the January 2030 Notes. For the three and six months ended June 30, 2025, this amount was offset by $8.2 million and $22.4 million, respectively, increase in the carrying value of the July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swap transactions had a fair value of $(8.4) million which is netted against cash collateral of $63.7 million. Cash is pledged as collateral under the Company’s derivative agreements and is included in restricted cash as a component of cash and cash equivalents on the Company’s Consolidated Balance Sheet. As of June 30, 2026, the derivatives had a fair value of $55.2 million. As of December 31, 2025, the swap transactions had a fair value of $30.9 million, which is netted against cash collateral of $47.7 million on the Company's Consolidated Balance Sheet. Cash is pledged as collateral under the Company’s derivative agreements and is included in restricted cash as a component of cash and cash equivalents on the Company's Consolidated Balance Sheet. As of December 31, 2025, the derivatives had a fair value of $78.6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enter into other derivative instruments and incur other exposures with the same or other counterparties in the future.</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fair value measurements of investments as of June 30, 2026 and December 31, 2025: </w:t>
      </w:r>
    </w:p>
    <w:tbl>
      <w:tblPr>
        <w:tblW w:w="8260" w:type="dxa"/>
        <w:jc w:val="left"/>
        <w:tblInd w:w="0" w:type="dxa"/>
        <w:tblLayout w:type="fixed"/>
        <w:tblCellMar>
          <w:top w:w="28" w:type="dxa"/>
          <w:left w:w="28" w:type="dxa"/>
          <w:bottom w:w="28" w:type="dxa"/>
          <w:right w:w="28" w:type="dxa"/>
        </w:tblCellMar>
      </w:tblPr>
      <w:tblGrid>
        <w:gridCol w:w="2901"/>
        <w:gridCol w:w="146"/>
        <w:gridCol w:w="239"/>
        <w:gridCol w:w="391"/>
        <w:gridCol w:w="146"/>
        <w:gridCol w:w="146"/>
        <w:gridCol w:w="211"/>
        <w:gridCol w:w="781"/>
        <w:gridCol w:w="166"/>
        <w:gridCol w:w="146"/>
        <w:gridCol w:w="211"/>
        <w:gridCol w:w="931"/>
        <w:gridCol w:w="146"/>
        <w:gridCol w:w="146"/>
        <w:gridCol w:w="211"/>
        <w:gridCol w:w="931"/>
        <w:gridCol w:w="41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8,182,766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8,454,344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8,653,350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8,454,344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8,644,937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20" w:type="dxa"/>
        <w:jc w:val="left"/>
        <w:tblInd w:w="0" w:type="dxa"/>
        <w:tblLayout w:type="fixed"/>
        <w:tblCellMar>
          <w:top w:w="28" w:type="dxa"/>
          <w:left w:w="28" w:type="dxa"/>
          <w:bottom w:w="28" w:type="dxa"/>
          <w:right w:w="28" w:type="dxa"/>
        </w:tblCellMar>
      </w:tblPr>
      <w:tblGrid>
        <w:gridCol w:w="2901"/>
        <w:gridCol w:w="146"/>
        <w:gridCol w:w="239"/>
        <w:gridCol w:w="391"/>
        <w:gridCol w:w="146"/>
        <w:gridCol w:w="146"/>
        <w:gridCol w:w="211"/>
        <w:gridCol w:w="781"/>
        <w:gridCol w:w="146"/>
        <w:gridCol w:w="146"/>
        <w:gridCol w:w="211"/>
        <w:gridCol w:w="931"/>
        <w:gridCol w:w="146"/>
        <w:gridCol w:w="146"/>
        <w:gridCol w:w="211"/>
        <w:gridCol w:w="931"/>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7,659,912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8,108,654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8,139,586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Transfers between levels, if any, are recognized at the beginning of the quarter in which the transfers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changes in the fair value of investments for which Level 3 inputs were used to determine the fair value as of and for the three and six months ended June 30, 2026: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4"/>
        <w:gridCol w:w="146"/>
        <w:gridCol w:w="211"/>
        <w:gridCol w:w="931"/>
        <w:gridCol w:w="166"/>
        <w:gridCol w:w="146"/>
        <w:gridCol w:w="225"/>
        <w:gridCol w:w="721"/>
        <w:gridCol w:w="166"/>
        <w:gridCol w:w="146"/>
        <w:gridCol w:w="211"/>
        <w:gridCol w:w="781"/>
        <w:gridCol w:w="166"/>
        <w:gridCol w:w="146"/>
        <w:gridCol w:w="211"/>
        <w:gridCol w:w="781"/>
        <w:gridCol w:w="146"/>
        <w:gridCol w:w="146"/>
        <w:gridCol w:w="280"/>
        <w:gridCol w:w="899"/>
        <w:gridCol w:w="146"/>
        <w:gridCol w:w="146"/>
        <w:gridCol w:w="211"/>
        <w:gridCol w:w="931"/>
        <w:gridCol w:w="392"/>
      </w:tblGrid>
      <w:tr>
        <w:trPr/>
        <w:tc>
          <w:tcPr>
            <w:tcW w:w="1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Joint venture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8,435,390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476,904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(482,370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7,983,770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174,484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8,454,344</w:t>
            </w:r>
          </w:p>
        </w:tc>
        <w:tc>
          <w:tcPr>
            <w:tcW w:w="3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pPr>
      <w:r>
        <w:rPr/>
        <w:t> </w:t>
      </w:r>
    </w:p>
    <w:tbl>
      <w:tblPr>
        <w:tblW w:w="10205" w:type="dxa"/>
        <w:jc w:val="left"/>
        <w:tblInd w:w="0" w:type="dxa"/>
        <w:tblLayout w:type="fixed"/>
        <w:tblCellMar>
          <w:top w:w="28" w:type="dxa"/>
          <w:left w:w="28" w:type="dxa"/>
          <w:bottom w:w="28" w:type="dxa"/>
          <w:right w:w="28" w:type="dxa"/>
        </w:tblCellMar>
      </w:tblPr>
      <w:tblGrid>
        <w:gridCol w:w="1740"/>
        <w:gridCol w:w="146"/>
        <w:gridCol w:w="211"/>
        <w:gridCol w:w="931"/>
        <w:gridCol w:w="166"/>
        <w:gridCol w:w="146"/>
        <w:gridCol w:w="225"/>
        <w:gridCol w:w="721"/>
        <w:gridCol w:w="166"/>
        <w:gridCol w:w="146"/>
        <w:gridCol w:w="211"/>
        <w:gridCol w:w="781"/>
        <w:gridCol w:w="166"/>
        <w:gridCol w:w="146"/>
        <w:gridCol w:w="211"/>
        <w:gridCol w:w="781"/>
        <w:gridCol w:w="166"/>
        <w:gridCol w:w="146"/>
        <w:gridCol w:w="279"/>
        <w:gridCol w:w="894"/>
        <w:gridCol w:w="146"/>
        <w:gridCol w:w="146"/>
        <w:gridCol w:w="211"/>
        <w:gridCol w:w="931"/>
        <w:gridCol w:w="392"/>
      </w:tblGrid>
      <w:tr>
        <w:trPr/>
        <w:tc>
          <w:tcPr>
            <w:tcW w:w="1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Six Months Ended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Joint venture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7,847,447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1,416,950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(684,461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(170,828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7,983,770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174,484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8,454,344</w:t>
            </w:r>
          </w:p>
        </w:tc>
        <w:tc>
          <w:tcPr>
            <w:tcW w:w="3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changes in the fair value of investments for which Level 3 inputs were used to determine the fair value as of and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3180"/>
        <w:gridCol w:w="146"/>
        <w:gridCol w:w="211"/>
        <w:gridCol w:w="931"/>
        <w:gridCol w:w="166"/>
        <w:gridCol w:w="146"/>
        <w:gridCol w:w="211"/>
        <w:gridCol w:w="781"/>
        <w:gridCol w:w="166"/>
        <w:gridCol w:w="146"/>
        <w:gridCol w:w="211"/>
        <w:gridCol w:w="781"/>
        <w:gridCol w:w="146"/>
        <w:gridCol w:w="146"/>
        <w:gridCol w:w="211"/>
        <w:gridCol w:w="781"/>
        <w:gridCol w:w="166"/>
        <w:gridCol w:w="146"/>
        <w:gridCol w:w="211"/>
        <w:gridCol w:w="931"/>
        <w:gridCol w:w="391"/>
      </w:tblGrid>
      <w:tr>
        <w:trPr/>
        <w:tc>
          <w:tcPr>
            <w:tcW w:w="3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7,176,460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6,838,709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210,092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7,240,367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pPr>
      <w:r>
        <w:rPr/>
        <w:t> </w:t>
      </w:r>
    </w:p>
    <w:tbl>
      <w:tblPr>
        <w:tblW w:w="10205" w:type="dxa"/>
        <w:jc w:val="left"/>
        <w:tblInd w:w="0" w:type="dxa"/>
        <w:tblLayout w:type="fixed"/>
        <w:tblCellMar>
          <w:top w:w="28" w:type="dxa"/>
          <w:left w:w="28" w:type="dxa"/>
          <w:bottom w:w="28" w:type="dxa"/>
          <w:right w:w="28" w:type="dxa"/>
        </w:tblCellMar>
      </w:tblPr>
      <w:tblGrid>
        <w:gridCol w:w="3105"/>
        <w:gridCol w:w="146"/>
        <w:gridCol w:w="211"/>
        <w:gridCol w:w="991"/>
        <w:gridCol w:w="166"/>
        <w:gridCol w:w="146"/>
        <w:gridCol w:w="211"/>
        <w:gridCol w:w="736"/>
        <w:gridCol w:w="166"/>
        <w:gridCol w:w="146"/>
        <w:gridCol w:w="211"/>
        <w:gridCol w:w="781"/>
        <w:gridCol w:w="146"/>
        <w:gridCol w:w="146"/>
        <w:gridCol w:w="211"/>
        <w:gridCol w:w="781"/>
        <w:gridCol w:w="166"/>
        <w:gridCol w:w="146"/>
        <w:gridCol w:w="211"/>
        <w:gridCol w:w="991"/>
        <w:gridCol w:w="391"/>
      </w:tblGrid>
      <w:tr>
        <w:trPr/>
        <w:tc>
          <w:tcPr>
            <w:tcW w:w="3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7,099,575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1,159,199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(1,099,011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6,838,709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210,092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7,240,367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presents information with respect to the net change in unrealized gains or losses on investments for which Level 3 inputs were used in determining fair value that are still held by the Company at June 30, 2026 and June 30, 2025: </w:t>
      </w:r>
    </w:p>
    <w:tbl>
      <w:tblPr>
        <w:tblW w:w="7750" w:type="dxa"/>
        <w:jc w:val="left"/>
        <w:tblInd w:w="0" w:type="dxa"/>
        <w:tblLayout w:type="fixed"/>
        <w:tblCellMar>
          <w:top w:w="28" w:type="dxa"/>
          <w:left w:w="28" w:type="dxa"/>
          <w:bottom w:w="28" w:type="dxa"/>
          <w:right w:w="28" w:type="dxa"/>
        </w:tblCellMar>
      </w:tblPr>
      <w:tblGrid>
        <w:gridCol w:w="2521"/>
        <w:gridCol w:w="146"/>
        <w:gridCol w:w="520"/>
        <w:gridCol w:w="1670"/>
        <w:gridCol w:w="166"/>
        <w:gridCol w:w="146"/>
        <w:gridCol w:w="466"/>
        <w:gridCol w:w="1724"/>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 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360" w:type="dxa"/>
        <w:jc w:val="left"/>
        <w:tblInd w:w="0" w:type="dxa"/>
        <w:tblLayout w:type="fixed"/>
        <w:tblCellMar>
          <w:top w:w="28" w:type="dxa"/>
          <w:left w:w="28" w:type="dxa"/>
          <w:bottom w:w="28" w:type="dxa"/>
          <w:right w:w="28" w:type="dxa"/>
        </w:tblCellMar>
      </w:tblPr>
      <w:tblGrid>
        <w:gridCol w:w="2521"/>
        <w:gridCol w:w="146"/>
        <w:gridCol w:w="400"/>
        <w:gridCol w:w="1595"/>
        <w:gridCol w:w="166"/>
        <w:gridCol w:w="146"/>
        <w:gridCol w:w="424"/>
        <w:gridCol w:w="157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 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fair value of Level 3 Investments at fair value and the significant unobservable inputs used in the valuations as of June 30, 2026 and December 31, 2025. The tables are not intended to be all-inclusive, but instead capture the significant unobservable inputs relevant to the Company’s determination of fair values.</w:t>
      </w:r>
    </w:p>
    <w:tbl>
      <w:tblPr>
        <w:tblW w:w="10205" w:type="dxa"/>
        <w:jc w:val="left"/>
        <w:tblInd w:w="0" w:type="dxa"/>
        <w:tblLayout w:type="fixed"/>
        <w:tblCellMar>
          <w:top w:w="28" w:type="dxa"/>
          <w:left w:w="28" w:type="dxa"/>
          <w:bottom w:w="28" w:type="dxa"/>
          <w:right w:w="28" w:type="dxa"/>
        </w:tblCellMar>
      </w:tblPr>
      <w:tblGrid>
        <w:gridCol w:w="2030"/>
        <w:gridCol w:w="146"/>
        <w:gridCol w:w="196"/>
        <w:gridCol w:w="826"/>
        <w:gridCol w:w="146"/>
        <w:gridCol w:w="146"/>
        <w:gridCol w:w="1428"/>
        <w:gridCol w:w="146"/>
        <w:gridCol w:w="1513"/>
        <w:gridCol w:w="146"/>
        <w:gridCol w:w="1795"/>
        <w:gridCol w:w="146"/>
        <w:gridCol w:w="1541"/>
      </w:tblGrid>
      <w:tr>
        <w:trPr/>
        <w:tc>
          <w:tcPr>
            <w:tcW w:w="2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7,983,770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7.6% — 27.5% (10.9%)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16.2% — 16.5% (16.3%)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11.9% — 11.9% (11.9%)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10.4x — 22.0x (14.6x)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w:t>
            </w:r>
          </w:p>
        </w:tc>
      </w:tr>
      <w:tr>
        <w:trPr/>
        <w:tc>
          <w:tcPr>
            <w:tcW w:w="2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12.5% — 12.5% (12.5%)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w:t>
            </w:r>
          </w:p>
        </w:tc>
      </w:tr>
      <w:tr>
        <w:trPr/>
        <w:tc>
          <w:tcPr>
            <w:tcW w:w="2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8,454,344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$43.1 million of first-lien debt investments which were valued using an asset waterfall and $37.6 million of first-lien debt investments which were valued using a comparable market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$75.7 million of equity investments which were valued using a discounted cash flow analysis.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$26.9 million of joint venture investments which were valued using a discounted cash flow analysis.</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7,398,928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6.6% — 17.5% (9.8%)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12.5% — 14.1% (13.6%)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10.8% — 10.8% (10.8%)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2.8x — 25.0x (13.5x)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7,847,447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$50.8 million of first-lien debt investments which were valued using an asset waterfall and $60.9 million of first-lien debt investments which were valued using a comparable market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$81.4 million of equity investments which were valued using a discounted cash flow analysis.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Structured Credit Partners JV, LLC (“SCP”)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23, 2025, affiliates of Sixth Street, including the Company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Sixth Street affiliates own 50.0% of the equity interests in SCP and Carlyle affiliates own 50.0%, with investment decisions requiring approval by representatives of both the Sixth Street affiliates and the Carlyle affiliates. Equity contributions will be called from each member on a pro-rata basis, based on their equity commitments. Funding of such commitments requires the approval of SCP's board of managers, including the board members appointed by the Company. SCP's board of managers consists of an equal number of representatives appointed by the Sixth Street-affiliated members of SCP and the Carlyle-affiliated members of SCP. Portfolio construction and investment decisions must be unanimously approved by SCP’s investment committee, as delegated by the board of managers of SCP. Our investment in SCP is made with certain of our affiliates in accordance with the terms of the exemptive relief that we received from the SEC. Because the Company does not own more than 25% of the voting interests of SCP, the Company does not believe that it has control over SCP for accounting purposes under U.S. GAAP or for purposes of the 1940 Act and therefore, does not consolidate SCP.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SCP had total capital commitments of $600.0 million comprised of $100.0 million of capital commitments from Sixth Street Lending Partners, $200.0 million of capital commitments from Sixth Street Specialty Lending, Inc., $150.0 million of capital commitments from Carlyle Secured Lending, Inc., and $150.0 million of capital commitments from Carlyle Credit Solutions, Inc., with all members of SCP having equal voting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SCP had the following contributed capital and unfunded commitments from its members: </w:t>
      </w:r>
    </w:p>
    <w:tbl>
      <w:tblPr>
        <w:tblW w:w="7217" w:type="dxa"/>
        <w:jc w:val="left"/>
        <w:tblInd w:w="0" w:type="dxa"/>
        <w:tblLayout w:type="fixed"/>
        <w:tblCellMar>
          <w:top w:w="28" w:type="dxa"/>
          <w:left w:w="28" w:type="dxa"/>
          <w:bottom w:w="28" w:type="dxa"/>
          <w:right w:w="28" w:type="dxa"/>
        </w:tblCellMar>
      </w:tblPr>
      <w:tblGrid>
        <w:gridCol w:w="5701"/>
        <w:gridCol w:w="239"/>
        <w:gridCol w:w="886"/>
        <w:gridCol w:w="391"/>
      </w:tblGrid>
      <w:tr>
        <w:trPr/>
        <w:tc>
          <w:tcPr>
            <w:tcW w:w="570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Sixth Street Lending Partners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Sixth Street Specialty Lending, Inc.</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Carlyle</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contributed capital</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Sixth Street Lending Partners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Sixth Street Specialty Lending, Inc.</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Carlyle</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unfunded commitments</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SCP had five wholly owned subsidiaries: (i) Carlyle US CLO 2026-3, Ltd., a Cayman Islands corporation; (ii) Carlyle US CLO 2026-B, Ltd., a Cayman Islands corporation; (iii) Sixth Street CLO 32, Ltd., a Cayman Islands corporation; (iv) Sixth Street SCP Warehouse 3, Ltd., a Cayman Islands corporation and (v) Sixth Street SCP Warehouse 4, Ltd., a Cayman Islands corporation. Each subsidiary primarily invests in broadly syndicated loans. As the subsidiaries are wholly owned subsidiaries, they are consolidated in SCP's unaudited consolidated financial statements commencing from the date of their respective 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selected consolidated balance sheet information for SCP as of June 30, 2026:</w:t>
      </w:r>
    </w:p>
    <w:tbl>
      <w:tblPr>
        <w:tblW w:w="6094" w:type="dxa"/>
        <w:jc w:val="left"/>
        <w:tblInd w:w="0" w:type="dxa"/>
        <w:tblLayout w:type="fixed"/>
        <w:tblCellMar>
          <w:top w:w="28" w:type="dxa"/>
          <w:left w:w="28" w:type="dxa"/>
          <w:bottom w:w="28" w:type="dxa"/>
          <w:right w:w="28" w:type="dxa"/>
        </w:tblCellMar>
      </w:tblPr>
      <w:tblGrid>
        <w:gridCol w:w="4561"/>
        <w:gridCol w:w="211"/>
        <w:gridCol w:w="931"/>
        <w:gridCol w:w="391"/>
      </w:tblGrid>
      <w:tr>
        <w:trPr/>
        <w:tc>
          <w:tcPr>
            <w:tcW w:w="4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Consolidated Balance Sheet Information:</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at fair value (amortized cost of $1,664,368)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and cash equivalents </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Members' Equity</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borrowings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Members' equity </w:t>
            </w:r>
            <w:r>
              <w:rPr>
                <w:rFonts w:ascii="Times New Roman" w:hAnsi="Times New Roman"/>
                <w:color w:val="000000"/>
                <w:sz w:val="13"/>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Members' Equity</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1,829,488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$9,743 of Structured Credit Partner's cash and cash equivalents was restricted.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fair value of the Company's ownership interest in the members' equity was $26,925.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Below is selected consolidated statement of operations information for SCP for the three and six months ended June 30,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08"/>
        <w:gridCol w:w="348"/>
        <w:gridCol w:w="1116"/>
        <w:gridCol w:w="366"/>
        <w:gridCol w:w="346"/>
        <w:gridCol w:w="310"/>
        <w:gridCol w:w="997"/>
        <w:gridCol w:w="414"/>
      </w:tblGrid>
      <w:tr>
        <w:trPr/>
        <w:tc>
          <w:tcPr>
            <w:tcW w:w="630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Consolidated Statement of Operations Information:</w:t>
            </w:r>
          </w:p>
        </w:tc>
        <w:tc>
          <w:tcPr>
            <w:tcW w:w="14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expenses</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Investment Income</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 on investments</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investments</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Increase (Decrease) in Net Assets Resulting from Operations</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Increase (Decrease) in Net Assets Resulting from Operations Attributable to Members</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SCP declared $5.1 million and $5.7 million, respectively, in distributions, of which $0.8 million and $1.0 million, respectively, was recognized as dividend income in the Company's Unaudited Statements of Operations. As of June 30, 2026, the daily weighted average yield on our investment in Structured Credit Partners JV, LLC was 18.7%.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summary of SCP's portfolio as of June 30, 2026:</w:t>
      </w:r>
    </w:p>
    <w:p>
      <w:pPr>
        <w:pStyle w:val="TextBody"/>
        <w:bidi w:val="0"/>
        <w:jc w:val="left"/>
        <w:rPr/>
      </w:pPr>
      <w:r>
        <w:rPr/>
        <w:t> </w:t>
      </w:r>
    </w:p>
    <w:tbl>
      <w:tblPr>
        <w:tblW w:w="6634" w:type="dxa"/>
        <w:jc w:val="left"/>
        <w:tblInd w:w="0" w:type="dxa"/>
        <w:tblLayout w:type="fixed"/>
        <w:tblCellMar>
          <w:top w:w="28" w:type="dxa"/>
          <w:left w:w="28" w:type="dxa"/>
          <w:bottom w:w="28" w:type="dxa"/>
          <w:right w:w="28" w:type="dxa"/>
        </w:tblCellMar>
      </w:tblPr>
      <w:tblGrid>
        <w:gridCol w:w="5176"/>
        <w:gridCol w:w="211"/>
        <w:gridCol w:w="931"/>
        <w:gridCol w:w="316"/>
      </w:tblGrid>
      <w:tr>
        <w:trPr/>
        <w:tc>
          <w:tcPr>
            <w:tcW w:w="5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investments </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1,681,254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on total investments at amortized cost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on total investments at fair value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on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portfolio companies in SCP</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loans at floating interest rates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par amount.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industry composition of SCP's portfolio at fair value as of June 30, 2026 is as follows: </w:t>
      </w:r>
    </w:p>
    <w:tbl>
      <w:tblPr>
        <w:tblW w:w="8363" w:type="dxa"/>
        <w:jc w:val="left"/>
        <w:tblInd w:w="0" w:type="dxa"/>
        <w:tblLayout w:type="fixed"/>
        <w:tblCellMar>
          <w:top w:w="28" w:type="dxa"/>
          <w:left w:w="28" w:type="dxa"/>
          <w:bottom w:w="28" w:type="dxa"/>
          <w:right w:w="28" w:type="dxa"/>
        </w:tblCellMar>
      </w:tblPr>
      <w:tblGrid>
        <w:gridCol w:w="3586"/>
        <w:gridCol w:w="230"/>
        <w:gridCol w:w="1015"/>
        <w:gridCol w:w="146"/>
        <w:gridCol w:w="146"/>
        <w:gridCol w:w="211"/>
        <w:gridCol w:w="931"/>
        <w:gridCol w:w="146"/>
        <w:gridCol w:w="146"/>
        <w:gridCol w:w="262"/>
        <w:gridCol w:w="1028"/>
        <w:gridCol w:w="516"/>
      </w:tblGrid>
      <w:tr>
        <w:trPr/>
        <w:tc>
          <w:tcPr>
            <w:tcW w:w="35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Aerospace &amp; Defense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 Aftermarket &amp; Services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Beverage &amp; Food</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Equipment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Chemicals, Plastics &amp; Rubber</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&amp; Building</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goods: Durable</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goods: Non-durable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Services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Containers, Packaging &amp; Glass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Diversified Financial Services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Electricity</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Oil &amp; Gas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Industries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Forest Products &amp; Paper</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 &amp; Pharmaceuticals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Tech Industries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Leisure Products &amp; Services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 Advertising, Printing &amp; Publishing</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 Broadcasting &amp; Subscription</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 Diversified &amp; Production</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Metals &amp; Mining</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Telecommunications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Cargo</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Consumer</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 Electric</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 Oil &amp; Gas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Wholesale</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geographic composition of SCP's portfolio at fair value as of June 30, 2026 is as follows: </w:t>
      </w:r>
    </w:p>
    <w:tbl>
      <w:tblPr>
        <w:tblW w:w="6663" w:type="dxa"/>
        <w:jc w:val="left"/>
        <w:tblInd w:w="0" w:type="dxa"/>
        <w:tblLayout w:type="fixed"/>
        <w:tblCellMar>
          <w:top w:w="28" w:type="dxa"/>
          <w:left w:w="28" w:type="dxa"/>
          <w:bottom w:w="28" w:type="dxa"/>
          <w:right w:w="28" w:type="dxa"/>
        </w:tblCellMar>
      </w:tblPr>
      <w:tblGrid>
        <w:gridCol w:w="1486"/>
        <w:gridCol w:w="230"/>
        <w:gridCol w:w="1015"/>
        <w:gridCol w:w="346"/>
        <w:gridCol w:w="346"/>
        <w:gridCol w:w="211"/>
        <w:gridCol w:w="931"/>
        <w:gridCol w:w="146"/>
        <w:gridCol w:w="146"/>
        <w:gridCol w:w="262"/>
        <w:gridCol w:w="1028"/>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Switzerland </w:t>
            </w:r>
            <w:r>
              <w:rPr>
                <w:rFonts w:ascii="Times New Roman" w:hAnsi="Times New Roman"/>
                <w:color w:val="000000"/>
                <w:sz w:val="13"/>
              </w:rPr>
              <w:t>(1)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1,566,030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1,664,368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Value rounds to less than 0.1%.</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Instruments Not Carried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Credit Facilities, which are categorized as Level 3 within the fair value hierarchy, as of June 30, 2026 and December 31, 2025, approximates their carrying value as the outstanding balance is callable at carrying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fair value of the Company’s 2029 Notes, January 2030 Notes and July 2030 Notes as of June 30, 2026 and December 31, 2025.</w:t>
      </w:r>
    </w:p>
    <w:p>
      <w:pPr>
        <w:pStyle w:val="TextBody"/>
        <w:bidi w:val="0"/>
        <w:spacing w:before="120" w:after="283"/>
        <w:jc w:val="left"/>
        <w:rPr/>
      </w:pPr>
      <w:r>
        <w:rPr/>
        <w:t> </w:t>
      </w:r>
    </w:p>
    <w:tbl>
      <w:tblPr>
        <w:tblW w:w="8843" w:type="dxa"/>
        <w:jc w:val="left"/>
        <w:tblInd w:w="0" w:type="dxa"/>
        <w:tblLayout w:type="fixed"/>
        <w:tblCellMar>
          <w:top w:w="28" w:type="dxa"/>
          <w:left w:w="28" w:type="dxa"/>
          <w:bottom w:w="28" w:type="dxa"/>
          <w:right w:w="28" w:type="dxa"/>
        </w:tblCellMar>
      </w:tblPr>
      <w:tblGrid>
        <w:gridCol w:w="1726"/>
        <w:gridCol w:w="146"/>
        <w:gridCol w:w="316"/>
        <w:gridCol w:w="1394"/>
        <w:gridCol w:w="146"/>
        <w:gridCol w:w="146"/>
        <w:gridCol w:w="211"/>
        <w:gridCol w:w="931"/>
        <w:gridCol w:w="146"/>
        <w:gridCol w:w="146"/>
        <w:gridCol w:w="316"/>
        <w:gridCol w:w="1394"/>
        <w:gridCol w:w="146"/>
        <w:gridCol w:w="146"/>
        <w:gridCol w:w="211"/>
        <w:gridCol w:w="931"/>
        <w:gridCol w:w="3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2,155,774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is based on broker quotes received by the Company and is categorized as Level 2 within the fair value hierarchy.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Other Financial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fair value hierarchy, cash and cash equivalents are classified as Level 1 while the Company’s other assets and liabilities, other than investments at fair value and the Credit Facilities, are classified as Level 2.</w:t>
      </w:r>
    </w:p>
    <w:p>
      <w:pPr>
        <w:pStyle w:val="TextBody"/>
        <w:bidi w:val="0"/>
        <w:spacing w:before="360" w:after="283"/>
        <w:jc w:val="left"/>
        <w:rPr>
          <w:rFonts w:ascii="Times New Roman" w:hAnsi="Times New Roman"/>
          <w:sz w:val="20"/>
        </w:rPr>
      </w:pPr>
      <w:r>
        <w:rPr>
          <w:rFonts w:ascii="Times New Roman" w:hAnsi="Times New Roman"/>
          <w:b/>
          <w:color w:val="000000"/>
          <w:sz w:val="20"/>
        </w:rPr>
        <w:t>7. Debt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Subscription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 2022, the Company entered into a revolving credit agreement (the “Subscription Facility”) with Wells Fargo Bank, National Association, as administrative agent (the “Administrative Agent”), letter of credit issuer, lead arranger, as a lender and aggregate commitments under the Subscription Facility were $400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 On July 3, 2024, the Company exercised its option to extend the stated maturity date to August 29, 2025. Pursuant to the second amendment to the Subscription Facility dated as of August 29, 2025 (the “Subscription Facility Second Amendment”), the aggregate commitments under the Subscription Facility were reduced to $500 million and the stated maturity date was extended to August 28,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Borrowings under the Subscription Facility bear interest, at our election at the time of drawdown, at a rate per annum equal to (i) in the case of loans denominated in dollars, at our option (a) an adjusted Daily Simple SOFR rate plus 1.80%, (b) an adjusted Term SOFR rate for the applicable interest period plus 1.80% and (c) in the case of reference rate loans, 0.80%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1.80% or (iii) in the case of loans denominated in sterling, the adjusted SONIA rate plus 1.80%.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amounts in U.S. dollars or certain other permitted currencies. As of June 30, 2026, the Company had outstanding debt denominated in British pounds (GBP) of 10.3 million and Euros (EUR) of 7.3 million on its Subscription Facility, included in the outstanding principal amount in the table below. As of December 31, 2025, the Company had outstanding debt denominated in British pounds (GBP) of 10.3 million, and Euros (EUR) of 7.3 million on its Subscription Facility, included in the outstanding principal amount in the table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available for borrowing under the Subscription Facility is reduced by any letters of credit issued through the Subscription Facility. As of June 30, 2026 and December 31, 2025, the Company had no outstanding letters of credit issued through the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Subscription Facility includes customary events of default, as well as customary covenants, including restrictions on certain distributions and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was in compliance with the terms of the Subscription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19, 2023,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aggregate commitments under the Revolving Credit Facility were $2.675 billion. The Revolving Credit Facility includes an uncommitted accordion feature that allows the Company, under certain circumstances, to increase the size of the Revolving Credit Facility to up to $4.0125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Fifth Amendment dated May 1, 2026, with respect to $2.475 billion of commitments, the termination of the revolving period was extended to May 1, 2030 and the stated maturity was extended to May 1, 2031 and the uncommitted accordion that allows the Company, under certain circumstances, to increase the size of the facility, was increased from up to $3.42 billion to up to $4.0125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1.525%, 1.65%, or 1.775%, based on certain borrowing base conditions and (b) an alternative base rate plus 0.525%, 0.65% or 0.775%, based on certain borrowing base conditions, (ii) in the case of loans denominated in other permitted currencies at the relevant rate specified plus 0.525%, 0.65% or 1.775%, based on certain borrowing base conditions, plus in the case of amounts denominated in certain other permitted currencies, an adjustment. We also will pay an unused commitment fee of 0.325%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 certain distributions and financial covenants. In accordance with the terms of the Revolving Credit Agreement,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asset coverage ratio of no less than 2</w:t>
      </w:r>
      <w:r>
        <w:rPr>
          <w:color w:val="000000"/>
        </w:rPr>
        <w:t xml:space="preserve"> </w:t>
      </w:r>
      <w:r>
        <w:rPr>
          <w:rFonts w:ascii="Times New Roman" w:hAnsi="Times New Roman"/>
          <w:color w:val="000000"/>
          <w:sz w:val="20"/>
        </w:rPr>
        <w:t>to 1</w:t>
      </w:r>
      <w:r>
        <w:rPr>
          <w:color w:val="000000"/>
        </w:rPr>
        <w:t xml:space="preserve"> </w:t>
      </w:r>
      <w:r>
        <w:rPr>
          <w:rFonts w:ascii="Times New Roman" w:hAnsi="Times New Roman"/>
          <w:color w:val="000000"/>
          <w:sz w:val="20"/>
        </w:rPr>
        <w:t xml:space="preserve">on the last day of any fiscal quarter;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shareholders’ equity of at least $2.71</w:t>
      </w:r>
      <w:r>
        <w:rPr>
          <w:color w:val="000000"/>
        </w:rPr>
        <w:t xml:space="preserve"> </w:t>
      </w:r>
      <w:r>
        <w:rPr>
          <w:rFonts w:ascii="Times New Roman" w:hAnsi="Times New Roman"/>
          <w:color w:val="000000"/>
          <w:sz w:val="20"/>
        </w:rPr>
        <w:t>billion plus 25% of the net proceeds of the sale of equity interests after May 1, 2026;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minimum asset coverage ratio of no less than 1.5</w:t>
      </w:r>
      <w:r>
        <w:rPr>
          <w:color w:val="000000"/>
        </w:rPr>
        <w:t xml:space="preserve"> </w:t>
      </w:r>
      <w:r>
        <w:rPr>
          <w:rFonts w:ascii="Times New Roman" w:hAnsi="Times New Roman"/>
          <w:color w:val="000000"/>
          <w:sz w:val="20"/>
        </w:rPr>
        <w:t xml:space="preserve">to 1 with respect to (i) the consolidated assets of the Company and the subsidiary guarantors (including certain limitations on the contribution of equity in financing subsidiaries) to (ii) the secured debt of the Company and its subsidiary guarantors (the “Obligor Asset Coverage Ratio”).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amounts in U.S. dollars or certain other permitted currencies. As of June 30, 2026, the Company had outstanding debt denominated in British pounds (GBP) of 246.7 million, Canadian dollars (CAD) of 141.3 million, Euros (EUR) 1,003.8 million and Swedish Krona (SEK) 290.0 million on its Revolving Credit Facility, included in the outstanding principal amount in the table below. As of December 31, 2025, the Company had outstanding debt denominated in British pounds (GBP) of 244.7 million, Canadian dollars (CAD) of 142.0 million, Euros (EUR) 974.5 million and Swedish Krona (SEK) 218.0 million on its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also provides for the issuance of letters of credit up to an aggregate amount of $100 million. As of June 30, 2026, the Company had $24.9 million in outstanding letters of credit issued through the Revolving Credit Facility. As of December 31, 2025, the Company had $32.0 million in outstanding letters of credit issued through the Revolving Credit Facility.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available for borrowing under the Revolving Credit Facility is reduced by any letters of credit issued through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(with customary cure and notice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was in compliance with the terms of the Revolving Credit Facility.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the Company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the Company’s option at any time at par plus a “make whole” premium. Total proceeds from the issuance of the 2029 Notes, net of underwriting discounts, offering costs and original issue discount, were $586.0 million. The Company used the net proceeds of the 2029 Notes to repay outstanding indebtedness under the Revolving Credit Facility and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2024, the Company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The Company used the net proceeds of the 2029 Notes to repay outstanding indebtedness under the Revolving Credit Facility and Subscription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two interest rate swaps to align the interest rates of its liabilities with the Company’s investment portfolio, which consists of predominately floating rate loans. The notional amount of the two interest rates swaps is $600.0 million and $150.0 million, respectively, each of which matures on March 11, 2029, matching the maturity date of the 2029 Notes. As a result of the swap, the Company’s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the Company’s Consolidated Statements of Operations. As of June 30, 2026 and December 31, 2025, the effective hedge interest rate swaps had a fair value of $1.1 million and $15.1 million, respectively, which is offset within interest expense by an equal, but opposite, fair value change for the hedged risk on the 2029 Notes.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January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the Company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the Company’s option at any time at par plus a “make whole” premium. Total proceeds from the issuance of the January 2030 Notes, net of underwriting discounts, offering costs and original issue discount, were $591.7 million. The Company used the net proceeds of the January 2030 Notes to repay outstanding indebtedness under the Revolving Credit Facility and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January 2030 Notes, the Company entered into an interest rate swap to align the interest rate of its liability with the Company’s investment portfolio, which consists of predominately floating rate loans. The notional amount of the interest rate swap is $600.0 million which matures on January 15, 2030, matching the maturity date of the January 2030 Notes. As a result of the swap, the Company’s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the Company’s Consolidated Statements of Operations. As of June 30, 2026 and December 31, 2025, the effective hedge interest rate swaps had a fair value of $(14.9) million and $(5.2) million, respectively, which is offset within interest expense by an equal, but opposite, fair value change for the hedged risk on the January 2030 Notes.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July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2025, the Company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the Company's option at any time at par plus a "make whole" premium. Total proceeds from the issuance of the July 2030 Notes, net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underwriting discounts, offering costs and original issue discount, were $737.6 million. The Company used the net proceeds of the July 2030 Notes to repay outstanding indebtedness under the Revolving Credit Facility and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issuance of the July 2030 Notes, the Company entered into an interest rate swap to align the interest rate of its liability with the Company's investment portfolio, which consists of predominately floating rate loans. The notional amount of the interest rate swap is $750.0 million which matures on July 15, 2030, matching the maturity date of the July 2030 Notes. As a result of the swap, the Company's effective interest rate on the July 2030 Notes is SOFR plus 2.01%. The interest expense related to the July 2030 Notes is offset by proceeds received from the interest rate swaps designated as a hedge. The swap adjusted interest expense is included as a component of interest expense on the Company's Consolidated Statements of Operations. As of June 30, 2026 and December 31, 2025, the effective hedge interest rate swaps had a fair value of $5.3 million and $21.0 million, respectively, which is offset within interest expense by an equal, but opposite, fair value change for the hedged risk on the July 2030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and 2025 respectively, the components of interest expense related to the 2029 Notes, January 2030 Notes and July 2030 Notes are as follows.</w:t>
      </w:r>
    </w:p>
    <w:p>
      <w:pPr>
        <w:pStyle w:val="TextBody"/>
        <w:bidi w:val="0"/>
        <w:spacing w:before="120" w:after="283"/>
        <w:jc w:val="left"/>
        <w:rPr/>
      </w:pPr>
      <w:r>
        <w:rPr/>
        <w:t> </w:t>
      </w:r>
    </w:p>
    <w:tbl>
      <w:tblPr>
        <w:tblW w:w="9520" w:type="dxa"/>
        <w:jc w:val="left"/>
        <w:tblInd w:w="0" w:type="dxa"/>
        <w:tblLayout w:type="fixed"/>
        <w:tblCellMar>
          <w:top w:w="28" w:type="dxa"/>
          <w:left w:w="28" w:type="dxa"/>
          <w:bottom w:w="28" w:type="dxa"/>
          <w:right w:w="28" w:type="dxa"/>
        </w:tblCellMar>
      </w:tblPr>
      <w:tblGrid>
        <w:gridCol w:w="3391"/>
        <w:gridCol w:w="346"/>
        <w:gridCol w:w="267"/>
        <w:gridCol w:w="858"/>
        <w:gridCol w:w="154"/>
        <w:gridCol w:w="154"/>
        <w:gridCol w:w="267"/>
        <w:gridCol w:w="858"/>
        <w:gridCol w:w="146"/>
        <w:gridCol w:w="146"/>
        <w:gridCol w:w="267"/>
        <w:gridCol w:w="858"/>
        <w:gridCol w:w="146"/>
        <w:gridCol w:w="146"/>
        <w:gridCol w:w="267"/>
        <w:gridCol w:w="858"/>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34,208</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expense in the table above does not include the effect of the interest rate swaps related to the 2029 Notes, January 2030 Notes and July 2030 Notes. During the three and six months ended June 30, 2026, the Company received $32.3 million and $64.6 million, respectively, and paid $32.0 million and $63.3 million, respectively, related to the settlements of its interest expense in the Company's Consolidated Statement of Operations. During the three and six months ended June 30, 2025, the Company received $32.3 million and $62.3 million, respectively, and paid $35.8 million and $68.0 million, respectively, related to the settlements of its interest expense in the Company's Consolidated Statement of Operations. See Note 5 for further information about the Company's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components of the carrying value and the stated interest rates of the 2029 Notes, January 2030 Notes and July 2030 Notes and the stated interest rates were as follows.</w:t>
      </w:r>
    </w:p>
    <w:p>
      <w:pPr>
        <w:pStyle w:val="TextBody"/>
        <w:bidi w:val="0"/>
        <w:spacing w:before="120" w:after="283"/>
        <w:jc w:val="left"/>
        <w:rPr/>
      </w:pPr>
      <w:r>
        <w:rPr/>
        <w:t> </w:t>
      </w:r>
    </w:p>
    <w:tbl>
      <w:tblPr>
        <w:tblW w:w="8484"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335"/>
        <w:gridCol w:w="1240"/>
        <w:gridCol w:w="271"/>
        <w:gridCol w:w="146"/>
        <w:gridCol w:w="271"/>
        <w:gridCol w:w="1004"/>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2030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2030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741,814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579,370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743,796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stated interest rate in the table above does not include the effect of the interest rate swaps. As of June 30, 2026, the Company's swap-adjusted interest rate on the 2029 Notes, January 2030 Notes and July 2030 Notes was SOFR plus 2.45% (on a weighted average basis), 2.55% and 2.01%,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components of the carrying value and the stated interest rates of the 2029 Notes, January 2030 Notes and July 2030 Notes were as follows.</w:t>
      </w:r>
    </w:p>
    <w:p>
      <w:pPr>
        <w:pStyle w:val="TextBody"/>
        <w:bidi w:val="0"/>
        <w:jc w:val="left"/>
        <w:rPr/>
      </w:pPr>
      <w:r>
        <w:rPr/>
        <w:t> </w:t>
      </w:r>
    </w:p>
    <w:tbl>
      <w:tblPr>
        <w:tblW w:w="8484"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335"/>
        <w:gridCol w:w="1240"/>
        <w:gridCol w:w="271"/>
        <w:gridCol w:w="146"/>
        <w:gridCol w:w="271"/>
        <w:gridCol w:w="1004"/>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2030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2030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754,169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758,527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stated interest rate in the table above does not include the effect of the interest rate swaps. As of December 31, 2025, the Company's swap-adjusted interest rate on the 2029 Notes, January 2030 Notes and July 2030 Notes was SOFR plus 2.45% (on a weighted average basis), 2.55% and 2.01%,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Company was in compliance with the terms of the indentures governing the 2029 Notes, January 2030 Notes and July 2030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1940 Act, with certain limitations, the Company is allowed to borrow amounts such that its asset coverage, as defined in the 1940 Act, is at least 150% after such borrowing. As of June 30, 2026 and December 31, 2025, the Company's asset coverage was 209.5% and 200.8%,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June 30, 2026 and December 31, 2025: </w:t>
      </w:r>
    </w:p>
    <w:p>
      <w:pPr>
        <w:pStyle w:val="TextBody"/>
        <w:bidi w:val="0"/>
        <w:jc w:val="left"/>
        <w:rPr/>
      </w:pPr>
      <w:r>
        <w:rPr/>
        <w:t> </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1,831,505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743,796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4,088,266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Subscription Facility,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pPr>
      <w:r>
        <w:rPr>
          <w:rFonts w:ascii="Times New Roman" w:hAnsi="Times New Roman"/>
          <w:color w:val="000000"/>
          <w:sz w:val="20"/>
        </w:rPr>
        <w:t>The carrying values of the Subscription Facility, Revolving Credit Facility, the 2029 Notes, January 2030 Notes and July 2030 Notes are presented net of the combination of deferred financing costs and original issue discounts totaling $0.2</w:t>
      </w:r>
      <w:r>
        <w:rPr>
          <w:color w:val="000000"/>
        </w:rPr>
        <w:t xml:space="preserve"> </w:t>
      </w:r>
      <w:r>
        <w:rPr>
          <w:rFonts w:ascii="Times New Roman" w:hAnsi="Times New Roman"/>
          <w:color w:val="000000"/>
          <w:sz w:val="20"/>
        </w:rPr>
        <w:t>million, $20.0</w:t>
      </w:r>
      <w:r>
        <w:rPr>
          <w:color w:val="000000"/>
        </w:rPr>
        <w:t xml:space="preserve"> </w:t>
      </w:r>
      <w:r>
        <w:rPr>
          <w:rFonts w:ascii="Times New Roman" w:hAnsi="Times New Roman"/>
          <w:color w:val="000000"/>
          <w:sz w:val="20"/>
        </w:rPr>
        <w:t>million, $9.3</w:t>
      </w:r>
      <w:r>
        <w:rPr>
          <w:color w:val="000000"/>
        </w:rPr>
        <w:t xml:space="preserve"> </w:t>
      </w:r>
      <w:r>
        <w:rPr>
          <w:rFonts w:ascii="Times New Roman" w:hAnsi="Times New Roman"/>
          <w:color w:val="000000"/>
          <w:sz w:val="20"/>
        </w:rPr>
        <w:t>million, $5.8</w:t>
      </w:r>
      <w:r>
        <w:rPr>
          <w:color w:val="000000"/>
        </w:rPr>
        <w:t xml:space="preserve"> </w:t>
      </w:r>
      <w:r>
        <w:rPr>
          <w:rFonts w:ascii="Times New Roman" w:hAnsi="Times New Roman"/>
          <w:color w:val="000000"/>
          <w:sz w:val="20"/>
        </w:rPr>
        <w:t>million and $11.5</w:t>
      </w:r>
      <w:r>
        <w:rPr>
          <w:color w:val="000000"/>
        </w:rPr>
        <w:t xml:space="preserve"> </w:t>
      </w:r>
      <w:r>
        <w:rPr>
          <w:rFonts w:ascii="Times New Roman" w:hAnsi="Times New Roman"/>
          <w:color w:val="000000"/>
          <w:sz w:val="20"/>
        </w:rPr>
        <w:t>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The carrying value of the 2029 Notes, January 2030 Notes, and July 2030 Notes are presented inclusive of an incremental $1.1</w:t>
      </w:r>
      <w:r>
        <w:rPr>
          <w:color w:val="000000"/>
        </w:rPr>
        <w:t xml:space="preserve"> </w:t>
      </w:r>
      <w:r>
        <w:rPr>
          <w:rFonts w:ascii="Times New Roman" w:hAnsi="Times New Roman"/>
          <w:color w:val="000000"/>
          <w:sz w:val="20"/>
        </w:rPr>
        <w:t>million, $(14.9)</w:t>
      </w:r>
      <w:r>
        <w:rPr>
          <w:color w:val="000000"/>
        </w:rPr>
        <w:t xml:space="preserve"> </w:t>
      </w:r>
      <w:r>
        <w:rPr>
          <w:rFonts w:ascii="Times New Roman" w:hAnsi="Times New Roman"/>
          <w:color w:val="000000"/>
          <w:sz w:val="20"/>
        </w:rPr>
        <w:t>million and $5.3</w:t>
      </w:r>
      <w:r>
        <w:rPr>
          <w:color w:val="000000"/>
        </w:rPr>
        <w:t xml:space="preserve"> </w:t>
      </w:r>
      <w:r>
        <w:rPr>
          <w:rFonts w:ascii="Times New Roman" w:hAnsi="Times New Roman"/>
          <w:color w:val="000000"/>
          <w:sz w:val="20"/>
        </w:rPr>
        <w:t>million, respectively, which represents an adjustment in the carrying value of the 2029 Notes, January 2030 Notes and July 2030 Notes, resulting from a hedge accounting relationship.</w:t>
      </w:r>
      <w:r>
        <w:rPr>
          <w:color w:val="00000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2,010,387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4,132,825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Subscription Facility, the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Subscription Facility, Revolving Credit Facility, 2029 Notes, January 2030 Notes and July 2030 Notes are presented net of the combination of deferred financing costs and original issue discounts totaling $1.0 million, $15.5 million, $11.0 million, $6.6 million, and $12.4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 of the 2029 Notes, January 2030 Notes and July 2030 Notes are presented inclusive of an incremental $15.1 million, $(5.2) million and $21.0 million, respectively, which represents an adjustment in the carrying value of the 2029 Notes, January 2030 Notes and July 2030 Notes, resulting from a hedge accounting relationship.</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six months ended June 30, 2026 and 2025, the components of interest expense were as follows:</w:t>
      </w:r>
    </w:p>
    <w:tbl>
      <w:tblPr>
        <w:tblW w:w="9950" w:type="dxa"/>
        <w:jc w:val="left"/>
        <w:tblInd w:w="0" w:type="dxa"/>
        <w:tblLayout w:type="fixed"/>
        <w:tblCellMar>
          <w:top w:w="28" w:type="dxa"/>
          <w:left w:w="28" w:type="dxa"/>
          <w:bottom w:w="28" w:type="dxa"/>
          <w:right w:w="28" w:type="dxa"/>
        </w:tblCellMar>
      </w:tblPr>
      <w:tblGrid>
        <w:gridCol w:w="3391"/>
        <w:gridCol w:w="146"/>
        <w:gridCol w:w="254"/>
        <w:gridCol w:w="871"/>
        <w:gridCol w:w="271"/>
        <w:gridCol w:w="146"/>
        <w:gridCol w:w="254"/>
        <w:gridCol w:w="871"/>
        <w:gridCol w:w="271"/>
        <w:gridCol w:w="146"/>
        <w:gridCol w:w="239"/>
        <w:gridCol w:w="886"/>
        <w:gridCol w:w="271"/>
        <w:gridCol w:w="146"/>
        <w:gridCol w:w="239"/>
        <w:gridCol w:w="886"/>
        <w:gridCol w:w="271"/>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116,672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115,169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 outstanding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the following commitments to fund investments in current portfolio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92" w:type="dxa"/>
        <w:jc w:val="left"/>
        <w:tblInd w:w="0" w:type="dxa"/>
        <w:tblLayout w:type="fixed"/>
        <w:tblCellMar>
          <w:top w:w="28" w:type="dxa"/>
          <w:left w:w="28" w:type="dxa"/>
          <w:bottom w:w="28" w:type="dxa"/>
          <w:right w:w="28" w:type="dxa"/>
        </w:tblCellMar>
      </w:tblPr>
      <w:tblGrid>
        <w:gridCol w:w="5821"/>
        <w:gridCol w:w="146"/>
        <w:gridCol w:w="211"/>
        <w:gridCol w:w="931"/>
        <w:gridCol w:w="246"/>
        <w:gridCol w:w="246"/>
        <w:gridCol w:w="319"/>
        <w:gridCol w:w="1181"/>
        <w:gridCol w:w="39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 Bidco Oy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Aledade,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Arcwood Environmental,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AVSC Holding Corp.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Ace Purchaser,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Beam Therapeutics, Inc.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EDB Parent, LLC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Frontline Road Safety Operations, LLC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HMP Omnimedia,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Ingenovis Health Finance, LLC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Kaseware Intermediate Holding Company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Kryptona BidCo US, LLC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 Purchaser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LIHA Holdco B.V.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Lynx BidCo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MindBody,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Omnigo Software,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RainFocus, LLC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Raptor US Buyer II Corp.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Resistance Holdings,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Sediver S.p.A.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 Technologies Holdings, LLC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Partners JV, LLC -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Velocity Clinical Research, Inc.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color w:val="000000"/>
                <w:sz w:val="20"/>
              </w:rPr>
              <w:t>Total Portfolio Company Commitments</w:t>
            </w:r>
            <w:r>
              <w:rPr>
                <w:rFonts w:ascii="Times New Roman" w:hAnsi="Times New Roman"/>
                <w:color w:val="000000"/>
                <w:sz w:val="20"/>
              </w:rPr>
              <w:t xml:space="preserve"> </w:t>
            </w:r>
            <w:r>
              <w:rPr>
                <w:rFonts w:ascii="Times New Roman" w:hAnsi="Times New Roman"/>
                <w:b/>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1,148,003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 of the fair value of the current investments in these portfolio companies includes an analysis of the fair value of any unfunded commitments.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Commitments and 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a party to certain legal proceedings incidental to the normal course of its business. As of June 30, 2026 and December 31, 2025, management is not aware of any material pending or threatened litigation that would require accounting recognition or financial statement disclosure.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Net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June 30, 2026, the Company had received Capital Commitments totaling $7.4 billion ($3.5 billion remaining undrawn). As of December 31, 2025, the Company had received Capital Commitments totaling $7.4 billion ($3.7 billion remaining undrawn).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Pursuant to the Company’s dividend reinvestment plan, the following table summarizes the Common Shares issued to shareholders who have not opted out of the Company’s dividend reinvestment plan for the six months ended June 30, 2026 and 2025. All shares issued to shareholders in the tables below are newly issued shares. </w:t>
      </w:r>
    </w:p>
    <w:tbl>
      <w:tblPr>
        <w:tblW w:w="7884" w:type="dxa"/>
        <w:jc w:val="left"/>
        <w:tblInd w:w="0" w:type="dxa"/>
        <w:tblLayout w:type="fixed"/>
        <w:tblCellMar>
          <w:top w:w="28" w:type="dxa"/>
          <w:left w:w="28" w:type="dxa"/>
          <w:bottom w:w="28" w:type="dxa"/>
          <w:right w:w="28" w:type="dxa"/>
        </w:tblCellMar>
      </w:tblPr>
      <w:tblGrid>
        <w:gridCol w:w="2796"/>
        <w:gridCol w:w="146"/>
        <w:gridCol w:w="1681"/>
        <w:gridCol w:w="146"/>
        <w:gridCol w:w="1501"/>
        <w:gridCol w:w="146"/>
        <w:gridCol w:w="146"/>
        <w:gridCol w:w="931"/>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2,612,068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1,680,582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1,834,803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Common 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6,127,453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7884" w:type="dxa"/>
        <w:jc w:val="left"/>
        <w:tblInd w:w="0" w:type="dxa"/>
        <w:tblLayout w:type="fixed"/>
        <w:tblCellMar>
          <w:top w:w="28" w:type="dxa"/>
          <w:left w:w="28" w:type="dxa"/>
          <w:bottom w:w="28" w:type="dxa"/>
          <w:right w:w="28" w:type="dxa"/>
        </w:tblCellMar>
      </w:tblPr>
      <w:tblGrid>
        <w:gridCol w:w="2796"/>
        <w:gridCol w:w="146"/>
        <w:gridCol w:w="1681"/>
        <w:gridCol w:w="146"/>
        <w:gridCol w:w="1501"/>
        <w:gridCol w:w="146"/>
        <w:gridCol w:w="146"/>
        <w:gridCol w:w="931"/>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1,456,909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1,479,035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Common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2,935,944</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Company issued 6,127,453 common shares to investors who have not opted out of our dividend reinvestment plan for proceeds of $173.4 million. During the six months ended June 30, 2025, the Company issued 2,935,944 Common Shares to investors who have not opted out of our dividend reinvestment plan for proceeds of $84.9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total Common Shares issued and proceeds received related to the Company's capital drawdowns delivered pursuant to the Subscription Agreements for the six months ended June 30, 2026. There were no common shares issued and proceeds received related to the Company's capital drawdowns delivered pursuant to the Subscription Agreements for the six months ended June 30, 2025.</w:t>
      </w:r>
    </w:p>
    <w:tbl>
      <w:tblPr>
        <w:tblW w:w="6945" w:type="dxa"/>
        <w:jc w:val="left"/>
        <w:tblInd w:w="0" w:type="dxa"/>
        <w:tblLayout w:type="fixed"/>
        <w:tblCellMar>
          <w:top w:w="28" w:type="dxa"/>
          <w:left w:w="28" w:type="dxa"/>
          <w:bottom w:w="28" w:type="dxa"/>
          <w:right w:w="28" w:type="dxa"/>
        </w:tblCellMar>
      </w:tblPr>
      <w:tblGrid>
        <w:gridCol w:w="2281"/>
        <w:gridCol w:w="146"/>
        <w:gridCol w:w="351"/>
        <w:gridCol w:w="2244"/>
        <w:gridCol w:w="146"/>
        <w:gridCol w:w="146"/>
        <w:gridCol w:w="306"/>
        <w:gridCol w:w="1134"/>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Share 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Received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the computation of basic and diluted earnings per common share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3584"/>
        <w:gridCol w:w="146"/>
        <w:gridCol w:w="211"/>
        <w:gridCol w:w="1141"/>
        <w:gridCol w:w="146"/>
        <w:gridCol w:w="146"/>
        <w:gridCol w:w="211"/>
        <w:gridCol w:w="1141"/>
        <w:gridCol w:w="146"/>
        <w:gridCol w:w="146"/>
        <w:gridCol w:w="211"/>
        <w:gridCol w:w="1141"/>
        <w:gridCol w:w="146"/>
        <w:gridCol w:w="146"/>
        <w:gridCol w:w="211"/>
        <w:gridCol w:w="1141"/>
        <w:gridCol w:w="191"/>
      </w:tblGrid>
      <w:tr>
        <w:trPr/>
        <w:tc>
          <w:tcPr>
            <w:tcW w:w="3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(losses)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152,429,976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142,575,112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150,850,360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141,881,062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(losses)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11. 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dividends declared during the six months ended June 30, 2026 and 2025:</w:t>
      </w:r>
    </w:p>
    <w:p>
      <w:pPr>
        <w:pStyle w:val="TextBody"/>
        <w:bidi w:val="0"/>
        <w:jc w:val="left"/>
        <w:rPr/>
      </w:pPr>
      <w:r>
        <w:rPr/>
        <w:t> </w:t>
      </w:r>
    </w:p>
    <w:tbl>
      <w:tblPr>
        <w:tblW w:w="8654" w:type="dxa"/>
        <w:jc w:val="left"/>
        <w:tblInd w:w="0" w:type="dxa"/>
        <w:tblLayout w:type="fixed"/>
        <w:tblCellMar>
          <w:top w:w="28" w:type="dxa"/>
          <w:left w:w="28" w:type="dxa"/>
          <w:bottom w:w="28" w:type="dxa"/>
          <w:right w:w="28" w:type="dxa"/>
        </w:tblCellMar>
      </w:tblPr>
      <w:tblGrid>
        <w:gridCol w:w="2481"/>
        <w:gridCol w:w="346"/>
        <w:gridCol w:w="751"/>
        <w:gridCol w:w="146"/>
        <w:gridCol w:w="1396"/>
        <w:gridCol w:w="146"/>
        <w:gridCol w:w="1351"/>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3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3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54" w:type="dxa"/>
        <w:jc w:val="left"/>
        <w:tblInd w:w="0" w:type="dxa"/>
        <w:tblLayout w:type="fixed"/>
        <w:tblCellMar>
          <w:top w:w="28" w:type="dxa"/>
          <w:left w:w="28" w:type="dxa"/>
          <w:bottom w:w="28" w:type="dxa"/>
          <w:right w:w="28" w:type="dxa"/>
        </w:tblCellMar>
      </w:tblPr>
      <w:tblGrid>
        <w:gridCol w:w="2481"/>
        <w:gridCol w:w="346"/>
        <w:gridCol w:w="751"/>
        <w:gridCol w:w="146"/>
        <w:gridCol w:w="1396"/>
        <w:gridCol w:w="146"/>
        <w:gridCol w:w="1351"/>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3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3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5,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dividends declared during the six months ended June 30, 2026 and 2025 were derived from net investment income, determined on a tax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Financial Highlights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 share data and ratios have been derived from information provided in the consolidated financial statements. The following are the financial highlights for one share of Common Shares outstanding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6527"/>
        <w:gridCol w:w="146"/>
        <w:gridCol w:w="211"/>
        <w:gridCol w:w="1141"/>
        <w:gridCol w:w="271"/>
        <w:gridCol w:w="146"/>
        <w:gridCol w:w="211"/>
        <w:gridCol w:w="1141"/>
        <w:gridCol w:w="411"/>
      </w:tblGrid>
      <w:tr>
        <w:trPr/>
        <w:tc>
          <w:tcPr>
            <w:tcW w:w="6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Per Share Data </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and unrealized gain (loss)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Common Share Issuance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Dividends declared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increase (decrease) in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return based on net asset value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outstanding,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161,090,631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143,143,972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Ratios / Supplemental Data </w:t>
            </w:r>
            <w:r>
              <w:rPr>
                <w:rFonts w:ascii="Times New Roman" w:hAnsi="Times New Roman"/>
                <w:b/>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gross expenses to average net assets without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expenses to average net assets with</w:t>
              <w:br/>
              <w:t>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 without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 with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Portfolio turnover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4,529,689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4,212,253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weighted average Common Shares outstanding during the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sz w:val="24"/>
        </w:rPr>
      </w:pPr>
      <w:r>
        <w:rPr>
          <w:rFonts w:ascii="Times New Roman" w:hAnsi="Times New Roman"/>
          <w:color w:val="000000"/>
          <w:sz w:val="20"/>
        </w:rPr>
        <w:t>The amount shown at this caption is the balancing amount derived from share issuances. The amount shown for share issuance will fluctuate due to the timing of the share issuances and the weighting of average shares over the period.</w:t>
      </w:r>
      <w:r>
        <w:rPr>
          <w:rFonts w:ascii="Times New Roman" w:hAnsi="Times New Roman"/>
          <w:color w:val="000000"/>
          <w:sz w:val="24"/>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actual shares outstanding at the date of the relevant transactions.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net asset value is calculated as the change in net asset value per share during the period plus declared dividends, assuming reinvestment of dividends, divided by the beginning net asset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sz w:val="24"/>
        </w:rPr>
      </w:pPr>
      <w:r>
        <w:rPr>
          <w:rFonts w:ascii="Times New Roman" w:hAnsi="Times New Roman"/>
          <w:color w:val="000000"/>
          <w:sz w:val="20"/>
        </w:rPr>
        <w:t>T</w:t>
      </w:r>
      <w:r>
        <w:rPr>
          <w:rFonts w:ascii="Times New Roman" w:hAnsi="Times New Roman"/>
          <w:color w:val="1D1C1D"/>
          <w:sz w:val="20"/>
        </w:rPr>
        <w:t>he ratios, excluding nonrecurring expenses, such as organization costs, are annualized.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in this report.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II, LLC and Sixth Street Lending Partners Sub, LLC in which we may hold certain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to be regulated as a BDC under the 1940 Act and have elected to be treated as a RIC under the Code. As a result, we are required to comply with various statutory and regulatory requirements,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invest at least 70% of our assets in “qualifying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of income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 diversification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distribute (or be treated as distributing) in each taxable year at least 90% of our investment company taxable income and tax-exempt interest for that taxable year.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Investment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June 30, 2026, we have originated approximately $33.3 billion aggregate principal amount of investments and retained approximately $11.1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As of June 30, 2026, our core portfolio companies, which exclude certain investments that fall outside of our typical borrower profile and represent 89.7% of our total investments based on fair value, had a weighted average annual revenue of $882.6 million and weighted average annual EBITDA of $258.6 million. As of June 30, 2026, our core portfolio companies had a median annual revenue of $243.7 million and median annual EBITDA of $80.1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seek to create a portfolio over time that includes primarily senior secured investments by investing approximately $125 million to $300 million of capital, on average, across our core positions of upper middle-market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companies in which we invest use our capital to support organic growth, acquisitions, market or product expansion and recapitalizations (including restructurings). As of June 30, 2026, the largest investment in a single issuer based on fair value represented 4.3% of our total investment portfolio.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average investment size in each of our portfolio companies was approximately $115.4 million based on fair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our Adviser, we consider potential investments utilizing a four-tiered investment framework and against our existing portfolio as a whole: </w:t>
      </w:r>
    </w:p>
    <w:p>
      <w:pPr>
        <w:pStyle w:val="TextBody"/>
        <w:bidi w:val="0"/>
        <w:spacing w:before="240" w:after="283"/>
        <w:jc w:val="left"/>
        <w:rPr>
          <w:rFonts w:ascii="Times New Roman" w:hAnsi="Times New Roman"/>
          <w:sz w:val="20"/>
        </w:rPr>
      </w:pPr>
      <w:r>
        <w:rPr>
          <w:rFonts w:ascii="Times New Roman" w:hAnsi="Times New Roman"/>
          <w:i/>
          <w:color w:val="000000"/>
          <w:sz w:val="20"/>
        </w:rPr>
        <w:t>Business and sector selection.</w:t>
      </w:r>
      <w:r>
        <w:rPr>
          <w:rFonts w:ascii="Times New Roman" w:hAnsi="Times New Roman"/>
          <w:color w:val="000000"/>
          <w:sz w:val="20"/>
        </w:rPr>
        <w:t xml:space="preserve"> We focus on companies with enterprise values above $750 million.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largest industry represented 16.6% of our total investment portfolio based on fair value. </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Structuring.</w:t>
      </w:r>
      <w:r>
        <w:rPr>
          <w:rFonts w:ascii="Times New Roman" w:hAnsi="Times New Roman"/>
          <w:color w:val="000000"/>
          <w:sz w:val="20"/>
        </w:rPr>
        <w:t xml:space="preserve"> We focus on investing at the top of the capital structure and protecting that position. As of June 30, 2026, approximately 95.0% of our portfolio was invested in secured debt, including 94.6%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June 30, 2026, the weighted average term on new debt investment commitments in new portfolio companies was 5.2 years. </w:t>
      </w:r>
    </w:p>
    <w:p>
      <w:pPr>
        <w:pStyle w:val="TextBody"/>
        <w:bidi w:val="0"/>
        <w:spacing w:before="240" w:after="283"/>
        <w:jc w:val="left"/>
        <w:rPr>
          <w:rFonts w:ascii="Times New Roman" w:hAnsi="Times New Roman"/>
          <w:sz w:val="20"/>
        </w:rPr>
      </w:pPr>
      <w:r>
        <w:rPr>
          <w:rFonts w:ascii="Times New Roman" w:hAnsi="Times New Roman"/>
          <w:i/>
          <w:color w:val="000000"/>
          <w:sz w:val="20"/>
        </w:rPr>
        <w:t>Deal Dynamics.</w:t>
      </w:r>
      <w:r>
        <w:rPr>
          <w:rFonts w:ascii="Times New Roman" w:hAnsi="Times New Roman"/>
          <w:color w:val="000000"/>
          <w:sz w:val="20"/>
        </w:rPr>
        <w:t xml:space="preserve"> We focus on, among other deal dynamics, direct origination of investments, where we identify and lead the 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Risk Mitigation. </w:t>
      </w:r>
      <w:r>
        <w:rPr>
          <w:rFonts w:ascii="Times New Roman" w:hAnsi="Times New Roman"/>
          <w:color w:val="000000"/>
          <w:sz w:val="20"/>
        </w:rPr>
        <w:t xml:space="preserve">We seek to mitigate non-credit-related risk on our returns in several ways, including call protection provisions to protect future interest income. As of June 30, 2026, we had call protection on 85.9% of our debt investments based on fair value, with weighted average call prices of 108.6% for the first year, 104.6% for the second year and 102.0% for the third year, in each case from the date of the initial investment. As of June 30, 2026, 97.4% of our debt investments based on fair value bore interest at floating rates, with 100% of these subject to interest rate floors, which we believe helps act as a portfolio-wide hedge against inflation.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Relationship with our Adviser and Sixth Street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Adviser's Co-Chief Investment Officer,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Sixth Street is a global investment business with over $135 billion of assets under management as of June 30, 2026. Sixth Street’s direct lending platforms include Sixth Street Specialty Lending and Sixth Street Lending Partners, which are aimed at U.S. middle-market loan originations and upper middle-market loan originations, respectively, and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750 investment and operating professionals. As of June 30, 2026, seventy-five (75) of these personnel are dedicated to direct lending, including sixty (60) investment professionals.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conditions that vary across industries and credit cycles, identify favorable investment opportunities and manage our portfolio of investments. The Adviser will determine whether it would be permissible, advisable or otherwise appropriate for us to pursue a particular investment opportunity allocated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(the "Incentive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w:t>
      </w:r>
    </w:p>
    <w:p>
      <w:pPr>
        <w:pStyle w:val="TextBody"/>
        <w:bidi w:val="0"/>
        <w:spacing w:before="360" w:after="180"/>
        <w:jc w:val="left"/>
        <w:rPr>
          <w:rFonts w:ascii="Times New Roman" w:hAnsi="Times New Roman"/>
          <w:b/>
          <w:i/>
          <w:color w:val="000000"/>
          <w:sz w:val="20"/>
        </w:rPr>
      </w:pPr>
      <w:r>
        <w:rPr>
          <w:rFonts w:ascii="Times New Roman" w:hAnsi="Times New Roman"/>
          <w:b/>
          <w:i/>
          <w:color w:val="000000"/>
          <w:sz w:val="20"/>
        </w:rPr>
        <w:t>General Economic Conditions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To date, 2026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Iran and elsewhere in the Middle East and Ukraine.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contributing to economic uncertainty, the current U.S. presidential administration has signaled its intention to implement, and has implemented, significant changes to U.S. trade policy, tax policy and the enforcement of various regulations and a reduction of the size of the federal government (and government spending). These policy shifts could introduce additional market instability and reduce investor confidence. For example, the U.S. government announced tariffs on goods imported from various countries to the United States and countries subject to such tariffs have imposed, or may in the future, impose reciprocal or retaliatory tariffs and other trade measures. In February 2026, the U.S. Supreme Court ruled that many of the tariffs recently imposed by the U.S. government exceeded its authority, thereby invalidating many, but not all, of such tariffs. Subsequent to the U.S. Supreme Court's ruling, the U.S. presidential administration raised potential alternative means through which the administration could impose tariffs. We are actively monitoring macroeconomic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focus primarily on the direct origination of loans to upper middle-market companies domiciled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part of our risk strategy on investments, we may reduce certain levels of investments through partial sales or syndication to additional investors.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June 30, 2026, 97.4%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three and six months ended June 30, 2026, 7.6% and 8.0%, respectively, of our total investment income was comprised of PIK interest. For the three and six months ended June 30, 2025, 6.9% and 6.5%, respectively, of our total investment income was comprised of PIK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interest income, our net investment income may also be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income on common equity investments is recorded on the record date for private portfolio companies or on the ex-dividend date for publicly traded portfolio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calculating individual asset values and our net asset value (including the cost and expenses of any independent valuation firms);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public offerings of our Common Shares and other securities, including registration and listing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Management Fee and any Incentive Fee;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costs and expenses relating to distributions paid on our Common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administration fees payable under our Administration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and other costs of borrowings or other financing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allocable share of costs incurred in providing significant managerial assistance to those portfolio companies that request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payable to third parties relating to, or associated with, making or holding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agent and custodial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hedging;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and other compensation payable to brokers or dealers;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Independent Trustees fees and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reports, proxy statements or other notices to our shareholders (including printing and mailing costs), the costs of any shareholders’ meetings and the compensation of investor relations personnel responsible for the preparation of the foregoing and related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fidelity bond;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trustees and officers/errors and omissions liability insurance, and any other insurance premiums;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indemnification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costs and expenses of administration, including audit, accounting, consulting and legal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other expenses reasonably incurred by us in connection with making investments and administering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during periods of asset growth, our general and administrative expenses will be relatively stable or will decline as a percentage of total assets, and will increase as a percentage of total assets during periods of asset declines. </w:t>
      </w:r>
    </w:p>
    <w:p>
      <w:pPr>
        <w:pStyle w:val="TextBody"/>
        <w:bidi w:val="0"/>
        <w:spacing w:before="360" w:after="283"/>
        <w:jc w:val="left"/>
        <w:rPr>
          <w:rFonts w:ascii="Times New Roman" w:hAnsi="Times New Roman"/>
          <w:sz w:val="20"/>
        </w:rPr>
      </w:pPr>
      <w:r>
        <w:rPr>
          <w:rFonts w:ascii="Times New Roman" w:hAnsi="Times New Roman"/>
          <w:b/>
          <w:i/>
          <w:color w:val="000000"/>
          <w:sz w:val="20"/>
        </w:rPr>
        <w:t>Leverage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Trends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have created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have continued to expand.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Portfolio and Investment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our portfolio based on fair value consisted of 94.6% first-lien debt investments, 0.4% second-lien debt investments, 2.7% mezzanine investments, 0.3% joint venture investments and 2.0% equity investments. As of December 31, 2025, our portfolio based on fair value consisted of 94.5% first-lien debt investments, 0.5% second-lien debt investments, 2.7% mezzanine investments and 2.3% equity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our weighted average total yield of debt and income-producing securities at fair value (which includes interest income and amortization of fees and discounts) was 10.2% and 10.0% respectively, and our weighted average total yield of debt and income-producing securities at amortized cost (which includes interest income and amortization of fees and discounts) was 10.2% and 10.3%,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we had investments in 75 and 74 portfolio companies, respectively, with an aggregate fair value of $8,653.4 million and $8,108.7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the principal amount of new investments funded was $399.0 million in three new portfolio companies and one existing portfolio companies. For this period, we had $451.8 million aggregate principal amount in exits, sales and repayments.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the principal amount of new investments funded was $381.4 million in seventeen new portfolio companies and five existing portfolio companies. For this period, we had $464.6 million aggregate principal amount in exits, sales and repayments.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 activity for the three months ended June 30, 2026 and June 30, 2025, is presented below (information presented herein is at par value unless otherwise indicated).</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50" w:type="dxa"/>
        <w:jc w:val="left"/>
        <w:tblInd w:w="0" w:type="dxa"/>
        <w:tblLayout w:type="fixed"/>
        <w:tblCellMar>
          <w:top w:w="28" w:type="dxa"/>
          <w:left w:w="28" w:type="dxa"/>
          <w:bottom w:w="28" w:type="dxa"/>
          <w:right w:w="28" w:type="dxa"/>
        </w:tblCellMar>
      </w:tblPr>
      <w:tblGrid>
        <w:gridCol w:w="4246"/>
        <w:gridCol w:w="146"/>
        <w:gridCol w:w="303"/>
        <w:gridCol w:w="822"/>
        <w:gridCol w:w="271"/>
        <w:gridCol w:w="146"/>
        <w:gridCol w:w="303"/>
        <w:gridCol w:w="822"/>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new investment commitment amount in</w:t>
              <w:br/>
              <w:t>   new portfolio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term for new investment</w:t>
              <w:br/>
              <w:t>   commitments in new portfolio companies</w:t>
              <w:br/>
              <w:t>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fixed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w:t>
              <w:br/>
              <w:t>   new floating rate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affiliates of Sixth Street.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our investments consisted of the following: </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2521"/>
        <w:gridCol w:w="146"/>
        <w:gridCol w:w="282"/>
        <w:gridCol w:w="963"/>
        <w:gridCol w:w="246"/>
        <w:gridCol w:w="246"/>
        <w:gridCol w:w="211"/>
        <w:gridCol w:w="721"/>
        <w:gridCol w:w="246"/>
        <w:gridCol w:w="246"/>
        <w:gridCol w:w="282"/>
        <w:gridCol w:w="963"/>
        <w:gridCol w:w="246"/>
        <w:gridCol w:w="246"/>
        <w:gridCol w:w="211"/>
        <w:gridCol w:w="7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show the fair value and amortized cost of our performing and non-accrual investments as of June 30, 2026 and December 31, 2025:</w:t>
      </w:r>
    </w:p>
    <w:tbl>
      <w:tblPr>
        <w:tblW w:w="6544" w:type="dxa"/>
        <w:jc w:val="left"/>
        <w:tblInd w:w="0" w:type="dxa"/>
        <w:tblLayout w:type="fixed"/>
        <w:tblCellMar>
          <w:top w:w="28" w:type="dxa"/>
          <w:left w:w="28" w:type="dxa"/>
          <w:bottom w:w="28" w:type="dxa"/>
          <w:right w:w="28" w:type="dxa"/>
        </w:tblCellMar>
      </w:tblPr>
      <w:tblGrid>
        <w:gridCol w:w="1531"/>
        <w:gridCol w:w="211"/>
        <w:gridCol w:w="721"/>
        <w:gridCol w:w="146"/>
        <w:gridCol w:w="146"/>
        <w:gridCol w:w="186"/>
        <w:gridCol w:w="730"/>
        <w:gridCol w:w="271"/>
        <w:gridCol w:w="146"/>
        <w:gridCol w:w="211"/>
        <w:gridCol w:w="721"/>
        <w:gridCol w:w="146"/>
        <w:gridCol w:w="146"/>
        <w:gridCol w:w="186"/>
        <w:gridCol w:w="730"/>
        <w:gridCol w:w="316"/>
      </w:tblGrid>
      <w:tr>
        <w:trPr/>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 in millions) </w:t>
            </w:r>
            <w:r>
              <w:rPr>
                <w:rFonts w:ascii="Times New Roman" w:hAnsi="Times New Roman"/>
                <w:color w:val="000000"/>
                <w:sz w:val="13"/>
              </w:rPr>
              <w:t>(1)</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Non-Accrual </w:t>
            </w:r>
            <w:r>
              <w:rPr>
                <w:rFonts w:ascii="Times New Roman" w:hAnsi="Times New Roman"/>
                <w:color w:val="000000"/>
                <w:sz w:val="13"/>
              </w:rPr>
              <w:t>(2)(3)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tbl>
      <w:tblPr>
        <w:tblW w:w="7170" w:type="dxa"/>
        <w:jc w:val="left"/>
        <w:tblInd w:w="0" w:type="dxa"/>
        <w:tblLayout w:type="fixed"/>
        <w:tblCellMar>
          <w:top w:w="28" w:type="dxa"/>
          <w:left w:w="28" w:type="dxa"/>
          <w:bottom w:w="28" w:type="dxa"/>
          <w:right w:w="28" w:type="dxa"/>
        </w:tblCellMar>
      </w:tblPr>
      <w:tblGrid>
        <w:gridCol w:w="1531"/>
        <w:gridCol w:w="282"/>
        <w:gridCol w:w="963"/>
        <w:gridCol w:w="146"/>
        <w:gridCol w:w="146"/>
        <w:gridCol w:w="186"/>
        <w:gridCol w:w="730"/>
        <w:gridCol w:w="271"/>
        <w:gridCol w:w="146"/>
        <w:gridCol w:w="282"/>
        <w:gridCol w:w="963"/>
        <w:gridCol w:w="146"/>
        <w:gridCol w:w="146"/>
        <w:gridCol w:w="186"/>
        <w:gridCol w:w="730"/>
        <w:gridCol w:w="316"/>
      </w:tblGrid>
      <w:tr>
        <w:trPr/>
        <w:tc>
          <w:tcPr>
            <w:tcW w:w="1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in millions)</w:t>
            </w:r>
            <w:r>
              <w:rPr>
                <w:rFonts w:ascii="Times New Roman" w:hAnsi="Times New Roman"/>
                <w:color w:val="000000"/>
                <w:sz w:val="20"/>
              </w:rPr>
              <w:t xml:space="preserve"> </w:t>
            </w:r>
            <w:r>
              <w:rPr>
                <w:rFonts w:ascii="Times New Roman" w:hAnsi="Times New Roman"/>
                <w:color w:val="000000"/>
                <w:sz w:val="13"/>
              </w:rPr>
              <w:t>(1)</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Non-Accrual </w:t>
            </w:r>
            <w:r>
              <w:rPr>
                <w:rFonts w:ascii="Times New Roman" w:hAnsi="Times New Roman"/>
                <w:color w:val="000000"/>
                <w:sz w:val="13"/>
              </w:rPr>
              <w:t>(2)(3)</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color w:val="000000"/>
        </w:rPr>
        <w:t>“–</w:t>
      </w:r>
      <w:r>
        <w:rPr>
          <w:rFonts w:ascii="Times New Roman" w:hAnsi="Times New Roman"/>
          <w:i/>
          <w:color w:val="000000"/>
          <w:sz w:val="20"/>
        </w:rPr>
        <w:t>Critical Accounting Estimates – Interest and Dividend Income Recognition.”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December 31, 2025 amounts round to less than 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 average yields and interest rates of our performing debt investments at fair value as of June 30, 2026 and December 31, 2025 were as follows: </w:t>
      </w:r>
    </w:p>
    <w:p>
      <w:pPr>
        <w:pStyle w:val="TextBody"/>
        <w:bidi w:val="0"/>
        <w:jc w:val="left"/>
        <w:rPr/>
      </w:pPr>
      <w:r>
        <w:rPr/>
        <w:t> </w:t>
      </w:r>
    </w:p>
    <w:tbl>
      <w:tblPr>
        <w:tblW w:w="7890" w:type="dxa"/>
        <w:jc w:val="left"/>
        <w:tblInd w:w="0" w:type="dxa"/>
        <w:tblLayout w:type="fixed"/>
        <w:tblCellMar>
          <w:top w:w="28" w:type="dxa"/>
          <w:left w:w="28" w:type="dxa"/>
          <w:bottom w:w="28" w:type="dxa"/>
          <w:right w:w="28" w:type="dxa"/>
        </w:tblCellMar>
      </w:tblPr>
      <w:tblGrid>
        <w:gridCol w:w="4186"/>
        <w:gridCol w:w="146"/>
        <w:gridCol w:w="268"/>
        <w:gridCol w:w="857"/>
        <w:gridCol w:w="371"/>
        <w:gridCol w:w="246"/>
        <w:gridCol w:w="357"/>
        <w:gridCol w:w="1143"/>
        <w:gridCol w:w="31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total yield of debt and income</w:t>
              <w:br/>
              <w:t xml:space="preserve">   producing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 of debt and income</w:t>
              <w:br/>
              <w:t>   producing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over reference rate of all</w:t>
              <w:br/>
              <w:t>   floating rate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 average total portfolio yield at fair value was 10.0% at June 30, 2026 and 9.8% at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assessment of success of the portfolio company in adhering to its business plan and compliance with covenants;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and regular contact with portfolio company management and, if appropriate, the financial or strategic sponsor, to discuss financial position, requirements and accomplishments;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comparisons to other companies in the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attendance at, and participation in, board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of monthly and quarterly financial statements and financial projections for portfolio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performance rating scale at fair value as of June 30, 2026 and December 31, 2025. Investment performance ratings are accurate only as of those dates and may change due to subsequent developments relating to a portfolio company’s business or financial condition, market conditions or developments, and other factors.</w:t>
      </w:r>
    </w:p>
    <w:p>
      <w:pPr>
        <w:pStyle w:val="TextBody"/>
        <w:bidi w:val="0"/>
        <w:jc w:val="left"/>
        <w:rPr/>
      </w:pPr>
      <w:r>
        <w:rPr/>
        <w:t> </w:t>
      </w:r>
    </w:p>
    <w:tbl>
      <w:tblPr>
        <w:tblW w:w="7839" w:type="dxa"/>
        <w:jc w:val="left"/>
        <w:tblInd w:w="0" w:type="dxa"/>
        <w:tblLayout w:type="fixed"/>
        <w:tblCellMar>
          <w:top w:w="28" w:type="dxa"/>
          <w:left w:w="28" w:type="dxa"/>
          <w:bottom w:w="28" w:type="dxa"/>
          <w:right w:w="28" w:type="dxa"/>
        </w:tblCellMar>
      </w:tblPr>
      <w:tblGrid>
        <w:gridCol w:w="1066"/>
        <w:gridCol w:w="146"/>
        <w:gridCol w:w="261"/>
        <w:gridCol w:w="894"/>
        <w:gridCol w:w="246"/>
        <w:gridCol w:w="246"/>
        <w:gridCol w:w="243"/>
        <w:gridCol w:w="957"/>
        <w:gridCol w:w="371"/>
        <w:gridCol w:w="246"/>
        <w:gridCol w:w="261"/>
        <w:gridCol w:w="894"/>
        <w:gridCol w:w="246"/>
        <w:gridCol w:w="246"/>
        <w:gridCol w:w="243"/>
        <w:gridCol w:w="957"/>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7,827.6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5 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December 31, 2025 amounts round to less than 0.1%.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Structured Credit Partners JV, LLC (“SCP”)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 SCP is managed by a board of managers, consisting of an equal number of representatives appointed by the Sixth Street-affiliated members of SCP and the Carlyle-affiliated members of SCP and which acts unanimously. Portfolio construction and investment decisions must be unanimously approved by SCP’s investment committee, as delegated by SCP's board of managers.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 in SCP is made with certain of our affiliates in accordance with the terms of the exemptive relief that we received from the SEC. We do not consolidate our non-controlling interest in SCP.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SCP had total capital commitments of $600.0 million comprised of $100.0 million of capital commitments from Sixth Street Lending Partners, $200.0 million of capital commitments from Sixth Street Specialty Lending, Inc., $150.0 million of capital commitments from Carlyle Secured Lending, Inc., and $150.0 million of capital commitments from Carlyle Credit Solutions, Inc., with all members of SCP having equal voting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SCP had the following contributed capital and unfunded commitments from its members:</w:t>
      </w:r>
    </w:p>
    <w:tbl>
      <w:tblPr>
        <w:tblW w:w="7217" w:type="dxa"/>
        <w:jc w:val="left"/>
        <w:tblInd w:w="0" w:type="dxa"/>
        <w:tblLayout w:type="fixed"/>
        <w:tblCellMar>
          <w:top w:w="28" w:type="dxa"/>
          <w:left w:w="28" w:type="dxa"/>
          <w:bottom w:w="28" w:type="dxa"/>
          <w:right w:w="28" w:type="dxa"/>
        </w:tblCellMar>
      </w:tblPr>
      <w:tblGrid>
        <w:gridCol w:w="5701"/>
        <w:gridCol w:w="303"/>
        <w:gridCol w:w="822"/>
        <w:gridCol w:w="391"/>
      </w:tblGrid>
      <w:tr>
        <w:trPr/>
        <w:tc>
          <w:tcPr>
            <w:tcW w:w="57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Sixth Street Lending Partners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Sixth Street Specialty Lending, Inc.</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Carlyle</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contributed capital</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Sixth Street Lending Partners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Sixth Street Specialty Lending, Inc.</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Carlyle</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unfunded commitments</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SCP declared $5.1 million and $5.7 million, respectively, in distributions, of which $0.8 million and $1.0 million, respectively, was recognized as dividend income in the Company's Unaudited Statements of Operations. As of June 30, 2026, the daily weighted average yield on our investment in Structured Credit Partners JV, LLC was 18.7%.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summary of SCP's portfolio as of June 30, 2026:</w:t>
      </w:r>
    </w:p>
    <w:tbl>
      <w:tblPr>
        <w:tblW w:w="6617" w:type="dxa"/>
        <w:jc w:val="left"/>
        <w:tblInd w:w="0" w:type="dxa"/>
        <w:tblLayout w:type="fixed"/>
        <w:tblCellMar>
          <w:top w:w="28" w:type="dxa"/>
          <w:left w:w="28" w:type="dxa"/>
          <w:bottom w:w="28" w:type="dxa"/>
          <w:right w:w="28" w:type="dxa"/>
        </w:tblCellMar>
      </w:tblPr>
      <w:tblGrid>
        <w:gridCol w:w="5176"/>
        <w:gridCol w:w="254"/>
        <w:gridCol w:w="871"/>
        <w:gridCol w:w="316"/>
      </w:tblGrid>
      <w:tr>
        <w:trPr/>
        <w:tc>
          <w:tcPr>
            <w:tcW w:w="5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investments </w:t>
            </w:r>
            <w:r>
              <w:rPr>
                <w:rFonts w:ascii="Times New Roman" w:hAnsi="Times New Roman"/>
                <w:color w:val="000000"/>
                <w:sz w:val="13"/>
              </w:rPr>
              <w:t>(1)</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on total investments at amortized cost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on total investments at fair value</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on investments</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portfolio companies in SCP</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loans at floating interest rates</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par amount.</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results for the three and six months ended June 30, 2026 and June 30, 2025,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25"/>
        <w:gridCol w:w="346"/>
        <w:gridCol w:w="262"/>
        <w:gridCol w:w="712"/>
        <w:gridCol w:w="346"/>
        <w:gridCol w:w="346"/>
        <w:gridCol w:w="262"/>
        <w:gridCol w:w="712"/>
        <w:gridCol w:w="266"/>
        <w:gridCol w:w="246"/>
        <w:gridCol w:w="250"/>
        <w:gridCol w:w="750"/>
        <w:gridCol w:w="346"/>
        <w:gridCol w:w="346"/>
        <w:gridCol w:w="262"/>
        <w:gridCol w:w="712"/>
        <w:gridCol w:w="416"/>
      </w:tblGrid>
      <w:tr>
        <w:trPr/>
        <w:tc>
          <w:tcPr>
            <w:tcW w:w="362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in millions)</w:t>
            </w:r>
            <w:r>
              <w:rPr>
                <w:rFonts w:ascii="Times New Roman" w:hAnsi="Times New Roman"/>
                <w:color w:val="000000"/>
                <w:sz w:val="20"/>
              </w:rPr>
              <w:t xml:space="preserve">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Income taxes, including excise taxes </w:t>
            </w:r>
            <w:r>
              <w:rPr>
                <w:rFonts w:ascii="Times New Roman" w:hAnsi="Times New Roman"/>
                <w:color w:val="000000"/>
                <w:sz w:val="13"/>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change in unrealized gains (losses) </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Income</w:t>
      </w:r>
      <w:r>
        <w:rPr>
          <w:rFonts w:ascii="Times New Roman" w:hAnsi="Times New Roman"/>
          <w:color w:val="000000"/>
          <w:sz w:val="20"/>
        </w:rPr>
        <w:t xml:space="preserve"> </w:t>
      </w:r>
    </w:p>
    <w:tbl>
      <w:tblPr>
        <w:tblW w:w="9744" w:type="dxa"/>
        <w:jc w:val="left"/>
        <w:tblInd w:w="0" w:type="dxa"/>
        <w:tblLayout w:type="fixed"/>
        <w:tblCellMar>
          <w:top w:w="28" w:type="dxa"/>
          <w:left w:w="28" w:type="dxa"/>
          <w:bottom w:w="28" w:type="dxa"/>
          <w:right w:w="28" w:type="dxa"/>
        </w:tblCellMar>
      </w:tblPr>
      <w:tblGrid>
        <w:gridCol w:w="2431"/>
        <w:gridCol w:w="346"/>
        <w:gridCol w:w="303"/>
        <w:gridCol w:w="822"/>
        <w:gridCol w:w="346"/>
        <w:gridCol w:w="346"/>
        <w:gridCol w:w="303"/>
        <w:gridCol w:w="822"/>
        <w:gridCol w:w="346"/>
        <w:gridCol w:w="346"/>
        <w:gridCol w:w="303"/>
        <w:gridCol w:w="822"/>
        <w:gridCol w:w="346"/>
        <w:gridCol w:w="346"/>
        <w:gridCol w:w="303"/>
        <w:gridCol w:w="822"/>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in millions)</w:t>
            </w:r>
            <w:r>
              <w:rPr>
                <w:rFonts w:ascii="Times New Roman" w:hAnsi="Times New Roman"/>
                <w:color w:val="000000"/>
                <w:sz w:val="20"/>
              </w:rPr>
              <w:t xml:space="preserve">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from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decreased from $213.3 million for the three months ended June 30, 2025 to $207.4 million for the three months ended June 30, 2026. The decrease in interest from investments was primarily the result of a decrease in reference rates for three months ended June 30, 2026 compared to the same period in 2025. Paid-in-kind interest income increased from $16.5 million for the three months ended June 30, 2025 to $18.1 million for the three months ended June 30, 2026, primarily due to increased PIK investments. Dividend income decreased from $2.6 million for the three months ended June 30, 2025 to $0.8 million for three months ended June 30, 2026, primarily due to the timing of dividend payments in 2026. Other income increased from $8.6 million for the three months ended June 30, 2025 to $12.2 million for the three months ended June 30, 2026 primarily due to increased arranger fees earned.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decreased from $432.5 million for the six months ended June 30, 2025 to $398.1 million for the six months ended June 30, 2026. The decrease in interest from investments was primarily the result of a decrease in reference rates for six months ended June 30, 2026 compared to the same period in 2025. Paid-in-kind interest income increased from $31.3 million for the six months ended June 30, 2025 to $36.7 million for the six months ended June 30, 2026, primarily due to increased PIK investments. Dividend income decreased from $4.6 million for the six months ended June 30, 2025 to $1.0 million for six months ended June 30, 2026, primarily due to the timing of dividend payments in 2026. Other income increased from $13.2 million for the six months ended June 30, 2025 to $20.3 million for the six months ended June 30, 2026 primarily due to increased amendment and arranger fees earned.</w:t>
      </w:r>
    </w:p>
    <w:p>
      <w:pPr>
        <w:pStyle w:val="TextBody"/>
        <w:bidi w:val="0"/>
        <w:spacing w:before="1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expenses for the three and six months ended June 30, 2026 and June 30, 2025, were as follows: </w:t>
      </w:r>
    </w:p>
    <w:p>
      <w:pPr>
        <w:pStyle w:val="TextBody"/>
        <w:bidi w:val="0"/>
        <w:spacing w:before="120" w:after="283"/>
        <w:jc w:val="left"/>
        <w:rPr/>
      </w:pPr>
      <w:r>
        <w:rPr/>
        <w:t> </w:t>
      </w:r>
    </w:p>
    <w:tbl>
      <w:tblPr>
        <w:tblW w:w="9879" w:type="dxa"/>
        <w:jc w:val="left"/>
        <w:tblInd w:w="0" w:type="dxa"/>
        <w:tblLayout w:type="fixed"/>
        <w:tblCellMar>
          <w:top w:w="28" w:type="dxa"/>
          <w:left w:w="28" w:type="dxa"/>
          <w:bottom w:w="28" w:type="dxa"/>
          <w:right w:w="28" w:type="dxa"/>
        </w:tblCellMar>
      </w:tblPr>
      <w:tblGrid>
        <w:gridCol w:w="3526"/>
        <w:gridCol w:w="346"/>
        <w:gridCol w:w="350"/>
        <w:gridCol w:w="775"/>
        <w:gridCol w:w="146"/>
        <w:gridCol w:w="146"/>
        <w:gridCol w:w="350"/>
        <w:gridCol w:w="775"/>
        <w:gridCol w:w="346"/>
        <w:gridCol w:w="346"/>
        <w:gridCol w:w="303"/>
        <w:gridCol w:w="822"/>
        <w:gridCol w:w="166"/>
        <w:gridCol w:w="146"/>
        <w:gridCol w:w="303"/>
        <w:gridCol w:w="822"/>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(net of waivers)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capital gains (losses)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Trustees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including other debt financing costs, increased from $59.1 million for the three months ended June 30, 2025 to $60.0 million for the three months ended June 30, 2026. This increase was primarily due to an increase in average debt outstanding from $3,609.7 million for the three months ended June 30, 2025 to $4,260.5 million for the three months ended June 30, 2026. This was offset by a decrease in the weighted average interest rate in our debt outstanding which decreased from 5.9% for three months ended June 30, 2025 to 5.2% for the three months ended June 30, 2026 due to a change in the mix of our debt financing sources and a change in reference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including other debt financing costs, increased from $115.2 million for the six months ended June 30, 2025 to $116.7 million for the six months ended June 30, 2026. This increase was primarily due to an increase in average debt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$3,478.4 million for the six months ended June 30, 2025 to $4,192.6 million for the six months ended June 30, 2026. This was offset by a decrease in the weighted average interest rate in our debt outstanding which decreased from 6.0% for six months ended June 30, 2025 to 5.2% for the six months ended June 30, 2026 due to a change in the mix of our debt financing sources and a change in reference rates.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Fees (gross of waivers) increased from $26.2 million for the three months ended June 30, 2025 to $27.3 million for the three months ended June 30, 2026 due to an increase in average assets for the three months ended June 30, 2026 compared to the same period in 2025. Management Fees (net of waivers) increased from $9.9 million for the three months ended June 30, 2025 to $10.6 million for the three months ended June 30, 2026. For the three months ended June 30, 2026 and 2025, the Adviser waived Management Fees of $16.7 million and $16.3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Fees (gross of waivers) increased from $51.9 million for the six months ended June 30, 2025 to $54.5 million for the six months ended June 30, 2026 due to an increase in average assets for the six months ended June 30, 2026 compared to the same period in 2025. Management Fees (net of waivers) increased from $19.6 million for the six months ended June 30, 2025 to $20.8 million for the six months ended June 30, 2026. For the six months ended June 30, 2026 and 2025, the Adviser waived Management Fees of $33.7 million and $32.2 million,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Incentive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Incentive Fees related to pre-incentive net investment income decreased from $21.0 million for the three months ended June 30, 2025 to $20.4 million for the three months ended June 30, 2026. For the three months ended June 30, 2026, there were no Incentive Fees accrued related to Capital Gains Fees. For the three months ended June 30, 2025, $0.2 million of Incentive Fees were accrued related to Capital Gains Fees. As of June 30, 2026, these accrued Incentive Fees are not contractually payable to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Incentive Fees related to pre-incentive net investment income decreased from $42.4 million for the six months ended June 30, 2025 to $38.8 million for the six months ended June 30, 2026. For the six months ended June 30, 2026 and 2025, $(14.9) million and $(2.8) million were accrued related to Capital Gains Fees, respectively. As of June 30, 2026, these accrued Incentive Fees are not contractually payable to the Adviser.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Professional Fees and Other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fees increased from $2.2 million for the three months ended June 30, 2025 to $2.4 million for the three months ended June 30, 2026. For the three months ended June 30, 2026 and 2025, Trustees Fees were $0.2 million and $0.2 million, respectively. For the three months ended June 30, 2026 and 2025, Other general and administrative expenses were $2.3 million and $1.4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fees decreased from $4.2 million for the six months ended June 30, 2025 to $3.8 million for the six months ended June 30, 2026. For the six months ended June 30, 2026 and 2025, Trustees Fees were $0.4 million and $0.3 million, respectively. For the six months ended June 30, 2026 and 2025, Other general and administrative expenses were $4.0 million and $3.1 million,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 Including Excise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elected to be treated as a RIC under Subchapter M of the Code, and we intend to operate in a manner so as to continue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both the three and six months ended June 30, 2026, we recorded a net expense of less than $0.1 million for U.S. federal excise tax and other taxes. For both the three and six months ended June 30, 2025, we recorded a net expense of less than $0.1 million for U.S. federal excise tax and other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both the three and six months ended June 30, 2026, there was no recorded deferred tax liability. For both the three and six months ended June 30, 2025, we recorded a deferred tax liability of $0.8 million pertaining to net unrealized gains from one of our investments.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Realized and Unrealized Gains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net realized and unrealized gains (losses) for the three and six months ended June 30, 2026 and June 30, 2025:</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610"/>
        <w:gridCol w:w="146"/>
        <w:gridCol w:w="304"/>
        <w:gridCol w:w="758"/>
        <w:gridCol w:w="166"/>
        <w:gridCol w:w="146"/>
        <w:gridCol w:w="270"/>
        <w:gridCol w:w="808"/>
        <w:gridCol w:w="166"/>
        <w:gridCol w:w="146"/>
        <w:gridCol w:w="270"/>
        <w:gridCol w:w="808"/>
        <w:gridCol w:w="166"/>
        <w:gridCol w:w="146"/>
        <w:gridCol w:w="270"/>
        <w:gridCol w:w="808"/>
        <w:gridCol w:w="217"/>
      </w:tblGrid>
      <w:tr>
        <w:trPr/>
        <w:tc>
          <w:tcPr>
            <w:tcW w:w="4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investments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transactions </w:t>
            </w:r>
            <w:r>
              <w:rPr>
                <w:rFonts w:ascii="Times New Roman" w:hAnsi="Times New Roman"/>
                <w:color w:val="000000"/>
                <w:sz w:val="13"/>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foreign currency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Unrealized gains (losses) on foreign currency transactions </w:t>
            </w:r>
            <w:r>
              <w:rPr>
                <w:rFonts w:ascii="Times New Roman" w:hAnsi="Times New Roman"/>
                <w:color w:val="000000"/>
                <w:sz w:val="13"/>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foreign currency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on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 Foreign</w:t>
              <w:br/>
              <w:t>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we had no net realized gains or losses on investments and net realized gains on investments of $1.7 million, respectively. For the three and six months ended June 30, 2026, we had net realized gains on foreign currency investments of less than $0.1 million and less than $0.1 million, respectively. For the three and six months ended June 30, 2026, we had net realized losses of less than $0.1 million and $0.4 million, respectively, on foreign currency transactions, primarily as a result of translating foreign currency related to our non-USD denominated investments. For the three and six months ended June 30, 2026, we had net realized gains of $0.1 million and $0.1 million, respectively, on foreign currency borrowings.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June 30, 2026, we had $45.2 million in unrealized gains on 29 portfolio company investments, which was offset by $41.6 million in unrealized losses on 49 portfolio company investments. Unrealized gains primarily resulted from tightening credit spreads and positive portfolio company specific developments. Unrealized losses primarily resulted from widening credit spreads, the reversal of prior period unrealized gains due to the realization of investments, negative portfolio company specific developments and fluctuations in foreign exchange rates. For the six months ended June 30, 2026, we had $29.6 million in unrealized gains on 16 portfolio company investments, which was offset by $204.5 million in unrealized losses on 66 portfolio company investments. Unrealized gains primarily resulted from positive portfolio company specific developments. Unrealized losses primarily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resulted from widening credit spreads, negative portfolio company specific developments, the reversal of prior period unrealized gains due to the realization of investments, and fluctuations in foreign exchange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we had less than $0.1 million and $0.1 million, respectively, of unrealized gains on foreign currency transactions. For the three and six months ended June 30, 2026, we had unrealized gains of $9.4 million and $40.8 million, respectively, on foreign currency borrowings, primarily as a result of fluctuations in the GBP, EUR, CAD and SEK exchange rates. For both the three and six months ended June 30, 2026, we had no unrealized gains or losses, related to a deferred tax liability.</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we had net realized gains on investments of $8.5 million and $9.0 million, respectively. For both the three and six months ended June 30, 2025, we had net realized gains on foreign currency investments of less than $0.1 million. For both the three and six months ended June 30, 2025, we had net realized losses of $10.8 million on foreign currency transactions, primarily as a result of translating foreign currency related to our non-USD denominated investments. For the three and six months ended June 30, 2025, we had a net realized losses of $0.6 million and $0.7 million, respectively, on foreign currency borrowings.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2025, we had $161.7 million in unrealized gains on 61 portfolio company investments, which was offset by $42.3 million in unrealized losses on 15 portfolio company investments. Unrealized gains primarily resulted from fluctuations in GBP, EUR, CAD and SEK exchange rates, positive portfolio company specific developments, and tightening credit spreads. Unrealized losses primarily resulted from the reversal of prior period unrealized gains due to the realization of the investments and negative portfolio company specific developments. For the six months ended June 30, 2025, we had $211.6 million in unrealized gains on 53 portfolio company investments, which was offset by $72.7 million in unrealized losses on 26 portfolio company investments. Unrealized gains primarily resulted from fluctuations in GBP, EUR, CAD, and SEK exchange rates and tightening credit spreads. Unrealized losses primarily resulted from the reversal of prior period unrealized gains due to the realization of investments and negative portfolio company specific developments.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we had $3.1 million and $5.7 million, respectively, of unrealized losses on foreign currency transactions. For the three and six months ended June 30, 2025, we had $101.7 million and $143.4 million, respectively, in unrealized losses on foreign currency borrowings, primarily as a result of fluctuations in the GBP, EUR, and SEK exchange rates. For both the three and six months ended June 30, 2025, we had unrealized losses of $0.8 million, related to a deferred tax liability.</w:t>
      </w:r>
    </w:p>
    <w:p>
      <w:pPr>
        <w:pStyle w:val="TextBody"/>
        <w:bidi w:val="0"/>
        <w:spacing w:before="360" w:after="283"/>
        <w:jc w:val="left"/>
        <w:rPr>
          <w:rFonts w:ascii="Times New Roman" w:hAnsi="Times New Roman"/>
          <w:sz w:val="20"/>
        </w:rPr>
      </w:pPr>
      <w:r>
        <w:rPr>
          <w:rFonts w:ascii="Times New Roman" w:hAnsi="Times New Roman"/>
          <w:b/>
          <w:i/>
          <w:color w:val="000000"/>
          <w:sz w:val="20"/>
        </w:rPr>
        <w:t>Realized</w:t>
      </w:r>
      <w:r>
        <w:rPr>
          <w:rFonts w:ascii="Times New Roman" w:hAnsi="Times New Roman"/>
          <w:color w:val="000000"/>
          <w:sz w:val="20"/>
        </w:rPr>
        <w:t xml:space="preserve"> </w:t>
      </w:r>
      <w:r>
        <w:rPr>
          <w:rFonts w:ascii="Times New Roman" w:hAnsi="Times New Roman"/>
          <w:b/>
          <w:i/>
          <w:color w:val="000000"/>
          <w:sz w:val="20"/>
        </w:rPr>
        <w:t>Gross Internal Rate of Return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we began investing in 2022 through June 30, 2026, weighted by capital invested, our exited investments have generated an average realized gross internal rate of return to us of 17.8% (based on total capital invested of $2.8 billion and total proceeds from these exited investments of $3.5 billion). Ninety-eight percent of these exited investments resulted in a realized gross internal rate of return to us of 10% or greater.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with respect to an investment, is calculated based on the dates that we invested capital and dates we received distributions, regardless of when we made distributions to our shareholders. Initial investments are assumed to occur at time zero, and all cash flows are deemed to occur on the fifteenth of each month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shareholders, and would be lower if it did.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is the average of the gross IRR for each of our exited investments (each calculated as described above), weighted by the total capital invested for each of those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on our exited investments reflects only invested and realized cash amounts as described above, and does not reflect any unrealized gains or losses in our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Capital invested, with respect to an investment, represents the aggregate cost basis allocable to the realized or unrealized portion of the investment, net of any upfront fees paid at closing for the term loan portion of the investment. Capital invested also includes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realized losses on hedging activity, with respect to an investment, which represents any inception-to-date realized losses on foreign currency forward contracts allocable to the investment,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and Foreign Currency Hedging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approach to hedging the foreign currency exposure in our non-U.S. dollar denominated investments is primarily to borrow the par amount in local currency under our Credit Facilities to fund these investments. For the three and six months ended June 30, 2026, we had unrealized gains in $9.4 million and $40.8 million, respectively on the translation of our non-U.S. dollar denominated debt into U.S. dollars; such amounts approximate the corresponding unrealized gains on the translation of our non-U.S. dollar denominated investments into U.S. dollars for the three and six months ended June 30, 2026. For the three and six months ended June 30, 2025, we had $101.7 million and $143.4 million, respectively, in unrealized losses on the translation of our non-U.S. dollar denominated debt into U.S. dollars; such amounts approximate the corresponding unrealized losses on the translation of our non-U.S. dollar denominated investments into U.S. dollars for the three and six months ended June 30, 2025. See Note 2 for additional disclosure regarding our accounting for foreign currency. See our Consolidated Schedule of Investments for additional disclosure regarding the foreign currency amounts (in both par and fair value) of our non-U.S. dollar denominated investments.</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Condition, 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and capital resources are derived primarily from proceeds from equity issuances, advances from our Credit Facilities, and cash flows from operations. The primary uses of our cash and cash equivalents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in portfolio companies and other investments and to comply with certain portfolio diversification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operations (including paying our Adviser);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repayment, and other financing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dividends to the holders of our shares. </w:t>
      </w:r>
    </w:p>
    <w:p>
      <w:pPr>
        <w:pStyle w:val="TextBody"/>
        <w:bidi w:val="0"/>
        <w:spacing w:before="240" w:after="283"/>
        <w:jc w:val="left"/>
        <w:rPr>
          <w:rFonts w:ascii="Times New Roman" w:hAnsi="Times New Roman"/>
          <w:sz w:val="20"/>
        </w:rPr>
      </w:pPr>
      <w:r>
        <w:rPr>
          <w:rFonts w:ascii="Times New Roman" w:hAnsi="Times New Roman"/>
          <w:color w:val="000000"/>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hAnsi="Times New Roman"/>
          <w:i/>
          <w:color w:val="000000"/>
          <w:sz w:val="20"/>
        </w:rPr>
        <w:t>Key Components of Our Results of Operations —Leverage</w:t>
      </w:r>
      <w:r>
        <w:rPr>
          <w:rFonts w:ascii="Times New Roman" w:hAnsi="Times New Roman"/>
          <w:color w:val="000000"/>
          <w:sz w:val="20"/>
        </w:rPr>
        <w:t>” above. As of June 30, 2026 and December 31, 2025, our asset coverage ratio was 209.5% and 200.8%,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and cash equivalents as of June 30, 2026, taken together with cash available under our Credit Facilities, and cash available from undrawn Capital Commitments, is expected to be sufficient for our investing activities and to conduct our operations in the near term. As of June 30, 2026, we had approximately $308.0 million and $798.5 million of availability on our Subscription Facility and Revolving Credit Facility, respectively, subject to asset coverage limitations.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$82.5 million in cash and cash equivalents, including $63.7 million of restricted cash. For the six months ended June 30, 2026, cash used in operating activities was $459.0 million, primarily attributable to funding portfolio investments of $1,425.4 million and other net operating activities of $120.2 million, which was partially offset by an increase in net assets resulting from operations of $154.0 million, repayments and proceeds from investments of $757.7 million and net change in unrealized gains from investments of $174.9 million. Cash provided by financing activities was $86.9 million during the period due to borrowings of $1,463.0 million and proceeds from capital calls of $250.0 million, which were partially offset by paydowns on debt of $1,426.9 million and other financing activities of $199.2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we had $1,048.4 million in cash and cash equivalents, including $109.5 million of restricted cash. For the six months ended June 30, 2025, cash provided by operating activities was $256.4 million, primarily attributable to repayments and proceeds from investments of $1,255.5 million, an increase in net assets resulting from operations of $286.0 million and other net operating activities of $22.4 million, which was partially offset by funding portfolio investments of $1,307.5 million. Cash used in financing activities was $406.0 million during the period due to paydowns on debt of $2,201.9 million and other financing activities of $121.8 million, which were partially offset by borrowings of $1,917.7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Equity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subscription agreements (the “Subscription Agreements”) with investors providing for the private placement of our Common Shares. Under the terms of the Subscription Agreements, investors are required to fund drawdowns to purchase our Common Shares up to the amount of their respective Capital Commitment on an as-needed basis each time we deliver a drawdown notice to our investors. As of June 30, 2026, we had received Capital Commitments totaling $7.4 billion ($3.5 billion remaining undrawn). As of December 31, 2025, we had received Capital Commitments totaling $7.4 billion ($3.7 billion remaining undrawn).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total Common Shares issued and proceeds received related to our capital drawdowns delivered pursuant to the Subscription Agreements for the six months ended June 30, 2026. There were no Common Shares issued and proceeds received related to the Company's capital drawdown delivered pursuant to the Subscription Agreements for the six months ended June 30, 2025.</w:t>
      </w:r>
    </w:p>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2281"/>
        <w:gridCol w:w="146"/>
        <w:gridCol w:w="351"/>
        <w:gridCol w:w="2244"/>
        <w:gridCol w:w="146"/>
        <w:gridCol w:w="146"/>
        <w:gridCol w:w="388"/>
        <w:gridCol w:w="1052"/>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Share Issuance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Received</w:t>
              <w:br/>
              <w:t> ($ 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8,677,493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we issued 6,127,453 Common Shares to investors who have not opted out of our dividend reinvestment plan for proceeds of $173.4 million. During the six months ended June 30, 2025, we issued 2,935,944 Common Shares to investors who have not opted out of our dividend reinvestment plan for proceeds of $84.9 million.</w:t>
      </w:r>
    </w:p>
    <w:p>
      <w:pPr>
        <w:pStyle w:val="TextBody"/>
        <w:bidi w:val="0"/>
        <w:spacing w:before="16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Subscription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 2022, we entered into a revolving credit agreement (the “Subscription Facility”) with Wells Fargo Bank, National Association, as administrative agent (the “Administrative Agent”), letter of credit issuer, lead arranger, as a lender and aggregate commitments under the Subscription Facility were $400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 On July 3, 2024, we exercised our option to extend the stated maturity date to August 29, 2025. Pursuant to the second amendment to the Subscription Facility dated as of August 29, 2025 (the “Subscription Facility Second Amendment”), the aggregate commitments under the Subscription Facility were reduced to $500 million and the stated maturity date was extended to August 28,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Subscription Facility bear interest, at our election at the time of drawdown, at a rate per annum equal to (i) in the case of loans denominated in dollars, at our option (a) an adjusted Daily Simple SOFR rate plus 1.80%, (b) an adjusted Term SOFR rate for the applicable interest period plus 1.80% and (c) in the case of reference rate loans, 0.80%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1.80% or (iii) in the case of loans denominated in sterling, the adjusted SONIA rate plus 1.80%.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June 30, 2026, we had outstanding debt denominated in British pounds of (GBP) 10.3 million, and Euros (EUR) of 7.3 million on our Subscription Facility, included in the outstanding principal amount in the table below. As of December 31, 2025, we had outstanding debt denominated in British pounds (GBP) of 10.3 million, and Euros (EUR) of 7.3 million on its Subscription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available for borrowing under the Subscription Facility is reduced by any letters of credit issued through the Subscription Facility. As of June 30, 2026 and December 31, 2025, we had no outstanding letters of credit issued through the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Subscription Facility includes customary events of default, as well as customary covenants, including restrictions on certain distributions and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we were in compliance with the terms of the Subscription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19, 2023,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aggregate commitments under the Revolving Credit Facility were $2.675 billion. The Revolving Credit Facility includes an uncommitted accordion feature that allows us, under certain circumstances, to increase the size of the Revolving Credit Facility to up to $4.0125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Fifth Amendment dated May 1, 2026, with respect to $2.475 billion of commitments, the termination of the revolving period was extended to May 1, 2030 and the stated maturity was extended to May 1, 2031 and the uncommitted accordion that allows us, under certain circumstances, to increase the size of the facility, was increased from up to $3.42 billion to up to $4.0125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1.525%, 1.65% or 1.775%, based on certain borrowing base conditions and (b) an alternative base rate plus 0.525%, 0.65% or 0.775%, based on certain borrowing base conditions, (ii) in the case of loans denominated in other permitted currencies at the relevant rate specified plus 0.525%, 0.65% or 0.775%, based on certain borrowing base conditions, plus in the case of amounts denominated in certain other permitted currencies, an adjustment. We also will pay an unused commitment fee of 0.325%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June 30, 2026, we had outstanding debt denominated in British pounds (GBP) of 246.7 million, Canadian dollars (CAD) of 141.3 million, Euros (EUR) 1,003.8 million and Swedish Krona (SEK) 290.0 million on its Revolving Credit Facility, included in the outstanding principal amount in the table below. As of December 31, 2025, we had outstanding debt denominated in British pounds (GBP) of 244.7 million, Canadian dollars (CAD) of 142.0 million, Euros (EUR) 974.5 million and Swedish Krona (SEK) 218.0 million on its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provides for the issuance of letters of credit up to an aggregate amount of $100 million. As of June 30, 2026, we had $24.9 million in outstanding letters of credit issued through the Revolving Credit Facility. As of December 31, 2025, we had $32.0 million in 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(with customary cure and notice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further details, see Note 7 "Debt - Revolving Credit Facility" to our consolidated financial statements included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we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our option at any time at par plus a “make whole” premium. Total proceeds from the issuance of the 2029 Notes, net of underwriting discounts, offering costs and original issue discount, were $586.0 million. We used the net proceeds of the 2029 Notes to repay outstanding indebtedness under the Revolving Credit Facility and Subscription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2024, we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We used the net proceeds of the 2029 Notes to repay outstanding indebtedness under the Revolving Credit Facility and Subscription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two interest rate swaps to align the interest rates of its liabilities with our investment portfolio, which consists of predominately floating rate loans. The notional amount of the two interest rates swaps are $600.0 million and $150.0 million, respectively, each of which matures on March 11, 2029, matching the maturity date of the 2029 Notes. As a result of the swap, our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our Consolidated Statements of Operations. As of June 30, 2026 and December 31, 2025, the effective hedge interest rate swaps had a fair value of $1.1 million and $15.1 million, respectively, which is offset within interest expense by an equal, but opposite, fair value change for the hedged risk on the 2029 Notes.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January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our option at any time at par plus a “make whole” premium. Total proceeds from the issuance of the January 2030 Notes, net of underwriting discounts, offering costs and original issue discount, were $591.7 million. We used the net proceeds of the January 2030 Notes to repay outstanding indebtedness under the Revolving Credit Facility and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January 2030 Notes, we entered into an interest rate swap to align the interest rate of its liability with our investment portfolio, which consists of predominately floating rate loans. The notional amount of the interest rate swap is $600.0 million which matures on January 15, 2030, matching the maturity date of the January 2030 Notes. As a result of the swap, our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our Consolidated Statements of Operations. As of June 30, 2026 and December 31, 2025, the effective hedge interest rate swaps had a fair value of $(14.9) million and $(5.2) million, respectively, which is offset within interest expense by an equal, but opposite, fair value change for the hedged risk on the January 2030 Notes.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July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we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our option at any time at par plus a "make whole" premium. Total proceeds from the issuance of the July 2030 Notes, net of underwriting discounts, offering costs and original issue discount, were $737.6 million. We used the net proceeds of the July 2030 Notes to repay outstanding indebtedness under the Revolving Credit Facility and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issuance of the July 2030 Notes, we entered into an interest rate swap to align the interest rate of its liability with our investment portfolio, which consists of predominately floating rate loans. The notional amount of the interest rate swap is $750.0 million which matures on July 15, 2030, matching the maturity date of the July 2030 Notes. As a result of the swap, our effective interest rate on the July 2030 Notes is SOFR plus 2.01%. The interest expense related to the July 2030 Notes is offset by proceeds received from the interest rate swaps designated as a hedge. The swap adjusted interest expense is included as a component of interest expense on our Consolidated Statements of Operations. As of June 30, 2026 and December 31, 2025, the effective hedge interest rate swaps had a fair value of $5.3 million and $21.0 million, respectively, which is offset within interest expense by an equal, but opposite, fair value change for the hedged risk on the July 2030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June 30, 2026 and December 31, 2025: </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 available may be subject to limitations related to the borrowing base under the Subscription Facility, the Revolving Credit Facility, outstanding letters of credit issued and asset coverage requirements.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carrying values of the Subscription Facility, the Revolving Credit Facility, the 2029 Notes, January 2030 Notes and July 2030 Notes are presented net of deferred financing costs and original issue discounts of $0.2 million, $20.0 million, $9.3 million, $5.8 million and $11.5 million, respectively.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carrying value of the 2029 Notes, January 2030 Notes and July 2030 Notes are presented inclusive of an incremental $1.1 million, $(14.9) million and $5.3 million respectively, which represents an adjustment in the carrying value of the 2029 Notes, January 2030 Notes and July 2030 Notes, each resulting from a hedge accounting relationship.</w:t>
      </w:r>
    </w:p>
    <w:p>
      <w:pPr>
        <w:pStyle w:val="TextBody"/>
        <w:bidi w:val="0"/>
        <w:spacing w:before="40" w:after="283"/>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 available may be subject to limitations related to the borrowing base under the Subscription Facility, the Revolving Credit Facility, outstanding letters of credit issued and asset coverage requirements.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Subscription Facility, the Revolving Credit Facility, the 2029 Notes, January 2030 Notes and July 2030 Notes are presented net of deferred financing costs and original issue discounts of $1.0 million, $15.5 million, $11.0 million, $6.6 million and $12.4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carrying value of the 2029 Notes, January 2030 Notes and July 2030 Notes are presented inclusive of an incremental $15.1 million, $(5.2) million and $21.0 million respectively, which represents an adjustment in the carrying value of the 2029 Notes, January 2030 Notes and July 2030 Notes, each resulting from a hedge accounting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w:t>
      </w:r>
    </w:p>
    <w:p>
      <w:pPr>
        <w:pStyle w:val="TextBody"/>
        <w:bidi w:val="0"/>
        <w:jc w:val="left"/>
        <w:rPr>
          <w:rFonts w:ascii="Times New Roman" w:hAnsi="Times New Roman"/>
          <w:color w:val="000000"/>
          <w:sz w:val="20"/>
        </w:rPr>
      </w:pPr>
      <w:r>
        <w:rPr>
          <w:rFonts w:ascii="Times New Roman" w:hAnsi="Times New Roman"/>
          <w:color w:val="000000"/>
          <w:sz w:val="20"/>
        </w:rPr>
        <w:t>certain distributions and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we were in compliance with the terms of our debt arrangements. We intend to continue to utilize our Credit Facilities to fund investments and for other general corporate purposes.</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June 30, 2026 and December 31, 2025, we had the following commitments to fund investments in current portfolio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275" w:type="dxa"/>
        <w:jc w:val="left"/>
        <w:tblInd w:w="0" w:type="dxa"/>
        <w:tblLayout w:type="fixed"/>
        <w:tblCellMar>
          <w:top w:w="28" w:type="dxa"/>
          <w:left w:w="28" w:type="dxa"/>
          <w:bottom w:w="28" w:type="dxa"/>
          <w:right w:w="28" w:type="dxa"/>
        </w:tblCellMar>
      </w:tblPr>
      <w:tblGrid>
        <w:gridCol w:w="5821"/>
        <w:gridCol w:w="146"/>
        <w:gridCol w:w="254"/>
        <w:gridCol w:w="871"/>
        <w:gridCol w:w="146"/>
        <w:gridCol w:w="146"/>
        <w:gridCol w:w="403"/>
        <w:gridCol w:w="1097"/>
        <w:gridCol w:w="39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Alaska Bidco Oy - Delayed Draw &amp; Revolver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Aledade,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Arcwood Environmental,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AVSC Holding Corp.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Ace Purchaser,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Beam Therapeutics, Inc.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EDB Parent, LLC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Frontline Road Safety Operations, LLC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HMP Omnimedia,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Ingenovis Health Finance, LLC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Kaseware Intermediate Holding Company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Kryptona BidCo US, LLC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 Purchaser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LIHA Holdco B.V.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Lynx BidCo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MindBody,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Omnigo Software,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RainFocus, LLC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Raptor US Buyer II Corp.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Resistance Holdings,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Sediver S.p.A.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 Technologies Holdings, LLC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Partners JV, LLC -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Velocity Clinical Research, Inc.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color w:val="000000"/>
                <w:sz w:val="20"/>
              </w:rPr>
              <w:t>Total Portfolio Company Commitments</w:t>
            </w:r>
            <w:r>
              <w:rPr>
                <w:rFonts w:ascii="Times New Roman" w:hAnsi="Times New Roman"/>
                <w:color w:val="000000"/>
                <w:sz w:val="20"/>
              </w:rPr>
              <w:t xml:space="preserve"> </w:t>
            </w:r>
            <w:r>
              <w:rPr>
                <w:rFonts w:ascii="Times New Roman" w:hAnsi="Times New Roman"/>
                <w:b/>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estimate of the fair value of the current investments in these portfolio companies includes an analysis of the fair value of any unfunded commitments.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Commitments and 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we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a party to certain legal proceedings incidental to the normal course of our business. As of June 30, 2026 and December 31, 2025, management is not aware of any material pending or threatened litigation that would require accounting recognition or financial statement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certain contracts under which we have material future commitments. Under the Investment Advisory Agreement, our Adviser provides us with investment advisory and management services. For these services, we pay the Management Fee and the Incentive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our contractual payment obligations as of June 30, 2026 is as follows: </w:t>
      </w:r>
    </w:p>
    <w:p>
      <w:pPr>
        <w:pStyle w:val="TextBody"/>
        <w:bidi w:val="0"/>
        <w:jc w:val="left"/>
        <w:rPr/>
      </w:pPr>
      <w:r>
        <w:rPr/>
        <w:t> </w:t>
      </w:r>
    </w:p>
    <w:tbl>
      <w:tblPr>
        <w:tblW w:w="9084" w:type="dxa"/>
        <w:jc w:val="left"/>
        <w:tblInd w:w="0" w:type="dxa"/>
        <w:tblLayout w:type="fixed"/>
        <w:tblCellMar>
          <w:top w:w="28" w:type="dxa"/>
          <w:left w:w="28" w:type="dxa"/>
          <w:bottom w:w="28" w:type="dxa"/>
          <w:right w:w="28" w:type="dxa"/>
        </w:tblCellMar>
      </w:tblPr>
      <w:tblGrid>
        <w:gridCol w:w="2886"/>
        <w:gridCol w:w="146"/>
        <w:gridCol w:w="211"/>
        <w:gridCol w:w="721"/>
        <w:gridCol w:w="146"/>
        <w:gridCol w:w="146"/>
        <w:gridCol w:w="211"/>
        <w:gridCol w:w="571"/>
        <w:gridCol w:w="146"/>
        <w:gridCol w:w="146"/>
        <w:gridCol w:w="211"/>
        <w:gridCol w:w="571"/>
        <w:gridCol w:w="146"/>
        <w:gridCol w:w="146"/>
        <w:gridCol w:w="211"/>
        <w:gridCol w:w="721"/>
        <w:gridCol w:w="146"/>
        <w:gridCol w:w="146"/>
        <w:gridCol w:w="403"/>
        <w:gridCol w:w="662"/>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Contractual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240" w:after="283"/>
        <w:jc w:val="left"/>
        <w:rPr>
          <w:rFonts w:ascii="Times New Roman" w:hAnsi="Times New Roman"/>
          <w:sz w:val="20"/>
        </w:rPr>
      </w:pPr>
      <w:r>
        <w:rPr>
          <w:rFonts w:ascii="Times New Roman" w:hAnsi="Times New Roman"/>
          <w:b/>
          <w:i/>
          <w:color w:val="000000"/>
          <w:sz w:val="20"/>
        </w:rPr>
        <w:t>Distributions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tax-exempt interest income (which is the excess of our gross tax-exempt interest income over certain disallowed deductions) for such taxable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RIC, we (but not our shareholders) generally will not be subject to U.S. federal income tax on investment company taxable income and net capital gains that we distribute to our shareholders.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 of our net ordinary income excluding certain ordinary gains or losses for that calendar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98.2% of our capital gain net income, adjusted for certain ordinary gains and losses, recognized for the twelve-month period ending on October 31 of that calendar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100% of any income or gains recognized, but not distributed, in preceding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pStyle w:val="TextBody"/>
        <w:bidi w:val="0"/>
        <w:spacing w:before="360" w:after="283"/>
        <w:jc w:val="left"/>
        <w:rPr>
          <w:rFonts w:ascii="Times New Roman" w:hAnsi="Times New Roman"/>
          <w:sz w:val="20"/>
        </w:rPr>
      </w:pPr>
      <w:r>
        <w:rPr>
          <w:rFonts w:ascii="Times New Roman" w:hAnsi="Times New Roman"/>
          <w:b/>
          <w:i/>
          <w:color w:val="000000"/>
          <w:sz w:val="20"/>
        </w:rPr>
        <w:t>Related-Party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 number of business relationships with affiliated or related parties,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Investment Advisory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Administration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including those relating to the valuation of our investment portfolio, are described in our Annual Report on Form 10-K for the fiscal year ended December 31, 2025, filed with the SEC on February 13, 2026, and elsewhere in our filings with the SEC. The critical accounting policies and estimates should be read in connection with our risk factors discussed in Part I, “Item 1A. Risk Factors” in our Annual Report on Form 10-K for the fiscal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financial market risks, including valuation risk, interest rate risk and currency risk. </w:t>
      </w:r>
    </w:p>
    <w:p>
      <w:pPr>
        <w:pStyle w:val="TextBody"/>
        <w:bidi w:val="0"/>
        <w:spacing w:before="240" w:after="283"/>
        <w:jc w:val="left"/>
        <w:rPr>
          <w:rFonts w:ascii="Times New Roman" w:hAnsi="Times New Roman"/>
          <w:sz w:val="20"/>
        </w:rPr>
      </w:pPr>
      <w:r>
        <w:rPr>
          <w:rFonts w:ascii="Times New Roman" w:hAnsi="Times New Roman"/>
          <w:b/>
          <w:i/>
          <w:color w:val="000000"/>
          <w:sz w:val="20"/>
        </w:rPr>
        <w:t>Valuation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97.4% of our debt investments based on fair value in our portfolio bore interest at floating rates, with 100% of these subject to interest rate floors. Our credit facilities also bear interest at floating rates, and in connection with our 2029 Notes, January 2030 Notes and July 2030 Notes, which bear interest at fixed rates, we entered into fixed-to-floating interest rate swaps in order to align the interest rates of our liabilities with our investment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our Consolidated Balance Sheet as of June 30, 2026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jc w:val="left"/>
        <w:rPr/>
      </w:pPr>
      <w:r>
        <w:rPr/>
        <w:t> </w:t>
      </w:r>
    </w:p>
    <w:tbl>
      <w:tblPr>
        <w:tblW w:w="6997" w:type="dxa"/>
        <w:jc w:val="left"/>
        <w:tblInd w:w="0" w:type="dxa"/>
        <w:tblLayout w:type="fixed"/>
        <w:tblCellMar>
          <w:top w:w="28" w:type="dxa"/>
          <w:left w:w="28" w:type="dxa"/>
          <w:bottom w:w="28" w:type="dxa"/>
          <w:right w:w="28" w:type="dxa"/>
        </w:tblCellMar>
      </w:tblPr>
      <w:tblGrid>
        <w:gridCol w:w="1966"/>
        <w:gridCol w:w="146"/>
        <w:gridCol w:w="332"/>
        <w:gridCol w:w="898"/>
        <w:gridCol w:w="166"/>
        <w:gridCol w:w="146"/>
        <w:gridCol w:w="348"/>
        <w:gridCol w:w="942"/>
        <w:gridCol w:w="166"/>
        <w:gridCol w:w="146"/>
        <w:gridCol w:w="413"/>
        <w:gridCol w:w="1117"/>
        <w:gridCol w:w="2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300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25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50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75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pStyle w:val="TextBody"/>
        <w:bidi w:val="0"/>
        <w:spacing w:before="360" w:after="283"/>
        <w:jc w:val="left"/>
        <w:rPr>
          <w:rFonts w:ascii="Times New Roman" w:hAnsi="Times New Roman"/>
          <w:sz w:val="20"/>
        </w:rPr>
      </w:pPr>
      <w:r>
        <w:rPr>
          <w:rFonts w:ascii="Times New Roman" w:hAnsi="Times New Roman"/>
          <w:b/>
          <w:i/>
          <w:color w:val="000000"/>
          <w:sz w:val="20"/>
        </w:rPr>
        <w:t>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make investments that are denominated in a foreign currency. These investments are translated into U.S. dollars at each balance sheet date, exposing us to movements in foreign exchange rates. We may employ hedging techniques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There have been no changes in our internal control over financial reporting that occurred during our most recently completed fiscal quarter that have materially affected, or are reasonably likely to materially affect, our internal control over financial reporting. </w:t>
      </w:r>
    </w:p>
    <w:p>
      <w:pPr>
        <w:pStyle w:val="TextBody"/>
        <w:bidi w:val="0"/>
        <w:spacing w:before="360" w:after="283"/>
        <w:jc w:val="left"/>
        <w:rPr>
          <w:rFonts w:ascii="Times New Roman" w:hAnsi="Times New Roman"/>
          <w:sz w:val="20"/>
        </w:rPr>
      </w:pPr>
      <w:bookmarkStart w:id="13" w:name="part_ii_o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 </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Part I, “Item 1A. Risk Factors” in our Annual Report on Form 10-K for the fiscal year ended December 31, 2025,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our Current Report on Form 8-K filed with SEC on June 26, 2026, for information about unregistered sales of our Common Shares during the quarter ended June 30, 2026.</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4, 2026, the Board amended and restated the Company’s Bylaws, effective as of that date, to among other items: (i) designate the Company’s Chief Executive Officer to serve as chairman of meetings of shareholders, in the absence of the Board’s chair, (ii) replace references to “President” with “Chief Executive Officer” and references to “Treasurer” with “Chief Financial Officer” and (iii) provide that the chairman of meetings of shareholders may appoint one or two (modified from three) inspectors of elections.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summary is qualified in its entirety by reference to the full text of the amended provisions, which are contained in the Amended and Restated Bylaws attached as Exhibit 3.2 to this Quarterly Report on Form 10-Q and are incorporated by reference herein.</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608"/>
        <w:gridCol w:w="146"/>
        <w:gridCol w:w="9451"/>
      </w:tblGrid>
      <w:tr>
        <w:trPr/>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jc w:val="left"/>
              <w:rPr/>
            </w:pPr>
            <w:hyperlink r:id="rId2">
              <w:r>
                <w:rPr>
                  <w:rStyle w:val="InternetLink"/>
                  <w:rFonts w:ascii="Times New Roman" w:hAnsi="Times New Roman"/>
                  <w:color w:val="0000FF"/>
                  <w:sz w:val="20"/>
                  <w:u w:val="single"/>
                </w:rPr>
                <w:t>Second Amended and Restated Declaration of Trust (incorporated by reference to Exhibit 3.1 to the Company’s Registration Statement on Form 10, filed on August 22, 2022)</w:t>
              </w:r>
            </w:hyperlink>
            <w:r>
              <w:rPr>
                <w:rFonts w:ascii="Times New Roman" w:hAnsi="Times New Roman"/>
                <w:color w:val="000000"/>
                <w:sz w:val="20"/>
              </w:rPr>
              <w:t xml:space="preserve"> </w:t>
            </w:r>
          </w:p>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jc w:val="left"/>
              <w:rPr/>
            </w:pPr>
            <w:hyperlink w:anchor="ck0001925309-ex3_2.htm">
              <w:r>
                <w:rPr>
                  <w:rStyle w:val="InternetLink"/>
                  <w:rFonts w:ascii="Times New Roman" w:hAnsi="Times New Roman"/>
                  <w:color w:val="0000FF"/>
                  <w:sz w:val="20"/>
                  <w:u w:val="single"/>
                </w:rPr>
                <w:t>Amended and Restated Bylaws dated August 4, 2026</w:t>
              </w:r>
            </w:hyperlink>
          </w:p>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jc w:val="left"/>
              <w:rPr/>
            </w:pPr>
            <w:hyperlink r:id="rId3">
              <w:r>
                <w:rPr>
                  <w:rStyle w:val="InternetLink"/>
                  <w:rFonts w:ascii="Times New Roman" w:hAnsi="Times New Roman"/>
                  <w:color w:val="0000FF"/>
                  <w:sz w:val="20"/>
                  <w:u w:val="single"/>
                </w:rPr>
                <w:t>Fifth Amendment to Senior Secured Credit Agreement, dated as of May 1, 2026, among Sixth Street Lending Partners, as Borrower, the Lenders and Issuing Banks party thereto and Truist Bank, as Administrative Agent (incorporated by reference to Exhibit 10.1 to the Company’s Quarterly Report on Form 10-Q filed on May 6, 2026)</w:t>
              </w:r>
            </w:hyperlink>
          </w:p>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jc w:val="left"/>
              <w:rPr/>
            </w:pPr>
            <w:hyperlink w:anchor="ck0001925309-ex31_1.htm">
              <w:r>
                <w:rPr>
                  <w:rStyle w:val="InternetLink"/>
                  <w:rFonts w:ascii="Times New Roman" w:hAnsi="Times New Roman"/>
                  <w:color w:val="0000FF"/>
                  <w:sz w:val="20"/>
                  <w:u w:val="single"/>
                </w:rPr>
                <w:t>Certification of Chief Executive Officer Pursuant to Exchange Act Rule 13a-14(a), as Adopted Pursuant to Section 302 of the Sarbanes-Oxley Act of 2002</w:t>
              </w:r>
            </w:hyperlink>
          </w:p>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jc w:val="left"/>
              <w:rPr/>
            </w:pPr>
            <w:hyperlink w:anchor="ck0001925309-ex31_2.htm">
              <w:r>
                <w:rPr>
                  <w:rStyle w:val="InternetLink"/>
                  <w:rFonts w:ascii="Times New Roman" w:hAnsi="Times New Roman"/>
                  <w:color w:val="0000FF"/>
                  <w:sz w:val="20"/>
                  <w:u w:val="single"/>
                </w:rPr>
                <w:t>Certification of Chief Financial Officer Pursuant to Exchange Act Rule 13a-14(a), as Adopted Pursuant to Section 302 of the Sarbanes-Oxley Act of 2002</w:t>
              </w:r>
            </w:hyperlink>
          </w:p>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jc w:val="left"/>
              <w:rPr/>
            </w:pPr>
            <w:hyperlink w:anchor="ck0001925309-ex32.htm">
              <w:r>
                <w:rPr>
                  <w:rStyle w:val="InternetLink"/>
                  <w:rFonts w:ascii="Times New Roman" w:hAnsi="Times New Roman"/>
                  <w:color w:val="0000FF"/>
                  <w:sz w:val="20"/>
                  <w:u w:val="single"/>
                </w:rPr>
                <w:t>Certification of CEO and CFO Pursuant to 18 U.S.C. Section 1350, as Adopted Pursuant to Section 906 of the Sarbanes-Oxley Act of 2002</w:t>
              </w:r>
            </w:hyperlink>
          </w:p>
          <w:p>
            <w:pPr>
              <w:pStyle w:val="TableContents"/>
              <w:bidi w:val="0"/>
              <w:spacing w:before="0" w:after="283"/>
              <w:jc w:val="left"/>
              <w:rPr/>
            </w:pPr>
            <w:r>
              <w:rPr/>
              <w:t> </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agreements and other documents filed as exhibits to this Quarterly Report on Form 10-Q are not intended to provide factual information or other disclosure other than with respect to the terms of the agreements or other documents themselves, and shareholders should not rely on them for that purpose. In particular, any representations and warranties made by us in these agreements or other documents were made solely within the specific context of the relevant agreement or document and may not</w:t>
      </w:r>
    </w:p>
    <w:p>
      <w:pPr>
        <w:pStyle w:val="TextBody"/>
        <w:bidi w:val="0"/>
        <w:jc w:val="left"/>
        <w:rPr>
          <w:rFonts w:ascii="Times New Roman" w:hAnsi="Times New Roman"/>
          <w:color w:val="000000"/>
          <w:sz w:val="20"/>
        </w:rPr>
      </w:pPr>
      <w:r>
        <w:rPr>
          <w:rFonts w:ascii="Times New Roman" w:hAnsi="Times New Roman"/>
          <w:color w:val="000000"/>
          <w:sz w:val="20"/>
        </w:rPr>
        <w:t>describe the actual state of affairs as of the date they were made or at any other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2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Sixth Street Lending Partners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("Bo") Stanley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("Bo") Stanley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ck0001925309-ex3_2.htm"/>
      <w:bookmarkStart w:id="23" w:name="ksck0001925309ex3_2"/>
      <w:bookmarkEnd w:id="22"/>
      <w:bookmarkEnd w:id="23"/>
      <w:r>
        <w:rPr>
          <w:rFonts w:ascii="Times New Roman" w:hAnsi="Times New Roman"/>
          <w:b/>
          <w:color w:val="000000"/>
          <w:sz w:val="20"/>
        </w:rPr>
        <w:t>EXHIBIT 3.2</w:t>
      </w:r>
      <w:r>
        <w:br w:type="page"/>
      </w:r>
    </w:p>
    <w:p>
      <w:pPr>
        <w:pStyle w:val="TextBody"/>
        <w:bidi w:val="0"/>
        <w:spacing w:before="480" w:after="283"/>
        <w:jc w:val="center"/>
        <w:rPr>
          <w:rFonts w:ascii="Times New Roman" w:hAnsi="Times New Roman"/>
          <w:b/>
          <w:color w:val="000000"/>
          <w:sz w:val="20"/>
          <w:u w:val="single"/>
        </w:rPr>
      </w:pPr>
      <w:r>
        <w:rPr>
          <w:rFonts w:ascii="Times New Roman" w:hAnsi="Times New Roman"/>
          <w:b/>
          <w:color w:val="000000"/>
          <w:sz w:val="20"/>
          <w:u w:val="single"/>
        </w:rPr>
        <w:t>SIXTH STREET LENDING PARTNERS</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AMENDED AND RESTATED BY-LAWS</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EFFECTIVE AS OF AUGUST 4, 2026</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TABLE OF CONTENTS</w:t>
      </w:r>
    </w:p>
    <w:p>
      <w:pPr>
        <w:pStyle w:val="TextBody"/>
        <w:bidi w:val="0"/>
        <w:spacing w:before="240" w:after="283"/>
        <w:jc w:val="right"/>
        <w:rPr>
          <w:rFonts w:ascii="Times New Roman" w:hAnsi="Times New Roman"/>
          <w:b/>
          <w:color w:val="000000"/>
          <w:sz w:val="20"/>
          <w:u w:val="single"/>
        </w:rPr>
      </w:pPr>
      <w:r>
        <w:rPr>
          <w:rFonts w:ascii="Times New Roman" w:hAnsi="Times New Roman"/>
          <w:b/>
          <w:color w:val="000000"/>
          <w:sz w:val="20"/>
          <w:u w:val="single"/>
        </w:rPr>
        <w:t>Page</w:t>
      </w:r>
    </w:p>
    <w:tbl>
      <w:tblPr>
        <w:tblW w:w="5238" w:type="dxa"/>
        <w:jc w:val="left"/>
        <w:tblInd w:w="0" w:type="dxa"/>
        <w:tblLayout w:type="fixed"/>
        <w:tblCellMar>
          <w:top w:w="28" w:type="dxa"/>
          <w:left w:w="28" w:type="dxa"/>
          <w:bottom w:w="28" w:type="dxa"/>
          <w:right w:w="28" w:type="dxa"/>
        </w:tblCellMar>
      </w:tblPr>
      <w:tblGrid>
        <w:gridCol w:w="161"/>
        <w:gridCol w:w="109"/>
        <w:gridCol w:w="361"/>
        <w:gridCol w:w="326"/>
        <w:gridCol w:w="3481"/>
        <w:gridCol w:w="109"/>
        <w:gridCol w:w="109"/>
        <w:gridCol w:w="211"/>
        <w:gridCol w:w="37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438" w:type="dxa"/>
            <w:gridSpan w:val="5"/>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ARTICLE I Shareholder Meetings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Chairman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Inspectors of Election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Records at Shareholder Meetings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Nomination of Trustees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Meetings by Remote Communications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38" w:type="dxa"/>
            <w:gridSpan w:val="5"/>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ARTICLE II Trustees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Regular Meetings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Chairman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38" w:type="dxa"/>
            <w:gridSpan w:val="5"/>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ARTICLE III Officers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Officers of the Trust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Election and Tenure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Removal of Officers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Bonds and Surety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Secretary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Financial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3.8</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Other Officers and Duties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38" w:type="dxa"/>
            <w:gridSpan w:val="5"/>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ARTICLE IV Committees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Appointment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Powers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8"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38" w:type="dxa"/>
            <w:gridSpan w:val="5"/>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ARTICLE V Miscellaneous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26" w:type="dxa"/>
        <w:jc w:val="left"/>
        <w:tblInd w:w="0" w:type="dxa"/>
        <w:tblLayout w:type="fixed"/>
        <w:tblCellMar>
          <w:top w:w="28" w:type="dxa"/>
          <w:left w:w="28" w:type="dxa"/>
          <w:bottom w:w="28" w:type="dxa"/>
          <w:right w:w="28" w:type="dxa"/>
        </w:tblCellMar>
      </w:tblPr>
      <w:tblGrid>
        <w:gridCol w:w="161"/>
        <w:gridCol w:w="109"/>
        <w:gridCol w:w="361"/>
        <w:gridCol w:w="326"/>
        <w:gridCol w:w="3586"/>
        <w:gridCol w:w="109"/>
        <w:gridCol w:w="109"/>
        <w:gridCol w:w="211"/>
        <w:gridCol w:w="154"/>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5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Depositories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5.2</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5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Signatures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5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Seal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583"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543" w:type="dxa"/>
            <w:gridSpan w:val="5"/>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ARTICLE VI Stock Transfers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3"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5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Transfer Agents, Registrars and the Like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6.2</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5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Transfer of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6.3</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5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Registered Shareholders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5"/>
            <w:tcBorders/>
            <w:tcMar>
              <w:top w:w="0" w:type="dxa"/>
              <w:left w:w="0" w:type="dxa"/>
              <w:bottom w:w="0" w:type="dxa"/>
              <w:right w:w="0" w:type="dxa"/>
            </w:tcMar>
            <w:vAlign w:val="center"/>
          </w:tcPr>
          <w:p>
            <w:pPr>
              <w:pStyle w:val="TableContents"/>
              <w:bidi w:val="0"/>
              <w:spacing w:before="0" w:after="283"/>
              <w:jc w:val="left"/>
              <w:rPr/>
            </w:pPr>
            <w:r>
              <w:rPr/>
              <w:t> </w:t>
            </w:r>
          </w:p>
        </w:tc>
        <w:tc>
          <w:tcPr>
            <w:tcW w:w="583"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543" w:type="dxa"/>
            <w:gridSpan w:val="5"/>
            <w:tcBorders/>
            <w:tcMar>
              <w:top w:w="0" w:type="dxa"/>
              <w:left w:w="0" w:type="dxa"/>
              <w:bottom w:w="0" w:type="dxa"/>
              <w:right w:w="0" w:type="dxa"/>
            </w:tcMar>
            <w:vAlign w:val="center"/>
          </w:tcPr>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ARTICLE VII Amendment of By-Laws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83"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7.1</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5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Amendment and Repeal of By-Laws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SIXTH STREET LENDING PARTNERS</w:t>
      </w:r>
    </w:p>
    <w:p>
      <w:pPr>
        <w:pStyle w:val="TextBody"/>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AMENDED AND RESTATED BY-LAWS</w:t>
      </w:r>
    </w:p>
    <w:p>
      <w:pPr>
        <w:pStyle w:val="TextBody"/>
        <w:bidi w:val="0"/>
        <w:spacing w:before="240" w:after="283"/>
        <w:jc w:val="left"/>
        <w:rPr>
          <w:rFonts w:ascii="Times New Roman" w:hAnsi="Times New Roman"/>
          <w:sz w:val="20"/>
        </w:rPr>
      </w:pPr>
      <w:r>
        <w:rPr>
          <w:rFonts w:ascii="Times New Roman" w:hAnsi="Times New Roman"/>
          <w:color w:val="000000"/>
          <w:sz w:val="20"/>
        </w:rPr>
        <w:t>These Amended and Restated By-Laws are made and adopted pursuant to Section 3.8 of the Amended and Restated Declaration of Trust governing Sixth Street Lending Partners dated as of June 8</w:t>
      </w:r>
      <w:r>
        <w:rPr>
          <w:rFonts w:ascii="Times New Roman" w:hAnsi="Times New Roman"/>
          <w:color w:val="000000"/>
          <w:sz w:val="11"/>
        </w:rPr>
        <w:t>th</w:t>
      </w:r>
      <w:r>
        <w:rPr>
          <w:rFonts w:ascii="Times New Roman" w:hAnsi="Times New Roman"/>
          <w:color w:val="000000"/>
          <w:sz w:val="20"/>
        </w:rPr>
        <w:t>, 2022, as from time to time amended (hereinafter called the “Declaration”). All words and terms capitalized in these Amended and Restated By-Laws shall have the meaning or meanings set forth for such words or terms in the Declaration.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ARTICLE I</w:t>
      </w:r>
    </w:p>
    <w:p>
      <w:pPr>
        <w:pStyle w:val="TextBody"/>
        <w:bidi w:val="0"/>
        <w:spacing w:before="120" w:after="283"/>
        <w:jc w:val="center"/>
        <w:rPr>
          <w:rFonts w:ascii="Times New Roman" w:hAnsi="Times New Roman"/>
          <w:color w:val="000000"/>
          <w:sz w:val="20"/>
          <w:u w:val="single"/>
        </w:rPr>
      </w:pPr>
      <w:r>
        <w:rPr>
          <w:rFonts w:ascii="Times New Roman" w:hAnsi="Times New Roman"/>
          <w:color w:val="000000"/>
          <w:sz w:val="20"/>
          <w:u w:val="single"/>
        </w:rPr>
        <w:t>Shareholder Meetings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Chairman</w:t>
      </w:r>
      <w:r>
        <w:rPr>
          <w:rFonts w:ascii="Times New Roman" w:hAnsi="Times New Roman"/>
          <w:color w:val="000000"/>
          <w:sz w:val="20"/>
        </w:rPr>
        <w:t>. The Chairman, if any, shall act as chairperson at all meetings of the Shareholders; in the Chairman’s absence, or if one shall not have been elected, the Chief Executive Officer (or, in his absence, another Trustee chosen by a majority of the Trustees present) shall act as Chairman of the meeting and preside thereat.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Inspectors of Election</w:t>
      </w:r>
      <w:r>
        <w:rPr>
          <w:rFonts w:ascii="Times New Roman" w:hAnsi="Times New Roman"/>
          <w:color w:val="000000"/>
          <w:sz w:val="20"/>
        </w:rPr>
        <w:t>. In advance of any meeting of Shareholders, the Trustees may appoint Inspectors of Election to act at the meeting or any adjournment thereof. If Inspectors of Election are not so appointed, the Chairman, if any, of any meeting of Shareholders may appoint Inspectors of Election of the meeting. The number of Inspectors of Election shall be either one or two as determined by the Chairman of the meeting. In case any person appointed as Inspector of Election fails to appear or fails or refuses to act, the vacancy may be filled by appointment made by the Trustees in advance of the convening of the meeting or at the meeting by the person acting as Chairman. The Inspectors of Election shall determine the number of Shares outstanding, the Shares represented at the meeting, the existence of a quorum, the authenticity, validity and effect of proxies, shall receive votes, ballots or consents, shall hear and determine all challenges and questions in any way arising in connection with the right to vote, shall count and tabulate all votes or consents, determine the results, and do such other acts as may be proper to conduct the election or vote with fairness to all Shareholders. If there are two Inspectors of Election, the decision, act or certificate of both is required for the decision, act or certificate of all. On request of the Chairman, if any, of the meeting, the Inspectors of Election shall make a report in writing of any challenge or question or matter determined by them and shall execute a certificate of any facts found by them.</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Records at Shareholder Meetings</w:t>
      </w:r>
      <w:r>
        <w:rPr>
          <w:rFonts w:ascii="Times New Roman" w:hAnsi="Times New Roman"/>
          <w:color w:val="000000"/>
          <w:sz w:val="20"/>
        </w:rPr>
        <w:t>. The officer of the Trust who has charge of the Share ledger of the Trust shall prepare and make, at least ten (10) days before every meeting of the Shareholders, a complete list of the Shareholders of record entitled to vote at the meeting, arranged in alphabetical order, and showing the address of each Shareholder and the number of Shares registered in the name of each Shareholder. Such list shall be open to the examination of any Shareholder, for any purpose germane to the meeting as determined by the Trustees, during ordinary business hours, for a period of at least ten (10) days prior to the meeting (i) on a reasonably accessible electronic network, provided that the information required to gain access to such list is provided to the Shareholders, or (ii) during ordinary business hours, at the principal place of business of the Trust. In the event that the Trust determines to make the list available on an electronic network, the Trust may take reasonable steps to ensure that such information is available only to Shareholders of the Trust.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Nomination of Trustees</w:t>
      </w:r>
      <w:r>
        <w:rPr>
          <w:rFonts w:ascii="Times New Roman" w:hAnsi="Times New Roman"/>
          <w:color w:val="000000"/>
          <w:sz w:val="20"/>
        </w:rPr>
        <w:t>. Nominations of persons for election to the Board of Trustees at a special meeting may be made only (1) pursuant to notice of the meeting, (2) by the Board of Trustees or (3) provided that the Board of Trustees has determined that trustees will be elected at the meeting, by a Shareholder who is entitled to vote at the meeting.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1.5 </w:t>
      </w:r>
      <w:r>
        <w:rPr>
          <w:rFonts w:ascii="Times New Roman" w:hAnsi="Times New Roman"/>
          <w:color w:val="000000"/>
          <w:sz w:val="20"/>
          <w:u w:val="single"/>
        </w:rPr>
        <w:t>Meetings by Remote Communications</w:t>
      </w:r>
      <w:r>
        <w:rPr>
          <w:rFonts w:ascii="Times New Roman" w:hAnsi="Times New Roman"/>
          <w:color w:val="000000"/>
          <w:sz w:val="20"/>
        </w:rPr>
        <w:t xml:space="preserve">. The Trustees may, in their sole discretion, determine that a meeting of Shareholders may be held partly or solely by means of remote communications and to the extent so authorized, Shareholders and proxyholders not physically present at a meeting of Shareholders may, by means of remote communications: (a) participate in a meeting of Shareholders; and (b) be deemed present in person and vote at a meeting of Shareholders whether such meeting is to be held at a designated place or solely by means of remote communications. In connection with any such meeting, the Trust may implement such measures as the Trustees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deem to be reasonable to verify that each person deemed present and permitted to vote at the meeting by means of remote communications is a Shareholder or proxyholder and to provide such Shareholders and proxyholders a reasonable opportunity to participate in the meeting and to vote on matters submitted to the Shareholders. If any Shareholder or proxyholder votes or takes other action at the meeting by means of remote communications, a record of such vote or other action shall be maintained by the Trust.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ARTICLE II</w:t>
      </w:r>
    </w:p>
    <w:p>
      <w:pPr>
        <w:pStyle w:val="TextBody"/>
        <w:bidi w:val="0"/>
        <w:spacing w:before="120" w:after="283"/>
        <w:jc w:val="center"/>
        <w:rPr>
          <w:rFonts w:ascii="Times New Roman" w:hAnsi="Times New Roman"/>
          <w:color w:val="000000"/>
          <w:sz w:val="20"/>
          <w:u w:val="single"/>
        </w:rPr>
      </w:pPr>
      <w:r>
        <w:rPr>
          <w:rFonts w:ascii="Times New Roman" w:hAnsi="Times New Roman"/>
          <w:color w:val="000000"/>
          <w:sz w:val="20"/>
          <w:u w:val="single"/>
        </w:rPr>
        <w:t>Trustees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 </w:t>
      </w:r>
      <w:r>
        <w:rPr>
          <w:rFonts w:ascii="Times New Roman" w:hAnsi="Times New Roman"/>
          <w:color w:val="000000"/>
          <w:sz w:val="20"/>
          <w:u w:val="single"/>
        </w:rPr>
        <w:t>Regular Meetings</w:t>
      </w:r>
      <w:r>
        <w:rPr>
          <w:rFonts w:ascii="Times New Roman" w:hAnsi="Times New Roman"/>
          <w:color w:val="000000"/>
          <w:sz w:val="20"/>
        </w:rPr>
        <w:t>. Meetings of the Trustees shall be held from time to time upon the call of the Chairman, if any, the Chief Executive Officer, the Secretary or any two Trustees. Regular meetings of the Trustees may be held without call or notice and shall generally be held quarterly. Neither the business to be transacted at, nor the purpose of, any meeting of the Board of Trustees need be stated in the notice or waiver of notice of such meeting, and no notice need be given of action proposed to be taken by unanimous written consent.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Chairman</w:t>
      </w:r>
      <w:r>
        <w:rPr>
          <w:rFonts w:ascii="Times New Roman" w:hAnsi="Times New Roman"/>
          <w:color w:val="000000"/>
          <w:sz w:val="20"/>
        </w:rPr>
        <w:t xml:space="preserve">. The Trustees shall have the power to appoint a Chairman from among the members of the Board of Trustees. Such appointment shall be by majority vote of the Trustees. Such Chairman shall serve until his or her successor is appointed or until his or her earlier death, resignation or removal. When present he or she shall preside at the meetings of the Shareholders and of the Trustees. In the Chairman’s absence, or if one shall not have been elected, the Chief Executive Officer (or, in his absence, another Trustee chosen by a majority of the Trustees present) shall act as Chairman of the meeting and preside. The Chairman shall, subject to the control of the Trustees, perform such other powers and duties as may be from time to time assigned to him or her by the Trustees or prescribed by the Declaration or these By-Laws, consistent with his or her position. The Chairman need not be a Shareholder.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ARTICLE III</w:t>
      </w:r>
    </w:p>
    <w:p>
      <w:pPr>
        <w:pStyle w:val="TextBody"/>
        <w:bidi w:val="0"/>
        <w:spacing w:before="120" w:after="283"/>
        <w:jc w:val="center"/>
        <w:rPr>
          <w:rFonts w:ascii="Times New Roman" w:hAnsi="Times New Roman"/>
          <w:color w:val="000000"/>
          <w:sz w:val="20"/>
          <w:u w:val="single"/>
        </w:rPr>
      </w:pPr>
      <w:r>
        <w:rPr>
          <w:rFonts w:ascii="Times New Roman" w:hAnsi="Times New Roman"/>
          <w:color w:val="000000"/>
          <w:sz w:val="20"/>
          <w:u w:val="single"/>
        </w:rPr>
        <w:t>Officers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3.1 </w:t>
      </w:r>
      <w:r>
        <w:rPr>
          <w:rFonts w:ascii="Times New Roman" w:hAnsi="Times New Roman"/>
          <w:color w:val="000000"/>
          <w:sz w:val="20"/>
          <w:u w:val="single"/>
        </w:rPr>
        <w:t>Officers of the Trust</w:t>
      </w:r>
      <w:r>
        <w:rPr>
          <w:rFonts w:ascii="Times New Roman" w:hAnsi="Times New Roman"/>
          <w:color w:val="000000"/>
          <w:sz w:val="20"/>
        </w:rPr>
        <w:t>. The officers of the Trust shall consist of a Chief Executive Officer, a Secretary, a Chief Financial Officer and such other officers or assistant officers as may be elected or authorized by the Trustees. Subject to any applicable provisions of the Declaration, the compensation of the officers and Trustees shall be fixed from time to time by the Trustees or, in the case of officers, by any Committee or officer upon whom such power may be conferred by the Trustees. No officer shall be prevented from receiving such compensation as such officer by reason of the fact that he or she is also a Trustee. Any two or more of the offices may be held by the same Person. No officer of the Trust need be a Trustee.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3.2 </w:t>
      </w:r>
      <w:r>
        <w:rPr>
          <w:rFonts w:ascii="Times New Roman" w:hAnsi="Times New Roman"/>
          <w:color w:val="000000"/>
          <w:sz w:val="20"/>
          <w:u w:val="single"/>
        </w:rPr>
        <w:t>Election and Tenure</w:t>
      </w:r>
      <w:r>
        <w:rPr>
          <w:rFonts w:ascii="Times New Roman" w:hAnsi="Times New Roman"/>
          <w:color w:val="000000"/>
          <w:sz w:val="20"/>
        </w:rPr>
        <w:t>. At the initial organization meeting, the Trustees shall elect the Chairman, if any, Chief Executive Officer, Secretary, Chief Financial Officer and such other officers as the Trustees shall deem necessary or appropriate in order to carry out the business of the Trust. Such officers shall serve at the pleasure of the Trustees or until their successors have been duly elected and qualified. The Trustees may fill any vacancy in office or add any additional officers at any time.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3.3 </w:t>
      </w:r>
      <w:r>
        <w:rPr>
          <w:rFonts w:ascii="Times New Roman" w:hAnsi="Times New Roman"/>
          <w:color w:val="000000"/>
          <w:sz w:val="20"/>
          <w:u w:val="single"/>
        </w:rPr>
        <w:t>Removal of Officers</w:t>
      </w:r>
      <w:r>
        <w:rPr>
          <w:rFonts w:ascii="Times New Roman" w:hAnsi="Times New Roman"/>
          <w:color w:val="000000"/>
          <w:sz w:val="20"/>
        </w:rPr>
        <w:t>. Any officer may be removed at any time, with or without cause, by action of a majority of the Trustees. This provision shall not prevent the making of a contract of employment for a definite term with any officer and shall have no effect upon any cause of action which any officer may have as a result of removal in breach of a contract of employment. Any officer may resign at any time by notice in writing signed by such officer and delivered or mailed to the Chairman, if any, Chief Executive Officer or Secretary, and such resignation shall take effect immediately upon receipt by the Chairman, if any, Chief Executive Officer or Secretary, or at a later date according to the terms of such notice in writing.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3.4 </w:t>
      </w:r>
      <w:r>
        <w:rPr>
          <w:rFonts w:ascii="Times New Roman" w:hAnsi="Times New Roman"/>
          <w:color w:val="000000"/>
          <w:sz w:val="20"/>
          <w:u w:val="single"/>
        </w:rPr>
        <w:t>Bonds and Surety</w:t>
      </w:r>
      <w:r>
        <w:rPr>
          <w:rFonts w:ascii="Times New Roman" w:hAnsi="Times New Roman"/>
          <w:color w:val="000000"/>
          <w:sz w:val="20"/>
        </w:rPr>
        <w:t>. Any officer may be required by the Trustees to be bonded for the faithful performance of such officer’s duties in such amount and with such sureties as the Trustees may determine.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3.5 </w:t>
      </w:r>
      <w:r>
        <w:rPr>
          <w:rFonts w:ascii="Times New Roman" w:hAnsi="Times New Roman"/>
          <w:color w:val="000000"/>
          <w:sz w:val="20"/>
          <w:u w:val="single"/>
        </w:rPr>
        <w:t>Chief Executive Officer</w:t>
      </w:r>
      <w:r>
        <w:rPr>
          <w:rFonts w:ascii="Times New Roman" w:hAnsi="Times New Roman"/>
          <w:color w:val="000000"/>
          <w:sz w:val="20"/>
        </w:rPr>
        <w:t>. The Chief Executive Officer, subject to the control of the Trustees, shall have general supervision, direction and control of the business of the Trust and of its employees and shall exercise such general powers of management as are usually vested in the office of Chief Executive Officer of a corporation. Unless otherwise directed by the Trustees, the Chief Executive Officer shall have full authority and power, on behalf of all of the Trustees, to attend and to act and to vote, on behalf of the Trust, at any meetings of business organizations in which the Trust holds an interest, or to confer such powers upon any other persons by executing any proxies duly authorizing such persons. The Chief Executive Officer shall have such further authorities and duties as the Trustees shall from time to time determine. In the absence or disability of the Chief Executive Officer, the Board of Trustees may by resolution delegate the powers and duties of the Chief Executive Officer to any other officer or to any Trustee, or to any other person whom it may select. Such delegatee shall perform all of the duties of the Chief Executive Officer, and when so acting shall have all the powers of and be subject to all of the restrictions upon the Chief Executive Officer.</w:t>
      </w:r>
    </w:p>
    <w:p>
      <w:pPr>
        <w:pStyle w:val="TextBody"/>
        <w:bidi w:val="0"/>
        <w:jc w:val="left"/>
        <w:rPr>
          <w:rFonts w:ascii="Times New Roman" w:hAnsi="Times New Roman"/>
          <w:sz w:val="20"/>
        </w:rPr>
      </w:pPr>
      <w:r>
        <w:rPr>
          <w:rFonts w:ascii="Times New Roman" w:hAnsi="Times New Roman"/>
          <w:color w:val="000000"/>
          <w:sz w:val="20"/>
        </w:rPr>
        <w:t xml:space="preserve">3.6 </w:t>
      </w:r>
      <w:r>
        <w:rPr>
          <w:rFonts w:ascii="Times New Roman" w:hAnsi="Times New Roman"/>
          <w:color w:val="000000"/>
          <w:sz w:val="20"/>
          <w:u w:val="single"/>
        </w:rPr>
        <w:t>Secretary</w:t>
      </w:r>
      <w:r>
        <w:rPr>
          <w:rFonts w:ascii="Times New Roman" w:hAnsi="Times New Roman"/>
          <w:color w:val="000000"/>
          <w:sz w:val="20"/>
        </w:rPr>
        <w:t>. The Secretary shall maintain the minutes of all meetings of, and record all votes of, Shareholders, Trustees and the Executive Committee, if any. The Secretary shall be custodian of the seal of the Trust, if any, and the Secretary (and any other person so authorized by the Trustees) shall affix the seal, or if permitted, facsimile thereof, to any instrument executed by the Trust which would be sealed by a Delaware business corporation executing the same or a similar instrument and shall attest the seal and the signature or signatures of the officer or officers executing such instrument on behalf of the Trust. The Secretary shall also perform any other duties commonly incident to such office in a Delaware business corporation and shall have such other authorities and duties as the Trustees shall from time to time determine.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3.7 </w:t>
      </w:r>
      <w:r>
        <w:rPr>
          <w:rFonts w:ascii="Times New Roman" w:hAnsi="Times New Roman"/>
          <w:color w:val="000000"/>
          <w:sz w:val="20"/>
          <w:u w:val="single"/>
        </w:rPr>
        <w:t>Chief Financial Officer</w:t>
      </w:r>
      <w:r>
        <w:rPr>
          <w:rFonts w:ascii="Times New Roman" w:hAnsi="Times New Roman"/>
          <w:color w:val="000000"/>
          <w:sz w:val="20"/>
        </w:rPr>
        <w:t>. Except as otherwise directed by the Trustees, the Chief Financial Officer shall have the general supervision of the monies, funds, securities, notes receivable and other valuable papers and documents of the Trust, and shall have and exercise under the supervision of the Trustees and of the Chief Executive Officer all powers and duties normally incident to the office. The Chief Financial Officer may endorse for deposit or collection all notes, checks and other instruments payable to the Trust or to its order. The Chief Financial Officer shall deposit all funds of the Trust in such depositories as the Trustees shall designate. The Chief Financial Officer r shall be responsible for such disbursement of the funds of the Trust as may be ordered by the Trustees or the Chief Executive Officer. The Chief Financial Officer shall keep accurate account of the books of the Trust’s transactions which shall be the property of the Trust, and which together with all other property of the Trust in the Chief Financial Officer’s possession, shall be subject at all times to the inspection and control of the Trustees. Unless the Trustees shall otherwise determine, the Chief Financial Officer shall be the principal accounting officer of the Trust and shall also be the principal financial officer of the Trust. The Chief Financial Officer shall have such other duties and authorities as the Trustees shall from time to time determine. Notwithstanding anything to the contrary herein contained, the Trustees may authorize any adviser, administrator, manager or transfer agent to maintain bank accounts and deposit and disburse funds of any series of the Trust on behalf of such series.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3.8 </w:t>
      </w:r>
      <w:r>
        <w:rPr>
          <w:rFonts w:ascii="Times New Roman" w:hAnsi="Times New Roman"/>
          <w:color w:val="000000"/>
          <w:sz w:val="20"/>
          <w:u w:val="single"/>
        </w:rPr>
        <w:t>Other Officers and Duties</w:t>
      </w:r>
      <w:r>
        <w:rPr>
          <w:rFonts w:ascii="Times New Roman" w:hAnsi="Times New Roman"/>
          <w:color w:val="000000"/>
          <w:sz w:val="20"/>
        </w:rPr>
        <w:t>. The Trustees may elect such other officers and assistant officers as they shall from time to time determine to be necessary or desirable in order to conduct the business of the Trust. Assistant officers shall act generally in the absence of the officer whom they assist and shall assist that officer in the duties of the office. Each officer, employee and agent of the Trust shall have such other duties and authority as may be conferred upon such person by the Trustees or delegated to such person by the Chief Executive Officer.</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ARTICLE IV</w:t>
      </w:r>
    </w:p>
    <w:p>
      <w:pPr>
        <w:pStyle w:val="TextBody"/>
        <w:bidi w:val="0"/>
        <w:spacing w:before="120" w:after="283"/>
        <w:jc w:val="center"/>
        <w:rPr>
          <w:rFonts w:ascii="Times New Roman" w:hAnsi="Times New Roman"/>
          <w:color w:val="000000"/>
          <w:sz w:val="20"/>
          <w:u w:val="single"/>
        </w:rPr>
      </w:pPr>
      <w:r>
        <w:rPr>
          <w:rFonts w:ascii="Times New Roman" w:hAnsi="Times New Roman"/>
          <w:color w:val="000000"/>
          <w:sz w:val="20"/>
          <w:u w:val="single"/>
        </w:rPr>
        <w:t>Committees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4.1 </w:t>
      </w:r>
      <w:r>
        <w:rPr>
          <w:rFonts w:ascii="Times New Roman" w:hAnsi="Times New Roman"/>
          <w:color w:val="000000"/>
          <w:sz w:val="20"/>
          <w:u w:val="single"/>
        </w:rPr>
        <w:t>Appointment</w:t>
      </w:r>
      <w:r>
        <w:rPr>
          <w:rFonts w:ascii="Times New Roman" w:hAnsi="Times New Roman"/>
          <w:color w:val="000000"/>
          <w:sz w:val="20"/>
        </w:rPr>
        <w:t>. The Board of Trustees may appoint from its members an Audit Committee, a Nominating &amp; Corporate Governance Committee and other committees, composed of one or more trustees, to serve at the pleasure of the Board of Trustees.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4.2 </w:t>
      </w:r>
      <w:r>
        <w:rPr>
          <w:rFonts w:ascii="Times New Roman" w:hAnsi="Times New Roman"/>
          <w:color w:val="000000"/>
          <w:sz w:val="20"/>
          <w:u w:val="single"/>
        </w:rPr>
        <w:t>Powers</w:t>
      </w:r>
      <w:r>
        <w:rPr>
          <w:rFonts w:ascii="Times New Roman" w:hAnsi="Times New Roman"/>
          <w:color w:val="000000"/>
          <w:sz w:val="20"/>
        </w:rPr>
        <w:t>. The Board of Trustees may delegate to committees appointed under Section 4.1 hereof any of the powers of the Board of Trustees, except as prohibited by law.</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color w:val="000000"/>
          <w:sz w:val="20"/>
        </w:rPr>
      </w:pPr>
      <w:r>
        <w:rPr>
          <w:rFonts w:ascii="Times New Roman" w:hAnsi="Times New Roman"/>
          <w:color w:val="000000"/>
          <w:sz w:val="20"/>
        </w:rPr>
        <w:t>ARTICLE V</w:t>
      </w:r>
    </w:p>
    <w:p>
      <w:pPr>
        <w:pStyle w:val="TextBody"/>
        <w:bidi w:val="0"/>
        <w:spacing w:before="120" w:after="283"/>
        <w:jc w:val="center"/>
        <w:rPr>
          <w:rFonts w:ascii="Times New Roman" w:hAnsi="Times New Roman"/>
          <w:color w:val="000000"/>
          <w:sz w:val="20"/>
          <w:u w:val="single"/>
        </w:rPr>
      </w:pPr>
      <w:r>
        <w:rPr>
          <w:rFonts w:ascii="Times New Roman" w:hAnsi="Times New Roman"/>
          <w:color w:val="000000"/>
          <w:sz w:val="20"/>
          <w:u w:val="single"/>
        </w:rPr>
        <w:t>Miscellaneous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5.1 </w:t>
      </w:r>
      <w:r>
        <w:rPr>
          <w:rFonts w:ascii="Times New Roman" w:hAnsi="Times New Roman"/>
          <w:color w:val="000000"/>
          <w:sz w:val="20"/>
          <w:u w:val="single"/>
        </w:rPr>
        <w:t>Depositories</w:t>
      </w:r>
      <w:r>
        <w:rPr>
          <w:rFonts w:ascii="Times New Roman" w:hAnsi="Times New Roman"/>
          <w:color w:val="000000"/>
          <w:sz w:val="20"/>
        </w:rPr>
        <w:t>. In accordance with Section 8.1 of the Declaration, the funds of the Trust shall be deposited in such custodians as the Trustees shall designate and shall be drawn out on checks, drafts or other orders signed by such officer, officers, agent or agents (including the adviser, administrator or manager), as the Trustees may from time to time authorize.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5.2 </w:t>
      </w:r>
      <w:r>
        <w:rPr>
          <w:rFonts w:ascii="Times New Roman" w:hAnsi="Times New Roman"/>
          <w:color w:val="000000"/>
          <w:sz w:val="20"/>
          <w:u w:val="single"/>
        </w:rPr>
        <w:t>Signatures</w:t>
      </w:r>
      <w:r>
        <w:rPr>
          <w:rFonts w:ascii="Times New Roman" w:hAnsi="Times New Roman"/>
          <w:color w:val="000000"/>
          <w:sz w:val="20"/>
        </w:rPr>
        <w:t>. All contracts and other instruments shall be executed on behalf of the Trust by its authorized officers, agent or agents, as provided in the Declaration or By-Laws or as the Trustees may from time to time provide by resolution.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5.3 </w:t>
      </w:r>
      <w:r>
        <w:rPr>
          <w:rFonts w:ascii="Times New Roman" w:hAnsi="Times New Roman"/>
          <w:color w:val="000000"/>
          <w:sz w:val="20"/>
          <w:u w:val="single"/>
        </w:rPr>
        <w:t>Seal</w:t>
      </w:r>
      <w:r>
        <w:rPr>
          <w:rFonts w:ascii="Times New Roman" w:hAnsi="Times New Roman"/>
          <w:color w:val="000000"/>
          <w:sz w:val="20"/>
        </w:rPr>
        <w:t>. The Trust is not required to have any seal, and the adoption or use of a seal shall be purely ornamental and be of no legal effect. The seal, if any, of the Trust may be affixed to any instrument, and the seal and its attestation may be lithographed, engraved or otherwise printed on any document with the same force and effect as if it had been imprinted and affixed manually in the same manner and with the same force and effect as if done by a Delaware business corporation. The presence or absence of a seal shall have no effect on the validity, enforceability or binding nature of any document or instrument that is otherwise duly authorized, executed and delivered.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ARTICLE VI</w:t>
      </w:r>
    </w:p>
    <w:p>
      <w:pPr>
        <w:pStyle w:val="TextBody"/>
        <w:bidi w:val="0"/>
        <w:spacing w:before="120" w:after="283"/>
        <w:jc w:val="center"/>
        <w:rPr>
          <w:rFonts w:ascii="Times New Roman" w:hAnsi="Times New Roman"/>
          <w:color w:val="000000"/>
          <w:sz w:val="20"/>
          <w:u w:val="single"/>
        </w:rPr>
      </w:pPr>
      <w:r>
        <w:rPr>
          <w:rFonts w:ascii="Times New Roman" w:hAnsi="Times New Roman"/>
          <w:color w:val="000000"/>
          <w:sz w:val="20"/>
          <w:u w:val="single"/>
        </w:rPr>
        <w:t>Stock Transfers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6.1 </w:t>
      </w:r>
      <w:r>
        <w:rPr>
          <w:rFonts w:ascii="Times New Roman" w:hAnsi="Times New Roman"/>
          <w:color w:val="000000"/>
          <w:sz w:val="20"/>
          <w:u w:val="single"/>
        </w:rPr>
        <w:t>Transfer Agents, Registrars and the Like</w:t>
      </w:r>
      <w:r>
        <w:rPr>
          <w:rFonts w:ascii="Times New Roman" w:hAnsi="Times New Roman"/>
          <w:color w:val="000000"/>
          <w:sz w:val="20"/>
        </w:rPr>
        <w:t>. As provided in Section 6.7 of the Declaration, the Trustees shall have authority to employ and compensate such transfer agents and registrars with respect to the Shares of the Trust as the Trustees shall deem necessary or desirable. In addition, the Trustees shall have the power to employ and compensate such dividend disbursing agents, warrant agents and agents for the reinvestment of dividends as they shall deem necessary or desirable. Any of such agents shall have such power and authority as is delegated to any of them by the Trustees.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6.2 </w:t>
      </w:r>
      <w:r>
        <w:rPr>
          <w:rFonts w:ascii="Times New Roman" w:hAnsi="Times New Roman"/>
          <w:color w:val="000000"/>
          <w:sz w:val="20"/>
          <w:u w:val="single"/>
        </w:rPr>
        <w:t>Transfer of Shares</w:t>
      </w:r>
      <w:r>
        <w:rPr>
          <w:rFonts w:ascii="Times New Roman" w:hAnsi="Times New Roman"/>
          <w:color w:val="000000"/>
          <w:sz w:val="20"/>
        </w:rPr>
        <w:t>. The Shares of the Trust shall not be transferrable except as permitted in the Declaration. The Trust, or its transfer agents, shall be authorized to refuse any transfer unless and until presentation of such evidence as may be reasonably required to show that the requested transfer is proper.</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6.3 </w:t>
      </w:r>
      <w:r>
        <w:rPr>
          <w:rFonts w:ascii="Times New Roman" w:hAnsi="Times New Roman"/>
          <w:color w:val="000000"/>
          <w:sz w:val="20"/>
          <w:u w:val="single"/>
        </w:rPr>
        <w:t>Registered Shareholders</w:t>
      </w:r>
      <w:r>
        <w:rPr>
          <w:rFonts w:ascii="Times New Roman" w:hAnsi="Times New Roman"/>
          <w:color w:val="000000"/>
          <w:sz w:val="20"/>
        </w:rPr>
        <w:t>. The Trust may deem and treat the holder of record of any Shares as the absolute owner thereof for all purposes and shall not be required to take any notice of any right or claim of right of any other person.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ARTICLE VII</w:t>
      </w:r>
    </w:p>
    <w:p>
      <w:pPr>
        <w:pStyle w:val="TextBody"/>
        <w:bidi w:val="0"/>
        <w:spacing w:before="120" w:after="283"/>
        <w:jc w:val="center"/>
        <w:rPr>
          <w:rFonts w:ascii="Times New Roman" w:hAnsi="Times New Roman"/>
          <w:color w:val="000000"/>
          <w:sz w:val="20"/>
          <w:u w:val="single"/>
        </w:rPr>
      </w:pPr>
      <w:r>
        <w:rPr>
          <w:rFonts w:ascii="Times New Roman" w:hAnsi="Times New Roman"/>
          <w:color w:val="000000"/>
          <w:sz w:val="20"/>
          <w:u w:val="single"/>
        </w:rPr>
        <w:t>Amendment of By-Laws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7.1 </w:t>
      </w:r>
      <w:r>
        <w:rPr>
          <w:rFonts w:ascii="Times New Roman" w:hAnsi="Times New Roman"/>
          <w:color w:val="000000"/>
          <w:sz w:val="20"/>
          <w:u w:val="single"/>
        </w:rPr>
        <w:t>Amendment and Repeal of By-Laws</w:t>
      </w:r>
      <w:r>
        <w:rPr>
          <w:rFonts w:ascii="Times New Roman" w:hAnsi="Times New Roman"/>
          <w:color w:val="000000"/>
          <w:sz w:val="20"/>
        </w:rPr>
        <w:t>. In accordance with Section 3.8 of the Declaration, the Trustees shall have the exclusive power to amend or repeal the By-Laws or adopt new By-Laws at any time. Action by the Trustees with respect to the By-Laws shall be taken by an affirmative vote of a majority of the Trustees. The Trustees shall in no event adopt By-Laws that are in conflict with the Declaration, and any apparent inconsistency shall be construed in favor of the related provisions in the Declaration.</w:t>
      </w:r>
    </w:p>
    <w:p>
      <w:pPr>
        <w:pStyle w:val="TextBody"/>
        <w:bidi w:val="0"/>
        <w:spacing w:before="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k0001925309-ex31_1.htm"/>
      <w:bookmarkStart w:id="25" w:name="ksck0001925309ex31_1"/>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Robert ("Bo") Stanley,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Sixth Street Lending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("Bo") Stanley</w:t>
            </w:r>
          </w:p>
        </w:tc>
      </w:tr>
      <w:tr>
        <w:trPr/>
        <w:tc>
          <w:tcPr>
            <w:tcW w:w="18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Robert ("Bo") Stanley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k0001925309-ex31_2.htm"/>
      <w:bookmarkStart w:id="27" w:name="ksck0001925309ex31_2"/>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CFO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Ian Simmonds,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Sixth Street Lending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960" w:type="dxa"/>
        <w:jc w:val="left"/>
        <w:tblInd w:w="0" w:type="dxa"/>
        <w:tblLayout w:type="fixed"/>
        <w:tblCellMar>
          <w:top w:w="28" w:type="dxa"/>
          <w:left w:w="28" w:type="dxa"/>
          <w:bottom w:w="28" w:type="dxa"/>
          <w:right w:w="28" w:type="dxa"/>
        </w:tblCellMar>
      </w:tblPr>
      <w:tblGrid>
        <w:gridCol w:w="1846"/>
        <w:gridCol w:w="1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8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Ian Simmonds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8" w:name="ck0001925309-ex32.htm"/>
      <w:bookmarkStart w:id="29" w:name="ksck0001925309ex32"/>
      <w:bookmarkEnd w:id="28"/>
      <w:bookmarkEnd w:id="29"/>
      <w:r>
        <w:rPr>
          <w:rFonts w:ascii="Times New Roman" w:hAnsi="Times New Roman"/>
          <w:b/>
          <w:color w:val="000000"/>
          <w:sz w:val="20"/>
        </w:rPr>
        <w:t>Exhibit 32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Sixth Street Lending Partners (the “Company”) for the quarterly period ended June 30, 2026, as filed with the Securities and Exchange Commission on the date hereof (the “Report”), Robert ("Bo") Stanley, as Chief Executive Officer of the Company, and Ian Simmonds, as Chief Financial Officer of the Company, each hereby certifies, pursuant to 18 U.S.C. § 1350, as adopted pursuant to § 906 of the Sarbanes-Oxley Act of 2002, that, to such officer’s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3268" w:type="dxa"/>
        <w:jc w:val="left"/>
        <w:tblInd w:w="0" w:type="dxa"/>
        <w:tblLayout w:type="fixed"/>
        <w:tblCellMar>
          <w:top w:w="28" w:type="dxa"/>
          <w:left w:w="28" w:type="dxa"/>
          <w:bottom w:w="28" w:type="dxa"/>
          <w:right w:w="28" w:type="dxa"/>
        </w:tblCellMar>
      </w:tblPr>
      <w:tblGrid>
        <w:gridCol w:w="646"/>
        <w:gridCol w:w="146"/>
        <w:gridCol w:w="247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326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("Bo") Stanley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("Bo") Stanley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r>
    </w:tbl>
    <w:tbl>
      <w:tblPr>
        <w:tblW w:w="3208" w:type="dxa"/>
        <w:jc w:val="left"/>
        <w:tblInd w:w="0" w:type="dxa"/>
        <w:tblLayout w:type="fixed"/>
        <w:tblCellMar>
          <w:top w:w="28" w:type="dxa"/>
          <w:left w:w="28" w:type="dxa"/>
          <w:bottom w:w="28" w:type="dxa"/>
          <w:right w:w="28" w:type="dxa"/>
        </w:tblCellMar>
      </w:tblPr>
      <w:tblGrid>
        <w:gridCol w:w="646"/>
        <w:gridCol w:w="146"/>
        <w:gridCol w:w="241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§1350 and is not being filed as part of the Report or as a separate disclosure document.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5309/000119312522226504/d260658dex31.htm" TargetMode="External"/><Relationship Id="rId3" Type="http://schemas.openxmlformats.org/officeDocument/2006/relationships/hyperlink" Target="https://www.sec.gov/Archives/edgar/data/1925309/000119312526208894/ck0001925309-ex10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47060</Words>
  <Characters>249786</Characters>
  <CharactersWithSpaces>302248</CharactersWithSpaces>
  <Paragraphs>19768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