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272d8k.htm"/>
      <w:bookmarkStart w:id="1" w:name="ksd1452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88-1710161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1100</w:t>
            </w:r>
          </w:p>
          <w:p>
            <w:pPr>
              <w:pStyle w:val="TableContents"/>
              <w:bidi w:val="0"/>
              <w:spacing w:before="0" w:after="20"/>
              <w:jc w:val="center"/>
              <w:rPr>
                <w:rFonts w:ascii="Times New Roman" w:hAnsi="Times New Roman"/>
                <w:b/>
                <w:sz w:val="20"/>
              </w:rPr>
            </w:pPr>
            <w:r>
              <w:rPr>
                <w:rFonts w:ascii="Times New Roman" w:hAnsi="Times New Roman"/>
                <w:b/>
                <w:sz w:val="20"/>
              </w:rPr>
              <w:t>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75201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345" w:type="dxa"/>
        <w:jc w:val="left"/>
        <w:tblInd w:w="0" w:type="dxa"/>
        <w:tblLayout w:type="fixed"/>
        <w:tblCellMar>
          <w:top w:w="0" w:type="dxa"/>
          <w:left w:w="0" w:type="dxa"/>
          <w:bottom w:w="0" w:type="dxa"/>
          <w:right w:w="0" w:type="dxa"/>
        </w:tblCellMar>
      </w:tblPr>
      <w:tblGrid>
        <w:gridCol w:w="1025"/>
        <w:gridCol w:w="3320"/>
      </w:tblGrid>
      <w:tr>
        <w:trPr/>
        <w:tc>
          <w:tcPr>
            <w:tcW w:w="1025" w:type="dxa"/>
            <w:tcBorders/>
            <w:vAlign w:val="center"/>
          </w:tcPr>
          <w:p>
            <w:pPr>
              <w:pStyle w:val="TableContents"/>
              <w:bidi w:val="0"/>
              <w:spacing w:before="0" w:after="283"/>
              <w:jc w:val="left"/>
              <w:rPr>
                <w:b/>
              </w:rPr>
            </w:pPr>
            <w:r>
              <w:rPr>
                <w:b/>
              </w:rPr>
              <w:t>Item 3.02.</w:t>
            </w:r>
          </w:p>
        </w:tc>
        <w:tc>
          <w:tcPr>
            <w:tcW w:w="3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On September 1, 2026, Sixth Street Lending Partners (the “</w:t>
      </w:r>
      <w:r>
        <w:rPr>
          <w:rFonts w:ascii="Times New Roman" w:hAnsi="Times New Roman"/>
          <w:b/>
          <w:sz w:val="20"/>
        </w:rPr>
        <w:t>Company</w:t>
      </w:r>
      <w:r>
        <w:rPr>
          <w:rFonts w:ascii="Times New Roman" w:hAnsi="Times New Roman"/>
          <w:sz w:val="20"/>
        </w:rPr>
        <w:t>”) issued unregistered common shares of beneficial interest in the Company, par value $0.001 (the “</w:t>
      </w:r>
      <w:r>
        <w:rPr>
          <w:rFonts w:ascii="Times New Roman" w:hAnsi="Times New Roman"/>
          <w:b/>
          <w:sz w:val="20"/>
        </w:rPr>
        <w:t>Shares</w:t>
      </w:r>
      <w:r>
        <w:rPr>
          <w:rFonts w:ascii="Times New Roman" w:hAnsi="Times New Roman"/>
          <w:sz w:val="20"/>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hAnsi="Times New Roman"/>
          <w:b/>
          <w:sz w:val="20"/>
        </w:rPr>
        <w:t>Securities Act</w:t>
      </w:r>
      <w:r>
        <w:rPr>
          <w:rFonts w:ascii="Times New Roman" w:hAnsi="Times New Roman"/>
          <w:sz w:val="20"/>
        </w:rPr>
        <w:t xml:space="preserve">”), pursuant to Section 4(a)(2) of the Securities Act, Regulation D thereunder, and/or Regulation S thereunder. The following table details the amount of Shares sold and consideration therefor: </w:t>
      </w:r>
    </w:p>
    <w:p>
      <w:pPr>
        <w:pStyle w:val="TextBody"/>
        <w:bidi w:val="0"/>
        <w:spacing w:before="0" w:after="0"/>
        <w:jc w:val="left"/>
        <w:rPr/>
      </w:pPr>
      <w:r>
        <w:rPr/>
        <w:t> </w:t>
      </w:r>
    </w:p>
    <w:tbl>
      <w:tblPr>
        <w:tblW w:w="5030" w:type="dxa"/>
        <w:jc w:val="left"/>
        <w:tblInd w:w="0" w:type="dxa"/>
        <w:tblLayout w:type="fixed"/>
        <w:tblCellMar>
          <w:top w:w="0" w:type="dxa"/>
          <w:left w:w="0" w:type="dxa"/>
          <w:bottom w:w="0" w:type="dxa"/>
          <w:right w:w="0" w:type="dxa"/>
        </w:tblCellMar>
      </w:tblPr>
      <w:tblGrid>
        <w:gridCol w:w="1895"/>
        <w:gridCol w:w="120"/>
        <w:gridCol w:w="60"/>
        <w:gridCol w:w="1100"/>
        <w:gridCol w:w="60"/>
        <w:gridCol w:w="120"/>
        <w:gridCol w:w="140"/>
        <w:gridCol w:w="1460"/>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Unregistered Sale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b/>
              </w:rPr>
              <w:t>Amount of</w:t>
            </w:r>
            <w:r>
              <w:rPr/>
              <w:br/>
            </w:r>
            <w:r>
              <w:rPr>
                <w:b/>
              </w:rP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Consideration</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 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17,373,129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500,000,000</w:t>
            </w:r>
          </w:p>
        </w:tc>
        <w:tc>
          <w:tcPr>
            <w:tcW w:w="75" w:type="dxa"/>
            <w:tcBorders/>
            <w:shd w:fill="CCEEFF" w:val="cle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46" w:type="dxa"/>
        <w:jc w:val="left"/>
        <w:tblInd w:w="0" w:type="dxa"/>
        <w:tblLayout w:type="fixed"/>
        <w:tblCellMar>
          <w:top w:w="0" w:type="dxa"/>
          <w:left w:w="0" w:type="dxa"/>
          <w:bottom w:w="0" w:type="dxa"/>
          <w:right w:w="0" w:type="dxa"/>
        </w:tblCellMar>
      </w:tblPr>
      <w:tblGrid>
        <w:gridCol w:w="2390"/>
        <w:gridCol w:w="60"/>
        <w:gridCol w:w="23"/>
        <w:gridCol w:w="60"/>
        <w:gridCol w:w="977"/>
        <w:gridCol w:w="90"/>
        <w:gridCol w:w="3346"/>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13" w:type="dxa"/>
            <w:gridSpan w:val="3"/>
            <w:tcBorders/>
            <w:vAlign w:val="center"/>
          </w:tcPr>
          <w:p>
            <w:pPr>
              <w:pStyle w:val="TableContents"/>
              <w:bidi w:val="0"/>
              <w:spacing w:before="0" w:after="283"/>
              <w:jc w:val="left"/>
              <w:rPr>
                <w:b/>
              </w:rPr>
            </w:pPr>
            <w:r>
              <w:rPr>
                <w:b/>
              </w:rPr>
              <w:t>SIXTH STREET LENDING PARTNERS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37" w:type="dxa"/>
            <w:gridSpan w:val="2"/>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By:</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Ian Simmonds</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Title:</w:t>
            </w:r>
          </w:p>
        </w:tc>
        <w:tc>
          <w:tcPr>
            <w:tcW w:w="90" w:type="dxa"/>
            <w:tcBorders/>
            <w:vAlign w:val="center"/>
          </w:tcPr>
          <w:p>
            <w:pPr>
              <w:pStyle w:val="TableContents"/>
              <w:bidi w:val="0"/>
              <w:spacing w:before="0" w:after="283"/>
              <w:jc w:val="left"/>
              <w:rPr/>
            </w:pPr>
            <w:r>
              <w:rPr/>
              <w:t> </w:t>
            </w:r>
          </w:p>
        </w:tc>
        <w:tc>
          <w:tcPr>
            <w:tcW w:w="334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463</Words>
  <Characters>2582</Characters>
  <CharactersWithSpaces>3040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