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907195dsc13d.htm"/>
      <w:bookmarkStart w:id="1" w:name="ksd907195dsc13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SIXTH STREET LENDING PARTNERS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shares of beneficial interest, par value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Joshua Peck </w:t>
      </w:r>
    </w:p>
    <w:p>
      <w:pPr>
        <w:pStyle w:val="TextBody"/>
        <w:bidi w:val="0"/>
        <w:spacing w:before="0" w:after="0"/>
        <w:jc w:val="center"/>
        <w:rPr>
          <w:rFonts w:ascii="Times New Roman" w:hAnsi="Times New Roman"/>
          <w:b/>
          <w:sz w:val="20"/>
        </w:rPr>
      </w:pPr>
      <w:r>
        <w:rPr>
          <w:rFonts w:ascii="Times New Roman" w:hAnsi="Times New Roman"/>
          <w:b/>
          <w:sz w:val="20"/>
        </w:rPr>
        <w:t xml:space="preserve">2100 McKinney Avenue, Suite 1500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75201 </w:t>
      </w:r>
    </w:p>
    <w:p>
      <w:pPr>
        <w:pStyle w:val="TextBody"/>
        <w:bidi w:val="0"/>
        <w:spacing w:before="0" w:after="0"/>
        <w:jc w:val="center"/>
        <w:rPr>
          <w:rFonts w:ascii="Times New Roman" w:hAnsi="Times New Roman"/>
          <w:b/>
          <w:sz w:val="20"/>
        </w:rPr>
      </w:pPr>
      <w:r>
        <w:rPr>
          <w:rFonts w:ascii="Times New Roman" w:hAnsi="Times New Roman"/>
          <w:b/>
          <w:sz w:val="20"/>
        </w:rPr>
        <w:t xml:space="preserve">(469) 621-3001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November 21,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Schedules filed in paper format shall include a signed original and five copies of the schedule, including all exhibits. See §240.13d-7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as amended (</w:t>
      </w:r>
      <w:r>
        <w:rPr>
          <w:rFonts w:ascii="Times New Roman" w:hAnsi="Times New Roman"/>
          <w:b/>
          <w:i/>
          <w:sz w:val="20"/>
        </w:rPr>
        <w:t>Act</w:t>
      </w:r>
      <w:r>
        <w:rPr>
          <w:rFonts w:ascii="Times New Roman" w:hAnsi="Times New Roman"/>
          <w:sz w:val="20"/>
        </w:rPr>
        <w:t xml:space="preserve">)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88"/>
        <w:gridCol w:w="176"/>
        <w:gridCol w:w="169"/>
        <w:gridCol w:w="176"/>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Sixth Street Lending Partners Note Issuer, LLC</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451"/>
        <w:gridCol w:w="177"/>
        <w:gridCol w:w="765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65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 (1)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55,752,945 common shares of beneficial interest, par value $0.001 per share outstanding as of November 21, 2023,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88"/>
        <w:gridCol w:w="176"/>
        <w:gridCol w:w="169"/>
        <w:gridCol w:w="176"/>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TAO Sutton Holdings, LLC</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451"/>
        <w:gridCol w:w="177"/>
        <w:gridCol w:w="765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65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 (1)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55,752,945 common shares of beneficial interest, par value $0.001 per share outstanding as of November 21, 2023,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88"/>
        <w:gridCol w:w="176"/>
        <w:gridCol w:w="169"/>
        <w:gridCol w:w="176"/>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TAO Insurance Holdings, LLC</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451"/>
        <w:gridCol w:w="177"/>
        <w:gridCol w:w="765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65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 (1)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55,752,945 common shares of beneficial interest, par value $0.001 per share outstanding as of November 21, 2023,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64"/>
        <w:gridCol w:w="182"/>
        <w:gridCol w:w="181"/>
        <w:gridCol w:w="182"/>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Michael Muscolino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 of America</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451"/>
        <w:gridCol w:w="177"/>
        <w:gridCol w:w="765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65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 (1)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IN</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55,752,945 common shares of beneficial interest, par value $0.001 per share outstanding as of November 21, 2023,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5"/>
        <w:gridCol w:w="122"/>
        <w:gridCol w:w="788"/>
        <w:gridCol w:w="176"/>
        <w:gridCol w:w="169"/>
        <w:gridCol w:w="176"/>
        <w:gridCol w:w="8266"/>
      </w:tblGrid>
      <w:tr>
        <w:trPr/>
        <w:tc>
          <w:tcPr>
            <w:tcW w:w="4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40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Alan Waxman</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 of America</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451"/>
        <w:gridCol w:w="177"/>
        <w:gridCol w:w="765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65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3,686,232</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 (1)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IN</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55,752,945 common shares of beneficial interest, par value $0.001 per share outstanding as of November 21, 2023,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Security and the Issuer </w:t>
      </w:r>
    </w:p>
    <w:p>
      <w:pPr>
        <w:pStyle w:val="TextBody"/>
        <w:bidi w:val="0"/>
        <w:spacing w:before="120" w:after="0"/>
        <w:jc w:val="left"/>
        <w:rPr>
          <w:rFonts w:ascii="Times New Roman" w:hAnsi="Times New Roman"/>
          <w:sz w:val="20"/>
        </w:rPr>
      </w:pPr>
      <w:r>
        <w:rPr>
          <w:rFonts w:ascii="Times New Roman" w:hAnsi="Times New Roman"/>
          <w:sz w:val="20"/>
        </w:rPr>
        <w:t xml:space="preserve">This statement on Schedule 13D (this Schedule 13D) relates to common shares of beneficial interest, par value $0.001 per share (the Shares), of Sixth Street Lending Partners, a Delaware statutory trust (the Issuer). The address of the principal executive offices of the Issuer is located at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Item 2. Identity and Background </w:t>
      </w:r>
    </w:p>
    <w:p>
      <w:pPr>
        <w:pStyle w:val="TextBody"/>
        <w:bidi w:val="0"/>
        <w:spacing w:before="120" w:after="0"/>
        <w:jc w:val="left"/>
        <w:rPr>
          <w:rFonts w:ascii="Times New Roman" w:hAnsi="Times New Roman"/>
          <w:sz w:val="20"/>
        </w:rPr>
      </w:pPr>
      <w:r>
        <w:rPr>
          <w:rFonts w:ascii="Times New Roman" w:hAnsi="Times New Roman"/>
          <w:sz w:val="20"/>
        </w:rPr>
        <w:t xml:space="preserve">(a)-(b) Each of the following is hereinafter individually referred to as a Reporting Person and collectively as the Reporting Persons. This statement is filed on behalf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Lending Partners Note Issuer, LLC (Note Issuer), a Delaware limited liability company with a principal business address of 2100 McKinney Avenue, Suite 1500, Dallas, TX 75201;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Sutton Holdings, LLC (TAO Sutton Holdings), a Cayman Islands limited liability company with a principal business address of P.O. Box 309, Ugland House, Grand Cayman,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TAO Insurance Holdings, LLC (TAO Insurance Holdings), a Delaware limited liability company with a registered address of 4001 Kennett Pike, Suite 302, Wilmington, DE 19807;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Michael Muscolino, a United State citizen, with a principal business address of c/o Sixth Street Partners, LLC, 345 California Street, Suite 2600, San Francisco, CA 94104;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Alan Waxman, a United State citizen, with a principal business address of c/o Sixth Street Partners, LLC, 345 California Street, Suite 2600, San Francisco, CA 94104.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Issuer is the direct holder of the Shares. Note Issuer is controlled by its members, which are indirectly controlled by TAO Sutton Holdings. TAO Insurance Holdings is the managing member of TAO Sutton Holdings. Mr. Muscolino is the managing member of TAO Insurance Holdings. Pursuant to the limited liability company agreement of TAO Insurance Holdings, Mr. Waxman, as designated member of TAO Insurance Holdings, has the authority to appoint the managing member of TAO Insurance Holdings.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have entered into a joint filing agreement, a copy of which is attached hereto as </w:t>
      </w:r>
      <w:r>
        <w:rPr>
          <w:rFonts w:ascii="Times New Roman" w:hAnsi="Times New Roman"/>
          <w:sz w:val="20"/>
          <w:u w:val="single"/>
        </w:rPr>
        <w:t>Exhibit 99.1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the filing of this Schedule 13D nor any of its contents shall be deemed to constitute an admission that any of the Reporting Persons (other than to the extent they directly hold the securities reported on this Schedule 13D) is the beneficial owner of the Shares referred to herein for purposes of Section 13(d) of the Securities Exchange Act of 1934, as amended,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(c) The principal business of Note Issuer is acting as a holding company for securities. The principal business of TAO Sutton Holdings is acting as a holding company for certain insurance companies. The principal business of TAO Insurance Holdings is acting as the managing member of TAO Sutton Holdings. The present principal occupation of each of Mr. Waxman and Mr. Muscolino is officer, director and/or manager of entities affiliated with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(d), (e) During the last five years, none of the Reporting Persons have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w:t>
      </w:r>
    </w:p>
    <w:p>
      <w:pPr>
        <w:pStyle w:val="TextBody"/>
        <w:bidi w:val="0"/>
        <w:spacing w:before="240" w:after="0"/>
        <w:jc w:val="left"/>
        <w:rPr>
          <w:rFonts w:ascii="Times New Roman" w:hAnsi="Times New Roman"/>
          <w:sz w:val="20"/>
        </w:rPr>
      </w:pPr>
      <w:r>
        <w:rPr>
          <w:rFonts w:ascii="Times New Roman" w:hAnsi="Times New Roman"/>
          <w:sz w:val="20"/>
        </w:rPr>
        <w:t xml:space="preserve">(f) See Item 2(a)-(b) above for citizenship or place of organization, as applicable, of each of the Reporting Persons. </w:t>
      </w:r>
    </w:p>
    <w:p>
      <w:pPr>
        <w:pStyle w:val="TextBody"/>
        <w:bidi w:val="0"/>
        <w:spacing w:before="360" w:after="0"/>
        <w:jc w:val="left"/>
        <w:rPr>
          <w:rFonts w:ascii="Times New Roman" w:hAnsi="Times New Roman"/>
          <w:b/>
          <w:sz w:val="20"/>
        </w:rPr>
      </w:pPr>
      <w:r>
        <w:rPr>
          <w:rFonts w:ascii="Times New Roman" w:hAnsi="Times New Roman"/>
          <w:b/>
          <w:sz w:val="20"/>
        </w:rPr>
        <w:t xml:space="preserve">Item 3. Source and Amount of Funds or other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Items 4, 5 and 6 of this Schedule 13D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 further described in Item 6 below, on June 12, 2023, Note Issuer entered into a subscription agreement with the Issuer (the Subscription Agreement), pursuant to which Note Issuer subscribed for and agreed to purchase Shares with a capital commitment equal to up to $598,984,187.19 (the Capital Commitment). Pursuant to the Subscription Agreement, Note Issuer is required to fund drawdowns to purchase Shares up to the amount of the Capital Commitment periodically each time the Issuer delivers a drawdown notice to Note Issuer. The foregoing description of Note Issuers commitment to the Issuer does not purport to be complete and is qualified in its entirety by reference to the Subscription Agreement, a form of which is attached hereto and incorporated herein by reference to </w:t>
      </w:r>
      <w:r>
        <w:rPr>
          <w:rFonts w:ascii="Times New Roman" w:hAnsi="Times New Roman"/>
          <w:sz w:val="20"/>
          <w:u w:val="single"/>
        </w:rPr>
        <w:t>Exhibit 99.2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Note Issuer has purchased 3,686,232 Shares of the Issuer and has paid aggregate consideration of $101,309,704, pursuant to capital drawdown notices from the Issuer. Specifically, (i) on June 28, 2023, Note Issuer purchased 1,098,867 Shares from the Issuer at $26.80 per Share, for an aggregate purchase price of $29,449,855, (ii) on September 26, 2023, Note Issuer purchased 435,802 Shares from the Issuer at $27.79 per Share for an aggregate purchase price of $12,110,940, and (iii) on November 21, 2023, Note Issuer purchased 2,151,563 Shares from the Issuer at $27.77 per Share for an aggregate purchase price of $59,748,909. </w:t>
      </w:r>
    </w:p>
    <w:p>
      <w:pPr>
        <w:pStyle w:val="TextBody"/>
        <w:bidi w:val="0"/>
        <w:spacing w:before="240" w:after="0"/>
        <w:jc w:val="left"/>
        <w:rPr>
          <w:rFonts w:ascii="Times New Roman" w:hAnsi="Times New Roman"/>
          <w:sz w:val="20"/>
        </w:rPr>
      </w:pPr>
      <w:r>
        <w:rPr>
          <w:rFonts w:ascii="Times New Roman" w:hAnsi="Times New Roman"/>
          <w:sz w:val="20"/>
        </w:rPr>
        <w:t xml:space="preserve">The source of the funds for the purchase of Shares is the available investment capital of Note Issuer including capital contributions from one or more investors for investment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Item 4. Purpose of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Items 3, 5 and 6 of this Schedule 13D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Shares of the Issuer currently owned by Note Issuer were acquired for investment purposes. Pursuant to the Subscription Agreement, Note Issuer is obligated to purchase additional Shares from the Issuer from time to time for an aggregate purchase price not to exceed its Capital Commitment.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intend to review the investment in the Issuer on a continuing basis and depending on such review may consider from time to time various alternative courses of action. The Reporting Persons reserve the right, in light of their ongoing evaluation of the Issuers financial condition, business, operations and prospects, the market price and availability of the Shares or other securities of the Issuer, conditions in the securities markets generally, general economic and industry conditions, regulatory requirements, other investment opportunities available to them, their business and investment objectives and other relevant factors, to change their plans and intentions at any time or to take such actions with respect to Note Issuers investment in the Issuer as they deem appropriate, in each case as may be permitted pursuant to applicable law and contractual agreements. The Reporting Persons intend to review their investment in the Issuer on an ongoing basis and, in the course of their review, reserve the right to take actions (including through their affiliates) with respect to their investment or the Issuer, including communicating with the board of trustees of the Issuer (the Board),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the Reporting Persons are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listing or de-listing or de-registration of the Issuers securities, or any action similar to those enumerated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Sixth Street Lending Partners Advisers, LLC (the Adviser) is the Issuers investment adviser and administrator, and is a registered investment adviser with the U.S. Securities and Exchange Commission under the Investment Advisers Act of 1940, as amended. Mr. Waxman is a Vice President of the Issuer and Co-Chief Investment Officer of the Adviser. Mr. Waxman is a Co-Founding Partner and Chief Executive Officer of Sixth Street. The Adviser is responsible for, among other things, managing the Issuers day-to-day investment operations, all subject to oversight by the Issuers Board. All of the Issuers officers and directors, other than the Issuers independent trustees, are employees of affiliates of Sixth Street Partners, LLC. In such capacities, these individuals may have influence over the corporate activities of the Issuer, including activities which may relate to items described in subparagraphs (a) through (j) of Item 4 of Schedule 13D.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 in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(a) and (b) Calculation of the percentage of the Shares beneficially owned is based on 55,752,945 Shares outstanding as of November 21, 2023, as disclosed by the Issuer to the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Note Issuer directly holds 3,686,232 Shares. The aggregate number and percentage of the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Note Issuer is the direct holder of the Shares. Note Issuer is controlled by its members, which are indirectly controlled by TAO Sutton Holdings. TAO Insurance Holdings is the managing member of TAO Sutton Holdings. Mr. Muscolino is the managing member of TAO Insurance Holdings. Pursuant to the limited liability company agreement of TAO Insurance Holdings, Mr. Waxman, as designated member of TAO Insurance Holdings, has the authority to appoint the managing member of TAO Insurance Holdings. Neither the filing of this Schedule 13D nor any of its contents shall be deemed to constitute an admission that any Reporting Person is the beneficial owner of the Shares referred to herein for purposes of Section 13(d) of the Securities Exchange Act of 1934, as amended,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(c) Information set forth under Item 3 of this Schedule 13D is incorporated by reference herein. Except as set forth in this Schedule 13D, none of the Reporting Persons has effected any transaction in the Shares in the past 60 days. </w:t>
      </w:r>
    </w:p>
    <w:p>
      <w:pPr>
        <w:pStyle w:val="TextBody"/>
        <w:bidi w:val="0"/>
        <w:spacing w:before="240" w:after="0"/>
        <w:jc w:val="left"/>
        <w:rPr>
          <w:rFonts w:ascii="Times New Roman" w:hAnsi="Times New Roman"/>
          <w:sz w:val="20"/>
        </w:rPr>
      </w:pPr>
      <w:r>
        <w:rPr>
          <w:rFonts w:ascii="Times New Roman" w:hAnsi="Times New Roman"/>
          <w:sz w:val="20"/>
        </w:rPr>
        <w:t xml:space="preserve">(d) To the best knowledge of the Reporting Persons, no one other than the Reporting Persons, or the partners, members, affiliates or shareholders of the Reporting Persons, has the right to receive or the power to direct the receipt of dividends from, or the proceeds from the sale of, the Shares reported herein as beneficially owned by the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Contracts, Arrangements, Understandings or Relationships with Respect to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Items 3 and 4 of this Schedule 13D is hereby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Item 3 above, Note Issuer has entered into the Subscription Agreement with the Issuer, pursuant to which Note Issuer has subscribed for and agreed to purchase Shares of the Issuer with a Capital Commitment of up to $598,984,187.19. Pursuant to the Subscription Agreement, Note Issuer is required to purchase Shares of the Issuer up to the aggregate amount of the Capital Commitment within ten days of receipt of a capital drawdown notice from the Issuer. Each purchase is made at a price per Share equal to the most recent quarterly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asset value per Share as determined by the Board, provided that the purchase price is subject to adjustment to the extent required by Section 23 of the Investment Company Act of 1940 Act, as amended (which generally prohibits the Issuer from selling Shares at a price below the then-current net asset value per Share as determined within 48 hours, excluding Sundays and holidays, of such sale, subject to certain exceptions). The Subscription Agreement contains customary representations, warranties and covenants of the Issuer and Note Issuer, and customary indemnification provisions in favor of the Issuer. The assignability and transferability of the Shares are governed by the Subscription Agreement, which imposes substantial restrictions on transfers. </w:t>
      </w:r>
    </w:p>
    <w:p>
      <w:pPr>
        <w:pStyle w:val="TextBody"/>
        <w:bidi w:val="0"/>
        <w:spacing w:before="240" w:after="0"/>
        <w:jc w:val="left"/>
        <w:rPr>
          <w:rFonts w:ascii="Times New Roman" w:hAnsi="Times New Roman"/>
          <w:sz w:val="20"/>
        </w:rPr>
      </w:pPr>
      <w:r>
        <w:rPr>
          <w:rFonts w:ascii="Times New Roman" w:hAnsi="Times New Roman"/>
          <w:sz w:val="20"/>
        </w:rPr>
        <w:t>The foregoing description of Note Issuers commitment to the Issuer does not purport to be complete and is qualified in its entirety by reference to the Subscription Agreement, a form of which is attached hereto and incorporated herein by reference to </w:t>
      </w:r>
      <w:r>
        <w:rPr>
          <w:rFonts w:ascii="Times New Roman" w:hAnsi="Times New Roman"/>
          <w:sz w:val="20"/>
          <w:u w:val="single"/>
        </w:rPr>
        <w:t>Exhibit 99.2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this Schedule 13D, there are no contracts, arrangements, understandings or between the Reporting Person and any other person, with respect to the Shares of the Issuer. </w:t>
      </w:r>
    </w:p>
    <w:p>
      <w:pPr>
        <w:pStyle w:val="TextBody"/>
        <w:bidi w:val="0"/>
        <w:spacing w:before="360" w:after="0"/>
        <w:jc w:val="left"/>
        <w:rPr>
          <w:rFonts w:ascii="Times New Roman" w:hAnsi="Times New Roman"/>
          <w:b/>
          <w:sz w:val="20"/>
        </w:rPr>
      </w:pPr>
      <w:r>
        <w:rPr>
          <w:rFonts w:ascii="Times New Roman" w:hAnsi="Times New Roman"/>
          <w:b/>
          <w:sz w:val="20"/>
        </w:rPr>
        <w:t xml:space="preserve">Item 7. Material to be Filed as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as exhibits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7"/>
        <w:gridCol w:w="430"/>
        <w:gridCol w:w="9208"/>
      </w:tblGrid>
      <w:tr>
        <w:trPr/>
        <w:tc>
          <w:tcPr>
            <w:tcW w:w="567"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r>
      <w:tr>
        <w:trPr/>
        <w:tc>
          <w:tcPr>
            <w:tcW w:w="5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430" w:type="dxa"/>
            <w:tcBorders/>
            <w:vAlign w:val="bottom"/>
          </w:tcPr>
          <w:p>
            <w:pPr>
              <w:pStyle w:val="TableContents"/>
              <w:bidi w:val="0"/>
              <w:spacing w:before="0" w:after="283"/>
              <w:jc w:val="left"/>
              <w:rPr/>
            </w:pPr>
            <w:r>
              <w:rPr/>
              <w:t>  </w:t>
            </w:r>
          </w:p>
        </w:tc>
        <w:tc>
          <w:tcPr>
            <w:tcW w:w="92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c>
          <w:tcPr>
            <w:tcW w:w="567" w:type="dxa"/>
            <w:tcBorders/>
          </w:tcPr>
          <w:p>
            <w:pPr>
              <w:pStyle w:val="TableContents"/>
              <w:bidi w:val="0"/>
              <w:spacing w:before="0" w:after="283"/>
              <w:jc w:val="left"/>
              <w:rPr/>
            </w:pPr>
            <w:r>
              <w:rPr/>
              <w:t>99.1</w:t>
            </w:r>
          </w:p>
        </w:tc>
        <w:tc>
          <w:tcPr>
            <w:tcW w:w="430"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r>
              <w:rPr/>
              <w:t>Joint Filing Agreement (filed herewith).</w:t>
            </w:r>
          </w:p>
        </w:tc>
      </w:tr>
      <w:tr>
        <w:trPr>
          <w:trHeight w:val="120" w:hRule="atLeast"/>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tcPr>
          <w:p>
            <w:pPr>
              <w:pStyle w:val="TableContents"/>
              <w:bidi w:val="0"/>
              <w:spacing w:before="0" w:after="283"/>
              <w:jc w:val="left"/>
              <w:rPr/>
            </w:pPr>
            <w:r>
              <w:rPr/>
              <w:t>99.2</w:t>
            </w:r>
          </w:p>
        </w:tc>
        <w:tc>
          <w:tcPr>
            <w:tcW w:w="430"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r>
              <w:rPr/>
              <w:t>Form of Subscription Agreement between Sixth Street Lending Partners and Sixth Street Lending Partners Note Issuer, LLC (incorporated by reference from Exhibit 4.1 to the Issuers Form 10-12G filed with the Securities and Exchange Commission June 28, 2022).</w:t>
            </w:r>
          </w:p>
        </w:tc>
      </w:tr>
      <w:tr>
        <w:trPr>
          <w:trHeight w:val="120" w:hRule="atLeast"/>
        </w:trPr>
        <w:tc>
          <w:tcPr>
            <w:tcW w:w="567" w:type="dxa"/>
            <w:tcBorders/>
            <w:vAlign w:val="center"/>
          </w:tcPr>
          <w:p>
            <w:pPr>
              <w:pStyle w:val="TableContents"/>
              <w:bidi w:val="0"/>
              <w:spacing w:before="0" w:after="283"/>
              <w:jc w:val="left"/>
              <w:rPr>
                <w:sz w:val="4"/>
                <w:szCs w:val="4"/>
              </w:rPr>
            </w:pPr>
            <w:r>
              <w:rPr>
                <w:sz w:val="4"/>
                <w:szCs w:val="4"/>
              </w:rPr>
            </w:r>
          </w:p>
        </w:tc>
        <w:tc>
          <w:tcPr>
            <w:tcW w:w="9638"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tcPr>
          <w:p>
            <w:pPr>
              <w:pStyle w:val="TableContents"/>
              <w:bidi w:val="0"/>
              <w:spacing w:before="0" w:after="283"/>
              <w:jc w:val="left"/>
              <w:rPr/>
            </w:pPr>
            <w:r>
              <w:rPr/>
              <w:t>99.3</w:t>
            </w:r>
          </w:p>
        </w:tc>
        <w:tc>
          <w:tcPr>
            <w:tcW w:w="430" w:type="dxa"/>
            <w:tcBorders/>
            <w:vAlign w:val="bottom"/>
          </w:tcPr>
          <w:p>
            <w:pPr>
              <w:pStyle w:val="TableContents"/>
              <w:bidi w:val="0"/>
              <w:spacing w:before="0" w:after="283"/>
              <w:jc w:val="left"/>
              <w:rPr/>
            </w:pPr>
            <w:r>
              <w:rPr/>
              <w:t>  </w:t>
            </w:r>
          </w:p>
        </w:tc>
        <w:tc>
          <w:tcPr>
            <w:tcW w:w="9208" w:type="dxa"/>
            <w:tcBorders/>
          </w:tcPr>
          <w:p>
            <w:pPr>
              <w:pStyle w:val="TableContents"/>
              <w:bidi w:val="0"/>
              <w:spacing w:before="0" w:after="283"/>
              <w:jc w:val="left"/>
              <w:rPr/>
            </w:pPr>
            <w:r>
              <w:rPr/>
              <w:t>Authorization and Designation Letter, dated June 15, 2023, by Alan Waxman (filed herewith).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December 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8"/>
        <w:gridCol w:w="66"/>
        <w:gridCol w:w="3508"/>
      </w:tblGrid>
      <w:tr>
        <w:trPr/>
        <w:tc>
          <w:tcPr>
            <w:tcW w:w="508"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SIXTH STREET LENDING PARTNERS NOTE ISSUER, LLC</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82" w:type="dxa"/>
            <w:gridSpan w:val="3"/>
            <w:tcBorders/>
          </w:tcPr>
          <w:p>
            <w:pPr>
              <w:pStyle w:val="TableContents"/>
              <w:bidi w:val="0"/>
              <w:spacing w:before="0" w:after="283"/>
              <w:jc w:val="left"/>
              <w:rPr/>
            </w:pPr>
            <w:r>
              <w:rPr/>
              <w:t>Name: Joshua Peck</w:t>
            </w:r>
          </w:p>
        </w:tc>
      </w:tr>
      <w:tr>
        <w:trPr/>
        <w:tc>
          <w:tcPr>
            <w:tcW w:w="4082" w:type="dxa"/>
            <w:gridSpan w:val="3"/>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TAO SUTTON HOLDINGS, LLC,</w:t>
            </w:r>
          </w:p>
        </w:tc>
      </w:tr>
      <w:tr>
        <w:trPr/>
        <w:tc>
          <w:tcPr>
            <w:tcW w:w="4082" w:type="dxa"/>
            <w:gridSpan w:val="3"/>
            <w:tcBorders/>
          </w:tcPr>
          <w:p>
            <w:pPr>
              <w:pStyle w:val="TableContents"/>
              <w:bidi w:val="0"/>
              <w:spacing w:before="0" w:after="283"/>
              <w:jc w:val="left"/>
              <w:rPr/>
            </w:pPr>
            <w:r>
              <w:rPr/>
              <w:t>By: TAO Insurance Holdings, LLC, its managing member</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Name: A. Michael Muscolino</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TAO INSURANCE HOLDINGS, LLC</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Name: A. Michael Muscolino</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A. Michael Muscolino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82" w:type="dxa"/>
            <w:gridSpan w:val="3"/>
            <w:tcBorders/>
          </w:tcPr>
          <w:p>
            <w:pPr>
              <w:pStyle w:val="TableContents"/>
              <w:bidi w:val="0"/>
              <w:spacing w:before="0" w:after="283"/>
              <w:jc w:val="left"/>
              <w:rPr/>
            </w:pPr>
            <w:r>
              <w:rPr/>
              <w:t>Name: Joshua Peck</w:t>
            </w:r>
          </w:p>
        </w:tc>
      </w:tr>
      <w:tr>
        <w:trPr/>
        <w:tc>
          <w:tcPr>
            <w:tcW w:w="4082" w:type="dxa"/>
            <w:gridSpan w:val="3"/>
            <w:tcBorders/>
          </w:tcPr>
          <w:p>
            <w:pPr>
              <w:pStyle w:val="TableContents"/>
              <w:bidi w:val="0"/>
              <w:spacing w:before="0" w:after="283"/>
              <w:jc w:val="left"/>
              <w:rPr/>
            </w:pPr>
            <w:r>
              <w:rPr/>
              <w:t>Title: Joshua Peck, on behalf of Alan Waxman</w:t>
            </w:r>
          </w:p>
        </w:tc>
      </w:tr>
    </w:tbl>
    <w:p>
      <w:pPr>
        <w:pStyle w:val="TextBody"/>
        <w:bidi w:val="0"/>
        <w:spacing w:before="0" w:after="0"/>
        <w:jc w:val="right"/>
        <w:rPr>
          <w:rFonts w:ascii="Times New Roman" w:hAnsi="Times New Roman"/>
          <w:sz w:val="20"/>
        </w:rPr>
      </w:pPr>
      <w:bookmarkStart w:id="2" w:name="d907195dex991.htm"/>
      <w:bookmarkStart w:id="3" w:name="ksd907195dex991"/>
      <w:bookmarkEnd w:id="2"/>
      <w:bookmarkEnd w:id="3"/>
      <w:r>
        <w:rPr>
          <w:rFonts w:ascii="Times New Roman" w:hAnsi="Times New Roman"/>
          <w:sz w:val="20"/>
        </w:rPr>
        <w:t xml:space="preserve">Exhibit 99.1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Sixth Street Lending Partners, a Delaware statutory trust,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Dated: December 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8"/>
        <w:gridCol w:w="66"/>
        <w:gridCol w:w="3508"/>
      </w:tblGrid>
      <w:tr>
        <w:trPr/>
        <w:tc>
          <w:tcPr>
            <w:tcW w:w="508"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SIXTH STREET LENDING PARTNERS NOTE ISSUER, LLC</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82" w:type="dxa"/>
            <w:gridSpan w:val="3"/>
            <w:tcBorders/>
          </w:tcPr>
          <w:p>
            <w:pPr>
              <w:pStyle w:val="TableContents"/>
              <w:bidi w:val="0"/>
              <w:spacing w:before="0" w:after="283"/>
              <w:jc w:val="left"/>
              <w:rPr/>
            </w:pPr>
            <w:r>
              <w:rPr/>
              <w:t>Name: Joshua Peck</w:t>
            </w:r>
          </w:p>
        </w:tc>
      </w:tr>
      <w:tr>
        <w:trPr/>
        <w:tc>
          <w:tcPr>
            <w:tcW w:w="4082" w:type="dxa"/>
            <w:gridSpan w:val="3"/>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TAO SUTTON HOLDINGS, LLC,</w:t>
            </w:r>
          </w:p>
        </w:tc>
      </w:tr>
      <w:tr>
        <w:trPr/>
        <w:tc>
          <w:tcPr>
            <w:tcW w:w="4082" w:type="dxa"/>
            <w:gridSpan w:val="3"/>
            <w:tcBorders/>
          </w:tcPr>
          <w:p>
            <w:pPr>
              <w:pStyle w:val="TableContents"/>
              <w:bidi w:val="0"/>
              <w:spacing w:before="0" w:after="283"/>
              <w:jc w:val="left"/>
              <w:rPr/>
            </w:pPr>
            <w:r>
              <w:rPr/>
              <w:t>By: TAO Insurance Holdings, LLC, its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Name: A. Michael Muscolino</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TAO INSURANCE HOLDINGS, LLC</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Name: A. Michael Muscolino</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A. Michael Muscolino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82" w:type="dxa"/>
            <w:gridSpan w:val="3"/>
            <w:tcBorders/>
          </w:tcPr>
          <w:p>
            <w:pPr>
              <w:pStyle w:val="TableContents"/>
              <w:bidi w:val="0"/>
              <w:spacing w:before="0" w:after="283"/>
              <w:jc w:val="left"/>
              <w:rPr/>
            </w:pPr>
            <w:r>
              <w:rPr/>
              <w:t>Name: Joshua Peck</w:t>
            </w:r>
          </w:p>
        </w:tc>
      </w:tr>
      <w:tr>
        <w:trPr/>
        <w:tc>
          <w:tcPr>
            <w:tcW w:w="4082" w:type="dxa"/>
            <w:gridSpan w:val="3"/>
            <w:tcBorders/>
          </w:tcPr>
          <w:p>
            <w:pPr>
              <w:pStyle w:val="TableContents"/>
              <w:bidi w:val="0"/>
              <w:spacing w:before="0" w:after="283"/>
              <w:jc w:val="left"/>
              <w:rPr/>
            </w:pPr>
            <w:r>
              <w:rPr/>
              <w:t>Title: Joshua Peck, on behalf of Alan Waxman</w:t>
            </w:r>
          </w:p>
        </w:tc>
      </w:tr>
    </w:tbl>
    <w:p>
      <w:pPr>
        <w:pStyle w:val="TextBody"/>
        <w:bidi w:val="0"/>
        <w:spacing w:before="0" w:after="0"/>
        <w:jc w:val="right"/>
        <w:rPr>
          <w:rFonts w:ascii="Times New Roman" w:hAnsi="Times New Roman"/>
          <w:b/>
          <w:sz w:val="20"/>
        </w:rPr>
      </w:pPr>
      <w:bookmarkStart w:id="4" w:name="d907195dex993.htm"/>
      <w:bookmarkStart w:id="5" w:name="ksd907195dex993"/>
      <w:bookmarkEnd w:id="4"/>
      <w:bookmarkEnd w:id="5"/>
      <w:r>
        <w:rPr>
          <w:rFonts w:ascii="Times New Roman" w:hAnsi="Times New Roman"/>
          <w:b/>
          <w:sz w:val="20"/>
        </w:rPr>
        <w:t>Exhibit 99.3</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June 15, 2023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confirms that Joshua Peck is authorized and designated to sign all securities-related filings under Sections 13 and 16 of the Securities Exchange Act of 1934, as amended, with the Securities and Exchange Commission, including Form ID, on my behalf. This authorization and designation shall be valid until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Alan Waxman</w:t>
            </w:r>
          </w:p>
        </w:tc>
      </w:tr>
      <w:tr>
        <w:trPr/>
        <w:tc>
          <w:tcPr>
            <w:tcW w:w="4082" w:type="dxa"/>
            <w:tcBorders/>
          </w:tcPr>
          <w:p>
            <w:pPr>
              <w:pStyle w:val="TableContents"/>
              <w:bidi w:val="0"/>
              <w:spacing w:before="0" w:after="283"/>
              <w:jc w:val="left"/>
              <w:rPr/>
            </w:pPr>
            <w:r>
              <w:rPr/>
              <w:t>Alan Waxman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4054</Words>
  <Characters>20801</Characters>
  <CharactersWithSpaces>25225</CharactersWithSpaces>
  <Paragraphs>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