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95250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940" w:right="140" w:hanging="835"/>
        <w:spacing w:after="0" w:line="245" w:lineRule="auto"/>
        <w:tabs>
          <w:tab w:leader="none" w:pos="9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940" w:right="120" w:hanging="835"/>
        <w:spacing w:after="0" w:line="262" w:lineRule="auto"/>
        <w:tabs>
          <w:tab w:leader="none" w:pos="9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4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814-01543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Sixth Street Lending Partners</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tbl>
      <w:tblPr>
        <w:tblLayout w:type="fixed"/>
        <w:tblInd w:w="1440" w:type="dxa"/>
        <w:tblCellMar>
          <w:top w:w="0" w:type="dxa"/>
          <w:left w:w="0" w:type="dxa"/>
          <w:bottom w:w="0" w:type="dxa"/>
          <w:right w:w="0" w:type="dxa"/>
        </w:tblCellMar>
      </w:tblPr>
      <w:tr>
        <w:trPr>
          <w:trHeight w:val="238"/>
        </w:trPr>
        <w:tc>
          <w:tcPr>
            <w:tcW w:w="4600" w:type="dxa"/>
            <w:vAlign w:val="bottom"/>
          </w:tcPr>
          <w:p>
            <w:pPr>
              <w:jc w:val="center"/>
              <w:ind w:right="17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88-1710161</w:t>
            </w:r>
          </w:p>
        </w:tc>
      </w:tr>
      <w:tr>
        <w:trPr>
          <w:trHeight w:val="151"/>
        </w:trPr>
        <w:tc>
          <w:tcPr>
            <w:tcW w:w="4600" w:type="dxa"/>
            <w:vAlign w:val="bottom"/>
          </w:tcPr>
          <w:p>
            <w:pPr>
              <w:jc w:val="center"/>
              <w:ind w:right="175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60" w:type="dxa"/>
            <w:vAlign w:val="bottom"/>
          </w:tcPr>
          <w:p>
            <w:pPr>
              <w:jc w:val="center"/>
              <w:ind w:left="176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600" w:type="dxa"/>
            <w:vAlign w:val="bottom"/>
          </w:tcPr>
          <w:p>
            <w:pPr>
              <w:jc w:val="center"/>
              <w:ind w:right="17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60" w:type="dxa"/>
            <w:vAlign w:val="bottom"/>
          </w:tcPr>
          <w:p>
            <w:pPr>
              <w:jc w:val="center"/>
              <w:ind w:left="17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4600" w:type="dxa"/>
            <w:vAlign w:val="bottom"/>
          </w:tcPr>
          <w:p>
            <w:pPr>
              <w:jc w:val="center"/>
              <w:ind w:right="175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960" w:type="dxa"/>
            <w:vAlign w:val="bottom"/>
          </w:tcPr>
          <w:p>
            <w:pPr>
              <w:spacing w:after="0"/>
              <w:rPr>
                <w:sz w:val="24"/>
                <w:szCs w:val="24"/>
                <w:color w:val="auto"/>
              </w:rPr>
            </w:pPr>
          </w:p>
        </w:tc>
      </w:tr>
      <w:tr>
        <w:trPr>
          <w:trHeight w:val="238"/>
        </w:trPr>
        <w:tc>
          <w:tcPr>
            <w:tcW w:w="460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29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3"/>
        </w:trPr>
        <w:tc>
          <w:tcPr>
            <w:tcW w:w="460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60" w:type="dxa"/>
            <w:vAlign w:val="bottom"/>
          </w:tcPr>
          <w:p>
            <w:pPr>
              <w:jc w:val="center"/>
              <w:ind w:left="17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31" w:lineRule="exact"/>
        <w:rPr>
          <w:sz w:val="24"/>
          <w:szCs w:val="24"/>
          <w:color w:val="auto"/>
        </w:rPr>
      </w:pPr>
    </w:p>
    <w:tbl>
      <w:tblPr>
        <w:tblLayout w:type="fixed"/>
        <w:tblInd w:w="20" w:type="dxa"/>
        <w:tblCellMar>
          <w:top w:w="0" w:type="dxa"/>
          <w:left w:w="0" w:type="dxa"/>
          <w:bottom w:w="0" w:type="dxa"/>
          <w:right w:w="0" w:type="dxa"/>
        </w:tblCellMar>
      </w:tblPr>
      <w:tr>
        <w:trPr>
          <w:trHeight w:val="16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0" w:type="dxa"/>
            <w:vAlign w:val="bottom"/>
          </w:tcPr>
          <w:p>
            <w:pPr>
              <w:spacing w:after="0"/>
              <w:rPr>
                <w:sz w:val="14"/>
                <w:szCs w:val="14"/>
                <w:color w:val="auto"/>
              </w:rPr>
            </w:pPr>
          </w:p>
        </w:tc>
        <w:tc>
          <w:tcPr>
            <w:tcW w:w="35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60" w:type="dxa"/>
            <w:vAlign w:val="bottom"/>
          </w:tcPr>
          <w:p>
            <w:pPr>
              <w:spacing w:after="0"/>
              <w:rPr>
                <w:sz w:val="14"/>
                <w:szCs w:val="14"/>
                <w:color w:val="auto"/>
              </w:rPr>
            </w:pPr>
          </w:p>
        </w:tc>
        <w:tc>
          <w:tcPr>
            <w:tcW w:w="35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453"/>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160" w:type="dxa"/>
            <w:vAlign w:val="bottom"/>
          </w:tcPr>
          <w:p>
            <w:pPr>
              <w:spacing w:after="0"/>
              <w:rPr>
                <w:sz w:val="24"/>
                <w:szCs w:val="24"/>
                <w:color w:val="auto"/>
              </w:rPr>
            </w:pPr>
          </w:p>
        </w:tc>
        <w:tc>
          <w:tcPr>
            <w:tcW w:w="358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None</w:t>
            </w:r>
          </w:p>
        </w:tc>
        <w:tc>
          <w:tcPr>
            <w:tcW w:w="160" w:type="dxa"/>
            <w:vAlign w:val="bottom"/>
          </w:tcPr>
          <w:p>
            <w:pPr>
              <w:spacing w:after="0"/>
              <w:rPr>
                <w:sz w:val="24"/>
                <w:szCs w:val="24"/>
                <w:color w:val="auto"/>
              </w:rPr>
            </w:pPr>
          </w:p>
        </w:tc>
        <w:tc>
          <w:tcPr>
            <w:tcW w:w="358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None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right="2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4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303" w:right="359" w:bottom="1440" w:gutter="0" w:footer="0" w:header="0"/>
        </w:sectPr>
      </w:pPr>
    </w:p>
    <w:p>
      <w:pPr>
        <w:spacing w:after="0" w:line="64" w:lineRule="exact"/>
        <w:rPr>
          <w:sz w:val="24"/>
          <w:szCs w:val="24"/>
          <w:color w:val="auto"/>
        </w:rPr>
      </w:pPr>
    </w:p>
    <w:p>
      <w:pPr>
        <w:ind w:left="20"/>
        <w:spacing w:after="0" w:line="161" w:lineRule="exact"/>
        <w:tabs>
          <w:tab w:leader="none" w:pos="2900" w:val="left"/>
          <w:tab w:leader="none" w:pos="79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81" w:lineRule="exact"/>
        <w:rPr>
          <w:sz w:val="24"/>
          <w:szCs w:val="24"/>
          <w:color w:val="auto"/>
        </w:rPr>
      </w:pPr>
    </w:p>
    <w:p>
      <w:pPr>
        <w:ind w:left="20"/>
        <w:spacing w:after="0" w:line="161" w:lineRule="exact"/>
        <w:tabs>
          <w:tab w:leader="none" w:pos="2900" w:val="left"/>
          <w:tab w:leader="none" w:pos="792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47"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69"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 w:lineRule="exact"/>
        <w:rPr>
          <w:sz w:val="24"/>
          <w:szCs w:val="24"/>
          <w:color w:val="auto"/>
        </w:rPr>
      </w:pPr>
    </w:p>
    <w:p>
      <w:pPr>
        <w:ind w:right="3060"/>
        <w:spacing w:after="0" w:line="22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number of common shares of beneficial interest, $.001 par value per share, outstanding at May 3, 2024 was 83,622,723.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30" w:lineRule="exact"/>
        <w:rPr>
          <w:sz w:val="24"/>
          <w:szCs w:val="24"/>
          <w:color w:val="auto"/>
        </w:rPr>
      </w:pPr>
    </w:p>
    <w:p>
      <w:pPr>
        <w:sectPr>
          <w:pgSz w:w="11900" w:h="16838" w:orient="portrait"/>
          <w:cols w:equalWidth="0" w:num="2">
            <w:col w:w="10680" w:space="120"/>
            <w:col w:w="420"/>
          </w:cols>
          <w:pgMar w:left="320" w:top="1303" w:right="359" w:bottom="1440" w:gutter="0" w:footer="0" w:header="0"/>
          <w:type w:val="continuous"/>
        </w:sectPr>
      </w:pPr>
    </w:p>
    <w:p>
      <w:pPr>
        <w:spacing w:after="0" w:line="3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3" w:right="35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40" w:type="dxa"/>
            <w:vAlign w:val="bottom"/>
            <w:gridSpan w:val="9"/>
            <w:vMerge w:val="restart"/>
          </w:tcPr>
          <w:p>
            <w:pPr>
              <w:jc w:val="center"/>
              <w:ind w:right="438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00" w:type="dxa"/>
            <w:vAlign w:val="bottom"/>
          </w:tcPr>
          <w:p>
            <w:pPr>
              <w:spacing w:after="0"/>
              <w:rPr>
                <w:sz w:val="13"/>
                <w:szCs w:val="13"/>
                <w:color w:val="auto"/>
              </w:rPr>
            </w:pPr>
          </w:p>
        </w:tc>
        <w:tc>
          <w:tcPr>
            <w:tcW w:w="9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840" w:type="dxa"/>
            <w:vAlign w:val="bottom"/>
            <w:tcBorders>
              <w:bottom w:val="single" w:sz="8" w:color="auto"/>
            </w:tcBorders>
            <w:gridSpan w:val="9"/>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30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80" w:type="dxa"/>
            <w:vAlign w:val="bottom"/>
          </w:tcPr>
          <w:p>
            <w:pPr>
              <w:spacing w:after="0"/>
              <w:rPr>
                <w:sz w:val="24"/>
                <w:szCs w:val="24"/>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0" w:type="dxa"/>
            <w:vAlign w:val="bottom"/>
          </w:tcPr>
          <w:p>
            <w:pPr>
              <w:spacing w:after="0"/>
              <w:rPr>
                <w:sz w:val="24"/>
                <w:szCs w:val="24"/>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Balance Sheets as of March 31, 2024 (Unaudited) and December 31, 2023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months ended March 31, 2024 and 2023 (Unaudited)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Schedules of Investments as of March 31, 2024 (Unaudited) and December 31, 2023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Changes in Net Assets for the three months ended March 31, 2024 and 2023 (Unaudited)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2024 and 2023 (Unaudited)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40" w:type="dxa"/>
            <w:vAlign w:val="bottom"/>
            <w:gridSpan w:val="7"/>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0" w:type="dxa"/>
            <w:vAlign w:val="bottom"/>
          </w:tcPr>
          <w:p>
            <w:pPr>
              <w:spacing w:after="0"/>
              <w:rPr>
                <w:sz w:val="24"/>
                <w:szCs w:val="24"/>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740" w:type="dxa"/>
            <w:vAlign w:val="bottom"/>
            <w:gridSpan w:val="7"/>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0" w:type="dxa"/>
            <w:vAlign w:val="bottom"/>
          </w:tcPr>
          <w:p>
            <w:pPr>
              <w:spacing w:after="0"/>
              <w:rPr>
                <w:sz w:val="24"/>
                <w:szCs w:val="24"/>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840" w:type="dxa"/>
            <w:vAlign w:val="bottom"/>
            <w:tcBorders>
              <w:left w:val="single" w:sz="8" w:color="0000FF"/>
            </w:tcBorders>
            <w:gridSpan w:val="9"/>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0" w:type="dxa"/>
            <w:vAlign w:val="bottom"/>
          </w:tcPr>
          <w:p>
            <w:pPr>
              <w:spacing w:after="0"/>
              <w:rPr>
                <w:sz w:val="24"/>
                <w:szCs w:val="24"/>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40" w:type="dxa"/>
            <w:vAlign w:val="bottom"/>
            <w:gridSpan w:val="9"/>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80" w:type="dxa"/>
            <w:vAlign w:val="bottom"/>
          </w:tcPr>
          <w:p>
            <w:pPr>
              <w:spacing w:after="0"/>
              <w:rPr>
                <w:sz w:val="24"/>
                <w:szCs w:val="24"/>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40" w:type="dxa"/>
            <w:vAlign w:val="bottom"/>
            <w:gridSpan w:val="9"/>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0" w:type="dxa"/>
            <w:vAlign w:val="bottom"/>
          </w:tcPr>
          <w:p>
            <w:pPr>
              <w:spacing w:after="0"/>
              <w:rPr>
                <w:sz w:val="24"/>
                <w:szCs w:val="24"/>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40" w:type="dxa"/>
            <w:vAlign w:val="bottom"/>
            <w:gridSpan w:val="9"/>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0" w:type="dxa"/>
            <w:vAlign w:val="bottom"/>
          </w:tcPr>
          <w:p>
            <w:pPr>
              <w:spacing w:after="0"/>
              <w:rPr>
                <w:sz w:val="24"/>
                <w:szCs w:val="24"/>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40" w:type="dxa"/>
            <w:vAlign w:val="bottom"/>
            <w:gridSpan w:val="9"/>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0" w:type="dxa"/>
            <w:vAlign w:val="bottom"/>
          </w:tcPr>
          <w:p>
            <w:pPr>
              <w:spacing w:after="0"/>
              <w:rPr>
                <w:sz w:val="24"/>
                <w:szCs w:val="24"/>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840" w:type="dxa"/>
            <w:vAlign w:val="bottom"/>
            <w:gridSpan w:val="9"/>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0" w:type="dxa"/>
            <w:vAlign w:val="bottom"/>
          </w:tcPr>
          <w:p>
            <w:pPr>
              <w:spacing w:after="0"/>
              <w:rPr>
                <w:sz w:val="24"/>
                <w:szCs w:val="24"/>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6860" w:type="dxa"/>
            <w:vAlign w:val="bottom"/>
            <w:gridSpan w:val="11"/>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0" w:type="dxa"/>
            <w:vAlign w:val="bottom"/>
          </w:tcPr>
          <w:p>
            <w:pPr>
              <w:spacing w:after="0"/>
              <w:rPr>
                <w:sz w:val="24"/>
                <w:szCs w:val="24"/>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420" w:type="dxa"/>
            <w:vAlign w:val="bottom"/>
            <w:gridSpan w:val="1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0" w:type="dxa"/>
            <w:vAlign w:val="bottom"/>
          </w:tcPr>
          <w:p>
            <w:pPr>
              <w:spacing w:after="0"/>
              <w:rPr>
                <w:sz w:val="24"/>
                <w:szCs w:val="24"/>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880" w:type="dxa"/>
            <w:vAlign w:val="bottom"/>
            <w:gridSpan w:val="16"/>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0" w:type="dxa"/>
            <w:vAlign w:val="bottom"/>
          </w:tcPr>
          <w:p>
            <w:pPr>
              <w:spacing w:after="0"/>
              <w:rPr>
                <w:sz w:val="24"/>
                <w:szCs w:val="24"/>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gridSpan w:val="2"/>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600" w:type="dxa"/>
            <w:vAlign w:val="bottom"/>
            <w:gridSpan w:val="18"/>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2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280" w:type="dxa"/>
            <w:vAlign w:val="bottom"/>
            <w:gridSpan w:val="11"/>
          </w:tcPr>
          <w:p>
            <w:pPr>
              <w:jc w:val="right"/>
              <w:ind w:right="1668"/>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89"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7"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In addition to factors previously identified elsewhere in the reports and other documents Sixth Street Lending Partners (the “Company”, “we”, “us” or “our”), has filed with the U.S. Securities and Exchange Commission, or “SEC”, the following factors, among others, could cause actual results to differ materially from forward-looking statements or historical performance:</w:t>
      </w:r>
    </w:p>
    <w:p>
      <w:pPr>
        <w:spacing w:after="0" w:line="68" w:lineRule="exact"/>
        <w:rPr>
          <w:sz w:val="20"/>
          <w:szCs w:val="20"/>
          <w:color w:val="auto"/>
        </w:rPr>
      </w:pPr>
    </w:p>
    <w:p>
      <w:pPr>
        <w:ind w:left="520" w:right="100" w:hanging="257"/>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which could impair our portfolio companies’ abilities to continue to operate and could lead to the loss of some or all of our investments in those portfolio companies;</w:t>
      </w:r>
    </w:p>
    <w:p>
      <w:pPr>
        <w:spacing w:after="0" w:line="53" w:lineRule="exact"/>
        <w:rPr>
          <w:rFonts w:ascii="Times New Roman" w:cs="Times New Roman" w:eastAsia="Times New Roman" w:hAnsi="Times New Roman"/>
          <w:sz w:val="18"/>
          <w:szCs w:val="18"/>
          <w:color w:val="auto"/>
        </w:rPr>
      </w:pPr>
    </w:p>
    <w:p>
      <w:pPr>
        <w:ind w:left="520" w:right="200" w:hanging="257"/>
        <w:spacing w:after="0" w:line="312" w:lineRule="auto"/>
        <w:tabs>
          <w:tab w:leader="none" w:pos="5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31" w:lineRule="exact"/>
        <w:rPr>
          <w:rFonts w:ascii="Times New Roman" w:cs="Times New Roman" w:eastAsia="Times New Roman" w:hAnsi="Times New Roman"/>
          <w:sz w:val="17"/>
          <w:szCs w:val="17"/>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w:t>
      </w:r>
    </w:p>
    <w:p>
      <w:pPr>
        <w:spacing w:after="0" w:line="117" w:lineRule="exact"/>
        <w:rPr>
          <w:rFonts w:ascii="Times New Roman" w:cs="Times New Roman" w:eastAsia="Times New Roman" w:hAnsi="Times New Roman"/>
          <w:sz w:val="18"/>
          <w:szCs w:val="18"/>
          <w:color w:val="auto"/>
        </w:rPr>
      </w:pPr>
    </w:p>
    <w:p>
      <w:pPr>
        <w:ind w:left="520" w:right="180" w:hanging="257"/>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could negatively impact our business, including our ability to access the debt markets on favorable terms, or could negatively impact our portfolio companies; and</w:t>
      </w:r>
    </w:p>
    <w:p>
      <w:pPr>
        <w:spacing w:after="0" w:line="53" w:lineRule="exact"/>
        <w:rPr>
          <w:rFonts w:ascii="Times New Roman" w:cs="Times New Roman" w:eastAsia="Times New Roman" w:hAnsi="Times New Roman"/>
          <w:sz w:val="18"/>
          <w:szCs w:val="18"/>
          <w:color w:val="auto"/>
        </w:rPr>
      </w:pPr>
    </w:p>
    <w:p>
      <w:pPr>
        <w:ind w:left="520" w:right="80" w:hanging="257"/>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in this report, in our Annual Report on Form 10-K for the year ended December 31, 2023, filed with the SEC on February 16, 2024, and elsewhere in our filings with the SEC.</w:t>
      </w:r>
    </w:p>
    <w:p>
      <w:pPr>
        <w:spacing w:after="0" w:line="162"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 (amortized cost of $4,197,705 and $3,037,826, respectively)</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4,277,564</w:t>
            </w:r>
          </w:p>
        </w:tc>
        <w:tc>
          <w:tcPr>
            <w:tcW w:w="5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3,099,151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(restricted cash of $23,115 and $0, respectively)</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63,546</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46,233</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27,938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2,980</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4,390,323</w:t>
            </w:r>
          </w:p>
        </w:tc>
        <w:tc>
          <w:tcPr>
            <w:tcW w:w="5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3,138,265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54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Debt (net of deferred financing costs of $17,769 and $8,153, respectively)</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1,910,907</w:t>
            </w:r>
          </w:p>
        </w:tc>
        <w:tc>
          <w:tcPr>
            <w:tcW w:w="5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1,239,862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 fees payable to affiliate</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4,458</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Incentive fees on net investment income payable to affiliate</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10,835</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fees on net capital gains accrued to affiliate</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9,873</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payables to affiliate</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1,926</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payable</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56,027</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15,734</w:t>
            </w:r>
          </w:p>
        </w:tc>
        <w:tc>
          <w:tcPr>
            <w:tcW w:w="2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18,235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5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2,009,760</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1,321,198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8)</w:t>
            </w: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5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shares, $0.001 par value; unlimited shares authorized (83,622,723 and 65,478,775, shares issued and outstanding,</w:t>
            </w:r>
          </w:p>
        </w:tc>
        <w:tc>
          <w:tcPr>
            <w:tcW w:w="280" w:type="dxa"/>
            <w:vAlign w:val="bottom"/>
            <w:shd w:val="clear" w:color="auto" w:fill="CFF0FC"/>
          </w:tcPr>
          <w:p>
            <w:pPr>
              <w:spacing w:after="0"/>
              <w:rPr>
                <w:sz w:val="12"/>
                <w:szCs w:val="12"/>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respectively)</w:t>
            </w:r>
          </w:p>
        </w:tc>
        <w:tc>
          <w:tcPr>
            <w:tcW w:w="280" w:type="dxa"/>
            <w:vAlign w:val="bottom"/>
            <w:shd w:val="clear" w:color="auto" w:fill="CFF0FC"/>
          </w:tcPr>
          <w:p>
            <w:pPr>
              <w:spacing w:after="0"/>
              <w:rPr>
                <w:sz w:val="16"/>
                <w:szCs w:val="16"/>
                <w:color w:val="auto"/>
              </w:rPr>
            </w:pPr>
          </w:p>
        </w:tc>
        <w:tc>
          <w:tcPr>
            <w:tcW w:w="13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2,256,205</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1,734,426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Distributable earnings</w:t>
            </w:r>
          </w:p>
        </w:tc>
        <w:tc>
          <w:tcPr>
            <w:tcW w:w="2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124,274</w:t>
            </w:r>
          </w:p>
        </w:tc>
        <w:tc>
          <w:tcPr>
            <w:tcW w:w="2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82,576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5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2,380,563</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1,817,067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4,390,323</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3,138,265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540" w:type="dxa"/>
            <w:vAlign w:val="bottom"/>
          </w:tcPr>
          <w:p>
            <w:pPr>
              <w:ind w:left="380"/>
              <w:spacing w:after="0" w:line="156" w:lineRule="exact"/>
              <w:rPr>
                <w:sz w:val="20"/>
                <w:szCs w:val="20"/>
                <w:color w:val="auto"/>
              </w:rPr>
            </w:pPr>
            <w:r>
              <w:rPr>
                <w:rFonts w:ascii="Times New Roman" w:cs="Times New Roman" w:eastAsia="Times New Roman" w:hAnsi="Times New Roman"/>
                <w:sz w:val="14"/>
                <w:szCs w:val="14"/>
                <w:b w:val="1"/>
                <w:bCs w:val="1"/>
                <w:color w:val="auto"/>
              </w:rPr>
              <w:t>Net Asset Value Per Share</w:t>
            </w:r>
          </w:p>
        </w:tc>
        <w:tc>
          <w:tcPr>
            <w:tcW w:w="280" w:type="dxa"/>
            <w:vAlign w:val="bottom"/>
          </w:tcPr>
          <w:p>
            <w:pPr>
              <w:jc w:val="right"/>
              <w:ind w:right="12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28.47</w:t>
            </w:r>
          </w:p>
        </w:tc>
        <w:tc>
          <w:tcPr>
            <w:tcW w:w="500" w:type="dxa"/>
            <w:vAlign w:val="bottom"/>
            <w:gridSpan w:val="2"/>
          </w:tcPr>
          <w:p>
            <w:pPr>
              <w:jc w:val="right"/>
              <w:ind w:right="1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27.75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-2099310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-2082165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-2099310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-1182370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-401955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-161925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-144780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9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7"/>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6"/>
                <w:szCs w:val="16"/>
                <w:color w:val="auto"/>
              </w:rPr>
            </w:pPr>
          </w:p>
        </w:tc>
        <w:tc>
          <w:tcPr>
            <w:tcW w:w="19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69"/>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80" w:type="dxa"/>
            <w:vAlign w:val="bottom"/>
            <w:tcBorders>
              <w:top w:val="single" w:sz="8" w:color="auto"/>
            </w:tcBorders>
            <w:shd w:val="clear" w:color="auto" w:fill="CFF0FC"/>
          </w:tcPr>
          <w:p>
            <w:pPr>
              <w:spacing w:after="0"/>
              <w:rPr>
                <w:sz w:val="14"/>
                <w:szCs w:val="14"/>
                <w:color w:val="auto"/>
              </w:rPr>
            </w:pPr>
          </w:p>
        </w:tc>
        <w:tc>
          <w:tcPr>
            <w:tcW w:w="1960" w:type="dxa"/>
            <w:vAlign w:val="bottom"/>
            <w:tcBorders>
              <w:top w:val="single" w:sz="8" w:color="auto"/>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8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income from non-controlled, non-affiliated investments:</w:t>
            </w:r>
          </w:p>
        </w:tc>
        <w:tc>
          <w:tcPr>
            <w:tcW w:w="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from investments</w:t>
            </w: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119,670</w:t>
            </w: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30,617</w:t>
            </w:r>
          </w:p>
        </w:tc>
        <w:tc>
          <w:tcPr>
            <w:tcW w:w="100" w:type="dxa"/>
            <w:vAlign w:val="bottom"/>
            <w:shd w:val="clear" w:color="auto" w:fill="CFF0FC"/>
          </w:tcPr>
          <w:p>
            <w:pPr>
              <w:spacing w:after="0"/>
              <w:rPr>
                <w:sz w:val="15"/>
                <w:szCs w:val="15"/>
                <w:color w:val="auto"/>
              </w:rPr>
            </w:pPr>
          </w:p>
        </w:tc>
      </w:tr>
      <w:tr>
        <w:trPr>
          <w:trHeight w:val="175"/>
        </w:trPr>
        <w:tc>
          <w:tcPr>
            <w:tcW w:w="6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Arranger Fees</w:t>
            </w:r>
          </w:p>
        </w:tc>
        <w:tc>
          <w:tcPr>
            <w:tcW w:w="28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9,990</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280" w:type="dxa"/>
            <w:vAlign w:val="bottom"/>
            <w:tcBorders>
              <w:bottom w:val="single" w:sz="8" w:color="auto"/>
            </w:tcBorders>
            <w:shd w:val="clear" w:color="auto" w:fill="CFF0FC"/>
          </w:tcPr>
          <w:p>
            <w:pPr>
              <w:spacing w:after="0"/>
              <w:rPr>
                <w:sz w:val="15"/>
                <w:szCs w:val="15"/>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1,932</w:t>
            </w:r>
          </w:p>
        </w:tc>
        <w:tc>
          <w:tcPr>
            <w:tcW w:w="34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shd w:val="clear" w:color="auto" w:fill="CFF0FC"/>
          </w:tcPr>
          <w:p>
            <w:pPr>
              <w:spacing w:after="0"/>
              <w:rPr>
                <w:sz w:val="15"/>
                <w:szCs w:val="15"/>
                <w:color w:val="auto"/>
              </w:rPr>
            </w:pPr>
          </w:p>
        </w:tc>
      </w:tr>
      <w:tr>
        <w:trPr>
          <w:trHeight w:val="169"/>
        </w:trPr>
        <w:tc>
          <w:tcPr>
            <w:tcW w:w="652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2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131,592</w:t>
            </w: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31,021</w:t>
            </w:r>
          </w:p>
        </w:tc>
        <w:tc>
          <w:tcPr>
            <w:tcW w:w="100" w:type="dxa"/>
            <w:vAlign w:val="bottom"/>
          </w:tcPr>
          <w:p>
            <w:pPr>
              <w:spacing w:after="0"/>
              <w:rPr>
                <w:sz w:val="14"/>
                <w:szCs w:val="14"/>
                <w:color w:val="auto"/>
              </w:rPr>
            </w:pPr>
          </w:p>
        </w:tc>
      </w:tr>
      <w:tr>
        <w:trPr>
          <w:trHeight w:val="169"/>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80" w:type="dxa"/>
            <w:vAlign w:val="bottom"/>
            <w:shd w:val="clear" w:color="auto" w:fill="CFF0FC"/>
          </w:tcPr>
          <w:p>
            <w:pPr>
              <w:spacing w:after="0"/>
              <w:rPr>
                <w:sz w:val="14"/>
                <w:szCs w:val="14"/>
                <w:color w:val="auto"/>
              </w:rPr>
            </w:pPr>
          </w:p>
        </w:tc>
        <w:tc>
          <w:tcPr>
            <w:tcW w:w="19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28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35,078</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8,852</w:t>
            </w:r>
          </w:p>
        </w:tc>
        <w:tc>
          <w:tcPr>
            <w:tcW w:w="100" w:type="dxa"/>
            <w:vAlign w:val="bottom"/>
          </w:tcPr>
          <w:p>
            <w:pPr>
              <w:spacing w:after="0"/>
              <w:rPr>
                <w:sz w:val="15"/>
                <w:szCs w:val="15"/>
                <w:color w:val="auto"/>
              </w:rPr>
            </w:pPr>
          </w:p>
        </w:tc>
      </w:tr>
      <w:tr>
        <w:trPr>
          <w:trHeight w:val="17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Management fees</w:t>
            </w:r>
          </w:p>
        </w:tc>
        <w:tc>
          <w:tcPr>
            <w:tcW w:w="280" w:type="dxa"/>
            <w:vAlign w:val="bottom"/>
            <w:shd w:val="clear" w:color="auto" w:fill="CFF0FC"/>
          </w:tcPr>
          <w:p>
            <w:pPr>
              <w:spacing w:after="0"/>
              <w:rPr>
                <w:sz w:val="15"/>
                <w:szCs w:val="15"/>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11,242</w:t>
            </w: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3,884</w:t>
            </w:r>
          </w:p>
        </w:tc>
        <w:tc>
          <w:tcPr>
            <w:tcW w:w="100" w:type="dxa"/>
            <w:vAlign w:val="bottom"/>
            <w:shd w:val="clear" w:color="auto" w:fill="CFF0FC"/>
          </w:tcPr>
          <w:p>
            <w:pPr>
              <w:spacing w:after="0"/>
              <w:rPr>
                <w:sz w:val="15"/>
                <w:szCs w:val="15"/>
                <w:color w:val="auto"/>
              </w:rPr>
            </w:pPr>
          </w:p>
        </w:tc>
      </w:tr>
      <w:tr>
        <w:trPr>
          <w:trHeight w:val="175"/>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fees on net investment income</w:t>
            </w:r>
          </w:p>
        </w:tc>
        <w:tc>
          <w:tcPr>
            <w:tcW w:w="28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10,835</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2,362</w:t>
            </w:r>
          </w:p>
        </w:tc>
        <w:tc>
          <w:tcPr>
            <w:tcW w:w="100" w:type="dxa"/>
            <w:vAlign w:val="bottom"/>
          </w:tcPr>
          <w:p>
            <w:pPr>
              <w:spacing w:after="0"/>
              <w:rPr>
                <w:sz w:val="15"/>
                <w:szCs w:val="15"/>
                <w:color w:val="auto"/>
              </w:rPr>
            </w:pPr>
          </w:p>
        </w:tc>
      </w:tr>
      <w:tr>
        <w:trPr>
          <w:trHeight w:val="17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Incentive fees on net capital gains</w:t>
            </w:r>
          </w:p>
        </w:tc>
        <w:tc>
          <w:tcPr>
            <w:tcW w:w="280" w:type="dxa"/>
            <w:vAlign w:val="bottom"/>
            <w:shd w:val="clear" w:color="auto" w:fill="CFF0FC"/>
          </w:tcPr>
          <w:p>
            <w:pPr>
              <w:spacing w:after="0"/>
              <w:rPr>
                <w:sz w:val="15"/>
                <w:szCs w:val="15"/>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3,128</w:t>
            </w: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shd w:val="clear" w:color="auto" w:fill="CFF0FC"/>
          </w:tcPr>
          <w:p>
            <w:pPr>
              <w:spacing w:after="0"/>
              <w:rPr>
                <w:sz w:val="15"/>
                <w:szCs w:val="15"/>
                <w:color w:val="auto"/>
              </w:rPr>
            </w:pPr>
          </w:p>
        </w:tc>
      </w:tr>
      <w:tr>
        <w:trPr>
          <w:trHeight w:val="175"/>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Organizational expense</w:t>
            </w:r>
          </w:p>
        </w:tc>
        <w:tc>
          <w:tcPr>
            <w:tcW w:w="280" w:type="dxa"/>
            <w:vAlign w:val="bottom"/>
          </w:tcPr>
          <w:p>
            <w:pPr>
              <w:spacing w:after="0"/>
              <w:rPr>
                <w:sz w:val="15"/>
                <w:szCs w:val="15"/>
                <w:color w:val="auto"/>
              </w:rPr>
            </w:pPr>
          </w:p>
        </w:tc>
        <w:tc>
          <w:tcPr>
            <w:tcW w:w="23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5"/>
                <w:szCs w:val="15"/>
                <w:color w:val="auto"/>
              </w:rPr>
            </w:pPr>
          </w:p>
        </w:tc>
      </w:tr>
      <w:tr>
        <w:trPr>
          <w:trHeight w:val="17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Offering expense</w:t>
            </w:r>
          </w:p>
        </w:tc>
        <w:tc>
          <w:tcPr>
            <w:tcW w:w="280" w:type="dxa"/>
            <w:vAlign w:val="bottom"/>
            <w:shd w:val="clear" w:color="auto" w:fill="CFF0FC"/>
          </w:tcPr>
          <w:p>
            <w:pPr>
              <w:spacing w:after="0"/>
              <w:rPr>
                <w:sz w:val="15"/>
                <w:szCs w:val="15"/>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FF0FC"/>
          </w:tcPr>
          <w:p>
            <w:pPr>
              <w:spacing w:after="0"/>
              <w:rPr>
                <w:sz w:val="15"/>
                <w:szCs w:val="15"/>
                <w:color w:val="auto"/>
              </w:rPr>
            </w:pPr>
          </w:p>
        </w:tc>
      </w:tr>
      <w:tr>
        <w:trPr>
          <w:trHeight w:val="176"/>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28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Pr>
          <w:p>
            <w:pPr>
              <w:spacing w:after="0"/>
              <w:rPr>
                <w:sz w:val="15"/>
                <w:szCs w:val="15"/>
                <w:color w:val="auto"/>
              </w:rPr>
            </w:pPr>
          </w:p>
        </w:tc>
      </w:tr>
      <w:tr>
        <w:trPr>
          <w:trHeight w:val="175"/>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Trustees’ fees</w:t>
            </w:r>
          </w:p>
        </w:tc>
        <w:tc>
          <w:tcPr>
            <w:tcW w:w="280" w:type="dxa"/>
            <w:vAlign w:val="bottom"/>
            <w:shd w:val="clear" w:color="auto" w:fill="CFF0FC"/>
          </w:tcPr>
          <w:p>
            <w:pPr>
              <w:spacing w:after="0"/>
              <w:rPr>
                <w:sz w:val="15"/>
                <w:szCs w:val="15"/>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FF0FC"/>
          </w:tcPr>
          <w:p>
            <w:pPr>
              <w:spacing w:after="0"/>
              <w:rPr>
                <w:sz w:val="15"/>
                <w:szCs w:val="15"/>
                <w:color w:val="auto"/>
              </w:rPr>
            </w:pPr>
          </w:p>
        </w:tc>
      </w:tr>
      <w:tr>
        <w:trPr>
          <w:trHeight w:val="176"/>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general and administrative</w:t>
            </w:r>
          </w:p>
        </w:tc>
        <w:tc>
          <w:tcPr>
            <w:tcW w:w="2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tcPr>
          <w:p>
            <w:pPr>
              <w:spacing w:after="0"/>
              <w:rPr>
                <w:sz w:val="15"/>
                <w:szCs w:val="15"/>
                <w:color w:val="auto"/>
              </w:rPr>
            </w:pPr>
          </w:p>
        </w:tc>
      </w:tr>
      <w:tr>
        <w:trPr>
          <w:trHeight w:val="169"/>
        </w:trPr>
        <w:tc>
          <w:tcPr>
            <w:tcW w:w="65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expenses</w:t>
            </w:r>
          </w:p>
        </w:tc>
        <w:tc>
          <w:tcPr>
            <w:tcW w:w="280" w:type="dxa"/>
            <w:vAlign w:val="bottom"/>
            <w:tcBorders>
              <w:bottom w:val="single" w:sz="8" w:color="auto"/>
            </w:tcBorders>
            <w:shd w:val="clear" w:color="auto" w:fill="CFF0FC"/>
          </w:tcPr>
          <w:p>
            <w:pPr>
              <w:spacing w:after="0"/>
              <w:rPr>
                <w:sz w:val="14"/>
                <w:szCs w:val="14"/>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63,494</w:t>
            </w:r>
          </w:p>
        </w:tc>
        <w:tc>
          <w:tcPr>
            <w:tcW w:w="3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18,157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 fees waived (Note 3)</w:t>
            </w:r>
          </w:p>
        </w:tc>
        <w:tc>
          <w:tcPr>
            <w:tcW w:w="280" w:type="dxa"/>
            <w:vAlign w:val="bottom"/>
          </w:tcPr>
          <w:p>
            <w:pPr>
              <w:spacing w:after="0"/>
              <w:rPr>
                <w:sz w:val="14"/>
                <w:szCs w:val="14"/>
                <w:color w:val="auto"/>
              </w:rPr>
            </w:pPr>
          </w:p>
        </w:tc>
        <w:tc>
          <w:tcPr>
            <w:tcW w:w="23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(6,784 )</w:t>
            </w:r>
          </w:p>
        </w:tc>
        <w:tc>
          <w:tcPr>
            <w:tcW w:w="220" w:type="dxa"/>
            <w:vAlign w:val="bottom"/>
          </w:tcPr>
          <w:p>
            <w:pPr>
              <w:spacing w:after="0"/>
              <w:rPr>
                <w:sz w:val="14"/>
                <w:szCs w:val="14"/>
                <w:color w:val="auto"/>
              </w:rPr>
            </w:pP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(2,511 )</w:t>
            </w:r>
          </w:p>
        </w:tc>
      </w:tr>
      <w:tr>
        <w:trPr>
          <w:trHeight w:val="169"/>
        </w:trPr>
        <w:tc>
          <w:tcPr>
            <w:tcW w:w="65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b w:val="1"/>
                <w:bCs w:val="1"/>
                <w:color w:val="auto"/>
              </w:rPr>
              <w:t>Net Expenses</w:t>
            </w: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56,710</w:t>
            </w:r>
          </w:p>
        </w:tc>
        <w:tc>
          <w:tcPr>
            <w:tcW w:w="3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15,646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 Before Income Taxes</w:t>
            </w:r>
          </w:p>
        </w:tc>
        <w:tc>
          <w:tcPr>
            <w:tcW w:w="28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74,882</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15,375</w:t>
            </w:r>
          </w:p>
        </w:tc>
        <w:tc>
          <w:tcPr>
            <w:tcW w:w="100" w:type="dxa"/>
            <w:vAlign w:val="bottom"/>
          </w:tcPr>
          <w:p>
            <w:pPr>
              <w:spacing w:after="0"/>
              <w:rPr>
                <w:sz w:val="14"/>
                <w:szCs w:val="14"/>
                <w:color w:val="auto"/>
              </w:rPr>
            </w:pPr>
          </w:p>
        </w:tc>
      </w:tr>
      <w:tr>
        <w:trPr>
          <w:trHeight w:val="175"/>
        </w:trPr>
        <w:tc>
          <w:tcPr>
            <w:tcW w:w="6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taxes, including excise taxes</w:t>
            </w:r>
          </w:p>
        </w:tc>
        <w:tc>
          <w:tcPr>
            <w:tcW w:w="280" w:type="dxa"/>
            <w:vAlign w:val="bottom"/>
            <w:tcBorders>
              <w:bottom w:val="single" w:sz="8" w:color="auto"/>
            </w:tcBorders>
            <w:shd w:val="clear" w:color="auto" w:fill="CFF0FC"/>
          </w:tcPr>
          <w:p>
            <w:pPr>
              <w:spacing w:after="0"/>
              <w:rPr>
                <w:sz w:val="15"/>
                <w:szCs w:val="15"/>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3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28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72,722</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15,115</w:t>
            </w:r>
          </w:p>
        </w:tc>
        <w:tc>
          <w:tcPr>
            <w:tcW w:w="100" w:type="dxa"/>
            <w:vAlign w:val="bottom"/>
          </w:tcPr>
          <w:p>
            <w:pPr>
              <w:spacing w:after="0"/>
              <w:rPr>
                <w:sz w:val="14"/>
                <w:szCs w:val="14"/>
                <w:color w:val="auto"/>
              </w:rPr>
            </w:pPr>
          </w:p>
        </w:tc>
      </w:tr>
      <w:tr>
        <w:trPr>
          <w:trHeight w:val="17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and Realized Gains (Losses)</w:t>
            </w:r>
          </w:p>
        </w:tc>
        <w:tc>
          <w:tcPr>
            <w:tcW w:w="28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unrealized gains (losses):</w:t>
            </w:r>
          </w:p>
        </w:tc>
        <w:tc>
          <w:tcPr>
            <w:tcW w:w="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280" w:type="dxa"/>
            <w:vAlign w:val="bottom"/>
            <w:shd w:val="clear" w:color="auto" w:fill="CFF0FC"/>
          </w:tcPr>
          <w:p>
            <w:pPr>
              <w:spacing w:after="0"/>
              <w:rPr>
                <w:sz w:val="15"/>
                <w:szCs w:val="15"/>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18,534</w:t>
            </w: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13,761</w:t>
            </w:r>
          </w:p>
        </w:tc>
        <w:tc>
          <w:tcPr>
            <w:tcW w:w="100" w:type="dxa"/>
            <w:vAlign w:val="bottom"/>
            <w:shd w:val="clear" w:color="auto" w:fill="CFF0FC"/>
          </w:tcPr>
          <w:p>
            <w:pPr>
              <w:spacing w:after="0"/>
              <w:rPr>
                <w:sz w:val="15"/>
                <w:szCs w:val="15"/>
                <w:color w:val="auto"/>
              </w:rPr>
            </w:pPr>
          </w:p>
        </w:tc>
      </w:tr>
      <w:tr>
        <w:trPr>
          <w:trHeight w:val="175"/>
        </w:trPr>
        <w:tc>
          <w:tcPr>
            <w:tcW w:w="6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Translation of other assets and liabilities in foreign currencies</w:t>
            </w:r>
          </w:p>
        </w:tc>
        <w:tc>
          <w:tcPr>
            <w:tcW w:w="28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4,207</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(714 )</w:t>
            </w:r>
          </w:p>
        </w:tc>
      </w:tr>
      <w:tr>
        <w:trPr>
          <w:trHeight w:val="169"/>
        </w:trPr>
        <w:tc>
          <w:tcPr>
            <w:tcW w:w="6520" w:type="dxa"/>
            <w:vAlign w:val="bottom"/>
            <w:tcBorders>
              <w:top w:val="single" w:sz="8" w:color="CFF0FC"/>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Total net change in unrealized gains (losses)</w:t>
            </w: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22,741</w:t>
            </w:r>
          </w:p>
        </w:tc>
        <w:tc>
          <w:tcPr>
            <w:tcW w:w="34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13,047</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169"/>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gains (losses):</w:t>
            </w:r>
          </w:p>
        </w:tc>
        <w:tc>
          <w:tcPr>
            <w:tcW w:w="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280" w:type="dxa"/>
            <w:vAlign w:val="bottom"/>
            <w:shd w:val="clear" w:color="auto" w:fill="CFF0FC"/>
          </w:tcPr>
          <w:p>
            <w:pPr>
              <w:spacing w:after="0"/>
              <w:rPr>
                <w:sz w:val="15"/>
                <w:szCs w:val="15"/>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2,342</w:t>
            </w: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6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Foreign currency transactions</w:t>
            </w:r>
          </w:p>
        </w:tc>
        <w:tc>
          <w:tcPr>
            <w:tcW w:w="280" w:type="dxa"/>
            <w:vAlign w:val="bottom"/>
          </w:tcPr>
          <w:p>
            <w:pPr>
              <w:spacing w:after="0"/>
              <w:rPr>
                <w:sz w:val="15"/>
                <w:szCs w:val="15"/>
                <w:color w:val="auto"/>
              </w:rPr>
            </w:pPr>
          </w:p>
        </w:tc>
        <w:tc>
          <w:tcPr>
            <w:tcW w:w="23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(80 )</w:t>
            </w:r>
          </w:p>
        </w:tc>
        <w:tc>
          <w:tcPr>
            <w:tcW w:w="2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5"/>
                <w:szCs w:val="15"/>
                <w:color w:val="auto"/>
              </w:rPr>
            </w:pPr>
          </w:p>
        </w:tc>
      </w:tr>
      <w:tr>
        <w:trPr>
          <w:trHeight w:val="169"/>
        </w:trPr>
        <w:tc>
          <w:tcPr>
            <w:tcW w:w="65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Total net realized gains (losses)</w:t>
            </w: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2,262</w:t>
            </w:r>
          </w:p>
        </w:tc>
        <w:tc>
          <w:tcPr>
            <w:tcW w:w="3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65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Total Net Unrealized and Realized Gains (Losses)</w:t>
            </w:r>
          </w:p>
        </w:tc>
        <w:tc>
          <w:tcPr>
            <w:tcW w:w="2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25,003</w:t>
            </w: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13,103</w:t>
            </w:r>
          </w:p>
        </w:tc>
        <w:tc>
          <w:tcPr>
            <w:tcW w:w="100" w:type="dxa"/>
            <w:vAlign w:val="bottom"/>
          </w:tcPr>
          <w:p>
            <w:pPr>
              <w:spacing w:after="0"/>
              <w:rPr>
                <w:sz w:val="14"/>
                <w:szCs w:val="14"/>
                <w:color w:val="auto"/>
              </w:rPr>
            </w:pPr>
          </w:p>
        </w:tc>
      </w:tr>
      <w:tr>
        <w:trPr>
          <w:trHeight w:val="209"/>
        </w:trPr>
        <w:tc>
          <w:tcPr>
            <w:tcW w:w="65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b w:val="1"/>
                <w:bCs w:val="1"/>
                <w:color w:val="auto"/>
              </w:rPr>
              <w:t>Increase (Decrease) in Net Assets Resulting from Operations</w:t>
            </w:r>
          </w:p>
        </w:tc>
        <w:tc>
          <w:tcPr>
            <w:tcW w:w="28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97,725</w:t>
            </w:r>
          </w:p>
        </w:tc>
        <w:tc>
          <w:tcPr>
            <w:tcW w:w="3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65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Earnings per common share—basic and diluted</w:t>
            </w:r>
          </w:p>
        </w:tc>
        <w:tc>
          <w:tcPr>
            <w:tcW w:w="280" w:type="dxa"/>
            <w:vAlign w:val="bottom"/>
            <w:tcBorders>
              <w:bottom w:val="single" w:sz="8" w:color="auto"/>
            </w:tcBorders>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9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1.40</w:t>
            </w:r>
          </w:p>
        </w:tc>
        <w:tc>
          <w:tcPr>
            <w:tcW w:w="34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3"/>
                <w:szCs w:val="13"/>
                <w:color w:val="auto"/>
              </w:rPr>
            </w:pPr>
          </w:p>
        </w:tc>
      </w:tr>
      <w:tr>
        <w:trPr>
          <w:trHeight w:val="169"/>
        </w:trPr>
        <w:tc>
          <w:tcPr>
            <w:tcW w:w="6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outstanding—basic and diluted</w:t>
            </w:r>
          </w:p>
        </w:tc>
        <w:tc>
          <w:tcPr>
            <w:tcW w:w="280" w:type="dxa"/>
            <w:vAlign w:val="bottom"/>
            <w:tcBorders>
              <w:bottom w:val="single" w:sz="8" w:color="auto"/>
            </w:tcBorders>
            <w:shd w:val="clear" w:color="auto" w:fill="CFF0FC"/>
          </w:tcPr>
          <w:p>
            <w:pPr>
              <w:spacing w:after="0"/>
              <w:rPr>
                <w:sz w:val="14"/>
                <w:szCs w:val="14"/>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69,647,897</w:t>
            </w:r>
          </w:p>
        </w:tc>
        <w:tc>
          <w:tcPr>
            <w:tcW w:w="3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23,060,716</w:t>
            </w:r>
          </w:p>
        </w:tc>
        <w:tc>
          <w:tcPr>
            <w:tcW w:w="100" w:type="dxa"/>
            <w:vAlign w:val="bottom"/>
            <w:tcBorders>
              <w:bottom w:val="single" w:sz="8" w:color="CFF0FC"/>
            </w:tcBorders>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5547360</wp:posOffset>
            </wp:positionH>
            <wp:positionV relativeFrom="paragraph">
              <wp:posOffset>-3500755</wp:posOffset>
            </wp:positionV>
            <wp:extent cx="10223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235"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-3500755</wp:posOffset>
            </wp:positionV>
            <wp:extent cx="939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-2125345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-1885315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-1654175</wp:posOffset>
            </wp:positionV>
            <wp:extent cx="768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-1654175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5547360</wp:posOffset>
            </wp:positionH>
            <wp:positionV relativeFrom="paragraph">
              <wp:posOffset>-1101090</wp:posOffset>
            </wp:positionV>
            <wp:extent cx="10223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235"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-1101090</wp:posOffset>
            </wp:positionV>
            <wp:extent cx="939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-505460</wp:posOffset>
            </wp:positionV>
            <wp:extent cx="768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-265430</wp:posOffset>
            </wp:positionV>
            <wp:extent cx="768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-248285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-265430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768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March 31, 2024</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008"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2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Company </w:t>
            </w:r>
            <w:r>
              <w:rPr>
                <w:rFonts w:ascii="Times New Roman" w:cs="Times New Roman" w:eastAsia="Times New Roman" w:hAnsi="Times New Roman"/>
                <w:sz w:val="16"/>
                <w:szCs w:val="16"/>
                <w:b w:val="1"/>
                <w:bCs w:val="1"/>
                <w:color w:val="auto"/>
                <w:vertAlign w:val="superscript"/>
              </w:rPr>
              <w:t>(1)(9)</w:t>
            </w: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jc w:val="right"/>
              <w:ind w:right="18"/>
              <w:spacing w:after="0" w:line="12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40" w:type="dxa"/>
            <w:vAlign w:val="bottom"/>
            <w:vMerge w:val="restart"/>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(6)</w:t>
            </w:r>
          </w:p>
        </w:tc>
        <w:tc>
          <w:tcPr>
            <w:tcW w:w="220" w:type="dxa"/>
            <w:vAlign w:val="bottom"/>
          </w:tcPr>
          <w:p>
            <w:pPr>
              <w:spacing w:after="0"/>
              <w:rPr>
                <w:sz w:val="11"/>
                <w:szCs w:val="11"/>
                <w:color w:val="auto"/>
              </w:rPr>
            </w:pPr>
          </w:p>
        </w:tc>
        <w:tc>
          <w:tcPr>
            <w:tcW w:w="88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76"/>
        </w:trPr>
        <w:tc>
          <w:tcPr>
            <w:tcW w:w="1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ind w:left="8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Spread</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100" w:type="dxa"/>
            <w:vAlign w:val="bottom"/>
          </w:tcPr>
          <w:p>
            <w:pPr>
              <w:spacing w:after="0"/>
              <w:rPr>
                <w:sz w:val="15"/>
                <w:szCs w:val="15"/>
                <w:color w:val="auto"/>
              </w:rPr>
            </w:pPr>
          </w:p>
        </w:tc>
        <w:tc>
          <w:tcPr>
            <w:tcW w:w="620" w:type="dxa"/>
            <w:vAlign w:val="bottom"/>
          </w:tcPr>
          <w:p>
            <w:pPr>
              <w:jc w:val="right"/>
              <w:ind w:right="58"/>
              <w:spacing w:after="0" w:line="176" w:lineRule="exact"/>
              <w:rPr>
                <w:sz w:val="20"/>
                <w:szCs w:val="20"/>
                <w:color w:val="auto"/>
              </w:rPr>
            </w:pPr>
            <w:r>
              <w:rPr>
                <w:rFonts w:ascii="Times New Roman" w:cs="Times New Roman" w:eastAsia="Times New Roman" w:hAnsi="Times New Roman"/>
                <w:sz w:val="20"/>
                <w:szCs w:val="20"/>
                <w:b w:val="1"/>
                <w:bCs w:val="1"/>
                <w:color w:val="auto"/>
                <w:w w:val="98"/>
                <w:vertAlign w:val="subscript"/>
              </w:rPr>
              <w:t>Cost</w:t>
            </w:r>
            <w:r>
              <w:rPr>
                <w:rFonts w:ascii="Times New Roman" w:cs="Times New Roman" w:eastAsia="Times New Roman" w:hAnsi="Times New Roman"/>
                <w:sz w:val="8"/>
                <w:szCs w:val="8"/>
                <w:b w:val="1"/>
                <w:bCs w:val="1"/>
                <w:color w:val="auto"/>
                <w:w w:val="98"/>
              </w:rPr>
              <w:t xml:space="preserve"> (2) (7)</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of Net Assets</w:t>
            </w:r>
          </w:p>
        </w:tc>
        <w:tc>
          <w:tcPr>
            <w:tcW w:w="0" w:type="dxa"/>
            <w:vAlign w:val="bottom"/>
          </w:tcPr>
          <w:p>
            <w:pPr>
              <w:spacing w:after="0"/>
              <w:rPr>
                <w:sz w:val="1"/>
                <w:szCs w:val="1"/>
                <w:color w:val="auto"/>
              </w:rPr>
            </w:pPr>
          </w:p>
        </w:tc>
      </w:tr>
      <w:tr>
        <w:trPr>
          <w:trHeight w:val="156"/>
        </w:trPr>
        <w:tc>
          <w:tcPr>
            <w:tcW w:w="16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120" w:type="dxa"/>
            <w:vAlign w:val="bottom"/>
            <w:shd w:val="clear" w:color="auto" w:fill="CFF0FC"/>
          </w:tcPr>
          <w:p>
            <w:pPr>
              <w:spacing w:after="0"/>
              <w:rPr>
                <w:sz w:val="13"/>
                <w:szCs w:val="13"/>
                <w:color w:val="auto"/>
              </w:rPr>
            </w:pPr>
          </w:p>
        </w:tc>
        <w:tc>
          <w:tcPr>
            <w:tcW w:w="236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16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Automotive</w:t>
            </w: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Bestpass, Inc. </w:t>
            </w:r>
            <w:r>
              <w:rPr>
                <w:rFonts w:ascii="Times New Roman" w:cs="Times New Roman" w:eastAsia="Times New Roman" w:hAnsi="Times New Roman"/>
                <w:sz w:val="15"/>
                <w:szCs w:val="15"/>
                <w:color w:val="auto"/>
                <w:vertAlign w:val="superscript"/>
              </w:rPr>
              <w:t>(3)(5)</w:t>
            </w:r>
          </w:p>
        </w:tc>
        <w:tc>
          <w:tcPr>
            <w:tcW w:w="120" w:type="dxa"/>
            <w:vAlign w:val="bottom"/>
            <w:shd w:val="clear" w:color="auto" w:fill="CFF0FC"/>
          </w:tcPr>
          <w:p>
            <w:pPr>
              <w:spacing w:after="0"/>
              <w:rPr>
                <w:sz w:val="11"/>
                <w:szCs w:val="11"/>
                <w:color w:val="auto"/>
              </w:rPr>
            </w:pPr>
          </w:p>
        </w:tc>
        <w:tc>
          <w:tcPr>
            <w:tcW w:w="236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First-lien loan ($59,800 par, due 5/2029)</w:t>
            </w:r>
          </w:p>
        </w:tc>
        <w:tc>
          <w:tcPr>
            <w:tcW w:w="86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5/26/2023</w:t>
            </w: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80"/>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200" w:type="dxa"/>
            <w:vAlign w:val="bottom"/>
            <w:gridSpan w:val="2"/>
            <w:shd w:val="clear" w:color="auto" w:fill="CFF0FC"/>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11.08 %</w:t>
            </w:r>
          </w:p>
        </w:tc>
        <w:tc>
          <w:tcPr>
            <w:tcW w:w="1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57,695</w:t>
            </w:r>
          </w:p>
        </w:tc>
        <w:tc>
          <w:tcPr>
            <w:tcW w:w="580" w:type="dxa"/>
            <w:vAlign w:val="bottom"/>
            <w:gridSpan w:val="2"/>
            <w:shd w:val="clear" w:color="auto" w:fill="CFF0FC"/>
          </w:tcPr>
          <w:p>
            <w:pPr>
              <w:jc w:val="right"/>
              <w:ind w:right="300"/>
              <w:spacing w:after="0" w:line="131" w:lineRule="exact"/>
              <w:rPr>
                <w:sz w:val="20"/>
                <w:szCs w:val="20"/>
                <w:color w:val="auto"/>
              </w:rPr>
            </w:pPr>
            <w:r>
              <w:rPr>
                <w:rFonts w:ascii="Times New Roman" w:cs="Times New Roman" w:eastAsia="Times New Roman" w:hAnsi="Times New Roman"/>
                <w:sz w:val="13"/>
                <w:szCs w:val="13"/>
                <w:color w:val="auto"/>
              </w:rPr>
              <w:t>$</w:t>
            </w:r>
          </w:p>
        </w:tc>
        <w:tc>
          <w:tcPr>
            <w:tcW w:w="164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59,501</w:t>
            </w:r>
          </w:p>
        </w:tc>
        <w:tc>
          <w:tcPr>
            <w:tcW w:w="1080" w:type="dxa"/>
            <w:vAlign w:val="bottom"/>
            <w:gridSpan w:val="3"/>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2.5 %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Truck-Lite Co., LLC </w:t>
            </w:r>
            <w:r>
              <w:rPr>
                <w:rFonts w:ascii="Times New Roman" w:cs="Times New Roman" w:eastAsia="Times New Roman" w:hAnsi="Times New Roman"/>
                <w:sz w:val="15"/>
                <w:szCs w:val="15"/>
                <w:color w:val="auto"/>
                <w:vertAlign w:val="superscript"/>
              </w:rPr>
              <w:t>(3)</w:t>
            </w:r>
          </w:p>
        </w:tc>
        <w:tc>
          <w:tcPr>
            <w:tcW w:w="120" w:type="dxa"/>
            <w:vAlign w:val="bottom"/>
          </w:tcPr>
          <w:p>
            <w:pPr>
              <w:spacing w:after="0"/>
              <w:rPr>
                <w:sz w:val="11"/>
                <w:szCs w:val="11"/>
                <w:color w:val="auto"/>
              </w:rPr>
            </w:pPr>
          </w:p>
        </w:tc>
        <w:tc>
          <w:tcPr>
            <w:tcW w:w="236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First-lien loan ($323,497 par, due 2/2031)</w:t>
            </w:r>
          </w:p>
        </w:tc>
        <w:tc>
          <w:tcPr>
            <w:tcW w:w="8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2/13/2024</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2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11.06 %</w:t>
            </w:r>
          </w:p>
        </w:tc>
        <w:tc>
          <w:tcPr>
            <w:tcW w:w="10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319,961</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4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320,809</w:t>
            </w:r>
          </w:p>
        </w:tc>
        <w:tc>
          <w:tcPr>
            <w:tcW w:w="108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13.5 %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3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First-lien revolving loan ($1,166 par, due</w:t>
            </w:r>
          </w:p>
        </w:tc>
        <w:tc>
          <w:tcPr>
            <w:tcW w:w="86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2/13/2024</w:t>
            </w: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80"/>
              <w:spacing w:after="0" w:line="133" w:lineRule="exact"/>
              <w:rPr>
                <w:sz w:val="20"/>
                <w:szCs w:val="20"/>
                <w:color w:val="auto"/>
              </w:rPr>
            </w:pPr>
            <w:r>
              <w:rPr>
                <w:rFonts w:ascii="Times New Roman" w:cs="Times New Roman" w:eastAsia="Times New Roman" w:hAnsi="Times New Roman"/>
                <w:sz w:val="13"/>
                <w:szCs w:val="13"/>
                <w:color w:val="auto"/>
              </w:rPr>
              <w:t>SOFR +</w:t>
            </w:r>
          </w:p>
        </w:tc>
        <w:tc>
          <w:tcPr>
            <w:tcW w:w="1200" w:type="dxa"/>
            <w:vAlign w:val="bottom"/>
            <w:gridSpan w:val="2"/>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11.06 %</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824</w:t>
            </w: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6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903</w:t>
            </w:r>
          </w:p>
        </w:tc>
        <w:tc>
          <w:tcPr>
            <w:tcW w:w="108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0.0 %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00" w:type="dxa"/>
            <w:vAlign w:val="bottom"/>
            <w:tcBorders>
              <w:bottom w:val="single" w:sz="8" w:color="CFF0FC"/>
            </w:tcBorders>
            <w:shd w:val="clear" w:color="auto" w:fill="CFF0FC"/>
          </w:tcPr>
          <w:p>
            <w:pPr>
              <w:spacing w:after="0"/>
              <w:rPr>
                <w:sz w:val="13"/>
                <w:szCs w:val="13"/>
                <w:color w:val="auto"/>
              </w:rPr>
            </w:pPr>
          </w:p>
        </w:tc>
        <w:tc>
          <w:tcPr>
            <w:tcW w:w="248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2/2030)</w:t>
            </w:r>
          </w:p>
        </w:tc>
        <w:tc>
          <w:tcPr>
            <w:tcW w:w="12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24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164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378,480</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381,213</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16.0 %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Business Services</w:t>
            </w:r>
          </w:p>
        </w:tc>
        <w:tc>
          <w:tcPr>
            <w:tcW w:w="120" w:type="dxa"/>
            <w:vAlign w:val="bottom"/>
            <w:shd w:val="clear" w:color="auto" w:fill="CFF0FC"/>
          </w:tcPr>
          <w:p>
            <w:pPr>
              <w:spacing w:after="0"/>
              <w:rPr>
                <w:sz w:val="13"/>
                <w:szCs w:val="13"/>
                <w:color w:val="auto"/>
              </w:rPr>
            </w:pPr>
          </w:p>
        </w:tc>
        <w:tc>
          <w:tcPr>
            <w:tcW w:w="2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16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Artisan Bidco, Inc.</w:t>
            </w:r>
            <w:r>
              <w:rPr>
                <w:rFonts w:ascii="Times New Roman" w:cs="Times New Roman" w:eastAsia="Times New Roman" w:hAnsi="Times New Roman"/>
                <w:sz w:val="15"/>
                <w:szCs w:val="15"/>
                <w:color w:val="auto"/>
                <w:vertAlign w:val="superscript"/>
              </w:rPr>
              <w:t>(3)</w:t>
            </w:r>
          </w:p>
        </w:tc>
        <w:tc>
          <w:tcPr>
            <w:tcW w:w="120" w:type="dxa"/>
            <w:vAlign w:val="bottom"/>
          </w:tcPr>
          <w:p>
            <w:pPr>
              <w:spacing w:after="0"/>
              <w:rPr>
                <w:sz w:val="11"/>
                <w:szCs w:val="11"/>
                <w:color w:val="auto"/>
              </w:rPr>
            </w:pPr>
          </w:p>
        </w:tc>
        <w:tc>
          <w:tcPr>
            <w:tcW w:w="236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First-lien loan ($112,292 par, due 11/2029)</w:t>
            </w:r>
          </w:p>
        </w:tc>
        <w:tc>
          <w:tcPr>
            <w:tcW w:w="8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11/7/2023</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2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12.32 %</w:t>
            </w:r>
          </w:p>
        </w:tc>
        <w:tc>
          <w:tcPr>
            <w:tcW w:w="10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109,836</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4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110,677</w:t>
            </w:r>
          </w:p>
        </w:tc>
        <w:tc>
          <w:tcPr>
            <w:tcW w:w="108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4.6 %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3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w w:val="96"/>
              </w:rPr>
              <w:t>First-lien loan (EUR 52,256 par, due 11/2029)</w:t>
            </w:r>
          </w:p>
        </w:tc>
        <w:tc>
          <w:tcPr>
            <w:tcW w:w="86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11/7/2023</w:t>
            </w: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E + 7.00%</w:t>
            </w:r>
          </w:p>
        </w:tc>
        <w:tc>
          <w:tcPr>
            <w:tcW w:w="1200" w:type="dxa"/>
            <w:vAlign w:val="bottom"/>
            <w:gridSpan w:val="2"/>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10.92 %</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55,079</w:t>
            </w: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6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55,731</w:t>
            </w:r>
          </w:p>
        </w:tc>
        <w:tc>
          <w:tcPr>
            <w:tcW w:w="108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2.3 %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51,602)</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Azurite Intermediate</w:t>
            </w:r>
          </w:p>
        </w:tc>
        <w:tc>
          <w:tcPr>
            <w:tcW w:w="120" w:type="dxa"/>
            <w:vAlign w:val="bottom"/>
          </w:tcPr>
          <w:p>
            <w:pPr>
              <w:spacing w:after="0"/>
              <w:rPr>
                <w:sz w:val="10"/>
                <w:szCs w:val="10"/>
                <w:color w:val="auto"/>
              </w:rPr>
            </w:pPr>
          </w:p>
        </w:tc>
        <w:tc>
          <w:tcPr>
            <w:tcW w:w="23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First-lien loan ($85,937 par, due 3/2031)</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3/19/2024</w:t>
            </w:r>
          </w:p>
        </w:tc>
        <w:tc>
          <w:tcPr>
            <w:tcW w:w="120" w:type="dxa"/>
            <w:vAlign w:val="bottom"/>
          </w:tcPr>
          <w:p>
            <w:pPr>
              <w:spacing w:after="0"/>
              <w:rPr>
                <w:sz w:val="10"/>
                <w:szCs w:val="10"/>
                <w:color w:val="auto"/>
              </w:rPr>
            </w:pPr>
          </w:p>
        </w:tc>
        <w:tc>
          <w:tcPr>
            <w:tcW w:w="96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13"/>
                <w:szCs w:val="13"/>
                <w:color w:val="auto"/>
              </w:rPr>
              <w:t>SOFR +</w:t>
            </w:r>
          </w:p>
        </w:tc>
        <w:tc>
          <w:tcPr>
            <w:tcW w:w="120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3"/>
                <w:szCs w:val="13"/>
                <w:color w:val="auto"/>
              </w:rPr>
              <w:t>11.83 %</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82,722</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82,812</w:t>
            </w:r>
          </w:p>
        </w:tc>
        <w:tc>
          <w:tcPr>
            <w:tcW w:w="10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3.6 %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60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 xml:space="preserve">Holdings, Inc. </w:t>
            </w:r>
            <w:r>
              <w:rPr>
                <w:rFonts w:ascii="Times New Roman" w:cs="Times New Roman" w:eastAsia="Times New Roman" w:hAnsi="Times New Roman"/>
                <w:sz w:val="16"/>
                <w:szCs w:val="16"/>
                <w:color w:val="auto"/>
                <w:vertAlign w:val="superscript"/>
              </w:rPr>
              <w:t>(3)</w:t>
            </w: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BCTO Ignition Purchaser, Inc.</w:t>
            </w:r>
          </w:p>
        </w:tc>
        <w:tc>
          <w:tcPr>
            <w:tcW w:w="120" w:type="dxa"/>
            <w:vAlign w:val="bottom"/>
            <w:shd w:val="clear" w:color="auto" w:fill="CFF0FC"/>
          </w:tcPr>
          <w:p>
            <w:pPr>
              <w:spacing w:after="0"/>
              <w:rPr>
                <w:sz w:val="10"/>
                <w:szCs w:val="10"/>
                <w:color w:val="auto"/>
              </w:rPr>
            </w:pPr>
          </w:p>
        </w:tc>
        <w:tc>
          <w:tcPr>
            <w:tcW w:w="23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First-lien holdco loan ($109,710 par, due</w:t>
            </w:r>
          </w:p>
        </w:tc>
        <w:tc>
          <w:tcPr>
            <w:tcW w:w="86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4/18/2023</w:t>
            </w:r>
          </w:p>
        </w:tc>
        <w:tc>
          <w:tcPr>
            <w:tcW w:w="12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280"/>
              <w:spacing w:after="0" w:line="122" w:lineRule="exact"/>
              <w:rPr>
                <w:sz w:val="20"/>
                <w:szCs w:val="20"/>
                <w:color w:val="auto"/>
              </w:rPr>
            </w:pPr>
            <w:r>
              <w:rPr>
                <w:rFonts w:ascii="Times New Roman" w:cs="Times New Roman" w:eastAsia="Times New Roman" w:hAnsi="Times New Roman"/>
                <w:sz w:val="13"/>
                <w:szCs w:val="13"/>
                <w:color w:val="auto"/>
              </w:rPr>
              <w:t>SOFR +</w:t>
            </w:r>
          </w:p>
        </w:tc>
        <w:tc>
          <w:tcPr>
            <w:tcW w:w="12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3"/>
                <w:szCs w:val="13"/>
                <w:color w:val="auto"/>
              </w:rPr>
              <w:t>14.30% PIK</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107,080</w:t>
            </w:r>
          </w:p>
        </w:tc>
        <w:tc>
          <w:tcPr>
            <w:tcW w:w="2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111,081</w:t>
            </w:r>
          </w:p>
        </w:tc>
        <w:tc>
          <w:tcPr>
            <w:tcW w:w="108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4.8 %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(3)</w:t>
            </w:r>
          </w:p>
        </w:tc>
        <w:tc>
          <w:tcPr>
            <w:tcW w:w="2480" w:type="dxa"/>
            <w:vAlign w:val="bottom"/>
            <w:gridSpan w:val="2"/>
            <w:vMerge w:val="restart"/>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10/2030)</w:t>
            </w:r>
          </w:p>
        </w:tc>
        <w:tc>
          <w:tcPr>
            <w:tcW w:w="1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24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00" w:type="dxa"/>
            <w:vAlign w:val="bottom"/>
            <w:shd w:val="clear" w:color="auto" w:fill="CFF0FC"/>
          </w:tcPr>
          <w:p>
            <w:pPr>
              <w:spacing w:after="0"/>
              <w:rPr>
                <w:sz w:val="5"/>
                <w:szCs w:val="5"/>
                <w:color w:val="auto"/>
              </w:rPr>
            </w:pPr>
          </w:p>
        </w:tc>
        <w:tc>
          <w:tcPr>
            <w:tcW w:w="2480" w:type="dxa"/>
            <w:vAlign w:val="bottom"/>
            <w:gridSpan w:val="2"/>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840" w:type="dxa"/>
            <w:vAlign w:val="bottom"/>
            <w:gridSpan w:val="2"/>
            <w:vMerge w:val="continue"/>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380" w:type="dxa"/>
            <w:vAlign w:val="bottom"/>
            <w:shd w:val="clear" w:color="auto" w:fill="CFF0FC"/>
          </w:tcPr>
          <w:p>
            <w:pPr>
              <w:spacing w:after="0"/>
              <w:rPr>
                <w:sz w:val="5"/>
                <w:szCs w:val="5"/>
                <w:color w:val="auto"/>
              </w:rPr>
            </w:pPr>
          </w:p>
        </w:tc>
        <w:tc>
          <w:tcPr>
            <w:tcW w:w="164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Crewline Buyer, Inc. </w:t>
            </w:r>
            <w:r>
              <w:rPr>
                <w:rFonts w:ascii="Times New Roman" w:cs="Times New Roman" w:eastAsia="Times New Roman" w:hAnsi="Times New Roman"/>
                <w:sz w:val="15"/>
                <w:szCs w:val="15"/>
                <w:color w:val="auto"/>
                <w:vertAlign w:val="superscript"/>
              </w:rPr>
              <w:t>(3)</w:t>
            </w:r>
          </w:p>
        </w:tc>
        <w:tc>
          <w:tcPr>
            <w:tcW w:w="120" w:type="dxa"/>
            <w:vAlign w:val="bottom"/>
          </w:tcPr>
          <w:p>
            <w:pPr>
              <w:spacing w:after="0"/>
              <w:rPr>
                <w:sz w:val="11"/>
                <w:szCs w:val="11"/>
                <w:color w:val="auto"/>
              </w:rPr>
            </w:pPr>
          </w:p>
        </w:tc>
        <w:tc>
          <w:tcPr>
            <w:tcW w:w="236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First-lien loan ($147,310 par, due 11/2030)</w:t>
            </w:r>
          </w:p>
        </w:tc>
        <w:tc>
          <w:tcPr>
            <w:tcW w:w="8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11/8/2023</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2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12.06 %</w:t>
            </w:r>
          </w:p>
        </w:tc>
        <w:tc>
          <w:tcPr>
            <w:tcW w:w="10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143,373</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4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145,277</w:t>
            </w:r>
          </w:p>
        </w:tc>
        <w:tc>
          <w:tcPr>
            <w:tcW w:w="108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6.1 %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6.75%</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 xml:space="preserve">Galileo Parent, Inc. </w:t>
            </w:r>
            <w:r>
              <w:rPr>
                <w:rFonts w:ascii="Times New Roman" w:cs="Times New Roman" w:eastAsia="Times New Roman" w:hAnsi="Times New Roman"/>
                <w:sz w:val="15"/>
                <w:szCs w:val="15"/>
                <w:color w:val="auto"/>
                <w:vertAlign w:val="superscript"/>
              </w:rPr>
              <w:t>(3)</w:t>
            </w:r>
          </w:p>
        </w:tc>
        <w:tc>
          <w:tcPr>
            <w:tcW w:w="120" w:type="dxa"/>
            <w:vAlign w:val="bottom"/>
            <w:shd w:val="clear" w:color="auto" w:fill="CFF0FC"/>
          </w:tcPr>
          <w:p>
            <w:pPr>
              <w:spacing w:after="0"/>
              <w:rPr>
                <w:sz w:val="11"/>
                <w:szCs w:val="11"/>
                <w:color w:val="auto"/>
              </w:rPr>
            </w:pPr>
          </w:p>
        </w:tc>
        <w:tc>
          <w:tcPr>
            <w:tcW w:w="23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First-lien loan ($150,685 par, due 5/2030)</w:t>
            </w:r>
          </w:p>
        </w:tc>
        <w:tc>
          <w:tcPr>
            <w:tcW w:w="86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5/3/2023</w:t>
            </w: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80"/>
              <w:spacing w:after="0" w:line="133" w:lineRule="exact"/>
              <w:rPr>
                <w:sz w:val="20"/>
                <w:szCs w:val="20"/>
                <w:color w:val="auto"/>
              </w:rPr>
            </w:pPr>
            <w:r>
              <w:rPr>
                <w:rFonts w:ascii="Times New Roman" w:cs="Times New Roman" w:eastAsia="Times New Roman" w:hAnsi="Times New Roman"/>
                <w:sz w:val="13"/>
                <w:szCs w:val="13"/>
                <w:color w:val="auto"/>
              </w:rPr>
              <w:t>SOFR +</w:t>
            </w:r>
          </w:p>
        </w:tc>
        <w:tc>
          <w:tcPr>
            <w:tcW w:w="1200" w:type="dxa"/>
            <w:vAlign w:val="bottom"/>
            <w:gridSpan w:val="2"/>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12.56 %</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146,755</w:t>
            </w: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6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148,425</w:t>
            </w:r>
          </w:p>
        </w:tc>
        <w:tc>
          <w:tcPr>
            <w:tcW w:w="108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6.2 %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First-lien revolving loan ($10,433 par, due</w:t>
            </w:r>
          </w:p>
        </w:tc>
        <w:tc>
          <w:tcPr>
            <w:tcW w:w="8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5/3/2023</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2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12.56 %</w:t>
            </w:r>
          </w:p>
        </w:tc>
        <w:tc>
          <w:tcPr>
            <w:tcW w:w="10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9,834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4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10,079</w:t>
            </w:r>
          </w:p>
        </w:tc>
        <w:tc>
          <w:tcPr>
            <w:tcW w:w="108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0.4 %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00" w:type="dxa"/>
            <w:vAlign w:val="bottom"/>
          </w:tcPr>
          <w:p>
            <w:pPr>
              <w:spacing w:after="0"/>
              <w:rPr>
                <w:sz w:val="14"/>
                <w:szCs w:val="14"/>
                <w:color w:val="auto"/>
              </w:rPr>
            </w:pPr>
          </w:p>
        </w:tc>
        <w:tc>
          <w:tcPr>
            <w:tcW w:w="2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5/2030)</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60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1"/>
                <w:szCs w:val="11"/>
                <w:color w:val="auto"/>
              </w:rPr>
              <w:t>OutSystems Luxco SARL</w:t>
            </w:r>
            <w:r>
              <w:rPr>
                <w:rFonts w:ascii="Times New Roman" w:cs="Times New Roman" w:eastAsia="Times New Roman" w:hAnsi="Times New Roman"/>
                <w:sz w:val="14"/>
                <w:szCs w:val="14"/>
                <w:color w:val="auto"/>
                <w:vertAlign w:val="superscript"/>
              </w:rPr>
              <w:t>(3)(4)</w:t>
            </w:r>
          </w:p>
        </w:tc>
        <w:tc>
          <w:tcPr>
            <w:tcW w:w="120" w:type="dxa"/>
            <w:vAlign w:val="bottom"/>
            <w:shd w:val="clear" w:color="auto" w:fill="CFF0FC"/>
          </w:tcPr>
          <w:p>
            <w:pPr>
              <w:spacing w:after="0"/>
              <w:rPr>
                <w:sz w:val="10"/>
                <w:szCs w:val="10"/>
                <w:color w:val="auto"/>
              </w:rPr>
            </w:pPr>
          </w:p>
        </w:tc>
        <w:tc>
          <w:tcPr>
            <w:tcW w:w="236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3"/>
                <w:szCs w:val="13"/>
                <w:color w:val="auto"/>
                <w:w w:val="98"/>
              </w:rPr>
              <w:t>First-lien loan (EUR 3,004 par, due 12/2028)</w:t>
            </w:r>
          </w:p>
        </w:tc>
        <w:tc>
          <w:tcPr>
            <w:tcW w:w="86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12/8/2022</w:t>
            </w:r>
          </w:p>
        </w:tc>
        <w:tc>
          <w:tcPr>
            <w:tcW w:w="12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240"/>
              <w:spacing w:after="0" w:line="124" w:lineRule="exact"/>
              <w:rPr>
                <w:sz w:val="20"/>
                <w:szCs w:val="20"/>
                <w:color w:val="auto"/>
              </w:rPr>
            </w:pPr>
            <w:r>
              <w:rPr>
                <w:rFonts w:ascii="Times New Roman" w:cs="Times New Roman" w:eastAsia="Times New Roman" w:hAnsi="Times New Roman"/>
                <w:sz w:val="13"/>
                <w:szCs w:val="13"/>
                <w:color w:val="auto"/>
              </w:rPr>
              <w:t>E + 5.75%</w:t>
            </w:r>
          </w:p>
        </w:tc>
        <w:tc>
          <w:tcPr>
            <w:tcW w:w="1200" w:type="dxa"/>
            <w:vAlign w:val="bottom"/>
            <w:gridSpan w:val="2"/>
            <w:shd w:val="clear" w:color="auto" w:fill="CFF0FC"/>
          </w:tcPr>
          <w:p>
            <w:pPr>
              <w:jc w:val="right"/>
              <w:ind w:right="100"/>
              <w:spacing w:after="0" w:line="124" w:lineRule="exact"/>
              <w:rPr>
                <w:sz w:val="20"/>
                <w:szCs w:val="20"/>
                <w:color w:val="auto"/>
              </w:rPr>
            </w:pPr>
            <w:r>
              <w:rPr>
                <w:rFonts w:ascii="Times New Roman" w:cs="Times New Roman" w:eastAsia="Times New Roman" w:hAnsi="Times New Roman"/>
                <w:sz w:val="13"/>
                <w:szCs w:val="13"/>
                <w:color w:val="auto"/>
              </w:rPr>
              <w:t>9.58 %</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3,102</w:t>
            </w:r>
          </w:p>
        </w:tc>
        <w:tc>
          <w:tcPr>
            <w:tcW w:w="2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6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3,285</w:t>
            </w:r>
          </w:p>
        </w:tc>
        <w:tc>
          <w:tcPr>
            <w:tcW w:w="1080" w:type="dxa"/>
            <w:vAlign w:val="bottom"/>
            <w:gridSpan w:val="3"/>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0.1 %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120" w:type="dxa"/>
            <w:vAlign w:val="bottom"/>
            <w:shd w:val="clear" w:color="auto" w:fill="CFF0FC"/>
          </w:tcPr>
          <w:p>
            <w:pPr>
              <w:spacing w:after="0"/>
              <w:rPr>
                <w:sz w:val="9"/>
                <w:szCs w:val="9"/>
                <w:color w:val="auto"/>
              </w:rPr>
            </w:pPr>
          </w:p>
        </w:tc>
        <w:tc>
          <w:tcPr>
            <w:tcW w:w="2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3,041)</w:t>
            </w:r>
          </w:p>
        </w:tc>
        <w:tc>
          <w:tcPr>
            <w:tcW w:w="2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23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72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380" w:type="dxa"/>
            <w:vAlign w:val="bottom"/>
            <w:shd w:val="clear" w:color="auto" w:fill="CFF0FC"/>
          </w:tcPr>
          <w:p>
            <w:pPr>
              <w:spacing w:after="0"/>
              <w:rPr>
                <w:sz w:val="5"/>
                <w:szCs w:val="5"/>
                <w:color w:val="auto"/>
              </w:rPr>
            </w:pPr>
          </w:p>
        </w:tc>
        <w:tc>
          <w:tcPr>
            <w:tcW w:w="164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Price Fx Inc. </w:t>
            </w:r>
            <w:r>
              <w:rPr>
                <w:rFonts w:ascii="Times New Roman" w:cs="Times New Roman" w:eastAsia="Times New Roman" w:hAnsi="Times New Roman"/>
                <w:sz w:val="15"/>
                <w:szCs w:val="15"/>
                <w:color w:val="auto"/>
                <w:vertAlign w:val="superscript"/>
              </w:rPr>
              <w:t>(3)(4)</w:t>
            </w:r>
          </w:p>
        </w:tc>
        <w:tc>
          <w:tcPr>
            <w:tcW w:w="120" w:type="dxa"/>
            <w:vAlign w:val="bottom"/>
          </w:tcPr>
          <w:p>
            <w:pPr>
              <w:spacing w:after="0"/>
              <w:rPr>
                <w:sz w:val="11"/>
                <w:szCs w:val="11"/>
                <w:color w:val="auto"/>
              </w:rPr>
            </w:pPr>
          </w:p>
        </w:tc>
        <w:tc>
          <w:tcPr>
            <w:tcW w:w="236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First-lien loan (EUR 910 par, due 10/2029)</w:t>
            </w:r>
          </w:p>
        </w:tc>
        <w:tc>
          <w:tcPr>
            <w:tcW w:w="8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10/27/2023</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line="131" w:lineRule="exact"/>
              <w:rPr>
                <w:sz w:val="20"/>
                <w:szCs w:val="20"/>
                <w:color w:val="auto"/>
              </w:rPr>
            </w:pPr>
            <w:r>
              <w:rPr>
                <w:rFonts w:ascii="Times New Roman" w:cs="Times New Roman" w:eastAsia="Times New Roman" w:hAnsi="Times New Roman"/>
                <w:sz w:val="13"/>
                <w:szCs w:val="13"/>
                <w:color w:val="auto"/>
              </w:rPr>
              <w:t>E + 7.00%</w:t>
            </w:r>
          </w:p>
        </w:tc>
        <w:tc>
          <w:tcPr>
            <w:tcW w:w="12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10.93 %</w:t>
            </w:r>
          </w:p>
        </w:tc>
        <w:tc>
          <w:tcPr>
            <w:tcW w:w="10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963</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4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971</w:t>
            </w:r>
          </w:p>
        </w:tc>
        <w:tc>
          <w:tcPr>
            <w:tcW w:w="108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0.0 %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899)</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 xml:space="preserve">Wrangler TopCo, LLC </w:t>
            </w:r>
            <w:r>
              <w:rPr>
                <w:rFonts w:ascii="Times New Roman" w:cs="Times New Roman" w:eastAsia="Times New Roman" w:hAnsi="Times New Roman"/>
                <w:sz w:val="15"/>
                <w:szCs w:val="15"/>
                <w:color w:val="auto"/>
                <w:vertAlign w:val="superscript"/>
              </w:rPr>
              <w:t>(3)</w:t>
            </w:r>
          </w:p>
        </w:tc>
        <w:tc>
          <w:tcPr>
            <w:tcW w:w="120" w:type="dxa"/>
            <w:vAlign w:val="bottom"/>
            <w:shd w:val="clear" w:color="auto" w:fill="CFF0FC"/>
          </w:tcPr>
          <w:p>
            <w:pPr>
              <w:spacing w:after="0"/>
              <w:rPr>
                <w:sz w:val="11"/>
                <w:szCs w:val="11"/>
                <w:color w:val="auto"/>
              </w:rPr>
            </w:pPr>
          </w:p>
        </w:tc>
        <w:tc>
          <w:tcPr>
            <w:tcW w:w="23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First-lien loan ($93,847 par, due 7/2029)</w:t>
            </w:r>
          </w:p>
        </w:tc>
        <w:tc>
          <w:tcPr>
            <w:tcW w:w="86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7/7/2023</w:t>
            </w: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80"/>
              <w:spacing w:after="0" w:line="133" w:lineRule="exact"/>
              <w:rPr>
                <w:sz w:val="20"/>
                <w:szCs w:val="20"/>
                <w:color w:val="auto"/>
              </w:rPr>
            </w:pPr>
            <w:r>
              <w:rPr>
                <w:rFonts w:ascii="Times New Roman" w:cs="Times New Roman" w:eastAsia="Times New Roman" w:hAnsi="Times New Roman"/>
                <w:sz w:val="13"/>
                <w:szCs w:val="13"/>
                <w:color w:val="auto"/>
              </w:rPr>
              <w:t>SOFR +</w:t>
            </w:r>
          </w:p>
        </w:tc>
        <w:tc>
          <w:tcPr>
            <w:tcW w:w="1200" w:type="dxa"/>
            <w:vAlign w:val="bottom"/>
            <w:gridSpan w:val="2"/>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12.82 %</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91,453</w:t>
            </w: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6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93,589</w:t>
            </w:r>
          </w:p>
        </w:tc>
        <w:tc>
          <w:tcPr>
            <w:tcW w:w="108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3.9 %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3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24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164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750,197</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761,927</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32.0 %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Chemicals</w:t>
            </w:r>
          </w:p>
        </w:tc>
        <w:tc>
          <w:tcPr>
            <w:tcW w:w="120" w:type="dxa"/>
            <w:vAlign w:val="bottom"/>
            <w:shd w:val="clear" w:color="auto" w:fill="CFF0FC"/>
          </w:tcPr>
          <w:p>
            <w:pPr>
              <w:spacing w:after="0"/>
              <w:rPr>
                <w:sz w:val="13"/>
                <w:szCs w:val="13"/>
                <w:color w:val="auto"/>
              </w:rPr>
            </w:pPr>
          </w:p>
        </w:tc>
        <w:tc>
          <w:tcPr>
            <w:tcW w:w="2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16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Erling Lux Bidco SARL </w:t>
            </w:r>
            <w:r>
              <w:rPr>
                <w:rFonts w:ascii="Times New Roman" w:cs="Times New Roman" w:eastAsia="Times New Roman" w:hAnsi="Times New Roman"/>
                <w:sz w:val="15"/>
                <w:szCs w:val="15"/>
                <w:color w:val="auto"/>
                <w:vertAlign w:val="superscript"/>
              </w:rPr>
              <w:t>(3)(4)</w:t>
            </w:r>
          </w:p>
        </w:tc>
        <w:tc>
          <w:tcPr>
            <w:tcW w:w="120" w:type="dxa"/>
            <w:vAlign w:val="bottom"/>
          </w:tcPr>
          <w:p>
            <w:pPr>
              <w:spacing w:after="0"/>
              <w:rPr>
                <w:sz w:val="11"/>
                <w:szCs w:val="11"/>
                <w:color w:val="auto"/>
              </w:rPr>
            </w:pPr>
          </w:p>
        </w:tc>
        <w:tc>
          <w:tcPr>
            <w:tcW w:w="236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First-lien loan (EUR 7,239 par, due 9/2028)</w:t>
            </w:r>
          </w:p>
        </w:tc>
        <w:tc>
          <w:tcPr>
            <w:tcW w:w="8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9/6/2022</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line="131" w:lineRule="exact"/>
              <w:rPr>
                <w:sz w:val="20"/>
                <w:szCs w:val="20"/>
                <w:color w:val="auto"/>
              </w:rPr>
            </w:pPr>
            <w:r>
              <w:rPr>
                <w:rFonts w:ascii="Times New Roman" w:cs="Times New Roman" w:eastAsia="Times New Roman" w:hAnsi="Times New Roman"/>
                <w:sz w:val="13"/>
                <w:szCs w:val="13"/>
                <w:color w:val="auto"/>
              </w:rPr>
              <w:t>E + 6.75%</w:t>
            </w:r>
          </w:p>
        </w:tc>
        <w:tc>
          <w:tcPr>
            <w:tcW w:w="12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10.64 %</w:t>
            </w:r>
          </w:p>
        </w:tc>
        <w:tc>
          <w:tcPr>
            <w:tcW w:w="10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6,846</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4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8,006</w:t>
            </w:r>
          </w:p>
        </w:tc>
        <w:tc>
          <w:tcPr>
            <w:tcW w:w="108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0.3 %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7,413)</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3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w w:val="99"/>
              </w:rPr>
              <w:t>First-lien loan (GBP 13,388 par, due 9/2028)</w:t>
            </w:r>
          </w:p>
        </w:tc>
        <w:tc>
          <w:tcPr>
            <w:tcW w:w="86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9/6/2022</w:t>
            </w: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S + 6.75%</w:t>
            </w:r>
          </w:p>
        </w:tc>
        <w:tc>
          <w:tcPr>
            <w:tcW w:w="1200" w:type="dxa"/>
            <w:vAlign w:val="bottom"/>
            <w:gridSpan w:val="2"/>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11.94 %</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15,149</w:t>
            </w: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6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17,080</w:t>
            </w:r>
          </w:p>
        </w:tc>
        <w:tc>
          <w:tcPr>
            <w:tcW w:w="108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0.7 %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(GBP 13,522)</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First Lien Delayed Draw Term Loan (NOK</w:t>
            </w:r>
          </w:p>
        </w:tc>
        <w:tc>
          <w:tcPr>
            <w:tcW w:w="8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9/6/2022</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line="131" w:lineRule="exact"/>
              <w:rPr>
                <w:sz w:val="20"/>
                <w:szCs w:val="20"/>
                <w:color w:val="auto"/>
              </w:rPr>
            </w:pPr>
            <w:r>
              <w:rPr>
                <w:rFonts w:ascii="Times New Roman" w:cs="Times New Roman" w:eastAsia="Times New Roman" w:hAnsi="Times New Roman"/>
                <w:sz w:val="13"/>
                <w:szCs w:val="13"/>
                <w:color w:val="auto"/>
              </w:rPr>
              <w:t>N + 6.75%</w:t>
            </w:r>
          </w:p>
        </w:tc>
        <w:tc>
          <w:tcPr>
            <w:tcW w:w="12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11.45 %</w:t>
            </w:r>
          </w:p>
        </w:tc>
        <w:tc>
          <w:tcPr>
            <w:tcW w:w="10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710</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4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690</w:t>
            </w:r>
          </w:p>
        </w:tc>
        <w:tc>
          <w:tcPr>
            <w:tcW w:w="108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0.0 %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7,427 par, due 9/2028)</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(NOK 7,501)</w:t>
            </w:r>
          </w:p>
        </w:tc>
        <w:tc>
          <w:tcPr>
            <w:tcW w:w="2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22,705</w:t>
            </w: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25,776</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Communications</w:t>
            </w:r>
          </w:p>
        </w:tc>
        <w:tc>
          <w:tcPr>
            <w:tcW w:w="120" w:type="dxa"/>
            <w:vAlign w:val="bottom"/>
            <w:tcBorders>
              <w:top w:val="single" w:sz="8" w:color="CFF0FC"/>
            </w:tcBorders>
          </w:tcPr>
          <w:p>
            <w:pPr>
              <w:spacing w:after="0"/>
              <w:rPr>
                <w:sz w:val="13"/>
                <w:szCs w:val="13"/>
                <w:color w:val="auto"/>
              </w:rPr>
            </w:pPr>
          </w:p>
        </w:tc>
        <w:tc>
          <w:tcPr>
            <w:tcW w:w="23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74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720" w:type="dxa"/>
            <w:vAlign w:val="bottom"/>
            <w:tcBorders>
              <w:top w:val="single" w:sz="8" w:color="CFF0FC"/>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980" w:type="dxa"/>
            <w:vAlign w:val="bottom"/>
            <w:tcBorders>
              <w:top w:val="single" w:sz="8" w:color="CFF0FC"/>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Babylon Finco Limited </w:t>
            </w:r>
            <w:r>
              <w:rPr>
                <w:rFonts w:ascii="Times New Roman" w:cs="Times New Roman" w:eastAsia="Times New Roman" w:hAnsi="Times New Roman"/>
                <w:sz w:val="15"/>
                <w:szCs w:val="15"/>
                <w:color w:val="auto"/>
                <w:vertAlign w:val="superscript"/>
              </w:rPr>
              <w:t>(3)(4)</w:t>
            </w:r>
          </w:p>
        </w:tc>
        <w:tc>
          <w:tcPr>
            <w:tcW w:w="120" w:type="dxa"/>
            <w:vAlign w:val="bottom"/>
            <w:shd w:val="clear" w:color="auto" w:fill="CFF0FC"/>
          </w:tcPr>
          <w:p>
            <w:pPr>
              <w:spacing w:after="0"/>
              <w:rPr>
                <w:sz w:val="11"/>
                <w:szCs w:val="11"/>
                <w:color w:val="auto"/>
              </w:rPr>
            </w:pPr>
          </w:p>
        </w:tc>
        <w:tc>
          <w:tcPr>
            <w:tcW w:w="236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First-lien loan ($89,521 par, due 1/2031)</w:t>
            </w:r>
          </w:p>
        </w:tc>
        <w:tc>
          <w:tcPr>
            <w:tcW w:w="86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1/26/2024</w:t>
            </w: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80"/>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200" w:type="dxa"/>
            <w:vAlign w:val="bottom"/>
            <w:gridSpan w:val="2"/>
            <w:shd w:val="clear" w:color="auto" w:fill="CFF0FC"/>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11.57 %</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86,658</w:t>
            </w: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64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87,135</w:t>
            </w:r>
          </w:p>
        </w:tc>
        <w:tc>
          <w:tcPr>
            <w:tcW w:w="1080" w:type="dxa"/>
            <w:vAlign w:val="bottom"/>
            <w:gridSpan w:val="3"/>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3.7 %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Banyan Software Holdings,</w:t>
            </w:r>
          </w:p>
        </w:tc>
        <w:tc>
          <w:tcPr>
            <w:tcW w:w="120" w:type="dxa"/>
            <w:vAlign w:val="bottom"/>
          </w:tcPr>
          <w:p>
            <w:pPr>
              <w:spacing w:after="0"/>
              <w:rPr>
                <w:sz w:val="10"/>
                <w:szCs w:val="10"/>
                <w:color w:val="auto"/>
              </w:rPr>
            </w:pPr>
          </w:p>
        </w:tc>
        <w:tc>
          <w:tcPr>
            <w:tcW w:w="23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First-lien loan ($70,899 par, due 10/2026)</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1/27/2023</w:t>
            </w:r>
          </w:p>
        </w:tc>
        <w:tc>
          <w:tcPr>
            <w:tcW w:w="120" w:type="dxa"/>
            <w:vAlign w:val="bottom"/>
          </w:tcPr>
          <w:p>
            <w:pPr>
              <w:spacing w:after="0"/>
              <w:rPr>
                <w:sz w:val="10"/>
                <w:szCs w:val="10"/>
                <w:color w:val="auto"/>
              </w:rPr>
            </w:pPr>
          </w:p>
        </w:tc>
        <w:tc>
          <w:tcPr>
            <w:tcW w:w="96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13"/>
                <w:szCs w:val="13"/>
                <w:color w:val="auto"/>
              </w:rPr>
              <w:t>SOFR +</w:t>
            </w:r>
          </w:p>
        </w:tc>
        <w:tc>
          <w:tcPr>
            <w:tcW w:w="120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3"/>
                <w:szCs w:val="13"/>
                <w:color w:val="auto"/>
              </w:rPr>
              <w:t>12.68 %</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68,244</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71,141</w:t>
            </w:r>
          </w:p>
        </w:tc>
        <w:tc>
          <w:tcPr>
            <w:tcW w:w="10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3.0 %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60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vertAlign w:val="subscript"/>
              </w:rPr>
              <w:t>LLC</w:t>
            </w:r>
            <w:r>
              <w:rPr>
                <w:rFonts w:ascii="Times New Roman" w:cs="Times New Roman" w:eastAsia="Times New Roman" w:hAnsi="Times New Roman"/>
                <w:sz w:val="7"/>
                <w:szCs w:val="7"/>
                <w:color w:val="auto"/>
              </w:rPr>
              <w:t xml:space="preserve"> (3)(4)</w:t>
            </w: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154,902</w:t>
            </w: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158,276</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Education</w:t>
            </w:r>
          </w:p>
        </w:tc>
        <w:tc>
          <w:tcPr>
            <w:tcW w:w="120" w:type="dxa"/>
            <w:vAlign w:val="bottom"/>
            <w:tcBorders>
              <w:top w:val="single" w:sz="8" w:color="CFF0FC"/>
            </w:tcBorders>
          </w:tcPr>
          <w:p>
            <w:pPr>
              <w:spacing w:after="0"/>
              <w:rPr>
                <w:sz w:val="13"/>
                <w:szCs w:val="13"/>
                <w:color w:val="auto"/>
              </w:rPr>
            </w:pPr>
          </w:p>
        </w:tc>
        <w:tc>
          <w:tcPr>
            <w:tcW w:w="23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74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720" w:type="dxa"/>
            <w:vAlign w:val="bottom"/>
            <w:tcBorders>
              <w:top w:val="single" w:sz="8" w:color="CFF0FC"/>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980" w:type="dxa"/>
            <w:vAlign w:val="bottom"/>
            <w:tcBorders>
              <w:top w:val="single" w:sz="8" w:color="CFF0FC"/>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Kangaroo Bidco AS </w:t>
            </w:r>
            <w:r>
              <w:rPr>
                <w:rFonts w:ascii="Times New Roman" w:cs="Times New Roman" w:eastAsia="Times New Roman" w:hAnsi="Times New Roman"/>
                <w:sz w:val="15"/>
                <w:szCs w:val="15"/>
                <w:color w:val="auto"/>
                <w:vertAlign w:val="superscript"/>
              </w:rPr>
              <w:t>(3)(4)</w:t>
            </w:r>
          </w:p>
        </w:tc>
        <w:tc>
          <w:tcPr>
            <w:tcW w:w="120" w:type="dxa"/>
            <w:vAlign w:val="bottom"/>
            <w:shd w:val="clear" w:color="auto" w:fill="CFF0FC"/>
          </w:tcPr>
          <w:p>
            <w:pPr>
              <w:spacing w:after="0"/>
              <w:rPr>
                <w:sz w:val="11"/>
                <w:szCs w:val="11"/>
                <w:color w:val="auto"/>
              </w:rPr>
            </w:pPr>
          </w:p>
        </w:tc>
        <w:tc>
          <w:tcPr>
            <w:tcW w:w="236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First-lien loan ($157,500 par, due 11/2030)</w:t>
            </w:r>
          </w:p>
        </w:tc>
        <w:tc>
          <w:tcPr>
            <w:tcW w:w="86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11/2/2023</w:t>
            </w: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80"/>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200" w:type="dxa"/>
            <w:vAlign w:val="bottom"/>
            <w:gridSpan w:val="2"/>
            <w:shd w:val="clear" w:color="auto" w:fill="CFF0FC"/>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12.90 %</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152,736</w:t>
            </w: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64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154,349</w:t>
            </w:r>
          </w:p>
        </w:tc>
        <w:tc>
          <w:tcPr>
            <w:tcW w:w="1080" w:type="dxa"/>
            <w:vAlign w:val="bottom"/>
            <w:gridSpan w:val="3"/>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6.5 %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Services</w:t>
            </w: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Alaska Bidco Oy </w:t>
            </w:r>
            <w:r>
              <w:rPr>
                <w:rFonts w:ascii="Times New Roman" w:cs="Times New Roman" w:eastAsia="Times New Roman" w:hAnsi="Times New Roman"/>
                <w:sz w:val="15"/>
                <w:szCs w:val="15"/>
                <w:color w:val="auto"/>
                <w:vertAlign w:val="superscript"/>
              </w:rPr>
              <w:t>(3)(4)</w:t>
            </w:r>
          </w:p>
        </w:tc>
        <w:tc>
          <w:tcPr>
            <w:tcW w:w="120" w:type="dxa"/>
            <w:vAlign w:val="bottom"/>
            <w:shd w:val="clear" w:color="auto" w:fill="CFF0FC"/>
          </w:tcPr>
          <w:p>
            <w:pPr>
              <w:spacing w:after="0"/>
              <w:rPr>
                <w:sz w:val="11"/>
                <w:szCs w:val="11"/>
                <w:color w:val="auto"/>
              </w:rPr>
            </w:pPr>
          </w:p>
        </w:tc>
        <w:tc>
          <w:tcPr>
            <w:tcW w:w="236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First-lien loan (EUR 727 par, due 5/2030)</w:t>
            </w:r>
          </w:p>
        </w:tc>
        <w:tc>
          <w:tcPr>
            <w:tcW w:w="86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5/30/2023</w:t>
            </w: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40"/>
              <w:spacing w:after="0" w:line="131" w:lineRule="exact"/>
              <w:rPr>
                <w:sz w:val="20"/>
                <w:szCs w:val="20"/>
                <w:color w:val="auto"/>
              </w:rPr>
            </w:pPr>
            <w:r>
              <w:rPr>
                <w:rFonts w:ascii="Times New Roman" w:cs="Times New Roman" w:eastAsia="Times New Roman" w:hAnsi="Times New Roman"/>
                <w:sz w:val="13"/>
                <w:szCs w:val="13"/>
                <w:color w:val="auto"/>
              </w:rPr>
              <w:t>E + 6.25%</w:t>
            </w:r>
          </w:p>
        </w:tc>
        <w:tc>
          <w:tcPr>
            <w:tcW w:w="1200" w:type="dxa"/>
            <w:vAlign w:val="bottom"/>
            <w:gridSpan w:val="2"/>
            <w:shd w:val="clear" w:color="auto" w:fill="CFF0FC"/>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10.15 %</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756</w:t>
            </w: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64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785</w:t>
            </w:r>
          </w:p>
        </w:tc>
        <w:tc>
          <w:tcPr>
            <w:tcW w:w="1080" w:type="dxa"/>
            <w:vAlign w:val="bottom"/>
            <w:gridSpan w:val="3"/>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0.0 %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727)</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 xml:space="preserve">BCTO Bluebill Buyer, Inc. </w:t>
            </w:r>
            <w:r>
              <w:rPr>
                <w:rFonts w:ascii="Times New Roman" w:cs="Times New Roman" w:eastAsia="Times New Roman" w:hAnsi="Times New Roman"/>
                <w:sz w:val="14"/>
                <w:szCs w:val="14"/>
                <w:color w:val="auto"/>
                <w:vertAlign w:val="superscript"/>
              </w:rPr>
              <w:t>(3)</w:t>
            </w:r>
          </w:p>
        </w:tc>
        <w:tc>
          <w:tcPr>
            <w:tcW w:w="120" w:type="dxa"/>
            <w:vAlign w:val="bottom"/>
          </w:tcPr>
          <w:p>
            <w:pPr>
              <w:spacing w:after="0"/>
              <w:rPr>
                <w:sz w:val="10"/>
                <w:szCs w:val="10"/>
                <w:color w:val="auto"/>
              </w:rPr>
            </w:pPr>
          </w:p>
        </w:tc>
        <w:tc>
          <w:tcPr>
            <w:tcW w:w="23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First-lien loan ($7,548 par, due 7/2029)</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7/20/2023</w:t>
            </w:r>
          </w:p>
        </w:tc>
        <w:tc>
          <w:tcPr>
            <w:tcW w:w="120" w:type="dxa"/>
            <w:vAlign w:val="bottom"/>
          </w:tcPr>
          <w:p>
            <w:pPr>
              <w:spacing w:after="0"/>
              <w:rPr>
                <w:sz w:val="10"/>
                <w:szCs w:val="10"/>
                <w:color w:val="auto"/>
              </w:rPr>
            </w:pPr>
          </w:p>
        </w:tc>
        <w:tc>
          <w:tcPr>
            <w:tcW w:w="96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13"/>
                <w:szCs w:val="13"/>
                <w:color w:val="auto"/>
              </w:rPr>
              <w:t>SOFR +</w:t>
            </w:r>
          </w:p>
        </w:tc>
        <w:tc>
          <w:tcPr>
            <w:tcW w:w="120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3"/>
                <w:szCs w:val="13"/>
                <w:color w:val="auto"/>
              </w:rPr>
              <w:t>12.56 %</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7,297</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7,435</w:t>
            </w:r>
          </w:p>
        </w:tc>
        <w:tc>
          <w:tcPr>
            <w:tcW w:w="10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0.3 %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00" w:type="dxa"/>
            <w:vAlign w:val="bottom"/>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1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6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 xml:space="preserve">BTRS Holdings, Inc. </w:t>
            </w:r>
            <w:r>
              <w:rPr>
                <w:rFonts w:ascii="Times New Roman" w:cs="Times New Roman" w:eastAsia="Times New Roman" w:hAnsi="Times New Roman"/>
                <w:sz w:val="15"/>
                <w:szCs w:val="15"/>
                <w:color w:val="auto"/>
                <w:vertAlign w:val="superscript"/>
              </w:rPr>
              <w:t>(3)</w:t>
            </w:r>
          </w:p>
        </w:tc>
        <w:tc>
          <w:tcPr>
            <w:tcW w:w="120" w:type="dxa"/>
            <w:vAlign w:val="bottom"/>
            <w:shd w:val="clear" w:color="auto" w:fill="CFF0FC"/>
          </w:tcPr>
          <w:p>
            <w:pPr>
              <w:spacing w:after="0"/>
              <w:rPr>
                <w:sz w:val="11"/>
                <w:szCs w:val="11"/>
                <w:color w:val="auto"/>
              </w:rPr>
            </w:pPr>
          </w:p>
        </w:tc>
        <w:tc>
          <w:tcPr>
            <w:tcW w:w="23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First-lien loan ($142,579 par, due 12/2028)</w:t>
            </w:r>
          </w:p>
        </w:tc>
        <w:tc>
          <w:tcPr>
            <w:tcW w:w="86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12/16/2022</w:t>
            </w: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80"/>
              <w:spacing w:after="0" w:line="133" w:lineRule="exact"/>
              <w:rPr>
                <w:sz w:val="20"/>
                <w:szCs w:val="20"/>
                <w:color w:val="auto"/>
              </w:rPr>
            </w:pPr>
            <w:r>
              <w:rPr>
                <w:rFonts w:ascii="Times New Roman" w:cs="Times New Roman" w:eastAsia="Times New Roman" w:hAnsi="Times New Roman"/>
                <w:sz w:val="13"/>
                <w:szCs w:val="13"/>
                <w:color w:val="auto"/>
              </w:rPr>
              <w:t>SOFR +</w:t>
            </w:r>
          </w:p>
        </w:tc>
        <w:tc>
          <w:tcPr>
            <w:tcW w:w="1200" w:type="dxa"/>
            <w:vAlign w:val="bottom"/>
            <w:gridSpan w:val="2"/>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13.33 %</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139,218</w:t>
            </w: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6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143,649</w:t>
            </w:r>
          </w:p>
        </w:tc>
        <w:tc>
          <w:tcPr>
            <w:tcW w:w="108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6.0 %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First-lien revolving loan ($7,229 par, due</w:t>
            </w:r>
          </w:p>
        </w:tc>
        <w:tc>
          <w:tcPr>
            <w:tcW w:w="8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12/16/2022</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2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12.58 %</w:t>
            </w:r>
          </w:p>
        </w:tc>
        <w:tc>
          <w:tcPr>
            <w:tcW w:w="10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6,889</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4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7,337</w:t>
            </w:r>
          </w:p>
        </w:tc>
        <w:tc>
          <w:tcPr>
            <w:tcW w:w="108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0.3 %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00" w:type="dxa"/>
            <w:vAlign w:val="bottom"/>
          </w:tcPr>
          <w:p>
            <w:pPr>
              <w:spacing w:after="0"/>
              <w:rPr>
                <w:sz w:val="14"/>
                <w:szCs w:val="14"/>
                <w:color w:val="auto"/>
              </w:rPr>
            </w:pPr>
          </w:p>
        </w:tc>
        <w:tc>
          <w:tcPr>
            <w:tcW w:w="2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12/2028)</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 xml:space="preserve">CLGF HoldCo 2, LLC </w:t>
            </w:r>
            <w:r>
              <w:rPr>
                <w:rFonts w:ascii="Times New Roman" w:cs="Times New Roman" w:eastAsia="Times New Roman" w:hAnsi="Times New Roman"/>
                <w:sz w:val="15"/>
                <w:szCs w:val="15"/>
                <w:color w:val="auto"/>
                <w:vertAlign w:val="superscript"/>
              </w:rPr>
              <w:t>(3)(4)</w:t>
            </w:r>
          </w:p>
        </w:tc>
        <w:tc>
          <w:tcPr>
            <w:tcW w:w="120" w:type="dxa"/>
            <w:vAlign w:val="bottom"/>
            <w:shd w:val="clear" w:color="auto" w:fill="CFF0FC"/>
          </w:tcPr>
          <w:p>
            <w:pPr>
              <w:spacing w:after="0"/>
              <w:rPr>
                <w:sz w:val="11"/>
                <w:szCs w:val="11"/>
                <w:color w:val="auto"/>
              </w:rPr>
            </w:pPr>
          </w:p>
        </w:tc>
        <w:tc>
          <w:tcPr>
            <w:tcW w:w="23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First-lien loan ($97,902 par, due 11/2027)</w:t>
            </w:r>
          </w:p>
        </w:tc>
        <w:tc>
          <w:tcPr>
            <w:tcW w:w="86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11/7/2023</w:t>
            </w: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80"/>
              <w:spacing w:after="0" w:line="133" w:lineRule="exact"/>
              <w:rPr>
                <w:sz w:val="20"/>
                <w:szCs w:val="20"/>
                <w:color w:val="auto"/>
              </w:rPr>
            </w:pPr>
            <w:r>
              <w:rPr>
                <w:rFonts w:ascii="Times New Roman" w:cs="Times New Roman" w:eastAsia="Times New Roman" w:hAnsi="Times New Roman"/>
                <w:sz w:val="13"/>
                <w:szCs w:val="13"/>
                <w:color w:val="auto"/>
              </w:rPr>
              <w:t>SOFR +</w:t>
            </w:r>
          </w:p>
        </w:tc>
        <w:tc>
          <w:tcPr>
            <w:tcW w:w="1200" w:type="dxa"/>
            <w:vAlign w:val="bottom"/>
            <w:gridSpan w:val="2"/>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13.81 %</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96,219</w:t>
            </w: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6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97,168</w:t>
            </w:r>
          </w:p>
        </w:tc>
        <w:tc>
          <w:tcPr>
            <w:tcW w:w="108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4.1 %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w w:val="99"/>
              </w:rPr>
              <w:t>Second-lien loan ($83,916 par, due 11/2028)</w:t>
            </w:r>
          </w:p>
        </w:tc>
        <w:tc>
          <w:tcPr>
            <w:tcW w:w="8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11/7/2023</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2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17.31 %</w:t>
            </w:r>
          </w:p>
        </w:tc>
        <w:tc>
          <w:tcPr>
            <w:tcW w:w="10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78,092</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4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79,091</w:t>
            </w:r>
          </w:p>
        </w:tc>
        <w:tc>
          <w:tcPr>
            <w:tcW w:w="108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3.3 %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 xml:space="preserve">Fullsteam Operations LLC </w:t>
            </w:r>
            <w:r>
              <w:rPr>
                <w:rFonts w:ascii="Times New Roman" w:cs="Times New Roman" w:eastAsia="Times New Roman" w:hAnsi="Times New Roman"/>
                <w:sz w:val="15"/>
                <w:szCs w:val="15"/>
                <w:color w:val="auto"/>
                <w:vertAlign w:val="superscript"/>
              </w:rPr>
              <w:t>(3)</w:t>
            </w:r>
          </w:p>
        </w:tc>
        <w:tc>
          <w:tcPr>
            <w:tcW w:w="120" w:type="dxa"/>
            <w:vAlign w:val="bottom"/>
            <w:shd w:val="clear" w:color="auto" w:fill="CFF0FC"/>
          </w:tcPr>
          <w:p>
            <w:pPr>
              <w:spacing w:after="0"/>
              <w:rPr>
                <w:sz w:val="11"/>
                <w:szCs w:val="11"/>
                <w:color w:val="auto"/>
              </w:rPr>
            </w:pPr>
          </w:p>
        </w:tc>
        <w:tc>
          <w:tcPr>
            <w:tcW w:w="23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First-lien loan ($78,119 par, due 11/2029)</w:t>
            </w:r>
          </w:p>
        </w:tc>
        <w:tc>
          <w:tcPr>
            <w:tcW w:w="86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11/27/2023</w:t>
            </w: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80"/>
              <w:spacing w:after="0" w:line="133" w:lineRule="exact"/>
              <w:rPr>
                <w:sz w:val="20"/>
                <w:szCs w:val="20"/>
                <w:color w:val="auto"/>
              </w:rPr>
            </w:pPr>
            <w:r>
              <w:rPr>
                <w:rFonts w:ascii="Times New Roman" w:cs="Times New Roman" w:eastAsia="Times New Roman" w:hAnsi="Times New Roman"/>
                <w:sz w:val="13"/>
                <w:szCs w:val="13"/>
                <w:color w:val="auto"/>
              </w:rPr>
              <w:t>SOFR +</w:t>
            </w:r>
          </w:p>
        </w:tc>
        <w:tc>
          <w:tcPr>
            <w:tcW w:w="1200" w:type="dxa"/>
            <w:vAlign w:val="bottom"/>
            <w:gridSpan w:val="2"/>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13.73 %</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75,214</w:t>
            </w: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6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76,539</w:t>
            </w:r>
          </w:p>
        </w:tc>
        <w:tc>
          <w:tcPr>
            <w:tcW w:w="108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3.3 %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8.40%</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Ping Identity Holding Corp. </w:t>
            </w:r>
            <w:r>
              <w:rPr>
                <w:rFonts w:ascii="Times New Roman" w:cs="Times New Roman" w:eastAsia="Times New Roman" w:hAnsi="Times New Roman"/>
                <w:sz w:val="15"/>
                <w:szCs w:val="15"/>
                <w:color w:val="auto"/>
                <w:vertAlign w:val="superscript"/>
              </w:rPr>
              <w:t>(3)</w:t>
            </w:r>
          </w:p>
        </w:tc>
        <w:tc>
          <w:tcPr>
            <w:tcW w:w="120" w:type="dxa"/>
            <w:vAlign w:val="bottom"/>
          </w:tcPr>
          <w:p>
            <w:pPr>
              <w:spacing w:after="0"/>
              <w:rPr>
                <w:sz w:val="11"/>
                <w:szCs w:val="11"/>
                <w:color w:val="auto"/>
              </w:rPr>
            </w:pPr>
          </w:p>
        </w:tc>
        <w:tc>
          <w:tcPr>
            <w:tcW w:w="236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First-lien loan ($136,364 par, due 10/2029)</w:t>
            </w:r>
          </w:p>
        </w:tc>
        <w:tc>
          <w:tcPr>
            <w:tcW w:w="8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10/17/2022</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2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12.33 %</w:t>
            </w:r>
          </w:p>
        </w:tc>
        <w:tc>
          <w:tcPr>
            <w:tcW w:w="10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133,406</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4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138,989</w:t>
            </w:r>
          </w:p>
        </w:tc>
        <w:tc>
          <w:tcPr>
            <w:tcW w:w="108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5.9 %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Volante Technologies, Inc.</w:t>
            </w:r>
          </w:p>
        </w:tc>
        <w:tc>
          <w:tcPr>
            <w:tcW w:w="120" w:type="dxa"/>
            <w:vAlign w:val="bottom"/>
            <w:shd w:val="clear" w:color="auto" w:fill="CFF0FC"/>
          </w:tcPr>
          <w:p>
            <w:pPr>
              <w:spacing w:after="0"/>
              <w:rPr>
                <w:sz w:val="14"/>
                <w:szCs w:val="14"/>
                <w:color w:val="auto"/>
              </w:rPr>
            </w:pPr>
          </w:p>
        </w:tc>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First-lien loan ($2,712 par, due 9/2028)</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9/29/2023</w:t>
            </w:r>
          </w:p>
        </w:tc>
        <w:tc>
          <w:tcPr>
            <w:tcW w:w="10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16.50 %</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16.50% PIK</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2,688</w:t>
            </w: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2,678</w:t>
            </w:r>
          </w:p>
        </w:tc>
        <w:tc>
          <w:tcPr>
            <w:tcW w:w="2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539,779</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553,671</w:t>
            </w:r>
          </w:p>
        </w:tc>
        <w:tc>
          <w:tcPr>
            <w:tcW w:w="22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23.3 %</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120" w:type="dxa"/>
            <w:vAlign w:val="bottom"/>
            <w:shd w:val="clear" w:color="auto" w:fill="CFF0FC"/>
          </w:tcPr>
          <w:p>
            <w:pPr>
              <w:spacing w:after="0"/>
              <w:rPr>
                <w:sz w:val="13"/>
                <w:szCs w:val="13"/>
                <w:color w:val="auto"/>
              </w:rPr>
            </w:pPr>
          </w:p>
        </w:tc>
        <w:tc>
          <w:tcPr>
            <w:tcW w:w="2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16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Edge Bidco B.V </w:t>
            </w:r>
            <w:r>
              <w:rPr>
                <w:rFonts w:ascii="Times New Roman" w:cs="Times New Roman" w:eastAsia="Times New Roman" w:hAnsi="Times New Roman"/>
                <w:sz w:val="15"/>
                <w:szCs w:val="15"/>
                <w:color w:val="auto"/>
                <w:vertAlign w:val="superscript"/>
              </w:rPr>
              <w:t>(3)(4)(5)</w:t>
            </w:r>
          </w:p>
        </w:tc>
        <w:tc>
          <w:tcPr>
            <w:tcW w:w="120" w:type="dxa"/>
            <w:vAlign w:val="bottom"/>
          </w:tcPr>
          <w:p>
            <w:pPr>
              <w:spacing w:after="0"/>
              <w:rPr>
                <w:sz w:val="11"/>
                <w:szCs w:val="11"/>
                <w:color w:val="auto"/>
              </w:rPr>
            </w:pPr>
          </w:p>
        </w:tc>
        <w:tc>
          <w:tcPr>
            <w:tcW w:w="236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First-lien loan (EUR 5,811 par, due 2/2029)</w:t>
            </w:r>
          </w:p>
        </w:tc>
        <w:tc>
          <w:tcPr>
            <w:tcW w:w="8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2/24/2023</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line="131" w:lineRule="exact"/>
              <w:rPr>
                <w:sz w:val="20"/>
                <w:szCs w:val="20"/>
                <w:color w:val="auto"/>
              </w:rPr>
            </w:pPr>
            <w:r>
              <w:rPr>
                <w:rFonts w:ascii="Times New Roman" w:cs="Times New Roman" w:eastAsia="Times New Roman" w:hAnsi="Times New Roman"/>
                <w:sz w:val="13"/>
                <w:szCs w:val="13"/>
                <w:color w:val="auto"/>
              </w:rPr>
              <w:t>E + 7.00%</w:t>
            </w:r>
          </w:p>
        </w:tc>
        <w:tc>
          <w:tcPr>
            <w:tcW w:w="1200" w:type="dxa"/>
            <w:vAlign w:val="bottom"/>
            <w:gridSpan w:val="2"/>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10.93% (incl.</w:t>
            </w:r>
          </w:p>
        </w:tc>
        <w:tc>
          <w:tcPr>
            <w:tcW w:w="10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6,042</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4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6,313</w:t>
            </w:r>
          </w:p>
        </w:tc>
        <w:tc>
          <w:tcPr>
            <w:tcW w:w="108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0.3 %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3.25% PIK)</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5,845)</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 xml:space="preserve">Raptor US Buyer II Corp. </w:t>
            </w:r>
            <w:r>
              <w:rPr>
                <w:rFonts w:ascii="Times New Roman" w:cs="Times New Roman" w:eastAsia="Times New Roman" w:hAnsi="Times New Roman"/>
                <w:sz w:val="15"/>
                <w:szCs w:val="15"/>
                <w:color w:val="auto"/>
                <w:vertAlign w:val="superscript"/>
              </w:rPr>
              <w:t>(3)(5)</w:t>
            </w:r>
          </w:p>
        </w:tc>
        <w:tc>
          <w:tcPr>
            <w:tcW w:w="120" w:type="dxa"/>
            <w:vAlign w:val="bottom"/>
            <w:shd w:val="clear" w:color="auto" w:fill="CFF0FC"/>
          </w:tcPr>
          <w:p>
            <w:pPr>
              <w:spacing w:after="0"/>
              <w:rPr>
                <w:sz w:val="11"/>
                <w:szCs w:val="11"/>
                <w:color w:val="auto"/>
              </w:rPr>
            </w:pPr>
          </w:p>
        </w:tc>
        <w:tc>
          <w:tcPr>
            <w:tcW w:w="23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First-lien loan ($98,357 par, due 3/2029)</w:t>
            </w:r>
          </w:p>
        </w:tc>
        <w:tc>
          <w:tcPr>
            <w:tcW w:w="86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3/24/2023</w:t>
            </w: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80"/>
              <w:spacing w:after="0" w:line="133" w:lineRule="exact"/>
              <w:rPr>
                <w:sz w:val="20"/>
                <w:szCs w:val="20"/>
                <w:color w:val="auto"/>
              </w:rPr>
            </w:pPr>
            <w:r>
              <w:rPr>
                <w:rFonts w:ascii="Times New Roman" w:cs="Times New Roman" w:eastAsia="Times New Roman" w:hAnsi="Times New Roman"/>
                <w:sz w:val="13"/>
                <w:szCs w:val="13"/>
                <w:color w:val="auto"/>
              </w:rPr>
              <w:t>SOFR +</w:t>
            </w:r>
          </w:p>
        </w:tc>
        <w:tc>
          <w:tcPr>
            <w:tcW w:w="1200" w:type="dxa"/>
            <w:vAlign w:val="bottom"/>
            <w:gridSpan w:val="2"/>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12.06 %</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95,346</w:t>
            </w: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6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98,849</w:t>
            </w:r>
          </w:p>
        </w:tc>
        <w:tc>
          <w:tcPr>
            <w:tcW w:w="108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4.2 %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6.75%</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SL Buyer Corp. </w:t>
            </w:r>
            <w:r>
              <w:rPr>
                <w:rFonts w:ascii="Times New Roman" w:cs="Times New Roman" w:eastAsia="Times New Roman" w:hAnsi="Times New Roman"/>
                <w:sz w:val="15"/>
                <w:szCs w:val="15"/>
                <w:color w:val="auto"/>
                <w:vertAlign w:val="superscript"/>
              </w:rPr>
              <w:t>(3)(5)</w:t>
            </w:r>
          </w:p>
        </w:tc>
        <w:tc>
          <w:tcPr>
            <w:tcW w:w="120" w:type="dxa"/>
            <w:vAlign w:val="bottom"/>
          </w:tcPr>
          <w:p>
            <w:pPr>
              <w:spacing w:after="0"/>
              <w:rPr>
                <w:sz w:val="11"/>
                <w:szCs w:val="11"/>
                <w:color w:val="auto"/>
              </w:rPr>
            </w:pPr>
          </w:p>
        </w:tc>
        <w:tc>
          <w:tcPr>
            <w:tcW w:w="236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First-lien loan ($3,569 par, due 7/2029)</w:t>
            </w:r>
          </w:p>
        </w:tc>
        <w:tc>
          <w:tcPr>
            <w:tcW w:w="8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7/7/2023</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2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13.08 %</w:t>
            </w:r>
          </w:p>
        </w:tc>
        <w:tc>
          <w:tcPr>
            <w:tcW w:w="10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3,425</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4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3,526</w:t>
            </w:r>
          </w:p>
        </w:tc>
        <w:tc>
          <w:tcPr>
            <w:tcW w:w="108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0.1 %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104,813</w:t>
            </w: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108,688</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Hotel, Gaming, and Leisure</w:t>
            </w:r>
          </w:p>
        </w:tc>
        <w:tc>
          <w:tcPr>
            <w:tcW w:w="120" w:type="dxa"/>
            <w:vAlign w:val="bottom"/>
            <w:tcBorders>
              <w:top w:val="single" w:sz="8" w:color="CFF0FC"/>
            </w:tcBorders>
          </w:tcPr>
          <w:p>
            <w:pPr>
              <w:spacing w:after="0"/>
              <w:rPr>
                <w:sz w:val="13"/>
                <w:szCs w:val="13"/>
                <w:color w:val="auto"/>
              </w:rPr>
            </w:pPr>
          </w:p>
        </w:tc>
        <w:tc>
          <w:tcPr>
            <w:tcW w:w="23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74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720" w:type="dxa"/>
            <w:vAlign w:val="bottom"/>
            <w:tcBorders>
              <w:top w:val="single" w:sz="8" w:color="CFF0FC"/>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980" w:type="dxa"/>
            <w:vAlign w:val="bottom"/>
            <w:tcBorders>
              <w:top w:val="single" w:sz="8" w:color="CFF0FC"/>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Equinox Holdings, Inc.</w:t>
            </w:r>
          </w:p>
        </w:tc>
        <w:tc>
          <w:tcPr>
            <w:tcW w:w="120" w:type="dxa"/>
            <w:vAlign w:val="bottom"/>
            <w:shd w:val="clear" w:color="auto" w:fill="CFF0FC"/>
          </w:tcPr>
          <w:p>
            <w:pPr>
              <w:spacing w:after="0"/>
              <w:rPr>
                <w:sz w:val="11"/>
                <w:szCs w:val="11"/>
                <w:color w:val="auto"/>
              </w:rPr>
            </w:pPr>
          </w:p>
        </w:tc>
        <w:tc>
          <w:tcPr>
            <w:tcW w:w="236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First-lien loan ($240,219 par, due 3/2029) </w:t>
            </w:r>
            <w:r>
              <w:rPr>
                <w:rFonts w:ascii="Times New Roman" w:cs="Times New Roman" w:eastAsia="Times New Roman" w:hAnsi="Times New Roman"/>
                <w:sz w:val="15"/>
                <w:szCs w:val="15"/>
                <w:color w:val="auto"/>
                <w:vertAlign w:val="superscript"/>
              </w:rPr>
              <w:t>(3)</w:t>
            </w:r>
          </w:p>
        </w:tc>
        <w:tc>
          <w:tcPr>
            <w:tcW w:w="86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3/8/2024</w:t>
            </w: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80"/>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200" w:type="dxa"/>
            <w:vAlign w:val="bottom"/>
            <w:gridSpan w:val="2"/>
            <w:shd w:val="clear" w:color="auto" w:fill="CFF0FC"/>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13.56% (incl.</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236,645</w:t>
            </w: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64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237,216</w:t>
            </w:r>
          </w:p>
        </w:tc>
        <w:tc>
          <w:tcPr>
            <w:tcW w:w="1080" w:type="dxa"/>
            <w:vAlign w:val="bottom"/>
            <w:gridSpan w:val="3"/>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10.0 %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8.25%</w:t>
            </w:r>
          </w:p>
        </w:tc>
        <w:tc>
          <w:tcPr>
            <w:tcW w:w="2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4.13% PIK)</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-6797040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-6797040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-6797040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-4697095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-4697095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-4697095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-3796665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-3796665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-3205480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-3205480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-3205480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-1190625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-1190625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-299720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-299720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9"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5"/>
        </w:trPr>
        <w:tc>
          <w:tcPr>
            <w:tcW w:w="1620" w:type="dxa"/>
            <w:vAlign w:val="bottom"/>
          </w:tcPr>
          <w:p>
            <w:pPr>
              <w:spacing w:after="0"/>
              <w:rPr>
                <w:sz w:val="14"/>
                <w:szCs w:val="14"/>
                <w:color w:val="auto"/>
              </w:rPr>
            </w:pPr>
          </w:p>
        </w:tc>
        <w:tc>
          <w:tcPr>
            <w:tcW w:w="2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Second-lien loan ($10,331 par, due 6/2027)</w:t>
            </w: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3/13/2024</w:t>
            </w:r>
          </w:p>
        </w:tc>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16.00 %</w:t>
            </w:r>
          </w:p>
        </w:tc>
        <w:tc>
          <w:tcPr>
            <w:tcW w:w="11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16.00% PIK</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10,024</w:t>
            </w:r>
          </w:p>
        </w:tc>
        <w:tc>
          <w:tcPr>
            <w:tcW w:w="20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9,995</w:t>
            </w:r>
          </w:p>
        </w:tc>
        <w:tc>
          <w:tcPr>
            <w:tcW w:w="22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620" w:type="dxa"/>
            <w:vAlign w:val="bottom"/>
            <w:shd w:val="clear" w:color="auto" w:fill="CFF0FC"/>
          </w:tcPr>
          <w:p>
            <w:pPr>
              <w:spacing w:after="0"/>
              <w:rPr>
                <w:sz w:val="13"/>
                <w:szCs w:val="13"/>
                <w:color w:val="auto"/>
              </w:rPr>
            </w:pPr>
          </w:p>
        </w:tc>
        <w:tc>
          <w:tcPr>
            <w:tcW w:w="25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246,669</w:t>
            </w:r>
          </w:p>
        </w:tc>
        <w:tc>
          <w:tcPr>
            <w:tcW w:w="200" w:type="dxa"/>
            <w:vAlign w:val="bottom"/>
            <w:shd w:val="clear" w:color="auto" w:fill="CFF0FC"/>
          </w:tcPr>
          <w:p>
            <w:pPr>
              <w:spacing w:after="0"/>
              <w:rPr>
                <w:sz w:val="13"/>
                <w:szCs w:val="13"/>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247,211</w:t>
            </w:r>
          </w:p>
        </w:tc>
        <w:tc>
          <w:tcPr>
            <w:tcW w:w="2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10.4 %</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2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Human Resource Support</w:t>
            </w:r>
          </w:p>
        </w:tc>
        <w:tc>
          <w:tcPr>
            <w:tcW w:w="2560" w:type="dxa"/>
            <w:vAlign w:val="bottom"/>
            <w:tcBorders>
              <w:top w:val="single" w:sz="8" w:color="CFF0FC"/>
            </w:tcBorders>
          </w:tcPr>
          <w:p>
            <w:pPr>
              <w:spacing w:after="0"/>
              <w:rPr>
                <w:sz w:val="10"/>
                <w:szCs w:val="10"/>
                <w:color w:val="auto"/>
              </w:rPr>
            </w:pPr>
          </w:p>
        </w:tc>
        <w:tc>
          <w:tcPr>
            <w:tcW w:w="880" w:type="dxa"/>
            <w:vAlign w:val="bottom"/>
            <w:tcBorders>
              <w:top w:val="single" w:sz="8" w:color="CFF0FC"/>
            </w:tcBorders>
          </w:tcPr>
          <w:p>
            <w:pPr>
              <w:spacing w:after="0"/>
              <w:rPr>
                <w:sz w:val="10"/>
                <w:szCs w:val="10"/>
                <w:color w:val="auto"/>
              </w:rPr>
            </w:pPr>
          </w:p>
        </w:tc>
        <w:tc>
          <w:tcPr>
            <w:tcW w:w="1020" w:type="dxa"/>
            <w:vAlign w:val="bottom"/>
            <w:tcBorders>
              <w:top w:val="single" w:sz="8" w:color="CFF0FC"/>
            </w:tcBorders>
          </w:tcPr>
          <w:p>
            <w:pPr>
              <w:spacing w:after="0"/>
              <w:rPr>
                <w:sz w:val="10"/>
                <w:szCs w:val="10"/>
                <w:color w:val="auto"/>
              </w:rPr>
            </w:pPr>
          </w:p>
        </w:tc>
        <w:tc>
          <w:tcPr>
            <w:tcW w:w="1140" w:type="dxa"/>
            <w:vAlign w:val="bottom"/>
            <w:tcBorders>
              <w:top w:val="single" w:sz="8" w:color="CFF0FC"/>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20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2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 xml:space="preserve">bswift, LLC </w:t>
            </w:r>
            <w:r>
              <w:rPr>
                <w:rFonts w:ascii="Times New Roman" w:cs="Times New Roman" w:eastAsia="Times New Roman" w:hAnsi="Times New Roman"/>
                <w:sz w:val="15"/>
                <w:szCs w:val="15"/>
                <w:color w:val="auto"/>
                <w:vertAlign w:val="superscript"/>
              </w:rPr>
              <w:t>(3)(5)</w:t>
            </w:r>
          </w:p>
        </w:tc>
        <w:tc>
          <w:tcPr>
            <w:tcW w:w="2560" w:type="dxa"/>
            <w:vAlign w:val="bottom"/>
            <w:shd w:val="clear" w:color="auto" w:fill="CFF0FC"/>
          </w:tcPr>
          <w:p>
            <w:pPr>
              <w:ind w:left="120"/>
              <w:spacing w:after="0" w:line="133" w:lineRule="exact"/>
              <w:rPr>
                <w:sz w:val="20"/>
                <w:szCs w:val="20"/>
                <w:color w:val="auto"/>
              </w:rPr>
            </w:pPr>
            <w:r>
              <w:rPr>
                <w:rFonts w:ascii="Times New Roman" w:cs="Times New Roman" w:eastAsia="Times New Roman" w:hAnsi="Times New Roman"/>
                <w:sz w:val="13"/>
                <w:szCs w:val="13"/>
                <w:color w:val="auto"/>
              </w:rPr>
              <w:t>First-lien loan ($140,614 par, due 11/2028)</w:t>
            </w:r>
          </w:p>
        </w:tc>
        <w:tc>
          <w:tcPr>
            <w:tcW w:w="880" w:type="dxa"/>
            <w:vAlign w:val="bottom"/>
            <w:shd w:val="clear" w:color="auto" w:fill="CFF0FC"/>
          </w:tcPr>
          <w:p>
            <w:pPr>
              <w:jc w:val="right"/>
              <w:ind w:right="77"/>
              <w:spacing w:after="0" w:line="133" w:lineRule="exact"/>
              <w:rPr>
                <w:sz w:val="20"/>
                <w:szCs w:val="20"/>
                <w:color w:val="auto"/>
              </w:rPr>
            </w:pPr>
            <w:r>
              <w:rPr>
                <w:rFonts w:ascii="Times New Roman" w:cs="Times New Roman" w:eastAsia="Times New Roman" w:hAnsi="Times New Roman"/>
                <w:sz w:val="13"/>
                <w:szCs w:val="13"/>
                <w:color w:val="auto"/>
              </w:rPr>
              <w:t>11/7/2022</w:t>
            </w:r>
          </w:p>
        </w:tc>
        <w:tc>
          <w:tcPr>
            <w:tcW w:w="1020" w:type="dxa"/>
            <w:vAlign w:val="bottom"/>
            <w:shd w:val="clear" w:color="auto" w:fill="CFF0FC"/>
          </w:tcPr>
          <w:p>
            <w:pPr>
              <w:jc w:val="right"/>
              <w:ind w:right="277"/>
              <w:spacing w:after="0" w:line="133"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shd w:val="clear" w:color="auto" w:fill="CFF0FC"/>
          </w:tcPr>
          <w:p>
            <w:pPr>
              <w:jc w:val="right"/>
              <w:ind w:right="37"/>
              <w:spacing w:after="0" w:line="133" w:lineRule="exact"/>
              <w:rPr>
                <w:sz w:val="20"/>
                <w:szCs w:val="20"/>
                <w:color w:val="auto"/>
              </w:rPr>
            </w:pPr>
            <w:r>
              <w:rPr>
                <w:rFonts w:ascii="Times New Roman" w:cs="Times New Roman" w:eastAsia="Times New Roman" w:hAnsi="Times New Roman"/>
                <w:sz w:val="13"/>
                <w:szCs w:val="13"/>
                <w:color w:val="auto"/>
              </w:rPr>
              <w:t>11.70 %</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136,996</w:t>
            </w:r>
          </w:p>
        </w:tc>
        <w:tc>
          <w:tcPr>
            <w:tcW w:w="222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143,074</w:t>
            </w:r>
          </w:p>
        </w:tc>
        <w:tc>
          <w:tcPr>
            <w:tcW w:w="108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6.0 %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FF0FC"/>
          </w:tcPr>
          <w:p>
            <w:pPr>
              <w:spacing w:after="0"/>
              <w:rPr>
                <w:sz w:val="14"/>
                <w:szCs w:val="14"/>
                <w:color w:val="auto"/>
              </w:rPr>
            </w:pPr>
          </w:p>
        </w:tc>
        <w:tc>
          <w:tcPr>
            <w:tcW w:w="25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rPr>
              <w:t>6.38%</w:t>
            </w:r>
          </w:p>
        </w:tc>
        <w:tc>
          <w:tcPr>
            <w:tcW w:w="1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2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HireVue, Inc. </w:t>
            </w:r>
            <w:r>
              <w:rPr>
                <w:rFonts w:ascii="Times New Roman" w:cs="Times New Roman" w:eastAsia="Times New Roman" w:hAnsi="Times New Roman"/>
                <w:sz w:val="15"/>
                <w:szCs w:val="15"/>
                <w:color w:val="auto"/>
                <w:vertAlign w:val="superscript"/>
              </w:rPr>
              <w:t>(3)</w:t>
            </w:r>
          </w:p>
        </w:tc>
        <w:tc>
          <w:tcPr>
            <w:tcW w:w="2560" w:type="dxa"/>
            <w:vAlign w:val="bottom"/>
          </w:tcPr>
          <w:p>
            <w:pPr>
              <w:ind w:left="120"/>
              <w:spacing w:after="0" w:line="131" w:lineRule="exact"/>
              <w:rPr>
                <w:sz w:val="20"/>
                <w:szCs w:val="20"/>
                <w:color w:val="auto"/>
              </w:rPr>
            </w:pPr>
            <w:r>
              <w:rPr>
                <w:rFonts w:ascii="Times New Roman" w:cs="Times New Roman" w:eastAsia="Times New Roman" w:hAnsi="Times New Roman"/>
                <w:sz w:val="13"/>
                <w:szCs w:val="13"/>
                <w:color w:val="auto"/>
              </w:rPr>
              <w:t>First-lien loan ($110,610 par, due 5/2029)</w:t>
            </w:r>
          </w:p>
        </w:tc>
        <w:tc>
          <w:tcPr>
            <w:tcW w:w="880" w:type="dxa"/>
            <w:vAlign w:val="bottom"/>
          </w:tcPr>
          <w:p>
            <w:pPr>
              <w:jc w:val="right"/>
              <w:ind w:right="77"/>
              <w:spacing w:after="0" w:line="131" w:lineRule="exact"/>
              <w:rPr>
                <w:sz w:val="20"/>
                <w:szCs w:val="20"/>
                <w:color w:val="auto"/>
              </w:rPr>
            </w:pPr>
            <w:r>
              <w:rPr>
                <w:rFonts w:ascii="Times New Roman" w:cs="Times New Roman" w:eastAsia="Times New Roman" w:hAnsi="Times New Roman"/>
                <w:sz w:val="13"/>
                <w:szCs w:val="13"/>
                <w:color w:val="auto"/>
              </w:rPr>
              <w:t>5/3/2023</w:t>
            </w:r>
          </w:p>
        </w:tc>
        <w:tc>
          <w:tcPr>
            <w:tcW w:w="1020" w:type="dxa"/>
            <w:vAlign w:val="bottom"/>
          </w:tcPr>
          <w:p>
            <w:pPr>
              <w:jc w:val="right"/>
              <w:ind w:right="277"/>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12.56 %</w:t>
            </w:r>
          </w:p>
        </w:tc>
        <w:tc>
          <w:tcPr>
            <w:tcW w:w="7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107,875</w:t>
            </w:r>
          </w:p>
        </w:tc>
        <w:tc>
          <w:tcPr>
            <w:tcW w:w="22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111,163</w:t>
            </w:r>
          </w:p>
        </w:tc>
        <w:tc>
          <w:tcPr>
            <w:tcW w:w="108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4.7 %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7.25%</w:t>
            </w: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20" w:type="dxa"/>
            <w:vAlign w:val="bottom"/>
            <w:shd w:val="clear" w:color="auto" w:fill="CFF0FC"/>
          </w:tcPr>
          <w:p>
            <w:pPr>
              <w:spacing w:after="0"/>
              <w:rPr>
                <w:sz w:val="11"/>
                <w:szCs w:val="11"/>
                <w:color w:val="auto"/>
              </w:rPr>
            </w:pPr>
          </w:p>
        </w:tc>
        <w:tc>
          <w:tcPr>
            <w:tcW w:w="2560" w:type="dxa"/>
            <w:vAlign w:val="bottom"/>
            <w:shd w:val="clear" w:color="auto" w:fill="CFF0FC"/>
          </w:tcPr>
          <w:p>
            <w:pPr>
              <w:ind w:left="120"/>
              <w:spacing w:after="0" w:line="133" w:lineRule="exact"/>
              <w:rPr>
                <w:sz w:val="20"/>
                <w:szCs w:val="20"/>
                <w:color w:val="auto"/>
              </w:rPr>
            </w:pPr>
            <w:r>
              <w:rPr>
                <w:rFonts w:ascii="Times New Roman" w:cs="Times New Roman" w:eastAsia="Times New Roman" w:hAnsi="Times New Roman"/>
                <w:sz w:val="13"/>
                <w:szCs w:val="13"/>
                <w:color w:val="auto"/>
              </w:rPr>
              <w:t>First-lien revolving loan ($2,823 par, due</w:t>
            </w:r>
          </w:p>
        </w:tc>
        <w:tc>
          <w:tcPr>
            <w:tcW w:w="880" w:type="dxa"/>
            <w:vAlign w:val="bottom"/>
            <w:shd w:val="clear" w:color="auto" w:fill="CFF0FC"/>
          </w:tcPr>
          <w:p>
            <w:pPr>
              <w:jc w:val="right"/>
              <w:ind w:right="77"/>
              <w:spacing w:after="0" w:line="133" w:lineRule="exact"/>
              <w:rPr>
                <w:sz w:val="20"/>
                <w:szCs w:val="20"/>
                <w:color w:val="auto"/>
              </w:rPr>
            </w:pPr>
            <w:r>
              <w:rPr>
                <w:rFonts w:ascii="Times New Roman" w:cs="Times New Roman" w:eastAsia="Times New Roman" w:hAnsi="Times New Roman"/>
                <w:sz w:val="13"/>
                <w:szCs w:val="13"/>
                <w:color w:val="auto"/>
              </w:rPr>
              <w:t>5/3/2023</w:t>
            </w:r>
          </w:p>
        </w:tc>
        <w:tc>
          <w:tcPr>
            <w:tcW w:w="1020" w:type="dxa"/>
            <w:vAlign w:val="bottom"/>
            <w:shd w:val="clear" w:color="auto" w:fill="CFF0FC"/>
          </w:tcPr>
          <w:p>
            <w:pPr>
              <w:jc w:val="right"/>
              <w:ind w:right="277"/>
              <w:spacing w:after="0" w:line="133"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shd w:val="clear" w:color="auto" w:fill="CFF0FC"/>
          </w:tcPr>
          <w:p>
            <w:pPr>
              <w:jc w:val="right"/>
              <w:ind w:right="37"/>
              <w:spacing w:after="0" w:line="133" w:lineRule="exact"/>
              <w:rPr>
                <w:sz w:val="20"/>
                <w:szCs w:val="20"/>
                <w:color w:val="auto"/>
              </w:rPr>
            </w:pPr>
            <w:r>
              <w:rPr>
                <w:rFonts w:ascii="Times New Roman" w:cs="Times New Roman" w:eastAsia="Times New Roman" w:hAnsi="Times New Roman"/>
                <w:sz w:val="13"/>
                <w:szCs w:val="13"/>
                <w:color w:val="auto"/>
              </w:rPr>
              <w:t>12.57 %</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2,474</w:t>
            </w:r>
          </w:p>
        </w:tc>
        <w:tc>
          <w:tcPr>
            <w:tcW w:w="222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2,893</w:t>
            </w:r>
          </w:p>
        </w:tc>
        <w:tc>
          <w:tcPr>
            <w:tcW w:w="108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FF0FC"/>
          </w:tcPr>
          <w:p>
            <w:pPr>
              <w:spacing w:after="0"/>
              <w:rPr>
                <w:sz w:val="14"/>
                <w:szCs w:val="14"/>
                <w:color w:val="auto"/>
              </w:rPr>
            </w:pPr>
          </w:p>
        </w:tc>
        <w:tc>
          <w:tcPr>
            <w:tcW w:w="2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5/2029)</w:t>
            </w: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rPr>
              <w:t>7.25%</w:t>
            </w:r>
          </w:p>
        </w:tc>
        <w:tc>
          <w:tcPr>
            <w:tcW w:w="1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2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MadCap Software, Inc. </w:t>
            </w:r>
            <w:r>
              <w:rPr>
                <w:rFonts w:ascii="Times New Roman" w:cs="Times New Roman" w:eastAsia="Times New Roman" w:hAnsi="Times New Roman"/>
                <w:sz w:val="15"/>
                <w:szCs w:val="15"/>
                <w:color w:val="auto"/>
                <w:vertAlign w:val="superscript"/>
              </w:rPr>
              <w:t>(3)(5)</w:t>
            </w:r>
          </w:p>
        </w:tc>
        <w:tc>
          <w:tcPr>
            <w:tcW w:w="2560" w:type="dxa"/>
            <w:vAlign w:val="bottom"/>
          </w:tcPr>
          <w:p>
            <w:pPr>
              <w:ind w:left="120"/>
              <w:spacing w:after="0" w:line="131" w:lineRule="exact"/>
              <w:rPr>
                <w:sz w:val="20"/>
                <w:szCs w:val="20"/>
                <w:color w:val="auto"/>
              </w:rPr>
            </w:pPr>
            <w:r>
              <w:rPr>
                <w:rFonts w:ascii="Times New Roman" w:cs="Times New Roman" w:eastAsia="Times New Roman" w:hAnsi="Times New Roman"/>
                <w:sz w:val="13"/>
                <w:szCs w:val="13"/>
                <w:color w:val="auto"/>
              </w:rPr>
              <w:t>First-lien loan ($2,494 par, due 12/2026)</w:t>
            </w:r>
          </w:p>
        </w:tc>
        <w:tc>
          <w:tcPr>
            <w:tcW w:w="880" w:type="dxa"/>
            <w:vAlign w:val="bottom"/>
          </w:tcPr>
          <w:p>
            <w:pPr>
              <w:jc w:val="right"/>
              <w:ind w:right="77"/>
              <w:spacing w:after="0" w:line="131" w:lineRule="exact"/>
              <w:rPr>
                <w:sz w:val="20"/>
                <w:szCs w:val="20"/>
                <w:color w:val="auto"/>
              </w:rPr>
            </w:pPr>
            <w:r>
              <w:rPr>
                <w:rFonts w:ascii="Times New Roman" w:cs="Times New Roman" w:eastAsia="Times New Roman" w:hAnsi="Times New Roman"/>
                <w:sz w:val="13"/>
                <w:szCs w:val="13"/>
                <w:color w:val="auto"/>
              </w:rPr>
              <w:t>12/15/2023</w:t>
            </w:r>
          </w:p>
        </w:tc>
        <w:tc>
          <w:tcPr>
            <w:tcW w:w="1020" w:type="dxa"/>
            <w:vAlign w:val="bottom"/>
          </w:tcPr>
          <w:p>
            <w:pPr>
              <w:jc w:val="right"/>
              <w:ind w:right="277"/>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11.43 %</w:t>
            </w:r>
          </w:p>
        </w:tc>
        <w:tc>
          <w:tcPr>
            <w:tcW w:w="7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2,439</w:t>
            </w:r>
          </w:p>
        </w:tc>
        <w:tc>
          <w:tcPr>
            <w:tcW w:w="22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2,444</w:t>
            </w:r>
          </w:p>
        </w:tc>
        <w:tc>
          <w:tcPr>
            <w:tcW w:w="108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0.1 %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6.10%</w:t>
            </w:r>
          </w:p>
        </w:tc>
        <w:tc>
          <w:tcPr>
            <w:tcW w:w="11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shd w:val="clear" w:color="auto" w:fill="CFF0FC"/>
          </w:tcPr>
          <w:p>
            <w:pPr>
              <w:spacing w:after="0"/>
              <w:rPr>
                <w:sz w:val="13"/>
                <w:szCs w:val="13"/>
                <w:color w:val="auto"/>
              </w:rPr>
            </w:pPr>
          </w:p>
        </w:tc>
        <w:tc>
          <w:tcPr>
            <w:tcW w:w="25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249,784</w:t>
            </w:r>
          </w:p>
        </w:tc>
        <w:tc>
          <w:tcPr>
            <w:tcW w:w="2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259,574</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Insurance</w:t>
            </w:r>
          </w:p>
        </w:tc>
        <w:tc>
          <w:tcPr>
            <w:tcW w:w="2560" w:type="dxa"/>
            <w:vAlign w:val="bottom"/>
            <w:tcBorders>
              <w:top w:val="single" w:sz="8" w:color="CFF0FC"/>
            </w:tcBorders>
          </w:tcPr>
          <w:p>
            <w:pPr>
              <w:spacing w:after="0"/>
              <w:rPr>
                <w:sz w:val="13"/>
                <w:szCs w:val="13"/>
                <w:color w:val="auto"/>
              </w:rPr>
            </w:pPr>
          </w:p>
        </w:tc>
        <w:tc>
          <w:tcPr>
            <w:tcW w:w="880" w:type="dxa"/>
            <w:vAlign w:val="bottom"/>
            <w:tcBorders>
              <w:top w:val="single" w:sz="8" w:color="CFF0FC"/>
            </w:tcBorders>
          </w:tcPr>
          <w:p>
            <w:pPr>
              <w:spacing w:after="0"/>
              <w:rPr>
                <w:sz w:val="13"/>
                <w:szCs w:val="13"/>
                <w:color w:val="auto"/>
              </w:rPr>
            </w:pPr>
          </w:p>
        </w:tc>
        <w:tc>
          <w:tcPr>
            <w:tcW w:w="1020" w:type="dxa"/>
            <w:vAlign w:val="bottom"/>
            <w:tcBorders>
              <w:top w:val="single" w:sz="8" w:color="CFF0FC"/>
            </w:tcBorders>
          </w:tcPr>
          <w:p>
            <w:pPr>
              <w:spacing w:after="0"/>
              <w:rPr>
                <w:sz w:val="13"/>
                <w:szCs w:val="13"/>
                <w:color w:val="auto"/>
              </w:rPr>
            </w:pPr>
          </w:p>
        </w:tc>
        <w:tc>
          <w:tcPr>
            <w:tcW w:w="1140" w:type="dxa"/>
            <w:vAlign w:val="bottom"/>
            <w:tcBorders>
              <w:top w:val="single" w:sz="8" w:color="CFF0FC"/>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20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62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2"/>
                <w:szCs w:val="12"/>
                <w:color w:val="auto"/>
              </w:rPr>
              <w:t>Disco Parent, Inc.</w:t>
            </w:r>
            <w:r>
              <w:rPr>
                <w:rFonts w:ascii="Times New Roman" w:cs="Times New Roman" w:eastAsia="Times New Roman" w:hAnsi="Times New Roman"/>
                <w:sz w:val="15"/>
                <w:szCs w:val="15"/>
                <w:color w:val="auto"/>
                <w:vertAlign w:val="superscript"/>
              </w:rPr>
              <w:t>(3)</w:t>
            </w:r>
          </w:p>
        </w:tc>
        <w:tc>
          <w:tcPr>
            <w:tcW w:w="2560" w:type="dxa"/>
            <w:vAlign w:val="bottom"/>
            <w:shd w:val="clear" w:color="auto" w:fill="CFF0FC"/>
          </w:tcPr>
          <w:p>
            <w:pPr>
              <w:ind w:left="120"/>
              <w:spacing w:after="0" w:line="131" w:lineRule="exact"/>
              <w:rPr>
                <w:sz w:val="20"/>
                <w:szCs w:val="20"/>
                <w:color w:val="auto"/>
              </w:rPr>
            </w:pPr>
            <w:r>
              <w:rPr>
                <w:rFonts w:ascii="Times New Roman" w:cs="Times New Roman" w:eastAsia="Times New Roman" w:hAnsi="Times New Roman"/>
                <w:sz w:val="13"/>
                <w:szCs w:val="13"/>
                <w:color w:val="auto"/>
              </w:rPr>
              <w:t>First-lien loan ($57,756 par, due 3/2029)</w:t>
            </w:r>
          </w:p>
        </w:tc>
        <w:tc>
          <w:tcPr>
            <w:tcW w:w="880" w:type="dxa"/>
            <w:vAlign w:val="bottom"/>
            <w:shd w:val="clear" w:color="auto" w:fill="CFF0FC"/>
          </w:tcPr>
          <w:p>
            <w:pPr>
              <w:jc w:val="right"/>
              <w:ind w:right="77"/>
              <w:spacing w:after="0" w:line="131" w:lineRule="exact"/>
              <w:rPr>
                <w:sz w:val="20"/>
                <w:szCs w:val="20"/>
                <w:color w:val="auto"/>
              </w:rPr>
            </w:pPr>
            <w:r>
              <w:rPr>
                <w:rFonts w:ascii="Times New Roman" w:cs="Times New Roman" w:eastAsia="Times New Roman" w:hAnsi="Times New Roman"/>
                <w:sz w:val="13"/>
                <w:szCs w:val="13"/>
                <w:color w:val="auto"/>
              </w:rPr>
              <w:t>3/30/2023</w:t>
            </w:r>
          </w:p>
        </w:tc>
        <w:tc>
          <w:tcPr>
            <w:tcW w:w="1020" w:type="dxa"/>
            <w:vAlign w:val="bottom"/>
            <w:shd w:val="clear" w:color="auto" w:fill="CFF0FC"/>
          </w:tcPr>
          <w:p>
            <w:pPr>
              <w:jc w:val="right"/>
              <w:ind w:right="277"/>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shd w:val="clear" w:color="auto" w:fill="CFF0FC"/>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12.84 %</w:t>
            </w:r>
          </w:p>
        </w:tc>
        <w:tc>
          <w:tcPr>
            <w:tcW w:w="72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56,434</w:t>
            </w:r>
          </w:p>
        </w:tc>
        <w:tc>
          <w:tcPr>
            <w:tcW w:w="222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58,074</w:t>
            </w:r>
          </w:p>
        </w:tc>
        <w:tc>
          <w:tcPr>
            <w:tcW w:w="1080" w:type="dxa"/>
            <w:vAlign w:val="bottom"/>
            <w:gridSpan w:val="3"/>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2.4 %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FF0FC"/>
          </w:tcPr>
          <w:p>
            <w:pPr>
              <w:spacing w:after="0"/>
              <w:rPr>
                <w:sz w:val="14"/>
                <w:szCs w:val="14"/>
                <w:color w:val="auto"/>
              </w:rPr>
            </w:pPr>
          </w:p>
        </w:tc>
        <w:tc>
          <w:tcPr>
            <w:tcW w:w="25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rPr>
              <w:t>7.50%</w:t>
            </w:r>
          </w:p>
        </w:tc>
        <w:tc>
          <w:tcPr>
            <w:tcW w:w="1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Internet Services</w:t>
            </w:r>
          </w:p>
        </w:tc>
        <w:tc>
          <w:tcPr>
            <w:tcW w:w="2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2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Arrow Buyer, Inc. </w:t>
            </w:r>
            <w:r>
              <w:rPr>
                <w:rFonts w:ascii="Times New Roman" w:cs="Times New Roman" w:eastAsia="Times New Roman" w:hAnsi="Times New Roman"/>
                <w:sz w:val="15"/>
                <w:szCs w:val="15"/>
                <w:color w:val="auto"/>
                <w:vertAlign w:val="superscript"/>
              </w:rPr>
              <w:t>(3)</w:t>
            </w:r>
          </w:p>
        </w:tc>
        <w:tc>
          <w:tcPr>
            <w:tcW w:w="2560" w:type="dxa"/>
            <w:vAlign w:val="bottom"/>
            <w:shd w:val="clear" w:color="auto" w:fill="CFF0FC"/>
          </w:tcPr>
          <w:p>
            <w:pPr>
              <w:ind w:left="120"/>
              <w:spacing w:after="0" w:line="131" w:lineRule="exact"/>
              <w:rPr>
                <w:sz w:val="20"/>
                <w:szCs w:val="20"/>
                <w:color w:val="auto"/>
              </w:rPr>
            </w:pPr>
            <w:r>
              <w:rPr>
                <w:rFonts w:ascii="Times New Roman" w:cs="Times New Roman" w:eastAsia="Times New Roman" w:hAnsi="Times New Roman"/>
                <w:sz w:val="13"/>
                <w:szCs w:val="13"/>
                <w:color w:val="auto"/>
              </w:rPr>
              <w:t>First-lien loan ($129,539 par, due 7/2030)</w:t>
            </w:r>
          </w:p>
        </w:tc>
        <w:tc>
          <w:tcPr>
            <w:tcW w:w="880" w:type="dxa"/>
            <w:vAlign w:val="bottom"/>
            <w:shd w:val="clear" w:color="auto" w:fill="CFF0FC"/>
          </w:tcPr>
          <w:p>
            <w:pPr>
              <w:jc w:val="right"/>
              <w:ind w:right="77"/>
              <w:spacing w:after="0" w:line="131" w:lineRule="exact"/>
              <w:rPr>
                <w:sz w:val="20"/>
                <w:szCs w:val="20"/>
                <w:color w:val="auto"/>
              </w:rPr>
            </w:pPr>
            <w:r>
              <w:rPr>
                <w:rFonts w:ascii="Times New Roman" w:cs="Times New Roman" w:eastAsia="Times New Roman" w:hAnsi="Times New Roman"/>
                <w:sz w:val="13"/>
                <w:szCs w:val="13"/>
                <w:color w:val="auto"/>
              </w:rPr>
              <w:t>6/30/2023</w:t>
            </w:r>
          </w:p>
        </w:tc>
        <w:tc>
          <w:tcPr>
            <w:tcW w:w="1020" w:type="dxa"/>
            <w:vAlign w:val="bottom"/>
            <w:shd w:val="clear" w:color="auto" w:fill="CFF0FC"/>
          </w:tcPr>
          <w:p>
            <w:pPr>
              <w:jc w:val="right"/>
              <w:ind w:right="277"/>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shd w:val="clear" w:color="auto" w:fill="CFF0FC"/>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11.80 %</w:t>
            </w:r>
          </w:p>
        </w:tc>
        <w:tc>
          <w:tcPr>
            <w:tcW w:w="72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126,309</w:t>
            </w:r>
          </w:p>
        </w:tc>
        <w:tc>
          <w:tcPr>
            <w:tcW w:w="222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129,539</w:t>
            </w:r>
          </w:p>
        </w:tc>
        <w:tc>
          <w:tcPr>
            <w:tcW w:w="1080" w:type="dxa"/>
            <w:vAlign w:val="bottom"/>
            <w:gridSpan w:val="3"/>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5.4 %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FF0FC"/>
          </w:tcPr>
          <w:p>
            <w:pPr>
              <w:spacing w:after="0"/>
              <w:rPr>
                <w:sz w:val="14"/>
                <w:szCs w:val="14"/>
                <w:color w:val="auto"/>
              </w:rPr>
            </w:pPr>
          </w:p>
        </w:tc>
        <w:tc>
          <w:tcPr>
            <w:tcW w:w="25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rPr>
              <w:t>6.50%</w:t>
            </w:r>
          </w:p>
        </w:tc>
        <w:tc>
          <w:tcPr>
            <w:tcW w:w="1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2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Coupa Holdings, LLC </w:t>
            </w:r>
            <w:r>
              <w:rPr>
                <w:rFonts w:ascii="Times New Roman" w:cs="Times New Roman" w:eastAsia="Times New Roman" w:hAnsi="Times New Roman"/>
                <w:sz w:val="15"/>
                <w:szCs w:val="15"/>
                <w:color w:val="auto"/>
                <w:vertAlign w:val="superscript"/>
              </w:rPr>
              <w:t>(3)</w:t>
            </w:r>
          </w:p>
        </w:tc>
        <w:tc>
          <w:tcPr>
            <w:tcW w:w="2560" w:type="dxa"/>
            <w:vAlign w:val="bottom"/>
          </w:tcPr>
          <w:p>
            <w:pPr>
              <w:ind w:left="120"/>
              <w:spacing w:after="0" w:line="131" w:lineRule="exact"/>
              <w:rPr>
                <w:sz w:val="20"/>
                <w:szCs w:val="20"/>
                <w:color w:val="auto"/>
              </w:rPr>
            </w:pPr>
            <w:r>
              <w:rPr>
                <w:rFonts w:ascii="Times New Roman" w:cs="Times New Roman" w:eastAsia="Times New Roman" w:hAnsi="Times New Roman"/>
                <w:sz w:val="13"/>
                <w:szCs w:val="13"/>
                <w:color w:val="auto"/>
              </w:rPr>
              <w:t>First-lien loan ($129,573 par, due 2/2030)</w:t>
            </w:r>
          </w:p>
        </w:tc>
        <w:tc>
          <w:tcPr>
            <w:tcW w:w="880" w:type="dxa"/>
            <w:vAlign w:val="bottom"/>
          </w:tcPr>
          <w:p>
            <w:pPr>
              <w:jc w:val="right"/>
              <w:ind w:right="77"/>
              <w:spacing w:after="0" w:line="131" w:lineRule="exact"/>
              <w:rPr>
                <w:sz w:val="20"/>
                <w:szCs w:val="20"/>
                <w:color w:val="auto"/>
              </w:rPr>
            </w:pPr>
            <w:r>
              <w:rPr>
                <w:rFonts w:ascii="Times New Roman" w:cs="Times New Roman" w:eastAsia="Times New Roman" w:hAnsi="Times New Roman"/>
                <w:sz w:val="13"/>
                <w:szCs w:val="13"/>
                <w:color w:val="auto"/>
              </w:rPr>
              <w:t>2/27/2023</w:t>
            </w:r>
          </w:p>
        </w:tc>
        <w:tc>
          <w:tcPr>
            <w:tcW w:w="1020" w:type="dxa"/>
            <w:vAlign w:val="bottom"/>
          </w:tcPr>
          <w:p>
            <w:pPr>
              <w:jc w:val="right"/>
              <w:ind w:right="277"/>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12.81 %</w:t>
            </w:r>
          </w:p>
        </w:tc>
        <w:tc>
          <w:tcPr>
            <w:tcW w:w="7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126,536</w:t>
            </w:r>
          </w:p>
        </w:tc>
        <w:tc>
          <w:tcPr>
            <w:tcW w:w="22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132,573</w:t>
            </w:r>
          </w:p>
        </w:tc>
        <w:tc>
          <w:tcPr>
            <w:tcW w:w="108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5.6 %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7.50%</w:t>
            </w: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 xml:space="preserve">Hippo XPA Bidco AB </w:t>
            </w:r>
            <w:r>
              <w:rPr>
                <w:rFonts w:ascii="Times New Roman" w:cs="Times New Roman" w:eastAsia="Times New Roman" w:hAnsi="Times New Roman"/>
                <w:sz w:val="15"/>
                <w:szCs w:val="15"/>
                <w:color w:val="auto"/>
                <w:vertAlign w:val="superscript"/>
              </w:rPr>
              <w:t>(3)(4)</w:t>
            </w:r>
          </w:p>
        </w:tc>
        <w:tc>
          <w:tcPr>
            <w:tcW w:w="2560" w:type="dxa"/>
            <w:vAlign w:val="bottom"/>
            <w:shd w:val="clear" w:color="auto" w:fill="CFF0FC"/>
          </w:tcPr>
          <w:p>
            <w:pPr>
              <w:ind w:left="120"/>
              <w:spacing w:after="0" w:line="133" w:lineRule="exact"/>
              <w:rPr>
                <w:sz w:val="20"/>
                <w:szCs w:val="20"/>
                <w:color w:val="auto"/>
              </w:rPr>
            </w:pPr>
            <w:r>
              <w:rPr>
                <w:rFonts w:ascii="Times New Roman" w:cs="Times New Roman" w:eastAsia="Times New Roman" w:hAnsi="Times New Roman"/>
                <w:sz w:val="13"/>
                <w:szCs w:val="13"/>
                <w:color w:val="auto"/>
              </w:rPr>
              <w:t>First-lien loan (SEK 78,125 par, due 2/2031)</w:t>
            </w:r>
          </w:p>
        </w:tc>
        <w:tc>
          <w:tcPr>
            <w:tcW w:w="880" w:type="dxa"/>
            <w:vAlign w:val="bottom"/>
            <w:shd w:val="clear" w:color="auto" w:fill="CFF0FC"/>
          </w:tcPr>
          <w:p>
            <w:pPr>
              <w:jc w:val="right"/>
              <w:ind w:right="77"/>
              <w:spacing w:after="0" w:line="133" w:lineRule="exact"/>
              <w:rPr>
                <w:sz w:val="20"/>
                <w:szCs w:val="20"/>
                <w:color w:val="auto"/>
              </w:rPr>
            </w:pPr>
            <w:r>
              <w:rPr>
                <w:rFonts w:ascii="Times New Roman" w:cs="Times New Roman" w:eastAsia="Times New Roman" w:hAnsi="Times New Roman"/>
                <w:sz w:val="13"/>
                <w:szCs w:val="13"/>
                <w:color w:val="auto"/>
              </w:rPr>
              <w:t>2/20/2024</w:t>
            </w:r>
          </w:p>
        </w:tc>
        <w:tc>
          <w:tcPr>
            <w:tcW w:w="1020" w:type="dxa"/>
            <w:vAlign w:val="bottom"/>
            <w:shd w:val="clear" w:color="auto" w:fill="CFF0FC"/>
          </w:tcPr>
          <w:p>
            <w:pPr>
              <w:jc w:val="right"/>
              <w:ind w:right="277"/>
              <w:spacing w:after="0" w:line="133" w:lineRule="exact"/>
              <w:rPr>
                <w:sz w:val="20"/>
                <w:szCs w:val="20"/>
                <w:color w:val="auto"/>
              </w:rPr>
            </w:pPr>
            <w:r>
              <w:rPr>
                <w:rFonts w:ascii="Times New Roman" w:cs="Times New Roman" w:eastAsia="Times New Roman" w:hAnsi="Times New Roman"/>
                <w:sz w:val="13"/>
                <w:szCs w:val="13"/>
                <w:color w:val="auto"/>
              </w:rPr>
              <w:t>STIBOR +</w:t>
            </w:r>
          </w:p>
        </w:tc>
        <w:tc>
          <w:tcPr>
            <w:tcW w:w="1140" w:type="dxa"/>
            <w:vAlign w:val="bottom"/>
            <w:shd w:val="clear" w:color="auto" w:fill="CFF0FC"/>
          </w:tcPr>
          <w:p>
            <w:pPr>
              <w:jc w:val="right"/>
              <w:ind w:right="197"/>
              <w:spacing w:after="0" w:line="133" w:lineRule="exact"/>
              <w:rPr>
                <w:sz w:val="20"/>
                <w:szCs w:val="20"/>
                <w:color w:val="auto"/>
              </w:rPr>
            </w:pPr>
            <w:r>
              <w:rPr>
                <w:rFonts w:ascii="Times New Roman" w:cs="Times New Roman" w:eastAsia="Times New Roman" w:hAnsi="Times New Roman"/>
                <w:sz w:val="13"/>
                <w:szCs w:val="13"/>
                <w:color w:val="auto"/>
              </w:rPr>
              <w:t>10.58% (incl.</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7,281</w:t>
            </w:r>
          </w:p>
        </w:tc>
        <w:tc>
          <w:tcPr>
            <w:tcW w:w="222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7,102</w:t>
            </w:r>
          </w:p>
        </w:tc>
        <w:tc>
          <w:tcPr>
            <w:tcW w:w="108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0.3 %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FF0FC"/>
          </w:tcPr>
          <w:p>
            <w:pPr>
              <w:spacing w:after="0"/>
              <w:rPr>
                <w:sz w:val="14"/>
                <w:szCs w:val="14"/>
                <w:color w:val="auto"/>
              </w:rPr>
            </w:pPr>
          </w:p>
        </w:tc>
        <w:tc>
          <w:tcPr>
            <w:tcW w:w="25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rPr>
              <w:t>6.50%</w:t>
            </w:r>
          </w:p>
        </w:tc>
        <w:tc>
          <w:tcPr>
            <w:tcW w:w="114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3.50% PIK)</w:t>
            </w: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(SEK 75,938)</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SMA Technologies Holdings,</w:t>
            </w:r>
          </w:p>
        </w:tc>
        <w:tc>
          <w:tcPr>
            <w:tcW w:w="256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First-lien loan ($5,667 par, due 10/2028)</w:t>
            </w:r>
          </w:p>
        </w:tc>
        <w:tc>
          <w:tcPr>
            <w:tcW w:w="88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10/31/2022</w:t>
            </w:r>
          </w:p>
        </w:tc>
        <w:tc>
          <w:tcPr>
            <w:tcW w:w="1020" w:type="dxa"/>
            <w:vAlign w:val="bottom"/>
          </w:tcPr>
          <w:p>
            <w:pPr>
              <w:jc w:val="right"/>
              <w:ind w:right="277"/>
              <w:spacing w:after="0" w:line="122"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12.06 %</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5,480</w:t>
            </w:r>
          </w:p>
        </w:tc>
        <w:tc>
          <w:tcPr>
            <w:tcW w:w="2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5,808</w:t>
            </w:r>
          </w:p>
        </w:tc>
        <w:tc>
          <w:tcPr>
            <w:tcW w:w="10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0.2 %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62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vertAlign w:val="subscript"/>
              </w:rPr>
              <w:t>LLC</w:t>
            </w:r>
            <w:r>
              <w:rPr>
                <w:rFonts w:ascii="Times New Roman" w:cs="Times New Roman" w:eastAsia="Times New Roman" w:hAnsi="Times New Roman"/>
                <w:sz w:val="7"/>
                <w:szCs w:val="7"/>
                <w:color w:val="auto"/>
              </w:rPr>
              <w:t xml:space="preserve"> (3)(5)</w:t>
            </w:r>
          </w:p>
        </w:tc>
        <w:tc>
          <w:tcPr>
            <w:tcW w:w="2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6.75%</w:t>
            </w:r>
          </w:p>
        </w:tc>
        <w:tc>
          <w:tcPr>
            <w:tcW w:w="11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20" w:type="dxa"/>
            <w:vAlign w:val="bottom"/>
            <w:shd w:val="clear" w:color="auto" w:fill="CFF0FC"/>
          </w:tcPr>
          <w:p>
            <w:pPr>
              <w:spacing w:after="0"/>
              <w:rPr>
                <w:sz w:val="13"/>
                <w:szCs w:val="13"/>
                <w:color w:val="auto"/>
              </w:rPr>
            </w:pPr>
          </w:p>
        </w:tc>
        <w:tc>
          <w:tcPr>
            <w:tcW w:w="25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265,606</w:t>
            </w:r>
          </w:p>
        </w:tc>
        <w:tc>
          <w:tcPr>
            <w:tcW w:w="2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275,022</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Manufacturing</w:t>
            </w:r>
          </w:p>
        </w:tc>
        <w:tc>
          <w:tcPr>
            <w:tcW w:w="2560" w:type="dxa"/>
            <w:vAlign w:val="bottom"/>
            <w:tcBorders>
              <w:top w:val="single" w:sz="8" w:color="CFF0FC"/>
            </w:tcBorders>
          </w:tcPr>
          <w:p>
            <w:pPr>
              <w:spacing w:after="0"/>
              <w:rPr>
                <w:sz w:val="13"/>
                <w:szCs w:val="13"/>
                <w:color w:val="auto"/>
              </w:rPr>
            </w:pPr>
          </w:p>
        </w:tc>
        <w:tc>
          <w:tcPr>
            <w:tcW w:w="880" w:type="dxa"/>
            <w:vAlign w:val="bottom"/>
            <w:tcBorders>
              <w:top w:val="single" w:sz="8" w:color="CFF0FC"/>
            </w:tcBorders>
          </w:tcPr>
          <w:p>
            <w:pPr>
              <w:spacing w:after="0"/>
              <w:rPr>
                <w:sz w:val="13"/>
                <w:szCs w:val="13"/>
                <w:color w:val="auto"/>
              </w:rPr>
            </w:pPr>
          </w:p>
        </w:tc>
        <w:tc>
          <w:tcPr>
            <w:tcW w:w="1020" w:type="dxa"/>
            <w:vAlign w:val="bottom"/>
            <w:tcBorders>
              <w:top w:val="single" w:sz="8" w:color="CFF0FC"/>
            </w:tcBorders>
          </w:tcPr>
          <w:p>
            <w:pPr>
              <w:spacing w:after="0"/>
              <w:rPr>
                <w:sz w:val="13"/>
                <w:szCs w:val="13"/>
                <w:color w:val="auto"/>
              </w:rPr>
            </w:pPr>
          </w:p>
        </w:tc>
        <w:tc>
          <w:tcPr>
            <w:tcW w:w="1140" w:type="dxa"/>
            <w:vAlign w:val="bottom"/>
            <w:tcBorders>
              <w:top w:val="single" w:sz="8" w:color="CFF0FC"/>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20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62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Aptean, Inc. </w:t>
            </w:r>
            <w:r>
              <w:rPr>
                <w:rFonts w:ascii="Times New Roman" w:cs="Times New Roman" w:eastAsia="Times New Roman" w:hAnsi="Times New Roman"/>
                <w:sz w:val="15"/>
                <w:szCs w:val="15"/>
                <w:color w:val="auto"/>
                <w:vertAlign w:val="superscript"/>
              </w:rPr>
              <w:t>(3)</w:t>
            </w:r>
          </w:p>
        </w:tc>
        <w:tc>
          <w:tcPr>
            <w:tcW w:w="2560" w:type="dxa"/>
            <w:vAlign w:val="bottom"/>
            <w:shd w:val="clear" w:color="auto" w:fill="CFF0FC"/>
          </w:tcPr>
          <w:p>
            <w:pPr>
              <w:ind w:left="120"/>
              <w:spacing w:after="0" w:line="131" w:lineRule="exact"/>
              <w:rPr>
                <w:sz w:val="20"/>
                <w:szCs w:val="20"/>
                <w:color w:val="auto"/>
              </w:rPr>
            </w:pPr>
            <w:r>
              <w:rPr>
                <w:rFonts w:ascii="Times New Roman" w:cs="Times New Roman" w:eastAsia="Times New Roman" w:hAnsi="Times New Roman"/>
                <w:sz w:val="13"/>
                <w:szCs w:val="13"/>
                <w:color w:val="auto"/>
              </w:rPr>
              <w:t>First-lien loan ($110,905 par, due 1/2031)</w:t>
            </w:r>
          </w:p>
        </w:tc>
        <w:tc>
          <w:tcPr>
            <w:tcW w:w="880" w:type="dxa"/>
            <w:vAlign w:val="bottom"/>
            <w:shd w:val="clear" w:color="auto" w:fill="CFF0FC"/>
          </w:tcPr>
          <w:p>
            <w:pPr>
              <w:jc w:val="right"/>
              <w:ind w:right="77"/>
              <w:spacing w:after="0" w:line="131" w:lineRule="exact"/>
              <w:rPr>
                <w:sz w:val="20"/>
                <w:szCs w:val="20"/>
                <w:color w:val="auto"/>
              </w:rPr>
            </w:pPr>
            <w:r>
              <w:rPr>
                <w:rFonts w:ascii="Times New Roman" w:cs="Times New Roman" w:eastAsia="Times New Roman" w:hAnsi="Times New Roman"/>
                <w:sz w:val="13"/>
                <w:szCs w:val="13"/>
                <w:color w:val="auto"/>
              </w:rPr>
              <w:t>1/30/2024</w:t>
            </w:r>
          </w:p>
        </w:tc>
        <w:tc>
          <w:tcPr>
            <w:tcW w:w="1020" w:type="dxa"/>
            <w:vAlign w:val="bottom"/>
            <w:shd w:val="clear" w:color="auto" w:fill="CFF0FC"/>
          </w:tcPr>
          <w:p>
            <w:pPr>
              <w:jc w:val="right"/>
              <w:ind w:right="277"/>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shd w:val="clear" w:color="auto" w:fill="CFF0FC"/>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10.57 %</w:t>
            </w:r>
          </w:p>
        </w:tc>
        <w:tc>
          <w:tcPr>
            <w:tcW w:w="72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109,624</w:t>
            </w:r>
          </w:p>
        </w:tc>
        <w:tc>
          <w:tcPr>
            <w:tcW w:w="222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109,855</w:t>
            </w:r>
          </w:p>
        </w:tc>
        <w:tc>
          <w:tcPr>
            <w:tcW w:w="1080" w:type="dxa"/>
            <w:vAlign w:val="bottom"/>
            <w:gridSpan w:val="3"/>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4.6 %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FF0FC"/>
          </w:tcPr>
          <w:p>
            <w:pPr>
              <w:spacing w:after="0"/>
              <w:rPr>
                <w:sz w:val="14"/>
                <w:szCs w:val="14"/>
                <w:color w:val="auto"/>
              </w:rPr>
            </w:pPr>
          </w:p>
        </w:tc>
        <w:tc>
          <w:tcPr>
            <w:tcW w:w="25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rPr>
              <w:t>5.25%</w:t>
            </w:r>
          </w:p>
        </w:tc>
        <w:tc>
          <w:tcPr>
            <w:tcW w:w="1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ASP Unifrax Holdings, Inc.</w:t>
            </w:r>
          </w:p>
        </w:tc>
        <w:tc>
          <w:tcPr>
            <w:tcW w:w="256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 xml:space="preserve">First-lien loan ($1,127 par, due 12/2025) </w:t>
            </w:r>
            <w:r>
              <w:rPr>
                <w:rFonts w:ascii="Times New Roman" w:cs="Times New Roman" w:eastAsia="Times New Roman" w:hAnsi="Times New Roman"/>
                <w:sz w:val="14"/>
                <w:szCs w:val="14"/>
                <w:color w:val="auto"/>
                <w:vertAlign w:val="superscript"/>
              </w:rPr>
              <w:t>(3)</w:t>
            </w:r>
          </w:p>
        </w:tc>
        <w:tc>
          <w:tcPr>
            <w:tcW w:w="88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8/25/2023</w:t>
            </w:r>
          </w:p>
        </w:tc>
        <w:tc>
          <w:tcPr>
            <w:tcW w:w="1020" w:type="dxa"/>
            <w:vAlign w:val="bottom"/>
          </w:tcPr>
          <w:p>
            <w:pPr>
              <w:jc w:val="right"/>
              <w:ind w:right="277"/>
              <w:spacing w:after="0" w:line="122"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9.20 %</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1,061</w:t>
            </w:r>
          </w:p>
        </w:tc>
        <w:tc>
          <w:tcPr>
            <w:tcW w:w="2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1,082</w:t>
            </w:r>
          </w:p>
        </w:tc>
        <w:tc>
          <w:tcPr>
            <w:tcW w:w="10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0.0 %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20" w:type="dxa"/>
            <w:vAlign w:val="bottom"/>
          </w:tcPr>
          <w:p>
            <w:pPr>
              <w:ind w:left="20"/>
              <w:spacing w:after="0"/>
              <w:rPr>
                <w:sz w:val="20"/>
                <w:szCs w:val="20"/>
                <w:color w:val="auto"/>
              </w:rPr>
            </w:pPr>
            <w:r>
              <w:rPr>
                <w:rFonts w:ascii="Times New Roman" w:cs="Times New Roman" w:eastAsia="Times New Roman" w:hAnsi="Times New Roman"/>
                <w:sz w:val="8"/>
                <w:szCs w:val="8"/>
                <w:color w:val="auto"/>
              </w:rPr>
              <w:t>(12)</w:t>
            </w:r>
          </w:p>
        </w:tc>
        <w:tc>
          <w:tcPr>
            <w:tcW w:w="2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vMerge w:val="restart"/>
          </w:tcPr>
          <w:p>
            <w:pPr>
              <w:jc w:val="right"/>
              <w:ind w:right="237"/>
              <w:spacing w:after="0"/>
              <w:rPr>
                <w:sz w:val="20"/>
                <w:szCs w:val="20"/>
                <w:color w:val="auto"/>
              </w:rPr>
            </w:pPr>
            <w:r>
              <w:rPr>
                <w:rFonts w:ascii="Times New Roman" w:cs="Times New Roman" w:eastAsia="Times New Roman" w:hAnsi="Times New Roman"/>
                <w:sz w:val="13"/>
                <w:szCs w:val="13"/>
                <w:color w:val="auto"/>
              </w:rPr>
              <w:t>3.90%</w:t>
            </w: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620" w:type="dxa"/>
            <w:vAlign w:val="bottom"/>
            <w:shd w:val="clear" w:color="auto" w:fill="CFF0FC"/>
          </w:tcPr>
          <w:p>
            <w:pPr>
              <w:spacing w:after="0"/>
              <w:rPr>
                <w:sz w:val="10"/>
                <w:szCs w:val="10"/>
                <w:color w:val="auto"/>
              </w:rPr>
            </w:pPr>
          </w:p>
        </w:tc>
        <w:tc>
          <w:tcPr>
            <w:tcW w:w="2560" w:type="dxa"/>
            <w:vAlign w:val="bottom"/>
            <w:shd w:val="clear" w:color="auto" w:fill="CFF0FC"/>
          </w:tcPr>
          <w:p>
            <w:pPr>
              <w:ind w:left="120"/>
              <w:spacing w:after="0" w:line="124" w:lineRule="exact"/>
              <w:rPr>
                <w:sz w:val="20"/>
                <w:szCs w:val="20"/>
                <w:color w:val="auto"/>
              </w:rPr>
            </w:pPr>
            <w:r>
              <w:rPr>
                <w:rFonts w:ascii="Times New Roman" w:cs="Times New Roman" w:eastAsia="Times New Roman" w:hAnsi="Times New Roman"/>
                <w:sz w:val="13"/>
                <w:szCs w:val="13"/>
                <w:color w:val="auto"/>
              </w:rPr>
              <w:t>First-lien loan (EUR 1,023 par, due 12/2025)</w:t>
            </w:r>
          </w:p>
        </w:tc>
        <w:tc>
          <w:tcPr>
            <w:tcW w:w="880" w:type="dxa"/>
            <w:vAlign w:val="bottom"/>
            <w:shd w:val="clear" w:color="auto" w:fill="CFF0FC"/>
          </w:tcPr>
          <w:p>
            <w:pPr>
              <w:jc w:val="right"/>
              <w:ind w:right="77"/>
              <w:spacing w:after="0" w:line="124" w:lineRule="exact"/>
              <w:rPr>
                <w:sz w:val="20"/>
                <w:szCs w:val="20"/>
                <w:color w:val="auto"/>
              </w:rPr>
            </w:pPr>
            <w:r>
              <w:rPr>
                <w:rFonts w:ascii="Times New Roman" w:cs="Times New Roman" w:eastAsia="Times New Roman" w:hAnsi="Times New Roman"/>
                <w:sz w:val="13"/>
                <w:szCs w:val="13"/>
                <w:color w:val="auto"/>
              </w:rPr>
              <w:t>9/14/2023</w:t>
            </w:r>
          </w:p>
        </w:tc>
        <w:tc>
          <w:tcPr>
            <w:tcW w:w="1020" w:type="dxa"/>
            <w:vAlign w:val="bottom"/>
            <w:shd w:val="clear" w:color="auto" w:fill="CFF0FC"/>
          </w:tcPr>
          <w:p>
            <w:pPr>
              <w:jc w:val="right"/>
              <w:ind w:right="237"/>
              <w:spacing w:after="0" w:line="124" w:lineRule="exact"/>
              <w:rPr>
                <w:sz w:val="20"/>
                <w:szCs w:val="20"/>
                <w:color w:val="auto"/>
              </w:rPr>
            </w:pPr>
            <w:r>
              <w:rPr>
                <w:rFonts w:ascii="Times New Roman" w:cs="Times New Roman" w:eastAsia="Times New Roman" w:hAnsi="Times New Roman"/>
                <w:sz w:val="13"/>
                <w:szCs w:val="13"/>
                <w:color w:val="auto"/>
              </w:rPr>
              <w:t>E + 3.75%</w:t>
            </w:r>
          </w:p>
        </w:tc>
        <w:tc>
          <w:tcPr>
            <w:tcW w:w="1140" w:type="dxa"/>
            <w:vAlign w:val="bottom"/>
            <w:shd w:val="clear" w:color="auto" w:fill="CFF0FC"/>
          </w:tcPr>
          <w:p>
            <w:pPr>
              <w:jc w:val="right"/>
              <w:ind w:right="37"/>
              <w:spacing w:after="0" w:line="124" w:lineRule="exact"/>
              <w:rPr>
                <w:sz w:val="20"/>
                <w:szCs w:val="20"/>
                <w:color w:val="auto"/>
              </w:rPr>
            </w:pPr>
            <w:r>
              <w:rPr>
                <w:rFonts w:ascii="Times New Roman" w:cs="Times New Roman" w:eastAsia="Times New Roman" w:hAnsi="Times New Roman"/>
                <w:sz w:val="13"/>
                <w:szCs w:val="13"/>
                <w:color w:val="auto"/>
              </w:rPr>
              <w:t>7.65 %</w:t>
            </w:r>
          </w:p>
        </w:tc>
        <w:tc>
          <w:tcPr>
            <w:tcW w:w="7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1,002</w:t>
            </w:r>
          </w:p>
        </w:tc>
        <w:tc>
          <w:tcPr>
            <w:tcW w:w="222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1,041</w:t>
            </w:r>
          </w:p>
        </w:tc>
        <w:tc>
          <w:tcPr>
            <w:tcW w:w="1080" w:type="dxa"/>
            <w:vAlign w:val="bottom"/>
            <w:gridSpan w:val="3"/>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0.0 %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20" w:type="dxa"/>
            <w:vAlign w:val="bottom"/>
            <w:shd w:val="clear" w:color="auto" w:fill="CFF0FC"/>
          </w:tcPr>
          <w:p>
            <w:pPr>
              <w:spacing w:after="0"/>
              <w:rPr>
                <w:sz w:val="9"/>
                <w:szCs w:val="9"/>
                <w:color w:val="auto"/>
              </w:rPr>
            </w:pPr>
          </w:p>
        </w:tc>
        <w:tc>
          <w:tcPr>
            <w:tcW w:w="2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(3)</w:t>
            </w:r>
          </w:p>
        </w:tc>
        <w:tc>
          <w:tcPr>
            <w:tcW w:w="88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964)</w:t>
            </w:r>
          </w:p>
        </w:tc>
        <w:tc>
          <w:tcPr>
            <w:tcW w:w="2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20" w:type="dxa"/>
            <w:vAlign w:val="bottom"/>
            <w:shd w:val="clear" w:color="auto" w:fill="CFF0FC"/>
          </w:tcPr>
          <w:p>
            <w:pPr>
              <w:spacing w:after="0"/>
              <w:rPr>
                <w:sz w:val="5"/>
                <w:szCs w:val="5"/>
                <w:color w:val="auto"/>
              </w:rPr>
            </w:pPr>
          </w:p>
        </w:tc>
        <w:tc>
          <w:tcPr>
            <w:tcW w:w="256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140" w:type="dxa"/>
            <w:vAlign w:val="bottom"/>
            <w:shd w:val="clear" w:color="auto" w:fill="CFF0FC"/>
          </w:tcPr>
          <w:p>
            <w:pPr>
              <w:spacing w:after="0"/>
              <w:rPr>
                <w:sz w:val="5"/>
                <w:szCs w:val="5"/>
                <w:color w:val="auto"/>
              </w:rPr>
            </w:pPr>
          </w:p>
        </w:tc>
        <w:tc>
          <w:tcPr>
            <w:tcW w:w="72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202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2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Secured note ($1,226 par, due 9/2028)</w:t>
            </w: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12/19/2023</w:t>
            </w:r>
          </w:p>
        </w:tc>
        <w:tc>
          <w:tcPr>
            <w:tcW w:w="10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5.25 %</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5.25 %</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spacing w:after="0"/>
              <w:rPr>
                <w:sz w:val="14"/>
                <w:szCs w:val="14"/>
                <w:color w:val="auto"/>
              </w:rPr>
            </w:pPr>
          </w:p>
        </w:tc>
        <w:tc>
          <w:tcPr>
            <w:tcW w:w="2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Unsecured note ($1,059 par, due 9/2029)</w:t>
            </w:r>
          </w:p>
        </w:tc>
        <w:tc>
          <w:tcPr>
            <w:tcW w:w="8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8/31/2023</w:t>
            </w:r>
          </w:p>
        </w:tc>
        <w:tc>
          <w:tcPr>
            <w:tcW w:w="102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7.50 %</w:t>
            </w:r>
          </w:p>
        </w:tc>
        <w:tc>
          <w:tcPr>
            <w:tcW w:w="11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7.50 %</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581</w:t>
            </w:r>
          </w:p>
        </w:tc>
        <w:tc>
          <w:tcPr>
            <w:tcW w:w="2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2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Avalara, Inc. </w:t>
            </w:r>
            <w:r>
              <w:rPr>
                <w:rFonts w:ascii="Times New Roman" w:cs="Times New Roman" w:eastAsia="Times New Roman" w:hAnsi="Times New Roman"/>
                <w:sz w:val="15"/>
                <w:szCs w:val="15"/>
                <w:color w:val="auto"/>
                <w:vertAlign w:val="superscript"/>
              </w:rPr>
              <w:t>(3)</w:t>
            </w:r>
          </w:p>
        </w:tc>
        <w:tc>
          <w:tcPr>
            <w:tcW w:w="2560" w:type="dxa"/>
            <w:vAlign w:val="bottom"/>
          </w:tcPr>
          <w:p>
            <w:pPr>
              <w:ind w:left="120"/>
              <w:spacing w:after="0" w:line="131" w:lineRule="exact"/>
              <w:rPr>
                <w:sz w:val="20"/>
                <w:szCs w:val="20"/>
                <w:color w:val="auto"/>
              </w:rPr>
            </w:pPr>
            <w:r>
              <w:rPr>
                <w:rFonts w:ascii="Times New Roman" w:cs="Times New Roman" w:eastAsia="Times New Roman" w:hAnsi="Times New Roman"/>
                <w:sz w:val="13"/>
                <w:szCs w:val="13"/>
                <w:color w:val="auto"/>
              </w:rPr>
              <w:t>First-lien loan ($136,364 par, due 10/2028)</w:t>
            </w:r>
          </w:p>
        </w:tc>
        <w:tc>
          <w:tcPr>
            <w:tcW w:w="880" w:type="dxa"/>
            <w:vAlign w:val="bottom"/>
          </w:tcPr>
          <w:p>
            <w:pPr>
              <w:jc w:val="right"/>
              <w:ind w:right="77"/>
              <w:spacing w:after="0" w:line="131" w:lineRule="exact"/>
              <w:rPr>
                <w:sz w:val="20"/>
                <w:szCs w:val="20"/>
                <w:color w:val="auto"/>
              </w:rPr>
            </w:pPr>
            <w:r>
              <w:rPr>
                <w:rFonts w:ascii="Times New Roman" w:cs="Times New Roman" w:eastAsia="Times New Roman" w:hAnsi="Times New Roman"/>
                <w:sz w:val="13"/>
                <w:szCs w:val="13"/>
                <w:color w:val="auto"/>
              </w:rPr>
              <w:t>10/19/2022</w:t>
            </w:r>
          </w:p>
        </w:tc>
        <w:tc>
          <w:tcPr>
            <w:tcW w:w="1020" w:type="dxa"/>
            <w:vAlign w:val="bottom"/>
          </w:tcPr>
          <w:p>
            <w:pPr>
              <w:jc w:val="right"/>
              <w:ind w:right="277"/>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12.56 %</w:t>
            </w:r>
          </w:p>
        </w:tc>
        <w:tc>
          <w:tcPr>
            <w:tcW w:w="7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133,520</w:t>
            </w:r>
          </w:p>
        </w:tc>
        <w:tc>
          <w:tcPr>
            <w:tcW w:w="22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138,614</w:t>
            </w:r>
          </w:p>
        </w:tc>
        <w:tc>
          <w:tcPr>
            <w:tcW w:w="108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5.8 %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7.25%</w:t>
            </w: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62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3"/>
                <w:szCs w:val="13"/>
                <w:color w:val="auto"/>
              </w:rPr>
              <w:t>Heritage Environmental</w:t>
            </w:r>
          </w:p>
        </w:tc>
        <w:tc>
          <w:tcPr>
            <w:tcW w:w="2560" w:type="dxa"/>
            <w:vAlign w:val="bottom"/>
            <w:shd w:val="clear" w:color="auto" w:fill="CFF0FC"/>
          </w:tcPr>
          <w:p>
            <w:pPr>
              <w:ind w:left="120"/>
              <w:spacing w:after="0" w:line="124" w:lineRule="exact"/>
              <w:rPr>
                <w:sz w:val="20"/>
                <w:szCs w:val="20"/>
                <w:color w:val="auto"/>
              </w:rPr>
            </w:pPr>
            <w:r>
              <w:rPr>
                <w:rFonts w:ascii="Times New Roman" w:cs="Times New Roman" w:eastAsia="Times New Roman" w:hAnsi="Times New Roman"/>
                <w:sz w:val="13"/>
                <w:szCs w:val="13"/>
                <w:color w:val="auto"/>
              </w:rPr>
              <w:t>First-lien loan ($154,321 par, due 1/2031)</w:t>
            </w:r>
          </w:p>
        </w:tc>
        <w:tc>
          <w:tcPr>
            <w:tcW w:w="880" w:type="dxa"/>
            <w:vAlign w:val="bottom"/>
            <w:shd w:val="clear" w:color="auto" w:fill="CFF0FC"/>
          </w:tcPr>
          <w:p>
            <w:pPr>
              <w:jc w:val="right"/>
              <w:ind w:right="77"/>
              <w:spacing w:after="0" w:line="124" w:lineRule="exact"/>
              <w:rPr>
                <w:sz w:val="20"/>
                <w:szCs w:val="20"/>
                <w:color w:val="auto"/>
              </w:rPr>
            </w:pPr>
            <w:r>
              <w:rPr>
                <w:rFonts w:ascii="Times New Roman" w:cs="Times New Roman" w:eastAsia="Times New Roman" w:hAnsi="Times New Roman"/>
                <w:sz w:val="13"/>
                <w:szCs w:val="13"/>
                <w:color w:val="auto"/>
              </w:rPr>
              <w:t>1/31/2024</w:t>
            </w:r>
          </w:p>
        </w:tc>
        <w:tc>
          <w:tcPr>
            <w:tcW w:w="1020" w:type="dxa"/>
            <w:vAlign w:val="bottom"/>
            <w:shd w:val="clear" w:color="auto" w:fill="CFF0FC"/>
          </w:tcPr>
          <w:p>
            <w:pPr>
              <w:jc w:val="right"/>
              <w:ind w:right="277"/>
              <w:spacing w:after="0" w:line="124"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shd w:val="clear" w:color="auto" w:fill="CFF0FC"/>
          </w:tcPr>
          <w:p>
            <w:pPr>
              <w:jc w:val="right"/>
              <w:ind w:right="37"/>
              <w:spacing w:after="0" w:line="124" w:lineRule="exact"/>
              <w:rPr>
                <w:sz w:val="20"/>
                <w:szCs w:val="20"/>
                <w:color w:val="auto"/>
              </w:rPr>
            </w:pPr>
            <w:r>
              <w:rPr>
                <w:rFonts w:ascii="Times New Roman" w:cs="Times New Roman" w:eastAsia="Times New Roman" w:hAnsi="Times New Roman"/>
                <w:sz w:val="13"/>
                <w:szCs w:val="13"/>
                <w:color w:val="auto"/>
              </w:rPr>
              <w:t>10.81 %</w:t>
            </w:r>
          </w:p>
        </w:tc>
        <w:tc>
          <w:tcPr>
            <w:tcW w:w="7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153,459</w:t>
            </w:r>
          </w:p>
        </w:tc>
        <w:tc>
          <w:tcPr>
            <w:tcW w:w="222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153,882</w:t>
            </w:r>
          </w:p>
        </w:tc>
        <w:tc>
          <w:tcPr>
            <w:tcW w:w="1080" w:type="dxa"/>
            <w:vAlign w:val="bottom"/>
            <w:gridSpan w:val="3"/>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6.5 %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6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3"/>
                <w:szCs w:val="13"/>
                <w:color w:val="auto"/>
              </w:rPr>
              <w:t xml:space="preserve">Services, Inc. </w:t>
            </w:r>
            <w:r>
              <w:rPr>
                <w:rFonts w:ascii="Times New Roman" w:cs="Times New Roman" w:eastAsia="Times New Roman" w:hAnsi="Times New Roman"/>
                <w:sz w:val="16"/>
                <w:szCs w:val="16"/>
                <w:color w:val="auto"/>
                <w:vertAlign w:val="superscript"/>
              </w:rPr>
              <w:t>(3)</w:t>
            </w:r>
          </w:p>
        </w:tc>
        <w:tc>
          <w:tcPr>
            <w:tcW w:w="25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rPr>
              <w:t>5.50%</w:t>
            </w:r>
          </w:p>
        </w:tc>
        <w:tc>
          <w:tcPr>
            <w:tcW w:w="1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Skylark UK DebtCo Limited</w:t>
            </w:r>
          </w:p>
        </w:tc>
        <w:tc>
          <w:tcPr>
            <w:tcW w:w="256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First-lien loan ($56,651 par, due 9/2030)</w:t>
            </w:r>
          </w:p>
        </w:tc>
        <w:tc>
          <w:tcPr>
            <w:tcW w:w="88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9/7/2023</w:t>
            </w:r>
          </w:p>
        </w:tc>
        <w:tc>
          <w:tcPr>
            <w:tcW w:w="1020" w:type="dxa"/>
            <w:vAlign w:val="bottom"/>
          </w:tcPr>
          <w:p>
            <w:pPr>
              <w:jc w:val="right"/>
              <w:ind w:right="277"/>
              <w:spacing w:after="0" w:line="122"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11.06 %</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55,178</w:t>
            </w:r>
          </w:p>
        </w:tc>
        <w:tc>
          <w:tcPr>
            <w:tcW w:w="2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55,660</w:t>
            </w:r>
          </w:p>
        </w:tc>
        <w:tc>
          <w:tcPr>
            <w:tcW w:w="10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2.4 %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20" w:type="dxa"/>
            <w:vAlign w:val="bottom"/>
          </w:tcPr>
          <w:p>
            <w:pPr>
              <w:ind w:left="20"/>
              <w:spacing w:after="0"/>
              <w:rPr>
                <w:sz w:val="20"/>
                <w:szCs w:val="20"/>
                <w:color w:val="auto"/>
              </w:rPr>
            </w:pPr>
            <w:r>
              <w:rPr>
                <w:rFonts w:ascii="Times New Roman" w:cs="Times New Roman" w:eastAsia="Times New Roman" w:hAnsi="Times New Roman"/>
                <w:sz w:val="8"/>
                <w:szCs w:val="8"/>
                <w:color w:val="auto"/>
              </w:rPr>
              <w:t>(3)(4)</w:t>
            </w:r>
          </w:p>
        </w:tc>
        <w:tc>
          <w:tcPr>
            <w:tcW w:w="2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vMerge w:val="restart"/>
          </w:tcPr>
          <w:p>
            <w:pPr>
              <w:jc w:val="right"/>
              <w:ind w:right="237"/>
              <w:spacing w:after="0"/>
              <w:rPr>
                <w:sz w:val="20"/>
                <w:szCs w:val="20"/>
                <w:color w:val="auto"/>
              </w:rPr>
            </w:pPr>
            <w:r>
              <w:rPr>
                <w:rFonts w:ascii="Times New Roman" w:cs="Times New Roman" w:eastAsia="Times New Roman" w:hAnsi="Times New Roman"/>
                <w:sz w:val="13"/>
                <w:szCs w:val="13"/>
                <w:color w:val="auto"/>
              </w:rPr>
              <w:t>5.75%</w:t>
            </w: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620" w:type="dxa"/>
            <w:vAlign w:val="bottom"/>
            <w:shd w:val="clear" w:color="auto" w:fill="CFF0FC"/>
          </w:tcPr>
          <w:p>
            <w:pPr>
              <w:spacing w:after="0"/>
              <w:rPr>
                <w:sz w:val="11"/>
                <w:szCs w:val="11"/>
                <w:color w:val="auto"/>
              </w:rPr>
            </w:pPr>
          </w:p>
        </w:tc>
        <w:tc>
          <w:tcPr>
            <w:tcW w:w="2560" w:type="dxa"/>
            <w:vAlign w:val="bottom"/>
            <w:shd w:val="clear" w:color="auto" w:fill="CFF0FC"/>
          </w:tcPr>
          <w:p>
            <w:pPr>
              <w:ind w:left="120"/>
              <w:spacing w:after="0" w:line="133" w:lineRule="exact"/>
              <w:rPr>
                <w:sz w:val="20"/>
                <w:szCs w:val="20"/>
                <w:color w:val="auto"/>
              </w:rPr>
            </w:pPr>
            <w:r>
              <w:rPr>
                <w:rFonts w:ascii="Times New Roman" w:cs="Times New Roman" w:eastAsia="Times New Roman" w:hAnsi="Times New Roman"/>
                <w:sz w:val="13"/>
                <w:szCs w:val="13"/>
                <w:color w:val="auto"/>
              </w:rPr>
              <w:t>First-lien loan (GBP 57,691 par, due 9/2030)</w:t>
            </w:r>
          </w:p>
        </w:tc>
        <w:tc>
          <w:tcPr>
            <w:tcW w:w="880" w:type="dxa"/>
            <w:vAlign w:val="bottom"/>
            <w:shd w:val="clear" w:color="auto" w:fill="CFF0FC"/>
          </w:tcPr>
          <w:p>
            <w:pPr>
              <w:jc w:val="right"/>
              <w:ind w:right="77"/>
              <w:spacing w:after="0" w:line="133" w:lineRule="exact"/>
              <w:rPr>
                <w:sz w:val="20"/>
                <w:szCs w:val="20"/>
                <w:color w:val="auto"/>
              </w:rPr>
            </w:pPr>
            <w:r>
              <w:rPr>
                <w:rFonts w:ascii="Times New Roman" w:cs="Times New Roman" w:eastAsia="Times New Roman" w:hAnsi="Times New Roman"/>
                <w:sz w:val="13"/>
                <w:szCs w:val="13"/>
                <w:color w:val="auto"/>
              </w:rPr>
              <w:t>9/7/2023</w:t>
            </w:r>
          </w:p>
        </w:tc>
        <w:tc>
          <w:tcPr>
            <w:tcW w:w="1020" w:type="dxa"/>
            <w:vAlign w:val="bottom"/>
            <w:shd w:val="clear" w:color="auto" w:fill="CFF0FC"/>
          </w:tcPr>
          <w:p>
            <w:pPr>
              <w:jc w:val="right"/>
              <w:ind w:right="237"/>
              <w:spacing w:after="0" w:line="133" w:lineRule="exact"/>
              <w:rPr>
                <w:sz w:val="20"/>
                <w:szCs w:val="20"/>
                <w:color w:val="auto"/>
              </w:rPr>
            </w:pPr>
            <w:r>
              <w:rPr>
                <w:rFonts w:ascii="Times New Roman" w:cs="Times New Roman" w:eastAsia="Times New Roman" w:hAnsi="Times New Roman"/>
                <w:sz w:val="13"/>
                <w:szCs w:val="13"/>
                <w:color w:val="auto"/>
              </w:rPr>
              <w:t>S + 5.75%</w:t>
            </w:r>
          </w:p>
        </w:tc>
        <w:tc>
          <w:tcPr>
            <w:tcW w:w="1140" w:type="dxa"/>
            <w:vAlign w:val="bottom"/>
            <w:shd w:val="clear" w:color="auto" w:fill="CFF0FC"/>
          </w:tcPr>
          <w:p>
            <w:pPr>
              <w:jc w:val="right"/>
              <w:ind w:right="37"/>
              <w:spacing w:after="0" w:line="133" w:lineRule="exact"/>
              <w:rPr>
                <w:sz w:val="20"/>
                <w:szCs w:val="20"/>
                <w:color w:val="auto"/>
              </w:rPr>
            </w:pPr>
            <w:r>
              <w:rPr>
                <w:rFonts w:ascii="Times New Roman" w:cs="Times New Roman" w:eastAsia="Times New Roman" w:hAnsi="Times New Roman"/>
                <w:sz w:val="13"/>
                <w:szCs w:val="13"/>
                <w:color w:val="auto"/>
              </w:rPr>
              <w:t>11.00 %</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69,505</w:t>
            </w:r>
          </w:p>
        </w:tc>
        <w:tc>
          <w:tcPr>
            <w:tcW w:w="222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71,177</w:t>
            </w:r>
          </w:p>
        </w:tc>
        <w:tc>
          <w:tcPr>
            <w:tcW w:w="108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FF0FC"/>
          </w:tcPr>
          <w:p>
            <w:pPr>
              <w:spacing w:after="0"/>
              <w:rPr>
                <w:sz w:val="14"/>
                <w:szCs w:val="14"/>
                <w:color w:val="auto"/>
              </w:rPr>
            </w:pPr>
          </w:p>
        </w:tc>
        <w:tc>
          <w:tcPr>
            <w:tcW w:w="25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(GBP 56,345)</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20" w:type="dxa"/>
            <w:vAlign w:val="bottom"/>
          </w:tcPr>
          <w:p>
            <w:pPr>
              <w:spacing w:after="0"/>
              <w:rPr>
                <w:sz w:val="11"/>
                <w:szCs w:val="11"/>
                <w:color w:val="auto"/>
              </w:rPr>
            </w:pPr>
          </w:p>
        </w:tc>
        <w:tc>
          <w:tcPr>
            <w:tcW w:w="2560" w:type="dxa"/>
            <w:vAlign w:val="bottom"/>
          </w:tcPr>
          <w:p>
            <w:pPr>
              <w:ind w:left="120"/>
              <w:spacing w:after="0" w:line="131" w:lineRule="exact"/>
              <w:rPr>
                <w:sz w:val="20"/>
                <w:szCs w:val="20"/>
                <w:color w:val="auto"/>
              </w:rPr>
            </w:pPr>
            <w:r>
              <w:rPr>
                <w:rFonts w:ascii="Times New Roman" w:cs="Times New Roman" w:eastAsia="Times New Roman" w:hAnsi="Times New Roman"/>
                <w:sz w:val="13"/>
                <w:szCs w:val="13"/>
                <w:color w:val="auto"/>
              </w:rPr>
              <w:t>First-lien loan (EUR 16,819 par, due 9/2030)</w:t>
            </w:r>
          </w:p>
        </w:tc>
        <w:tc>
          <w:tcPr>
            <w:tcW w:w="880" w:type="dxa"/>
            <w:vAlign w:val="bottom"/>
          </w:tcPr>
          <w:p>
            <w:pPr>
              <w:jc w:val="right"/>
              <w:ind w:right="77"/>
              <w:spacing w:after="0" w:line="131" w:lineRule="exact"/>
              <w:rPr>
                <w:sz w:val="20"/>
                <w:szCs w:val="20"/>
                <w:color w:val="auto"/>
              </w:rPr>
            </w:pPr>
            <w:r>
              <w:rPr>
                <w:rFonts w:ascii="Times New Roman" w:cs="Times New Roman" w:eastAsia="Times New Roman" w:hAnsi="Times New Roman"/>
                <w:sz w:val="13"/>
                <w:szCs w:val="13"/>
                <w:color w:val="auto"/>
              </w:rPr>
              <w:t>9/7/2023</w:t>
            </w:r>
          </w:p>
        </w:tc>
        <w:tc>
          <w:tcPr>
            <w:tcW w:w="1020" w:type="dxa"/>
            <w:vAlign w:val="bottom"/>
          </w:tcPr>
          <w:p>
            <w:pPr>
              <w:jc w:val="right"/>
              <w:ind w:right="237"/>
              <w:spacing w:after="0" w:line="131" w:lineRule="exact"/>
              <w:rPr>
                <w:sz w:val="20"/>
                <w:szCs w:val="20"/>
                <w:color w:val="auto"/>
              </w:rPr>
            </w:pPr>
            <w:r>
              <w:rPr>
                <w:rFonts w:ascii="Times New Roman" w:cs="Times New Roman" w:eastAsia="Times New Roman" w:hAnsi="Times New Roman"/>
                <w:sz w:val="13"/>
                <w:szCs w:val="13"/>
                <w:color w:val="auto"/>
              </w:rPr>
              <w:t>E + 5.75%</w:t>
            </w:r>
          </w:p>
        </w:tc>
        <w:tc>
          <w:tcPr>
            <w:tcW w:w="114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9.65 %</w:t>
            </w:r>
          </w:p>
        </w:tc>
        <w:tc>
          <w:tcPr>
            <w:tcW w:w="7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17,538</w:t>
            </w:r>
          </w:p>
        </w:tc>
        <w:tc>
          <w:tcPr>
            <w:tcW w:w="22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17,847</w:t>
            </w:r>
          </w:p>
        </w:tc>
        <w:tc>
          <w:tcPr>
            <w:tcW w:w="108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0.7 %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(EUR 16,525)</w:t>
            </w:r>
          </w:p>
        </w:tc>
        <w:tc>
          <w:tcPr>
            <w:tcW w:w="2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20" w:type="dxa"/>
            <w:vAlign w:val="bottom"/>
            <w:shd w:val="clear" w:color="auto" w:fill="CFF0FC"/>
          </w:tcPr>
          <w:p>
            <w:pPr>
              <w:spacing w:after="0"/>
              <w:rPr>
                <w:sz w:val="13"/>
                <w:szCs w:val="13"/>
                <w:color w:val="auto"/>
              </w:rPr>
            </w:pPr>
          </w:p>
        </w:tc>
        <w:tc>
          <w:tcPr>
            <w:tcW w:w="25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542,309</w:t>
            </w:r>
          </w:p>
        </w:tc>
        <w:tc>
          <w:tcPr>
            <w:tcW w:w="2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550,540</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2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Oil, Gas and Consumable</w:t>
            </w:r>
          </w:p>
        </w:tc>
        <w:tc>
          <w:tcPr>
            <w:tcW w:w="2560" w:type="dxa"/>
            <w:vAlign w:val="bottom"/>
            <w:tcBorders>
              <w:top w:val="single" w:sz="8" w:color="CFF0FC"/>
            </w:tcBorders>
          </w:tcPr>
          <w:p>
            <w:pPr>
              <w:spacing w:after="0"/>
              <w:rPr>
                <w:sz w:val="10"/>
                <w:szCs w:val="10"/>
                <w:color w:val="auto"/>
              </w:rPr>
            </w:pPr>
          </w:p>
        </w:tc>
        <w:tc>
          <w:tcPr>
            <w:tcW w:w="880" w:type="dxa"/>
            <w:vAlign w:val="bottom"/>
            <w:tcBorders>
              <w:top w:val="single" w:sz="8" w:color="CFF0FC"/>
            </w:tcBorders>
          </w:tcPr>
          <w:p>
            <w:pPr>
              <w:spacing w:after="0"/>
              <w:rPr>
                <w:sz w:val="10"/>
                <w:szCs w:val="10"/>
                <w:color w:val="auto"/>
              </w:rPr>
            </w:pPr>
          </w:p>
        </w:tc>
        <w:tc>
          <w:tcPr>
            <w:tcW w:w="1020" w:type="dxa"/>
            <w:vAlign w:val="bottom"/>
            <w:tcBorders>
              <w:top w:val="single" w:sz="8" w:color="CFF0FC"/>
            </w:tcBorders>
          </w:tcPr>
          <w:p>
            <w:pPr>
              <w:spacing w:after="0"/>
              <w:rPr>
                <w:sz w:val="10"/>
                <w:szCs w:val="10"/>
                <w:color w:val="auto"/>
              </w:rPr>
            </w:pPr>
          </w:p>
        </w:tc>
        <w:tc>
          <w:tcPr>
            <w:tcW w:w="1140" w:type="dxa"/>
            <w:vAlign w:val="bottom"/>
            <w:tcBorders>
              <w:top w:val="single" w:sz="8" w:color="CFF0FC"/>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20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Fuels</w:t>
            </w:r>
          </w:p>
        </w:tc>
        <w:tc>
          <w:tcPr>
            <w:tcW w:w="2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-4443730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-4443730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-4443730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-3388995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-3388995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-3388995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-2129155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-2129155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-2129155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-191770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-191770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-191770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60"/>
          </w:cols>
          <w:pgMar w:left="320" w:top="1026" w:right="319" w:bottom="1440" w:gutter="0" w:footer="0" w:header="0"/>
        </w:sectPr>
      </w:pPr>
    </w:p>
    <w:p>
      <w:pPr>
        <w:ind w:left="20"/>
        <w:spacing w:after="0"/>
        <w:rPr>
          <w:sz w:val="20"/>
          <w:szCs w:val="20"/>
          <w:color w:val="auto"/>
        </w:rPr>
      </w:pPr>
      <w:r>
        <w:rPr>
          <w:rFonts w:ascii="Times New Roman" w:cs="Times New Roman" w:eastAsia="Times New Roman" w:hAnsi="Times New Roman"/>
          <w:sz w:val="13"/>
          <w:szCs w:val="13"/>
          <w:color w:val="auto"/>
        </w:rPr>
        <w:t xml:space="preserve">Laramie Energy, LLC </w:t>
      </w:r>
      <w:r>
        <w:rPr>
          <w:rFonts w:ascii="Times New Roman" w:cs="Times New Roman" w:eastAsia="Times New Roman" w:hAnsi="Times New Roman"/>
          <w:sz w:val="16"/>
          <w:szCs w:val="16"/>
          <w:color w:val="auto"/>
          <w:vertAlign w:val="superscript"/>
        </w:rPr>
        <w:t>(3)</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 xml:space="preserve">Mach Natural Resources LP </w:t>
      </w:r>
      <w:r>
        <w:rPr>
          <w:rFonts w:ascii="Times New Roman" w:cs="Times New Roman" w:eastAsia="Times New Roman" w:hAnsi="Times New Roman"/>
          <w:sz w:val="15"/>
          <w:szCs w:val="15"/>
          <w:color w:val="auto"/>
          <w:vertAlign w:val="superscript"/>
        </w:rPr>
        <w:t>(3)</w:t>
      </w:r>
    </w:p>
    <w:p>
      <w:pPr>
        <w:ind w:left="20"/>
        <w:spacing w:after="0"/>
        <w:rPr>
          <w:sz w:val="20"/>
          <w:szCs w:val="20"/>
          <w:color w:val="auto"/>
        </w:rPr>
      </w:pPr>
      <w:r>
        <w:rPr>
          <w:rFonts w:ascii="Times New Roman" w:cs="Times New Roman" w:eastAsia="Times New Roman" w:hAnsi="Times New Roman"/>
          <w:sz w:val="8"/>
          <w:szCs w:val="8"/>
          <w:color w:val="auto"/>
        </w:rPr>
        <w:t>(4)</w:t>
      </w:r>
    </w:p>
    <w:p>
      <w:pPr>
        <w:spacing w:after="0" w:line="273" w:lineRule="exact"/>
        <w:rPr>
          <w:sz w:val="20"/>
          <w:szCs w:val="20"/>
          <w:color w:val="auto"/>
        </w:rPr>
      </w:pPr>
    </w:p>
    <w:p>
      <w:pPr>
        <w:ind w:left="20" w:right="420"/>
        <w:spacing w:after="0" w:line="237" w:lineRule="auto"/>
        <w:rPr>
          <w:sz w:val="20"/>
          <w:szCs w:val="20"/>
          <w:color w:val="auto"/>
        </w:rPr>
      </w:pPr>
      <w:r>
        <w:rPr>
          <w:rFonts w:ascii="Times New Roman" w:cs="Times New Roman" w:eastAsia="Times New Roman" w:hAnsi="Times New Roman"/>
          <w:sz w:val="13"/>
          <w:szCs w:val="13"/>
          <w:b w:val="1"/>
          <w:bCs w:val="1"/>
          <w:color w:val="auto"/>
        </w:rPr>
        <w:t>Retail and Consumer Products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3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First-lien loan ($97,561 par, due 2/2027)</w:t>
            </w:r>
          </w:p>
        </w:tc>
        <w:tc>
          <w:tcPr>
            <w:tcW w:w="1000" w:type="dxa"/>
            <w:vAlign w:val="bottom"/>
          </w:tcPr>
          <w:p>
            <w:pPr>
              <w:jc w:val="right"/>
              <w:ind w:right="137"/>
              <w:spacing w:after="0" w:line="138" w:lineRule="exact"/>
              <w:rPr>
                <w:sz w:val="20"/>
                <w:szCs w:val="20"/>
                <w:color w:val="auto"/>
              </w:rPr>
            </w:pPr>
            <w:r>
              <w:rPr>
                <w:rFonts w:ascii="Times New Roman" w:cs="Times New Roman" w:eastAsia="Times New Roman" w:hAnsi="Times New Roman"/>
                <w:sz w:val="13"/>
                <w:szCs w:val="13"/>
                <w:color w:val="auto"/>
              </w:rPr>
              <w:t>2/21/2023</w:t>
            </w:r>
          </w:p>
        </w:tc>
        <w:tc>
          <w:tcPr>
            <w:tcW w:w="1120" w:type="dxa"/>
            <w:vAlign w:val="bottom"/>
          </w:tcPr>
          <w:p>
            <w:pPr>
              <w:jc w:val="right"/>
              <w:ind w:right="437"/>
              <w:spacing w:after="0" w:line="138" w:lineRule="exact"/>
              <w:rPr>
                <w:sz w:val="20"/>
                <w:szCs w:val="20"/>
                <w:color w:val="auto"/>
              </w:rPr>
            </w:pPr>
            <w:r>
              <w:rPr>
                <w:rFonts w:ascii="Times New Roman" w:cs="Times New Roman" w:eastAsia="Times New Roman" w:hAnsi="Times New Roman"/>
                <w:sz w:val="13"/>
                <w:szCs w:val="13"/>
                <w:color w:val="auto"/>
              </w:rPr>
              <w:t>SOFR +</w:t>
            </w:r>
          </w:p>
        </w:tc>
        <w:tc>
          <w:tcPr>
            <w:tcW w:w="980" w:type="dxa"/>
            <w:vAlign w:val="bottom"/>
          </w:tcPr>
          <w:p>
            <w:pPr>
              <w:jc w:val="right"/>
              <w:ind w:right="37"/>
              <w:spacing w:after="0" w:line="138" w:lineRule="exact"/>
              <w:rPr>
                <w:sz w:val="20"/>
                <w:szCs w:val="20"/>
                <w:color w:val="auto"/>
              </w:rPr>
            </w:pPr>
            <w:r>
              <w:rPr>
                <w:rFonts w:ascii="Times New Roman" w:cs="Times New Roman" w:eastAsia="Times New Roman" w:hAnsi="Times New Roman"/>
                <w:sz w:val="13"/>
                <w:szCs w:val="13"/>
                <w:color w:val="auto"/>
              </w:rPr>
              <w:t>12.43 %</w:t>
            </w:r>
          </w:p>
        </w:tc>
        <w:tc>
          <w:tcPr>
            <w:tcW w:w="7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95,755</w:t>
            </w:r>
          </w:p>
        </w:tc>
        <w:tc>
          <w:tcPr>
            <w:tcW w:w="222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97,561</w:t>
            </w:r>
          </w:p>
        </w:tc>
        <w:tc>
          <w:tcPr>
            <w:tcW w:w="1100" w:type="dxa"/>
            <w:vAlign w:val="bottom"/>
            <w:gridSpan w:val="3"/>
          </w:tcPr>
          <w:p>
            <w:pPr>
              <w:jc w:val="right"/>
              <w:spacing w:after="0" w:line="138" w:lineRule="exact"/>
              <w:rPr>
                <w:sz w:val="20"/>
                <w:szCs w:val="20"/>
                <w:color w:val="auto"/>
              </w:rPr>
            </w:pPr>
            <w:r>
              <w:rPr>
                <w:rFonts w:ascii="Times New Roman" w:cs="Times New Roman" w:eastAsia="Times New Roman" w:hAnsi="Times New Roman"/>
                <w:sz w:val="13"/>
                <w:szCs w:val="13"/>
                <w:color w:val="auto"/>
              </w:rPr>
              <w:t>4.1 %</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7.10%</w:t>
            </w: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($135,000 par, due 12/2026)</w:t>
            </w:r>
          </w:p>
        </w:tc>
        <w:tc>
          <w:tcPr>
            <w:tcW w:w="100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12/28/2023</w:t>
            </w:r>
          </w:p>
        </w:tc>
        <w:tc>
          <w:tcPr>
            <w:tcW w:w="1120" w:type="dxa"/>
            <w:vAlign w:val="bottom"/>
          </w:tcPr>
          <w:p>
            <w:pPr>
              <w:jc w:val="right"/>
              <w:ind w:right="437"/>
              <w:spacing w:after="0" w:line="135" w:lineRule="exact"/>
              <w:rPr>
                <w:sz w:val="20"/>
                <w:szCs w:val="20"/>
                <w:color w:val="auto"/>
              </w:rPr>
            </w:pPr>
            <w:r>
              <w:rPr>
                <w:rFonts w:ascii="Times New Roman" w:cs="Times New Roman" w:eastAsia="Times New Roman" w:hAnsi="Times New Roman"/>
                <w:sz w:val="13"/>
                <w:szCs w:val="13"/>
                <w:color w:val="auto"/>
              </w:rPr>
              <w:t>SOFR +</w:t>
            </w:r>
          </w:p>
        </w:tc>
        <w:tc>
          <w:tcPr>
            <w:tcW w:w="9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11.95 %</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132,505</w:t>
            </w:r>
          </w:p>
        </w:tc>
        <w:tc>
          <w:tcPr>
            <w:tcW w:w="2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132,975</w:t>
            </w:r>
          </w:p>
        </w:tc>
        <w:tc>
          <w:tcPr>
            <w:tcW w:w="110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5.6 %</w:t>
            </w:r>
          </w:p>
        </w:tc>
        <w:tc>
          <w:tcPr>
            <w:tcW w:w="0" w:type="dxa"/>
            <w:vAlign w:val="bottom"/>
          </w:tcPr>
          <w:p>
            <w:pPr>
              <w:spacing w:after="0"/>
              <w:rPr>
                <w:sz w:val="1"/>
                <w:szCs w:val="1"/>
                <w:color w:val="auto"/>
              </w:rPr>
            </w:pPr>
          </w:p>
        </w:tc>
      </w:tr>
      <w:tr>
        <w:trPr>
          <w:trHeight w:val="153"/>
        </w:trPr>
        <w:tc>
          <w:tcPr>
            <w:tcW w:w="2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6.65%</w:t>
            </w:r>
          </w:p>
        </w:tc>
        <w:tc>
          <w:tcPr>
            <w:tcW w:w="9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228,260</w:t>
            </w:r>
          </w:p>
        </w:tc>
        <w:tc>
          <w:tcPr>
            <w:tcW w:w="200" w:type="dxa"/>
            <w:vAlign w:val="bottom"/>
          </w:tcPr>
          <w:p>
            <w:pPr>
              <w:spacing w:after="0"/>
              <w:rPr>
                <w:sz w:val="13"/>
                <w:szCs w:val="13"/>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230,536</w:t>
            </w:r>
          </w:p>
        </w:tc>
        <w:tc>
          <w:tcPr>
            <w:tcW w:w="22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-487680</wp:posOffset>
            </wp:positionV>
            <wp:extent cx="713232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-110490</wp:posOffset>
            </wp:positionV>
            <wp:extent cx="7132320" cy="1111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89" w:lineRule="exact"/>
        <w:rPr>
          <w:sz w:val="20"/>
          <w:szCs w:val="20"/>
          <w:color w:val="auto"/>
        </w:rPr>
      </w:pPr>
    </w:p>
    <w:p>
      <w:pPr>
        <w:sectPr>
          <w:pgSz w:w="11900" w:h="16838" w:orient="portrait"/>
          <w:cols w:equalWidth="0" w:num="2">
            <w:col w:w="1580" w:space="160"/>
            <w:col w:w="9520"/>
          </w:cols>
          <w:pgMar w:left="320" w:top="1026" w:right="31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1660" w:type="dxa"/>
            <w:vAlign w:val="bottom"/>
            <w:shd w:val="clear" w:color="auto" w:fill="CFF0FC"/>
          </w:tcPr>
          <w:p>
            <w:pPr>
              <w:ind w:left="20"/>
              <w:spacing w:after="0" w:line="130" w:lineRule="exact"/>
              <w:rPr>
                <w:sz w:val="20"/>
                <w:szCs w:val="20"/>
                <w:color w:val="auto"/>
              </w:rPr>
            </w:pPr>
            <w:r>
              <w:rPr>
                <w:rFonts w:ascii="Times New Roman" w:cs="Times New Roman" w:eastAsia="Times New Roman" w:hAnsi="Times New Roman"/>
                <w:sz w:val="12"/>
                <w:szCs w:val="12"/>
                <w:color w:val="auto"/>
              </w:rPr>
              <w:t xml:space="preserve">Bed Bath and Beyond Inc. </w:t>
            </w:r>
            <w:r>
              <w:rPr>
                <w:rFonts w:ascii="Times New Roman" w:cs="Times New Roman" w:eastAsia="Times New Roman" w:hAnsi="Times New Roman"/>
                <w:sz w:val="15"/>
                <w:szCs w:val="15"/>
                <w:color w:val="auto"/>
                <w:vertAlign w:val="superscript"/>
              </w:rPr>
              <w:t>(3)</w:t>
            </w:r>
          </w:p>
        </w:tc>
        <w:tc>
          <w:tcPr>
            <w:tcW w:w="2540" w:type="dxa"/>
            <w:vAlign w:val="bottom"/>
            <w:shd w:val="clear" w:color="auto" w:fill="CFF0FC"/>
          </w:tcPr>
          <w:p>
            <w:pPr>
              <w:ind w:left="80"/>
              <w:spacing w:after="0" w:line="130" w:lineRule="exact"/>
              <w:rPr>
                <w:sz w:val="20"/>
                <w:szCs w:val="20"/>
                <w:color w:val="auto"/>
              </w:rPr>
            </w:pPr>
            <w:r>
              <w:rPr>
                <w:rFonts w:ascii="Times New Roman" w:cs="Times New Roman" w:eastAsia="Times New Roman" w:hAnsi="Times New Roman"/>
                <w:sz w:val="13"/>
                <w:szCs w:val="13"/>
                <w:color w:val="auto"/>
              </w:rPr>
              <w:t>ABL FILO term loan ($23,314 par, due</w:t>
            </w:r>
          </w:p>
        </w:tc>
        <w:tc>
          <w:tcPr>
            <w:tcW w:w="880" w:type="dxa"/>
            <w:vAlign w:val="bottom"/>
            <w:shd w:val="clear" w:color="auto" w:fill="CFF0FC"/>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rPr>
              <w:t>9/2/2022</w:t>
            </w:r>
          </w:p>
        </w:tc>
        <w:tc>
          <w:tcPr>
            <w:tcW w:w="980" w:type="dxa"/>
            <w:vAlign w:val="bottom"/>
            <w:shd w:val="clear" w:color="auto" w:fill="CFF0FC"/>
          </w:tcPr>
          <w:p>
            <w:pPr>
              <w:jc w:val="right"/>
              <w:ind w:right="257"/>
              <w:spacing w:after="0" w:line="130" w:lineRule="exact"/>
              <w:rPr>
                <w:sz w:val="20"/>
                <w:szCs w:val="20"/>
                <w:color w:val="auto"/>
              </w:rPr>
            </w:pPr>
            <w:r>
              <w:rPr>
                <w:rFonts w:ascii="Times New Roman" w:cs="Times New Roman" w:eastAsia="Times New Roman" w:hAnsi="Times New Roman"/>
                <w:sz w:val="13"/>
                <w:szCs w:val="13"/>
                <w:color w:val="auto"/>
              </w:rPr>
              <w:t>SOFR +</w:t>
            </w:r>
          </w:p>
        </w:tc>
        <w:tc>
          <w:tcPr>
            <w:tcW w:w="1160" w:type="dxa"/>
            <w:vAlign w:val="bottom"/>
            <w:shd w:val="clear" w:color="auto" w:fill="CFF0FC"/>
          </w:tcPr>
          <w:p>
            <w:pPr>
              <w:jc w:val="right"/>
              <w:ind w:right="37"/>
              <w:spacing w:after="0" w:line="130" w:lineRule="exact"/>
              <w:rPr>
                <w:sz w:val="20"/>
                <w:szCs w:val="20"/>
                <w:color w:val="auto"/>
              </w:rPr>
            </w:pPr>
            <w:r>
              <w:rPr>
                <w:rFonts w:ascii="Times New Roman" w:cs="Times New Roman" w:eastAsia="Times New Roman" w:hAnsi="Times New Roman"/>
                <w:sz w:val="13"/>
                <w:szCs w:val="13"/>
                <w:color w:val="auto"/>
              </w:rPr>
              <w:t>15.23 %</w:t>
            </w:r>
          </w:p>
        </w:tc>
        <w:tc>
          <w:tcPr>
            <w:tcW w:w="72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22,861</w:t>
            </w:r>
          </w:p>
        </w:tc>
        <w:tc>
          <w:tcPr>
            <w:tcW w:w="2220" w:type="dxa"/>
            <w:vAlign w:val="bottom"/>
            <w:gridSpan w:val="2"/>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21,974</w:t>
            </w:r>
          </w:p>
        </w:tc>
        <w:tc>
          <w:tcPr>
            <w:tcW w:w="1080" w:type="dxa"/>
            <w:vAlign w:val="bottom"/>
            <w:gridSpan w:val="3"/>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0.9 %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(11)</w:t>
            </w:r>
          </w:p>
        </w:tc>
        <w:tc>
          <w:tcPr>
            <w:tcW w:w="254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8/2027)</w:t>
            </w:r>
          </w:p>
        </w:tc>
        <w:tc>
          <w:tcPr>
            <w:tcW w:w="880" w:type="dxa"/>
            <w:vAlign w:val="bottom"/>
            <w:shd w:val="clear" w:color="auto" w:fill="CFF0FC"/>
          </w:tcPr>
          <w:p>
            <w:pPr>
              <w:spacing w:after="0"/>
              <w:rPr>
                <w:sz w:val="9"/>
                <w:szCs w:val="9"/>
                <w:color w:val="auto"/>
              </w:rPr>
            </w:pPr>
          </w:p>
        </w:tc>
        <w:tc>
          <w:tcPr>
            <w:tcW w:w="980" w:type="dxa"/>
            <w:vAlign w:val="bottom"/>
            <w:vMerge w:val="restart"/>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rPr>
              <w:t>9.90%</w:t>
            </w:r>
          </w:p>
        </w:tc>
        <w:tc>
          <w:tcPr>
            <w:tcW w:w="11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60" w:type="dxa"/>
            <w:vAlign w:val="bottom"/>
            <w:shd w:val="clear" w:color="auto" w:fill="CFF0FC"/>
          </w:tcPr>
          <w:p>
            <w:pPr>
              <w:spacing w:after="0"/>
              <w:rPr>
                <w:sz w:val="5"/>
                <w:szCs w:val="5"/>
                <w:color w:val="auto"/>
              </w:rPr>
            </w:pPr>
          </w:p>
        </w:tc>
        <w:tc>
          <w:tcPr>
            <w:tcW w:w="2540" w:type="dxa"/>
            <w:vAlign w:val="bottom"/>
            <w:vMerge w:val="continue"/>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980" w:type="dxa"/>
            <w:vAlign w:val="bottom"/>
            <w:vMerge w:val="continue"/>
            <w:shd w:val="clear" w:color="auto" w:fill="CFF0FC"/>
          </w:tcPr>
          <w:p>
            <w:pPr>
              <w:spacing w:after="0"/>
              <w:rPr>
                <w:sz w:val="5"/>
                <w:szCs w:val="5"/>
                <w:color w:val="auto"/>
              </w:rPr>
            </w:pPr>
          </w:p>
        </w:tc>
        <w:tc>
          <w:tcPr>
            <w:tcW w:w="1160" w:type="dxa"/>
            <w:vAlign w:val="bottom"/>
            <w:shd w:val="clear" w:color="auto" w:fill="CFF0FC"/>
          </w:tcPr>
          <w:p>
            <w:pPr>
              <w:spacing w:after="0"/>
              <w:rPr>
                <w:sz w:val="5"/>
                <w:szCs w:val="5"/>
                <w:color w:val="auto"/>
              </w:rPr>
            </w:pPr>
          </w:p>
        </w:tc>
        <w:tc>
          <w:tcPr>
            <w:tcW w:w="72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202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660" w:type="dxa"/>
            <w:vAlign w:val="bottom"/>
          </w:tcPr>
          <w:p>
            <w:pPr>
              <w:spacing w:after="0"/>
              <w:rPr>
                <w:sz w:val="11"/>
                <w:szCs w:val="11"/>
                <w:color w:val="auto"/>
              </w:rPr>
            </w:pPr>
          </w:p>
        </w:tc>
        <w:tc>
          <w:tcPr>
            <w:tcW w:w="2540" w:type="dxa"/>
            <w:vAlign w:val="bottom"/>
          </w:tcPr>
          <w:p>
            <w:pPr>
              <w:ind w:left="80"/>
              <w:spacing w:after="0" w:line="131" w:lineRule="exact"/>
              <w:rPr>
                <w:sz w:val="20"/>
                <w:szCs w:val="20"/>
                <w:color w:val="auto"/>
              </w:rPr>
            </w:pPr>
            <w:r>
              <w:rPr>
                <w:rFonts w:ascii="Times New Roman" w:cs="Times New Roman" w:eastAsia="Times New Roman" w:hAnsi="Times New Roman"/>
                <w:sz w:val="13"/>
                <w:szCs w:val="13"/>
                <w:color w:val="auto"/>
              </w:rPr>
              <w:t>Roll Up DIP term loan ($46,777 par, due</w:t>
            </w:r>
          </w:p>
        </w:tc>
        <w:tc>
          <w:tcPr>
            <w:tcW w:w="88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3"/>
                <w:szCs w:val="13"/>
                <w:color w:val="auto"/>
              </w:rPr>
              <w:t>4/24/2023</w:t>
            </w:r>
          </w:p>
        </w:tc>
        <w:tc>
          <w:tcPr>
            <w:tcW w:w="980" w:type="dxa"/>
            <w:vAlign w:val="bottom"/>
          </w:tcPr>
          <w:p>
            <w:pPr>
              <w:jc w:val="right"/>
              <w:ind w:right="257"/>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160" w:type="dxa"/>
            <w:vAlign w:val="bottom"/>
          </w:tcPr>
          <w:p>
            <w:pPr>
              <w:jc w:val="right"/>
              <w:ind w:right="177"/>
              <w:spacing w:after="0" w:line="131" w:lineRule="exact"/>
              <w:rPr>
                <w:sz w:val="20"/>
                <w:szCs w:val="20"/>
                <w:color w:val="auto"/>
              </w:rPr>
            </w:pPr>
            <w:r>
              <w:rPr>
                <w:rFonts w:ascii="Times New Roman" w:cs="Times New Roman" w:eastAsia="Times New Roman" w:hAnsi="Times New Roman"/>
                <w:sz w:val="13"/>
                <w:szCs w:val="13"/>
                <w:color w:val="auto"/>
              </w:rPr>
              <w:t>13.23% PIK</w:t>
            </w:r>
          </w:p>
        </w:tc>
        <w:tc>
          <w:tcPr>
            <w:tcW w:w="7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46,777</w:t>
            </w:r>
          </w:p>
        </w:tc>
        <w:tc>
          <w:tcPr>
            <w:tcW w:w="22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44,088</w:t>
            </w:r>
          </w:p>
        </w:tc>
        <w:tc>
          <w:tcPr>
            <w:tcW w:w="108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1.9 %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60" w:type="dxa"/>
            <w:vAlign w:val="bottom"/>
          </w:tcPr>
          <w:p>
            <w:pPr>
              <w:spacing w:after="0"/>
              <w:rPr>
                <w:sz w:val="14"/>
                <w:szCs w:val="14"/>
                <w:color w:val="auto"/>
              </w:rPr>
            </w:pPr>
          </w:p>
        </w:tc>
        <w:tc>
          <w:tcPr>
            <w:tcW w:w="2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9/2024)</w:t>
            </w:r>
          </w:p>
        </w:tc>
        <w:tc>
          <w:tcPr>
            <w:tcW w:w="880" w:type="dxa"/>
            <w:vAlign w:val="bottom"/>
          </w:tcPr>
          <w:p>
            <w:pPr>
              <w:spacing w:after="0"/>
              <w:rPr>
                <w:sz w:val="14"/>
                <w:szCs w:val="14"/>
                <w:color w:val="auto"/>
              </w:rPr>
            </w:pPr>
          </w:p>
        </w:tc>
        <w:tc>
          <w:tcPr>
            <w:tcW w:w="98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7.90%</w:t>
            </w: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60" w:type="dxa"/>
            <w:vAlign w:val="bottom"/>
            <w:shd w:val="clear" w:color="auto" w:fill="CFF0FC"/>
          </w:tcPr>
          <w:p>
            <w:pPr>
              <w:spacing w:after="0"/>
              <w:rPr>
                <w:sz w:val="11"/>
                <w:szCs w:val="11"/>
                <w:color w:val="auto"/>
              </w:rPr>
            </w:pPr>
          </w:p>
        </w:tc>
        <w:tc>
          <w:tcPr>
            <w:tcW w:w="2540" w:type="dxa"/>
            <w:vAlign w:val="bottom"/>
            <w:shd w:val="clear" w:color="auto" w:fill="CFF0FC"/>
          </w:tcPr>
          <w:p>
            <w:pPr>
              <w:ind w:left="80"/>
              <w:spacing w:after="0" w:line="133" w:lineRule="exact"/>
              <w:rPr>
                <w:sz w:val="20"/>
                <w:szCs w:val="20"/>
                <w:color w:val="auto"/>
              </w:rPr>
            </w:pPr>
            <w:r>
              <w:rPr>
                <w:rFonts w:ascii="Times New Roman" w:cs="Times New Roman" w:eastAsia="Times New Roman" w:hAnsi="Times New Roman"/>
                <w:sz w:val="13"/>
                <w:szCs w:val="13"/>
                <w:color w:val="auto"/>
              </w:rPr>
              <w:t>Super-Priority DIP term loan ($8,272 par, due</w:t>
            </w:r>
          </w:p>
        </w:tc>
        <w:tc>
          <w:tcPr>
            <w:tcW w:w="880" w:type="dxa"/>
            <w:vAlign w:val="bottom"/>
            <w:shd w:val="clear" w:color="auto" w:fill="CFF0FC"/>
          </w:tcPr>
          <w:p>
            <w:pPr>
              <w:jc w:val="right"/>
              <w:ind w:right="97"/>
              <w:spacing w:after="0" w:line="133" w:lineRule="exact"/>
              <w:rPr>
                <w:sz w:val="20"/>
                <w:szCs w:val="20"/>
                <w:color w:val="auto"/>
              </w:rPr>
            </w:pPr>
            <w:r>
              <w:rPr>
                <w:rFonts w:ascii="Times New Roman" w:cs="Times New Roman" w:eastAsia="Times New Roman" w:hAnsi="Times New Roman"/>
                <w:sz w:val="13"/>
                <w:szCs w:val="13"/>
                <w:color w:val="auto"/>
              </w:rPr>
              <w:t>4/24/2023</w:t>
            </w:r>
          </w:p>
        </w:tc>
        <w:tc>
          <w:tcPr>
            <w:tcW w:w="980" w:type="dxa"/>
            <w:vAlign w:val="bottom"/>
            <w:shd w:val="clear" w:color="auto" w:fill="CFF0FC"/>
          </w:tcPr>
          <w:p>
            <w:pPr>
              <w:jc w:val="right"/>
              <w:ind w:right="257"/>
              <w:spacing w:after="0" w:line="133" w:lineRule="exact"/>
              <w:rPr>
                <w:sz w:val="20"/>
                <w:szCs w:val="20"/>
                <w:color w:val="auto"/>
              </w:rPr>
            </w:pPr>
            <w:r>
              <w:rPr>
                <w:rFonts w:ascii="Times New Roman" w:cs="Times New Roman" w:eastAsia="Times New Roman" w:hAnsi="Times New Roman"/>
                <w:sz w:val="13"/>
                <w:szCs w:val="13"/>
                <w:color w:val="auto"/>
              </w:rPr>
              <w:t>SOFR +</w:t>
            </w:r>
          </w:p>
        </w:tc>
        <w:tc>
          <w:tcPr>
            <w:tcW w:w="1160" w:type="dxa"/>
            <w:vAlign w:val="bottom"/>
            <w:shd w:val="clear" w:color="auto" w:fill="CFF0FC"/>
          </w:tcPr>
          <w:p>
            <w:pPr>
              <w:jc w:val="right"/>
              <w:ind w:right="37"/>
              <w:spacing w:after="0" w:line="133" w:lineRule="exact"/>
              <w:rPr>
                <w:sz w:val="20"/>
                <w:szCs w:val="20"/>
                <w:color w:val="auto"/>
              </w:rPr>
            </w:pPr>
            <w:r>
              <w:rPr>
                <w:rFonts w:ascii="Times New Roman" w:cs="Times New Roman" w:eastAsia="Times New Roman" w:hAnsi="Times New Roman"/>
                <w:sz w:val="13"/>
                <w:szCs w:val="13"/>
                <w:color w:val="auto"/>
              </w:rPr>
              <w:t>13.23 %</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8,272</w:t>
            </w:r>
          </w:p>
        </w:tc>
        <w:tc>
          <w:tcPr>
            <w:tcW w:w="222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7,797</w:t>
            </w:r>
          </w:p>
        </w:tc>
        <w:tc>
          <w:tcPr>
            <w:tcW w:w="108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0.3 %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FF0FC"/>
          </w:tcPr>
          <w:p>
            <w:pPr>
              <w:spacing w:after="0"/>
              <w:rPr>
                <w:sz w:val="14"/>
                <w:szCs w:val="14"/>
                <w:color w:val="auto"/>
              </w:rPr>
            </w:pPr>
          </w:p>
        </w:tc>
        <w:tc>
          <w:tcPr>
            <w:tcW w:w="2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9/2024)</w:t>
            </w:r>
          </w:p>
        </w:tc>
        <w:tc>
          <w:tcPr>
            <w:tcW w:w="88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rPr>
              <w:t>7.90%</w:t>
            </w:r>
          </w:p>
        </w:tc>
        <w:tc>
          <w:tcPr>
            <w:tcW w:w="1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6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Commercehub, Inc. </w:t>
            </w:r>
            <w:r>
              <w:rPr>
                <w:rFonts w:ascii="Times New Roman" w:cs="Times New Roman" w:eastAsia="Times New Roman" w:hAnsi="Times New Roman"/>
                <w:sz w:val="15"/>
                <w:szCs w:val="15"/>
                <w:color w:val="auto"/>
                <w:vertAlign w:val="superscript"/>
              </w:rPr>
              <w:t>(3)</w:t>
            </w:r>
          </w:p>
        </w:tc>
        <w:tc>
          <w:tcPr>
            <w:tcW w:w="2540" w:type="dxa"/>
            <w:vAlign w:val="bottom"/>
          </w:tcPr>
          <w:p>
            <w:pPr>
              <w:ind w:left="80"/>
              <w:spacing w:after="0" w:line="131" w:lineRule="exact"/>
              <w:rPr>
                <w:sz w:val="20"/>
                <w:szCs w:val="20"/>
                <w:color w:val="auto"/>
              </w:rPr>
            </w:pPr>
            <w:r>
              <w:rPr>
                <w:rFonts w:ascii="Times New Roman" w:cs="Times New Roman" w:eastAsia="Times New Roman" w:hAnsi="Times New Roman"/>
                <w:sz w:val="13"/>
                <w:szCs w:val="13"/>
                <w:color w:val="auto"/>
              </w:rPr>
              <w:t>First-lien loan ($148,125 par, due 12/2027)</w:t>
            </w:r>
          </w:p>
        </w:tc>
        <w:tc>
          <w:tcPr>
            <w:tcW w:w="88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3"/>
                <w:szCs w:val="13"/>
                <w:color w:val="auto"/>
              </w:rPr>
              <w:t>11/15/2022</w:t>
            </w:r>
          </w:p>
        </w:tc>
        <w:tc>
          <w:tcPr>
            <w:tcW w:w="980" w:type="dxa"/>
            <w:vAlign w:val="bottom"/>
          </w:tcPr>
          <w:p>
            <w:pPr>
              <w:jc w:val="right"/>
              <w:ind w:right="257"/>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16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11.58 %</w:t>
            </w:r>
          </w:p>
        </w:tc>
        <w:tc>
          <w:tcPr>
            <w:tcW w:w="7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139,949</w:t>
            </w:r>
          </w:p>
        </w:tc>
        <w:tc>
          <w:tcPr>
            <w:tcW w:w="22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147,384</w:t>
            </w:r>
          </w:p>
        </w:tc>
        <w:tc>
          <w:tcPr>
            <w:tcW w:w="108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6.2 %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6.25%</w:t>
            </w: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 xml:space="preserve">PDI TA Holdings, Inc. </w:t>
            </w:r>
            <w:r>
              <w:rPr>
                <w:rFonts w:ascii="Times New Roman" w:cs="Times New Roman" w:eastAsia="Times New Roman" w:hAnsi="Times New Roman"/>
                <w:sz w:val="15"/>
                <w:szCs w:val="15"/>
                <w:color w:val="auto"/>
                <w:vertAlign w:val="superscript"/>
              </w:rPr>
              <w:t>(3)</w:t>
            </w:r>
          </w:p>
        </w:tc>
        <w:tc>
          <w:tcPr>
            <w:tcW w:w="2540" w:type="dxa"/>
            <w:vAlign w:val="bottom"/>
            <w:shd w:val="clear" w:color="auto" w:fill="CFF0FC"/>
          </w:tcPr>
          <w:p>
            <w:pPr>
              <w:ind w:left="80"/>
              <w:spacing w:after="0" w:line="133" w:lineRule="exact"/>
              <w:rPr>
                <w:sz w:val="20"/>
                <w:szCs w:val="20"/>
                <w:color w:val="auto"/>
              </w:rPr>
            </w:pPr>
            <w:r>
              <w:rPr>
                <w:rFonts w:ascii="Times New Roman" w:cs="Times New Roman" w:eastAsia="Times New Roman" w:hAnsi="Times New Roman"/>
                <w:sz w:val="13"/>
                <w:szCs w:val="13"/>
                <w:color w:val="auto"/>
              </w:rPr>
              <w:t>First-lien loan ($129,690 par, due 2/2031)</w:t>
            </w:r>
          </w:p>
        </w:tc>
        <w:tc>
          <w:tcPr>
            <w:tcW w:w="880" w:type="dxa"/>
            <w:vAlign w:val="bottom"/>
            <w:shd w:val="clear" w:color="auto" w:fill="CFF0FC"/>
          </w:tcPr>
          <w:p>
            <w:pPr>
              <w:jc w:val="right"/>
              <w:ind w:right="97"/>
              <w:spacing w:after="0" w:line="133" w:lineRule="exact"/>
              <w:rPr>
                <w:sz w:val="20"/>
                <w:szCs w:val="20"/>
                <w:color w:val="auto"/>
              </w:rPr>
            </w:pPr>
            <w:r>
              <w:rPr>
                <w:rFonts w:ascii="Times New Roman" w:cs="Times New Roman" w:eastAsia="Times New Roman" w:hAnsi="Times New Roman"/>
                <w:sz w:val="13"/>
                <w:szCs w:val="13"/>
                <w:color w:val="auto"/>
              </w:rPr>
              <w:t>2/1/2024</w:t>
            </w:r>
          </w:p>
        </w:tc>
        <w:tc>
          <w:tcPr>
            <w:tcW w:w="980" w:type="dxa"/>
            <w:vAlign w:val="bottom"/>
            <w:shd w:val="clear" w:color="auto" w:fill="CFF0FC"/>
          </w:tcPr>
          <w:p>
            <w:pPr>
              <w:jc w:val="right"/>
              <w:ind w:right="257"/>
              <w:spacing w:after="0" w:line="133" w:lineRule="exact"/>
              <w:rPr>
                <w:sz w:val="20"/>
                <w:szCs w:val="20"/>
                <w:color w:val="auto"/>
              </w:rPr>
            </w:pPr>
            <w:r>
              <w:rPr>
                <w:rFonts w:ascii="Times New Roman" w:cs="Times New Roman" w:eastAsia="Times New Roman" w:hAnsi="Times New Roman"/>
                <w:sz w:val="13"/>
                <w:szCs w:val="13"/>
                <w:color w:val="auto"/>
              </w:rPr>
              <w:t>SOFR +</w:t>
            </w:r>
          </w:p>
        </w:tc>
        <w:tc>
          <w:tcPr>
            <w:tcW w:w="1160" w:type="dxa"/>
            <w:vAlign w:val="bottom"/>
            <w:shd w:val="clear" w:color="auto" w:fill="CFF0FC"/>
          </w:tcPr>
          <w:p>
            <w:pPr>
              <w:jc w:val="right"/>
              <w:ind w:right="37"/>
              <w:spacing w:after="0" w:line="133" w:lineRule="exact"/>
              <w:rPr>
                <w:sz w:val="20"/>
                <w:szCs w:val="20"/>
                <w:color w:val="auto"/>
              </w:rPr>
            </w:pPr>
            <w:r>
              <w:rPr>
                <w:rFonts w:ascii="Times New Roman" w:cs="Times New Roman" w:eastAsia="Times New Roman" w:hAnsi="Times New Roman"/>
                <w:sz w:val="13"/>
                <w:szCs w:val="13"/>
                <w:color w:val="auto"/>
              </w:rPr>
              <w:t>10.83 %</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127,081</w:t>
            </w:r>
          </w:p>
        </w:tc>
        <w:tc>
          <w:tcPr>
            <w:tcW w:w="222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127,755</w:t>
            </w:r>
          </w:p>
        </w:tc>
        <w:tc>
          <w:tcPr>
            <w:tcW w:w="108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5.4 %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FF0FC"/>
          </w:tcPr>
          <w:p>
            <w:pPr>
              <w:spacing w:after="0"/>
              <w:rPr>
                <w:sz w:val="14"/>
                <w:szCs w:val="14"/>
                <w:color w:val="auto"/>
              </w:rPr>
            </w:pPr>
          </w:p>
        </w:tc>
        <w:tc>
          <w:tcPr>
            <w:tcW w:w="25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rPr>
              <w:t>5.50%</w:t>
            </w:r>
          </w:p>
        </w:tc>
        <w:tc>
          <w:tcPr>
            <w:tcW w:w="1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Rapid Data GmbH</w:t>
            </w:r>
          </w:p>
        </w:tc>
        <w:tc>
          <w:tcPr>
            <w:tcW w:w="254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First-lien loan (EUR 4,495 par, due 7/2029)</w:t>
            </w:r>
          </w:p>
        </w:tc>
        <w:tc>
          <w:tcPr>
            <w:tcW w:w="880" w:type="dxa"/>
            <w:vAlign w:val="bottom"/>
          </w:tcPr>
          <w:p>
            <w:pPr>
              <w:jc w:val="right"/>
              <w:ind w:right="97"/>
              <w:spacing w:after="0" w:line="122" w:lineRule="exact"/>
              <w:rPr>
                <w:sz w:val="20"/>
                <w:szCs w:val="20"/>
                <w:color w:val="auto"/>
              </w:rPr>
            </w:pPr>
            <w:r>
              <w:rPr>
                <w:rFonts w:ascii="Times New Roman" w:cs="Times New Roman" w:eastAsia="Times New Roman" w:hAnsi="Times New Roman"/>
                <w:sz w:val="13"/>
                <w:szCs w:val="13"/>
                <w:color w:val="auto"/>
              </w:rPr>
              <w:t>7/11/2023</w:t>
            </w:r>
          </w:p>
        </w:tc>
        <w:tc>
          <w:tcPr>
            <w:tcW w:w="980" w:type="dxa"/>
            <w:vAlign w:val="bottom"/>
          </w:tcPr>
          <w:p>
            <w:pPr>
              <w:jc w:val="right"/>
              <w:ind w:right="217"/>
              <w:spacing w:after="0" w:line="122" w:lineRule="exact"/>
              <w:rPr>
                <w:sz w:val="20"/>
                <w:szCs w:val="20"/>
                <w:color w:val="auto"/>
              </w:rPr>
            </w:pPr>
            <w:r>
              <w:rPr>
                <w:rFonts w:ascii="Times New Roman" w:cs="Times New Roman" w:eastAsia="Times New Roman" w:hAnsi="Times New Roman"/>
                <w:sz w:val="13"/>
                <w:szCs w:val="13"/>
                <w:color w:val="auto"/>
              </w:rPr>
              <w:t>E + 6.50%</w:t>
            </w:r>
          </w:p>
        </w:tc>
        <w:tc>
          <w:tcPr>
            <w:tcW w:w="11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10.43 %</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4,686</w:t>
            </w:r>
          </w:p>
        </w:tc>
        <w:tc>
          <w:tcPr>
            <w:tcW w:w="2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4,827</w:t>
            </w:r>
          </w:p>
        </w:tc>
        <w:tc>
          <w:tcPr>
            <w:tcW w:w="10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0.2 %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66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 xml:space="preserve">Unternehmensberatung </w:t>
            </w:r>
            <w:r>
              <w:rPr>
                <w:rFonts w:ascii="Times New Roman" w:cs="Times New Roman" w:eastAsia="Times New Roman" w:hAnsi="Times New Roman"/>
                <w:sz w:val="16"/>
                <w:szCs w:val="16"/>
                <w:color w:val="auto"/>
                <w:vertAlign w:val="superscript"/>
              </w:rPr>
              <w:t>(3)(4)</w:t>
            </w:r>
          </w:p>
        </w:tc>
        <w:tc>
          <w:tcPr>
            <w:tcW w:w="2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(EUR 4,470)</w:t>
            </w:r>
          </w:p>
        </w:tc>
        <w:tc>
          <w:tcPr>
            <w:tcW w:w="2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spacing w:after="0"/>
              <w:rPr>
                <w:sz w:val="13"/>
                <w:szCs w:val="13"/>
                <w:color w:val="auto"/>
              </w:rPr>
            </w:pPr>
          </w:p>
        </w:tc>
        <w:tc>
          <w:tcPr>
            <w:tcW w:w="25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349,626</w:t>
            </w:r>
          </w:p>
        </w:tc>
        <w:tc>
          <w:tcPr>
            <w:tcW w:w="2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353,825</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Transportation</w:t>
            </w:r>
          </w:p>
        </w:tc>
        <w:tc>
          <w:tcPr>
            <w:tcW w:w="2540" w:type="dxa"/>
            <w:vAlign w:val="bottom"/>
            <w:tcBorders>
              <w:top w:val="single" w:sz="8" w:color="CFF0FC"/>
            </w:tcBorders>
          </w:tcPr>
          <w:p>
            <w:pPr>
              <w:spacing w:after="0"/>
              <w:rPr>
                <w:sz w:val="13"/>
                <w:szCs w:val="13"/>
                <w:color w:val="auto"/>
              </w:rPr>
            </w:pPr>
          </w:p>
        </w:tc>
        <w:tc>
          <w:tcPr>
            <w:tcW w:w="880" w:type="dxa"/>
            <w:vAlign w:val="bottom"/>
            <w:tcBorders>
              <w:top w:val="single" w:sz="8" w:color="CFF0FC"/>
            </w:tcBorders>
          </w:tcPr>
          <w:p>
            <w:pPr>
              <w:spacing w:after="0"/>
              <w:rPr>
                <w:sz w:val="13"/>
                <w:szCs w:val="13"/>
                <w:color w:val="auto"/>
              </w:rPr>
            </w:pPr>
          </w:p>
        </w:tc>
        <w:tc>
          <w:tcPr>
            <w:tcW w:w="980" w:type="dxa"/>
            <w:vAlign w:val="bottom"/>
            <w:tcBorders>
              <w:top w:val="single" w:sz="8" w:color="CFF0FC"/>
            </w:tcBorders>
          </w:tcPr>
          <w:p>
            <w:pPr>
              <w:spacing w:after="0"/>
              <w:rPr>
                <w:sz w:val="13"/>
                <w:szCs w:val="13"/>
                <w:color w:val="auto"/>
              </w:rPr>
            </w:pPr>
          </w:p>
        </w:tc>
        <w:tc>
          <w:tcPr>
            <w:tcW w:w="1160" w:type="dxa"/>
            <w:vAlign w:val="bottom"/>
            <w:tcBorders>
              <w:top w:val="single" w:sz="8" w:color="CFF0FC"/>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20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66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Ben Nevis Midco Limited </w:t>
            </w:r>
            <w:r>
              <w:rPr>
                <w:rFonts w:ascii="Times New Roman" w:cs="Times New Roman" w:eastAsia="Times New Roman" w:hAnsi="Times New Roman"/>
                <w:sz w:val="15"/>
                <w:szCs w:val="15"/>
                <w:color w:val="auto"/>
                <w:vertAlign w:val="superscript"/>
              </w:rPr>
              <w:t>(3)(4)</w:t>
            </w:r>
          </w:p>
        </w:tc>
        <w:tc>
          <w:tcPr>
            <w:tcW w:w="2540" w:type="dxa"/>
            <w:vAlign w:val="bottom"/>
            <w:shd w:val="clear" w:color="auto" w:fill="CFF0FC"/>
          </w:tcPr>
          <w:p>
            <w:pPr>
              <w:ind w:left="80"/>
              <w:spacing w:after="0" w:line="131" w:lineRule="exact"/>
              <w:rPr>
                <w:sz w:val="20"/>
                <w:szCs w:val="20"/>
                <w:color w:val="auto"/>
              </w:rPr>
            </w:pPr>
            <w:r>
              <w:rPr>
                <w:rFonts w:ascii="Times New Roman" w:cs="Times New Roman" w:eastAsia="Times New Roman" w:hAnsi="Times New Roman"/>
                <w:sz w:val="13"/>
                <w:szCs w:val="13"/>
                <w:color w:val="auto"/>
              </w:rPr>
              <w:t>First-lien loan ($65,929 par, due 3/2028)</w:t>
            </w:r>
          </w:p>
        </w:tc>
        <w:tc>
          <w:tcPr>
            <w:tcW w:w="880" w:type="dxa"/>
            <w:vAlign w:val="bottom"/>
            <w:shd w:val="clear" w:color="auto" w:fill="CFF0FC"/>
          </w:tcPr>
          <w:p>
            <w:pPr>
              <w:jc w:val="right"/>
              <w:ind w:right="97"/>
              <w:spacing w:after="0" w:line="131" w:lineRule="exact"/>
              <w:rPr>
                <w:sz w:val="20"/>
                <w:szCs w:val="20"/>
                <w:color w:val="auto"/>
              </w:rPr>
            </w:pPr>
            <w:r>
              <w:rPr>
                <w:rFonts w:ascii="Times New Roman" w:cs="Times New Roman" w:eastAsia="Times New Roman" w:hAnsi="Times New Roman"/>
                <w:sz w:val="13"/>
                <w:szCs w:val="13"/>
                <w:color w:val="auto"/>
              </w:rPr>
              <w:t>3/26/2024</w:t>
            </w:r>
          </w:p>
        </w:tc>
        <w:tc>
          <w:tcPr>
            <w:tcW w:w="980" w:type="dxa"/>
            <w:vAlign w:val="bottom"/>
            <w:shd w:val="clear" w:color="auto" w:fill="CFF0FC"/>
          </w:tcPr>
          <w:p>
            <w:pPr>
              <w:jc w:val="right"/>
              <w:ind w:right="257"/>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160" w:type="dxa"/>
            <w:vAlign w:val="bottom"/>
            <w:shd w:val="clear" w:color="auto" w:fill="CFF0FC"/>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10.31 %</w:t>
            </w:r>
          </w:p>
        </w:tc>
        <w:tc>
          <w:tcPr>
            <w:tcW w:w="72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64,495</w:t>
            </w:r>
          </w:p>
        </w:tc>
        <w:tc>
          <w:tcPr>
            <w:tcW w:w="222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64,489</w:t>
            </w:r>
          </w:p>
        </w:tc>
        <w:tc>
          <w:tcPr>
            <w:tcW w:w="1080" w:type="dxa"/>
            <w:vAlign w:val="bottom"/>
            <w:gridSpan w:val="3"/>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2.7 %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FF0FC"/>
          </w:tcPr>
          <w:p>
            <w:pPr>
              <w:spacing w:after="0"/>
              <w:rPr>
                <w:sz w:val="14"/>
                <w:szCs w:val="14"/>
                <w:color w:val="auto"/>
              </w:rPr>
            </w:pPr>
          </w:p>
        </w:tc>
        <w:tc>
          <w:tcPr>
            <w:tcW w:w="25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rPr>
              <w:t>5.00%</w:t>
            </w:r>
          </w:p>
        </w:tc>
        <w:tc>
          <w:tcPr>
            <w:tcW w:w="1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Debt Investments</w:t>
            </w:r>
          </w:p>
        </w:tc>
        <w:tc>
          <w:tcPr>
            <w:tcW w:w="25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4,106,795</w:t>
            </w:r>
          </w:p>
        </w:tc>
        <w:tc>
          <w:tcPr>
            <w:tcW w:w="2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4,183,171</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175.7 %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60" w:type="dxa"/>
            <w:vAlign w:val="bottom"/>
            <w:tcBorders>
              <w:top w:val="single" w:sz="8" w:color="CFF0FC"/>
            </w:tcBorders>
          </w:tcPr>
          <w:p>
            <w:pPr>
              <w:spacing w:after="0"/>
              <w:rPr>
                <w:sz w:val="13"/>
                <w:szCs w:val="13"/>
                <w:color w:val="auto"/>
              </w:rPr>
            </w:pPr>
          </w:p>
        </w:tc>
        <w:tc>
          <w:tcPr>
            <w:tcW w:w="2540" w:type="dxa"/>
            <w:vAlign w:val="bottom"/>
            <w:tcBorders>
              <w:top w:val="single" w:sz="8" w:color="CFF0FC"/>
            </w:tcBorders>
          </w:tcPr>
          <w:p>
            <w:pPr>
              <w:spacing w:after="0"/>
              <w:rPr>
                <w:sz w:val="13"/>
                <w:szCs w:val="13"/>
                <w:color w:val="auto"/>
              </w:rPr>
            </w:pPr>
          </w:p>
        </w:tc>
        <w:tc>
          <w:tcPr>
            <w:tcW w:w="880" w:type="dxa"/>
            <w:vAlign w:val="bottom"/>
            <w:tcBorders>
              <w:top w:val="single" w:sz="8" w:color="CFF0FC"/>
            </w:tcBorders>
          </w:tcPr>
          <w:p>
            <w:pPr>
              <w:spacing w:after="0"/>
              <w:rPr>
                <w:sz w:val="13"/>
                <w:szCs w:val="13"/>
                <w:color w:val="auto"/>
              </w:rPr>
            </w:pPr>
          </w:p>
        </w:tc>
        <w:tc>
          <w:tcPr>
            <w:tcW w:w="980" w:type="dxa"/>
            <w:vAlign w:val="bottom"/>
            <w:tcBorders>
              <w:top w:val="single" w:sz="8" w:color="CFF0FC"/>
            </w:tcBorders>
          </w:tcPr>
          <w:p>
            <w:pPr>
              <w:spacing w:after="0"/>
              <w:rPr>
                <w:sz w:val="13"/>
                <w:szCs w:val="13"/>
                <w:color w:val="auto"/>
              </w:rPr>
            </w:pPr>
          </w:p>
        </w:tc>
        <w:tc>
          <w:tcPr>
            <w:tcW w:w="1160" w:type="dxa"/>
            <w:vAlign w:val="bottom"/>
            <w:tcBorders>
              <w:top w:val="single" w:sz="8" w:color="CFF0FC"/>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20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66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Equity and Other</w:t>
            </w:r>
          </w:p>
        </w:tc>
        <w:tc>
          <w:tcPr>
            <w:tcW w:w="25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5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Automotive</w:t>
            </w:r>
          </w:p>
        </w:tc>
        <w:tc>
          <w:tcPr>
            <w:tcW w:w="2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color w:val="auto"/>
              </w:rPr>
              <w:t>Clarience Technologies, LLC</w:t>
            </w:r>
          </w:p>
        </w:tc>
        <w:tc>
          <w:tcPr>
            <w:tcW w:w="25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3"/>
                <w:szCs w:val="13"/>
                <w:color w:val="auto"/>
              </w:rPr>
              <w:t>Class A Units (2,666 units)</w:t>
            </w:r>
          </w:p>
        </w:tc>
        <w:tc>
          <w:tcPr>
            <w:tcW w:w="880" w:type="dxa"/>
            <w:vAlign w:val="bottom"/>
            <w:shd w:val="clear" w:color="auto" w:fill="CFF0FC"/>
          </w:tcPr>
          <w:p>
            <w:pPr>
              <w:jc w:val="right"/>
              <w:ind w:right="97"/>
              <w:spacing w:after="0" w:line="122" w:lineRule="exact"/>
              <w:rPr>
                <w:sz w:val="20"/>
                <w:szCs w:val="20"/>
                <w:color w:val="auto"/>
              </w:rPr>
            </w:pPr>
            <w:r>
              <w:rPr>
                <w:rFonts w:ascii="Times New Roman" w:cs="Times New Roman" w:eastAsia="Times New Roman" w:hAnsi="Times New Roman"/>
                <w:sz w:val="13"/>
                <w:szCs w:val="13"/>
                <w:color w:val="auto"/>
              </w:rPr>
              <w:t>2/12/2024</w:t>
            </w:r>
          </w:p>
        </w:tc>
        <w:tc>
          <w:tcPr>
            <w:tcW w:w="98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6,557</w:t>
            </w:r>
          </w:p>
        </w:tc>
        <w:tc>
          <w:tcPr>
            <w:tcW w:w="222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6,557</w:t>
            </w:r>
          </w:p>
        </w:tc>
        <w:tc>
          <w:tcPr>
            <w:tcW w:w="108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0.3 %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(8)(10)</w:t>
            </w:r>
          </w:p>
        </w:tc>
        <w:tc>
          <w:tcPr>
            <w:tcW w:w="254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1660" w:type="dxa"/>
            <w:vAlign w:val="bottom"/>
            <w:shd w:val="clear" w:color="auto" w:fill="CFF0FC"/>
          </w:tcPr>
          <w:p>
            <w:pPr>
              <w:spacing w:after="0"/>
              <w:rPr>
                <w:sz w:val="2"/>
                <w:szCs w:val="2"/>
                <w:color w:val="auto"/>
              </w:rPr>
            </w:pPr>
          </w:p>
        </w:tc>
        <w:tc>
          <w:tcPr>
            <w:tcW w:w="254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0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-1079500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-1079500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-565150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-565150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26" w:right="31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62"/>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Business Services</w:t>
            </w:r>
          </w:p>
        </w:tc>
        <w:tc>
          <w:tcPr>
            <w:tcW w:w="2440" w:type="dxa"/>
            <w:vAlign w:val="bottom"/>
            <w:shd w:val="clear" w:color="auto" w:fill="CFF0FC"/>
          </w:tcPr>
          <w:p>
            <w:pPr>
              <w:spacing w:after="0"/>
              <w:rPr>
                <w:sz w:val="14"/>
                <w:szCs w:val="14"/>
                <w:color w:val="auto"/>
              </w:rPr>
            </w:pPr>
          </w:p>
        </w:tc>
        <w:tc>
          <w:tcPr>
            <w:tcW w:w="3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Artisan Topco LP </w:t>
            </w:r>
            <w:r>
              <w:rPr>
                <w:rFonts w:ascii="Times New Roman" w:cs="Times New Roman" w:eastAsia="Times New Roman" w:hAnsi="Times New Roman"/>
                <w:sz w:val="16"/>
                <w:szCs w:val="16"/>
                <w:color w:val="auto"/>
                <w:vertAlign w:val="superscript"/>
              </w:rPr>
              <w:t>(8)(10)</w:t>
            </w:r>
          </w:p>
        </w:tc>
        <w:tc>
          <w:tcPr>
            <w:tcW w:w="2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Class A Preferred Units (7,882,736 units)</w:t>
            </w:r>
          </w:p>
        </w:tc>
        <w:tc>
          <w:tcPr>
            <w:tcW w:w="3100" w:type="dxa"/>
            <w:vAlign w:val="bottom"/>
          </w:tcPr>
          <w:p>
            <w:pPr>
              <w:jc w:val="right"/>
              <w:ind w:right="2217"/>
              <w:spacing w:after="0"/>
              <w:rPr>
                <w:sz w:val="20"/>
                <w:szCs w:val="20"/>
                <w:color w:val="auto"/>
              </w:rPr>
            </w:pPr>
            <w:r>
              <w:rPr>
                <w:rFonts w:ascii="Times New Roman" w:cs="Times New Roman" w:eastAsia="Times New Roman" w:hAnsi="Times New Roman"/>
                <w:sz w:val="13"/>
                <w:szCs w:val="13"/>
                <w:color w:val="auto"/>
              </w:rPr>
              <w:t>11/7/2023</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7,883</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7,883</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color w:val="auto"/>
              </w:rPr>
              <w:t>Insight Hideaway Aggregator,</w:t>
            </w:r>
          </w:p>
        </w:tc>
        <w:tc>
          <w:tcPr>
            <w:tcW w:w="24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3"/>
                <w:szCs w:val="13"/>
                <w:color w:val="auto"/>
              </w:rPr>
              <w:t>Partnership Interest (2,170,139 units)</w:t>
            </w:r>
          </w:p>
        </w:tc>
        <w:tc>
          <w:tcPr>
            <w:tcW w:w="3100" w:type="dxa"/>
            <w:vAlign w:val="bottom"/>
            <w:shd w:val="clear" w:color="auto" w:fill="CFF0FC"/>
          </w:tcPr>
          <w:p>
            <w:pPr>
              <w:jc w:val="right"/>
              <w:ind w:right="2217"/>
              <w:spacing w:after="0" w:line="122" w:lineRule="exact"/>
              <w:rPr>
                <w:sz w:val="20"/>
                <w:szCs w:val="20"/>
                <w:color w:val="auto"/>
              </w:rPr>
            </w:pPr>
            <w:r>
              <w:rPr>
                <w:rFonts w:ascii="Times New Roman" w:cs="Times New Roman" w:eastAsia="Times New Roman" w:hAnsi="Times New Roman"/>
                <w:sz w:val="13"/>
                <w:szCs w:val="13"/>
                <w:color w:val="auto"/>
              </w:rPr>
              <w:t>3/19/2024</w:t>
            </w: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21,701</w:t>
            </w: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21,701</w:t>
            </w:r>
          </w:p>
        </w:tc>
        <w:tc>
          <w:tcPr>
            <w:tcW w:w="114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0.9 %</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64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20"/>
                <w:szCs w:val="20"/>
                <w:color w:val="auto"/>
                <w:vertAlign w:val="subscript"/>
              </w:rPr>
              <w:t>L.P.</w:t>
            </w:r>
            <w:r>
              <w:rPr>
                <w:rFonts w:ascii="Times New Roman" w:cs="Times New Roman" w:eastAsia="Times New Roman" w:hAnsi="Times New Roman"/>
                <w:sz w:val="8"/>
                <w:szCs w:val="8"/>
                <w:color w:val="auto"/>
              </w:rPr>
              <w:t xml:space="preserve"> (8)(10)</w:t>
            </w:r>
          </w:p>
        </w:tc>
        <w:tc>
          <w:tcPr>
            <w:tcW w:w="2440" w:type="dxa"/>
            <w:vAlign w:val="bottom"/>
            <w:shd w:val="clear" w:color="auto" w:fill="CFF0FC"/>
          </w:tcPr>
          <w:p>
            <w:pPr>
              <w:spacing w:after="0"/>
              <w:rPr>
                <w:sz w:val="15"/>
                <w:szCs w:val="15"/>
                <w:color w:val="auto"/>
              </w:rPr>
            </w:pPr>
          </w:p>
        </w:tc>
        <w:tc>
          <w:tcPr>
            <w:tcW w:w="3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 xml:space="preserve">Newark FP Co-Invest, L.P. </w:t>
            </w:r>
            <w:r>
              <w:rPr>
                <w:rFonts w:ascii="Times New Roman" w:cs="Times New Roman" w:eastAsia="Times New Roman" w:hAnsi="Times New Roman"/>
                <w:sz w:val="14"/>
                <w:szCs w:val="14"/>
                <w:color w:val="auto"/>
                <w:vertAlign w:val="superscript"/>
              </w:rPr>
              <w:t>(8)</w:t>
            </w:r>
          </w:p>
        </w:tc>
        <w:tc>
          <w:tcPr>
            <w:tcW w:w="244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Partnership (8,555,356 units)</w:t>
            </w:r>
          </w:p>
        </w:tc>
        <w:tc>
          <w:tcPr>
            <w:tcW w:w="3100" w:type="dxa"/>
            <w:vAlign w:val="bottom"/>
          </w:tcPr>
          <w:p>
            <w:pPr>
              <w:jc w:val="right"/>
              <w:ind w:right="2217"/>
              <w:spacing w:after="0" w:line="122" w:lineRule="exact"/>
              <w:rPr>
                <w:sz w:val="20"/>
                <w:szCs w:val="20"/>
                <w:color w:val="auto"/>
              </w:rPr>
            </w:pPr>
            <w:r>
              <w:rPr>
                <w:rFonts w:ascii="Times New Roman" w:cs="Times New Roman" w:eastAsia="Times New Roman" w:hAnsi="Times New Roman"/>
                <w:sz w:val="13"/>
                <w:szCs w:val="13"/>
                <w:color w:val="auto"/>
              </w:rPr>
              <w:t>11/8/2023</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8,572</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8,572</w:t>
            </w:r>
          </w:p>
        </w:tc>
        <w:tc>
          <w:tcPr>
            <w:tcW w:w="11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0.4 %</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40" w:type="dxa"/>
            <w:vAlign w:val="bottom"/>
          </w:tcPr>
          <w:p>
            <w:pPr>
              <w:ind w:left="20"/>
              <w:spacing w:after="0"/>
              <w:rPr>
                <w:sz w:val="20"/>
                <w:szCs w:val="20"/>
                <w:color w:val="auto"/>
              </w:rPr>
            </w:pPr>
            <w:r>
              <w:rPr>
                <w:rFonts w:ascii="Times New Roman" w:cs="Times New Roman" w:eastAsia="Times New Roman" w:hAnsi="Times New Roman"/>
                <w:sz w:val="8"/>
                <w:szCs w:val="8"/>
                <w:color w:val="auto"/>
              </w:rPr>
              <w:t>(10)</w:t>
            </w:r>
          </w:p>
        </w:tc>
        <w:tc>
          <w:tcPr>
            <w:tcW w:w="2440" w:type="dxa"/>
            <w:vAlign w:val="bottom"/>
          </w:tcPr>
          <w:p>
            <w:pPr>
              <w:spacing w:after="0"/>
              <w:rPr>
                <w:sz w:val="9"/>
                <w:szCs w:val="9"/>
                <w:color w:val="auto"/>
              </w:rPr>
            </w:pPr>
          </w:p>
        </w:tc>
        <w:tc>
          <w:tcPr>
            <w:tcW w:w="3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16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6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Warrior TopCo LP </w:t>
            </w:r>
            <w:r>
              <w:rPr>
                <w:rFonts w:ascii="Times New Roman" w:cs="Times New Roman" w:eastAsia="Times New Roman" w:hAnsi="Times New Roman"/>
                <w:sz w:val="16"/>
                <w:szCs w:val="16"/>
                <w:color w:val="auto"/>
                <w:vertAlign w:val="superscript"/>
              </w:rPr>
              <w:t>(8)(10)</w:t>
            </w: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Class A Units (9,576,271 units)</w:t>
            </w:r>
          </w:p>
        </w:tc>
        <w:tc>
          <w:tcPr>
            <w:tcW w:w="3100" w:type="dxa"/>
            <w:vAlign w:val="bottom"/>
            <w:shd w:val="clear" w:color="auto" w:fill="CFF0FC"/>
          </w:tcPr>
          <w:p>
            <w:pPr>
              <w:jc w:val="right"/>
              <w:ind w:right="2217"/>
              <w:spacing w:after="0"/>
              <w:rPr>
                <w:sz w:val="20"/>
                <w:szCs w:val="20"/>
                <w:color w:val="auto"/>
              </w:rPr>
            </w:pPr>
            <w:r>
              <w:rPr>
                <w:rFonts w:ascii="Times New Roman" w:cs="Times New Roman" w:eastAsia="Times New Roman" w:hAnsi="Times New Roman"/>
                <w:sz w:val="13"/>
                <w:szCs w:val="13"/>
                <w:color w:val="auto"/>
              </w:rPr>
              <w:t>7/7/2023</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9,576</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9,576</w:t>
            </w: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CFF0FC"/>
          </w:tcPr>
          <w:p>
            <w:pPr>
              <w:spacing w:after="0" w:line="20" w:lineRule="exact"/>
              <w:rPr>
                <w:sz w:val="1"/>
                <w:szCs w:val="1"/>
                <w:color w:val="auto"/>
              </w:rPr>
            </w:pPr>
          </w:p>
        </w:tc>
        <w:tc>
          <w:tcPr>
            <w:tcW w:w="2440" w:type="dxa"/>
            <w:vAlign w:val="bottom"/>
            <w:shd w:val="clear" w:color="auto" w:fill="CFF0FC"/>
          </w:tcPr>
          <w:p>
            <w:pPr>
              <w:spacing w:after="0" w:line="20" w:lineRule="exact"/>
              <w:rPr>
                <w:sz w:val="1"/>
                <w:szCs w:val="1"/>
                <w:color w:val="auto"/>
              </w:rPr>
            </w:pPr>
          </w:p>
        </w:tc>
        <w:tc>
          <w:tcPr>
            <w:tcW w:w="31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47,732</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47,732</w:t>
            </w:r>
          </w:p>
        </w:tc>
        <w:tc>
          <w:tcPr>
            <w:tcW w:w="20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Services</w:t>
            </w:r>
          </w:p>
        </w:tc>
        <w:tc>
          <w:tcPr>
            <w:tcW w:w="2440" w:type="dxa"/>
            <w:vAlign w:val="bottom"/>
            <w:shd w:val="clear" w:color="auto" w:fill="CFF0FC"/>
          </w:tcPr>
          <w:p>
            <w:pPr>
              <w:spacing w:after="0"/>
              <w:rPr>
                <w:sz w:val="13"/>
                <w:szCs w:val="13"/>
                <w:color w:val="auto"/>
              </w:rPr>
            </w:pPr>
          </w:p>
        </w:tc>
        <w:tc>
          <w:tcPr>
            <w:tcW w:w="3100" w:type="dxa"/>
            <w:vAlign w:val="bottom"/>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4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AF Eagle Parent, L.P. </w:t>
            </w:r>
            <w:r>
              <w:rPr>
                <w:rFonts w:ascii="Times New Roman" w:cs="Times New Roman" w:eastAsia="Times New Roman" w:hAnsi="Times New Roman"/>
                <w:sz w:val="16"/>
                <w:szCs w:val="16"/>
                <w:color w:val="auto"/>
                <w:vertAlign w:val="superscript"/>
              </w:rPr>
              <w:t>(8)(10)</w:t>
            </w:r>
          </w:p>
        </w:tc>
        <w:tc>
          <w:tcPr>
            <w:tcW w:w="2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Partnership Units (337,024 units)</w:t>
            </w:r>
          </w:p>
        </w:tc>
        <w:tc>
          <w:tcPr>
            <w:tcW w:w="3100" w:type="dxa"/>
            <w:vAlign w:val="bottom"/>
          </w:tcPr>
          <w:p>
            <w:pPr>
              <w:jc w:val="right"/>
              <w:ind w:right="2217"/>
              <w:spacing w:after="0"/>
              <w:rPr>
                <w:sz w:val="20"/>
                <w:szCs w:val="20"/>
                <w:color w:val="auto"/>
              </w:rPr>
            </w:pPr>
            <w:r>
              <w:rPr>
                <w:rFonts w:ascii="Times New Roman" w:cs="Times New Roman" w:eastAsia="Times New Roman" w:hAnsi="Times New Roman"/>
                <w:sz w:val="13"/>
                <w:szCs w:val="13"/>
                <w:color w:val="auto"/>
              </w:rPr>
              <w:t>11/27/2023</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11,364</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11,364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CLGF Holdings, L.P. </w:t>
            </w:r>
            <w:r>
              <w:rPr>
                <w:rFonts w:ascii="Times New Roman" w:cs="Times New Roman" w:eastAsia="Times New Roman" w:hAnsi="Times New Roman"/>
                <w:sz w:val="16"/>
                <w:szCs w:val="16"/>
                <w:color w:val="auto"/>
                <w:vertAlign w:val="superscript"/>
              </w:rPr>
              <w:t>(4)(8)(10)</w:t>
            </w: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8,358,075 Warrants</w:t>
            </w:r>
          </w:p>
        </w:tc>
        <w:tc>
          <w:tcPr>
            <w:tcW w:w="3100" w:type="dxa"/>
            <w:vAlign w:val="bottom"/>
            <w:shd w:val="clear" w:color="auto" w:fill="CFF0FC"/>
          </w:tcPr>
          <w:p>
            <w:pPr>
              <w:jc w:val="right"/>
              <w:ind w:right="2217"/>
              <w:spacing w:after="0"/>
              <w:rPr>
                <w:sz w:val="20"/>
                <w:szCs w:val="20"/>
                <w:color w:val="auto"/>
              </w:rPr>
            </w:pPr>
            <w:r>
              <w:rPr>
                <w:rFonts w:ascii="Times New Roman" w:cs="Times New Roman" w:eastAsia="Times New Roman" w:hAnsi="Times New Roman"/>
                <w:sz w:val="13"/>
                <w:szCs w:val="13"/>
                <w:color w:val="auto"/>
              </w:rPr>
              <w:t>11/7/2023</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4,575</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7,182</w:t>
            </w: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CFF0FC"/>
          </w:tcPr>
          <w:p>
            <w:pPr>
              <w:spacing w:after="0" w:line="20" w:lineRule="exact"/>
              <w:rPr>
                <w:sz w:val="1"/>
                <w:szCs w:val="1"/>
                <w:color w:val="auto"/>
              </w:rPr>
            </w:pPr>
          </w:p>
        </w:tc>
        <w:tc>
          <w:tcPr>
            <w:tcW w:w="2440" w:type="dxa"/>
            <w:vAlign w:val="bottom"/>
            <w:shd w:val="clear" w:color="auto" w:fill="CFF0FC"/>
          </w:tcPr>
          <w:p>
            <w:pPr>
              <w:spacing w:after="0" w:line="20" w:lineRule="exact"/>
              <w:rPr>
                <w:sz w:val="1"/>
                <w:szCs w:val="1"/>
                <w:color w:val="auto"/>
              </w:rPr>
            </w:pPr>
          </w:p>
        </w:tc>
        <w:tc>
          <w:tcPr>
            <w:tcW w:w="31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15,939</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18,546</w:t>
            </w:r>
          </w:p>
        </w:tc>
        <w:tc>
          <w:tcPr>
            <w:tcW w:w="20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2440" w:type="dxa"/>
            <w:vAlign w:val="bottom"/>
            <w:shd w:val="clear" w:color="auto" w:fill="CFF0FC"/>
          </w:tcPr>
          <w:p>
            <w:pPr>
              <w:spacing w:after="0"/>
              <w:rPr>
                <w:sz w:val="13"/>
                <w:szCs w:val="13"/>
                <w:color w:val="auto"/>
              </w:rPr>
            </w:pPr>
          </w:p>
        </w:tc>
        <w:tc>
          <w:tcPr>
            <w:tcW w:w="3100" w:type="dxa"/>
            <w:vAlign w:val="bottom"/>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 xml:space="preserve">Raptor US Buyer II Corp. </w:t>
            </w:r>
            <w:r>
              <w:rPr>
                <w:rFonts w:ascii="Times New Roman" w:cs="Times New Roman" w:eastAsia="Times New Roman" w:hAnsi="Times New Roman"/>
                <w:sz w:val="14"/>
                <w:szCs w:val="14"/>
                <w:color w:val="auto"/>
                <w:vertAlign w:val="superscript"/>
              </w:rPr>
              <w:t>(8)</w:t>
            </w:r>
          </w:p>
        </w:tc>
        <w:tc>
          <w:tcPr>
            <w:tcW w:w="244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128,321 Ordinary Shares</w:t>
            </w:r>
          </w:p>
        </w:tc>
        <w:tc>
          <w:tcPr>
            <w:tcW w:w="3100" w:type="dxa"/>
            <w:vAlign w:val="bottom"/>
          </w:tcPr>
          <w:p>
            <w:pPr>
              <w:jc w:val="right"/>
              <w:ind w:right="2217"/>
              <w:spacing w:after="0" w:line="122" w:lineRule="exact"/>
              <w:rPr>
                <w:sz w:val="20"/>
                <w:szCs w:val="20"/>
                <w:color w:val="auto"/>
              </w:rPr>
            </w:pPr>
            <w:r>
              <w:rPr>
                <w:rFonts w:ascii="Times New Roman" w:cs="Times New Roman" w:eastAsia="Times New Roman" w:hAnsi="Times New Roman"/>
                <w:sz w:val="13"/>
                <w:szCs w:val="13"/>
                <w:color w:val="auto"/>
              </w:rPr>
              <w:t>3/24/2023</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12,876</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12,858</w:t>
            </w:r>
          </w:p>
        </w:tc>
        <w:tc>
          <w:tcPr>
            <w:tcW w:w="11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0.5 %</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40" w:type="dxa"/>
            <w:vAlign w:val="bottom"/>
          </w:tcPr>
          <w:p>
            <w:pPr>
              <w:ind w:left="20"/>
              <w:spacing w:after="0"/>
              <w:rPr>
                <w:sz w:val="20"/>
                <w:szCs w:val="20"/>
                <w:color w:val="auto"/>
              </w:rPr>
            </w:pPr>
            <w:r>
              <w:rPr>
                <w:rFonts w:ascii="Times New Roman" w:cs="Times New Roman" w:eastAsia="Times New Roman" w:hAnsi="Times New Roman"/>
                <w:sz w:val="8"/>
                <w:szCs w:val="8"/>
                <w:color w:val="auto"/>
              </w:rPr>
              <w:t>(10)</w:t>
            </w:r>
          </w:p>
        </w:tc>
        <w:tc>
          <w:tcPr>
            <w:tcW w:w="2440" w:type="dxa"/>
            <w:vAlign w:val="bottom"/>
          </w:tcPr>
          <w:p>
            <w:pPr>
              <w:spacing w:after="0"/>
              <w:rPr>
                <w:sz w:val="9"/>
                <w:szCs w:val="9"/>
                <w:color w:val="auto"/>
              </w:rPr>
            </w:pPr>
          </w:p>
        </w:tc>
        <w:tc>
          <w:tcPr>
            <w:tcW w:w="3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16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640" w:type="dxa"/>
            <w:vAlign w:val="bottom"/>
            <w:shd w:val="clear" w:color="auto" w:fill="CFF0FC"/>
          </w:tcPr>
          <w:p>
            <w:pPr>
              <w:spacing w:after="0"/>
              <w:rPr>
                <w:sz w:val="14"/>
                <w:szCs w:val="14"/>
                <w:color w:val="auto"/>
              </w:rPr>
            </w:pPr>
          </w:p>
        </w:tc>
        <w:tc>
          <w:tcPr>
            <w:tcW w:w="2440" w:type="dxa"/>
            <w:vAlign w:val="bottom"/>
            <w:shd w:val="clear" w:color="auto" w:fill="CFF0FC"/>
          </w:tcPr>
          <w:p>
            <w:pPr>
              <w:spacing w:after="0"/>
              <w:rPr>
                <w:sz w:val="14"/>
                <w:szCs w:val="14"/>
                <w:color w:val="auto"/>
              </w:rPr>
            </w:pPr>
          </w:p>
        </w:tc>
        <w:tc>
          <w:tcPr>
            <w:tcW w:w="3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64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Human Resource Support</w:t>
            </w:r>
          </w:p>
        </w:tc>
        <w:tc>
          <w:tcPr>
            <w:tcW w:w="24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24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640" w:type="dxa"/>
            <w:vAlign w:val="bottom"/>
            <w:shd w:val="clear" w:color="auto" w:fill="CFF0FC"/>
          </w:tcPr>
          <w:p>
            <w:pPr>
              <w:ind w:left="20"/>
              <w:spacing w:after="0" w:line="165" w:lineRule="exact"/>
              <w:rPr>
                <w:sz w:val="20"/>
                <w:szCs w:val="20"/>
                <w:color w:val="auto"/>
              </w:rPr>
            </w:pPr>
            <w:r>
              <w:rPr>
                <w:rFonts w:ascii="Times New Roman" w:cs="Times New Roman" w:eastAsia="Times New Roman" w:hAnsi="Times New Roman"/>
                <w:sz w:val="13"/>
                <w:szCs w:val="13"/>
                <w:color w:val="auto"/>
              </w:rPr>
              <w:t xml:space="preserve">bswift, LLC </w:t>
            </w:r>
            <w:r>
              <w:rPr>
                <w:rFonts w:ascii="Times New Roman" w:cs="Times New Roman" w:eastAsia="Times New Roman" w:hAnsi="Times New Roman"/>
                <w:sz w:val="16"/>
                <w:szCs w:val="16"/>
                <w:color w:val="auto"/>
                <w:vertAlign w:val="superscript"/>
              </w:rPr>
              <w:t>(8)</w:t>
            </w: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Class A-1 Units (7,606,491 units)</w:t>
            </w:r>
          </w:p>
        </w:tc>
        <w:tc>
          <w:tcPr>
            <w:tcW w:w="3100" w:type="dxa"/>
            <w:vAlign w:val="bottom"/>
            <w:shd w:val="clear" w:color="auto" w:fill="CFF0FC"/>
          </w:tcPr>
          <w:p>
            <w:pPr>
              <w:jc w:val="right"/>
              <w:ind w:right="2217"/>
              <w:spacing w:after="0"/>
              <w:rPr>
                <w:sz w:val="20"/>
                <w:szCs w:val="20"/>
                <w:color w:val="auto"/>
              </w:rPr>
            </w:pPr>
            <w:r>
              <w:rPr>
                <w:rFonts w:ascii="Times New Roman" w:cs="Times New Roman" w:eastAsia="Times New Roman" w:hAnsi="Times New Roman"/>
                <w:sz w:val="13"/>
                <w:szCs w:val="13"/>
                <w:color w:val="auto"/>
              </w:rPr>
              <w:t>11/7/2022</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7,606</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8,500</w:t>
            </w: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Internet Services</w:t>
            </w:r>
          </w:p>
        </w:tc>
        <w:tc>
          <w:tcPr>
            <w:tcW w:w="2440" w:type="dxa"/>
            <w:vAlign w:val="bottom"/>
            <w:shd w:val="clear" w:color="auto" w:fill="CFF0FC"/>
          </w:tcPr>
          <w:p>
            <w:pPr>
              <w:spacing w:after="0"/>
              <w:rPr>
                <w:sz w:val="14"/>
                <w:szCs w:val="14"/>
                <w:color w:val="auto"/>
              </w:rPr>
            </w:pPr>
          </w:p>
        </w:tc>
        <w:tc>
          <w:tcPr>
            <w:tcW w:w="3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SMA Technologies Holdings,</w:t>
            </w:r>
          </w:p>
        </w:tc>
        <w:tc>
          <w:tcPr>
            <w:tcW w:w="244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Class A Units (200 units)</w:t>
            </w:r>
          </w:p>
        </w:tc>
        <w:tc>
          <w:tcPr>
            <w:tcW w:w="3100" w:type="dxa"/>
            <w:vAlign w:val="bottom"/>
          </w:tcPr>
          <w:p>
            <w:pPr>
              <w:jc w:val="right"/>
              <w:ind w:right="2217"/>
              <w:spacing w:after="0" w:line="122" w:lineRule="exact"/>
              <w:rPr>
                <w:sz w:val="20"/>
                <w:szCs w:val="20"/>
                <w:color w:val="auto"/>
              </w:rPr>
            </w:pPr>
            <w:r>
              <w:rPr>
                <w:rFonts w:ascii="Times New Roman" w:cs="Times New Roman" w:eastAsia="Times New Roman" w:hAnsi="Times New Roman"/>
                <w:sz w:val="13"/>
                <w:szCs w:val="13"/>
                <w:color w:val="auto"/>
              </w:rPr>
              <w:t>11/21/2022</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200</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200</w:t>
            </w:r>
          </w:p>
        </w:tc>
        <w:tc>
          <w:tcPr>
            <w:tcW w:w="11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0.0 %</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640" w:type="dxa"/>
            <w:vAlign w:val="bottom"/>
          </w:tcPr>
          <w:p>
            <w:pPr>
              <w:ind w:left="20"/>
              <w:spacing w:after="0" w:line="176" w:lineRule="exact"/>
              <w:rPr>
                <w:sz w:val="20"/>
                <w:szCs w:val="20"/>
                <w:color w:val="auto"/>
              </w:rPr>
            </w:pPr>
            <w:r>
              <w:rPr>
                <w:rFonts w:ascii="Times New Roman" w:cs="Times New Roman" w:eastAsia="Times New Roman" w:hAnsi="Times New Roman"/>
                <w:sz w:val="20"/>
                <w:szCs w:val="20"/>
                <w:color w:val="auto"/>
                <w:vertAlign w:val="subscript"/>
              </w:rPr>
              <w:t>LLC</w:t>
            </w:r>
            <w:r>
              <w:rPr>
                <w:rFonts w:ascii="Times New Roman" w:cs="Times New Roman" w:eastAsia="Times New Roman" w:hAnsi="Times New Roman"/>
                <w:sz w:val="8"/>
                <w:szCs w:val="8"/>
                <w:color w:val="auto"/>
              </w:rPr>
              <w:t xml:space="preserve"> (8)</w:t>
            </w:r>
          </w:p>
        </w:tc>
        <w:tc>
          <w:tcPr>
            <w:tcW w:w="24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40" w:type="dxa"/>
            <w:vAlign w:val="bottom"/>
            <w:shd w:val="clear" w:color="auto" w:fill="CFF0FC"/>
          </w:tcPr>
          <w:p>
            <w:pPr>
              <w:spacing w:after="0"/>
              <w:rPr>
                <w:sz w:val="14"/>
                <w:szCs w:val="14"/>
                <w:color w:val="auto"/>
              </w:rPr>
            </w:pPr>
          </w:p>
        </w:tc>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Class B Units (142,038 units)</w:t>
            </w:r>
          </w:p>
        </w:tc>
        <w:tc>
          <w:tcPr>
            <w:tcW w:w="3100" w:type="dxa"/>
            <w:vAlign w:val="bottom"/>
            <w:shd w:val="clear" w:color="auto" w:fill="CFF0FC"/>
          </w:tcPr>
          <w:p>
            <w:pPr>
              <w:jc w:val="right"/>
              <w:ind w:right="2217"/>
              <w:spacing w:after="0"/>
              <w:rPr>
                <w:sz w:val="20"/>
                <w:szCs w:val="20"/>
                <w:color w:val="auto"/>
              </w:rPr>
            </w:pPr>
            <w:r>
              <w:rPr>
                <w:rFonts w:ascii="Times New Roman" w:cs="Times New Roman" w:eastAsia="Times New Roman" w:hAnsi="Times New Roman"/>
                <w:sz w:val="13"/>
                <w:szCs w:val="13"/>
                <w:color w:val="auto"/>
              </w:rPr>
              <w:t>11/21/2022</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CFF0FC"/>
          </w:tcPr>
          <w:p>
            <w:pPr>
              <w:spacing w:after="0" w:line="20" w:lineRule="exact"/>
              <w:rPr>
                <w:sz w:val="1"/>
                <w:szCs w:val="1"/>
                <w:color w:val="auto"/>
              </w:rPr>
            </w:pPr>
          </w:p>
        </w:tc>
        <w:tc>
          <w:tcPr>
            <w:tcW w:w="2440" w:type="dxa"/>
            <w:vAlign w:val="bottom"/>
            <w:shd w:val="clear" w:color="auto" w:fill="CFF0FC"/>
          </w:tcPr>
          <w:p>
            <w:pPr>
              <w:spacing w:after="0" w:line="20" w:lineRule="exact"/>
              <w:rPr>
                <w:sz w:val="1"/>
                <w:szCs w:val="1"/>
                <w:color w:val="auto"/>
              </w:rPr>
            </w:pPr>
          </w:p>
        </w:tc>
        <w:tc>
          <w:tcPr>
            <w:tcW w:w="31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20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40" w:type="dxa"/>
            <w:vAlign w:val="bottom"/>
            <w:tcBorders>
              <w:bottom w:val="single" w:sz="8" w:color="CFF0FC"/>
            </w:tcBorders>
            <w:shd w:val="clear" w:color="auto" w:fill="CFF0FC"/>
          </w:tcPr>
          <w:p>
            <w:pPr>
              <w:spacing w:after="0"/>
              <w:rPr>
                <w:sz w:val="13"/>
                <w:szCs w:val="13"/>
                <w:color w:val="auto"/>
              </w:rPr>
            </w:pPr>
          </w:p>
        </w:tc>
        <w:tc>
          <w:tcPr>
            <w:tcW w:w="2440" w:type="dxa"/>
            <w:vAlign w:val="bottom"/>
            <w:tcBorders>
              <w:bottom w:val="single" w:sz="8" w:color="CFF0FC"/>
            </w:tcBorders>
            <w:shd w:val="clear" w:color="auto" w:fill="CFF0FC"/>
          </w:tcPr>
          <w:p>
            <w:pPr>
              <w:spacing w:after="0"/>
              <w:rPr>
                <w:sz w:val="13"/>
                <w:szCs w:val="13"/>
                <w:color w:val="auto"/>
              </w:rPr>
            </w:pPr>
          </w:p>
        </w:tc>
        <w:tc>
          <w:tcPr>
            <w:tcW w:w="310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spacing w:after="0"/>
              <w:rPr>
                <w:sz w:val="13"/>
                <w:szCs w:val="13"/>
                <w:color w:val="auto"/>
              </w:rPr>
            </w:pPr>
          </w:p>
        </w:tc>
        <w:tc>
          <w:tcPr>
            <w:tcW w:w="1220" w:type="dxa"/>
            <w:vAlign w:val="bottom"/>
            <w:tcBorders>
              <w:top w:val="single" w:sz="8" w:color="auto"/>
              <w:bottom w:val="single" w:sz="8" w:color="auto"/>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Equity and Other</w:t>
            </w:r>
          </w:p>
        </w:tc>
        <w:tc>
          <w:tcPr>
            <w:tcW w:w="244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90,910</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94,393</w:t>
            </w:r>
          </w:p>
        </w:tc>
        <w:tc>
          <w:tcPr>
            <w:tcW w:w="11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4.0 %</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6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4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40" w:type="dxa"/>
            <w:vAlign w:val="bottom"/>
            <w:tcBorders>
              <w:bottom w:val="single" w:sz="8" w:color="CFF0FC"/>
            </w:tcBorders>
            <w:shd w:val="clear" w:color="auto" w:fill="CFF0FC"/>
          </w:tcPr>
          <w:p>
            <w:pPr>
              <w:spacing w:after="0"/>
              <w:rPr>
                <w:sz w:val="13"/>
                <w:szCs w:val="13"/>
                <w:color w:val="auto"/>
              </w:rPr>
            </w:pPr>
          </w:p>
        </w:tc>
        <w:tc>
          <w:tcPr>
            <w:tcW w:w="2440" w:type="dxa"/>
            <w:vAlign w:val="bottom"/>
            <w:tcBorders>
              <w:bottom w:val="single" w:sz="8" w:color="CFF0FC"/>
            </w:tcBorders>
            <w:shd w:val="clear" w:color="auto" w:fill="CFF0FC"/>
          </w:tcPr>
          <w:p>
            <w:pPr>
              <w:spacing w:after="0"/>
              <w:rPr>
                <w:sz w:val="13"/>
                <w:szCs w:val="13"/>
                <w:color w:val="auto"/>
              </w:rPr>
            </w:pPr>
          </w:p>
        </w:tc>
        <w:tc>
          <w:tcPr>
            <w:tcW w:w="310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Investments</w:t>
            </w:r>
          </w:p>
        </w:tc>
        <w:tc>
          <w:tcPr>
            <w:tcW w:w="24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4,197,705</w:t>
            </w:r>
          </w:p>
        </w:tc>
        <w:tc>
          <w:tcPr>
            <w:tcW w:w="100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4,277,564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179.7 %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-2365375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-2365375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-1936750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-1936750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-659130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-659130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-436245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-436245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-136525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-136525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3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8"/>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Interest Rate Swaps as of March 31, 2024</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2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00" w:type="dxa"/>
            <w:vAlign w:val="bottom"/>
          </w:tcPr>
          <w:p>
            <w:pPr>
              <w:spacing w:after="0"/>
              <w:rPr>
                <w:sz w:val="17"/>
                <w:szCs w:val="17"/>
                <w:color w:val="auto"/>
              </w:rPr>
            </w:pP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Upfront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0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Company</w:t>
            </w:r>
          </w:p>
        </w:tc>
        <w:tc>
          <w:tcPr>
            <w:tcW w:w="120" w:type="dxa"/>
            <w:vAlign w:val="bottom"/>
          </w:tcPr>
          <w:p>
            <w:pPr>
              <w:spacing w:after="0"/>
              <w:rPr>
                <w:sz w:val="17"/>
                <w:szCs w:val="17"/>
                <w:color w:val="auto"/>
              </w:rPr>
            </w:pPr>
          </w:p>
        </w:tc>
        <w:tc>
          <w:tcPr>
            <w:tcW w:w="1060" w:type="dxa"/>
            <w:vAlign w:val="bottom"/>
            <w:gridSpan w:val="3"/>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100" w:type="dxa"/>
            <w:vAlign w:val="bottom"/>
          </w:tcPr>
          <w:p>
            <w:pPr>
              <w:spacing w:after="0"/>
              <w:rPr>
                <w:sz w:val="17"/>
                <w:szCs w:val="17"/>
                <w:color w:val="auto"/>
              </w:rPr>
            </w:pPr>
          </w:p>
        </w:tc>
        <w:tc>
          <w:tcPr>
            <w:tcW w:w="10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(Payments) /</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25"/>
        </w:trPr>
        <w:tc>
          <w:tcPr>
            <w:tcW w:w="23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Receives</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Pays</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Receipts</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Gains / (Losses)</w:t>
            </w:r>
          </w:p>
        </w:tc>
        <w:tc>
          <w:tcPr>
            <w:tcW w:w="100" w:type="dxa"/>
            <w:vAlign w:val="bottom"/>
          </w:tcPr>
          <w:p>
            <w:pPr>
              <w:spacing w:after="0"/>
              <w:rPr>
                <w:sz w:val="19"/>
                <w:szCs w:val="19"/>
                <w:color w:val="auto"/>
              </w:rPr>
            </w:pPr>
          </w:p>
        </w:tc>
      </w:tr>
      <w:tr>
        <w:trPr>
          <w:trHeight w:val="230"/>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rate swap (a)(b)</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SOFR + 2.51%</w:t>
            </w:r>
          </w:p>
        </w:tc>
        <w:tc>
          <w:tcPr>
            <w:tcW w:w="11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3/11/2029  $</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4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(878 )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(878 )</w:t>
            </w:r>
          </w:p>
        </w:tc>
      </w:tr>
      <w:tr>
        <w:trPr>
          <w:trHeight w:val="22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collateral</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23,115</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2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b w:val="1"/>
                <w:bCs w:val="1"/>
                <w:color w:val="auto"/>
              </w:rPr>
              <w:t>Total derivatives</w:t>
            </w: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22,237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(878 )</w:t>
            </w:r>
          </w:p>
        </w:tc>
      </w:tr>
      <w:tr>
        <w:trPr>
          <w:trHeight w:val="20"/>
        </w:trPr>
        <w:tc>
          <w:tcPr>
            <w:tcW w:w="23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1020" w:hanging="503"/>
        <w:spacing w:after="0"/>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variable rate structure. Bears interest at a rate determined by three-month SOFR.</w:t>
      </w:r>
    </w:p>
    <w:p>
      <w:pPr>
        <w:spacing w:after="0" w:line="27" w:lineRule="exact"/>
        <w:rPr>
          <w:rFonts w:ascii="Times New Roman" w:cs="Times New Roman" w:eastAsia="Times New Roman" w:hAnsi="Times New Roman"/>
          <w:sz w:val="18"/>
          <w:szCs w:val="18"/>
          <w:color w:val="auto"/>
        </w:rPr>
      </w:pPr>
    </w:p>
    <w:p>
      <w:pPr>
        <w:ind w:left="1020" w:right="220" w:hanging="503"/>
        <w:spacing w:after="0" w:line="260"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 is used in a hedge accounting relationship. The associated change in fair value is recorded along with the change in fair value of the hedged item within interest expense.</w:t>
      </w:r>
    </w:p>
    <w:p>
      <w:pPr>
        <w:spacing w:after="0" w:line="181" w:lineRule="exact"/>
        <w:rPr>
          <w:rFonts w:ascii="Times New Roman" w:cs="Times New Roman" w:eastAsia="Times New Roman" w:hAnsi="Times New Roman"/>
          <w:sz w:val="18"/>
          <w:szCs w:val="18"/>
          <w:color w:val="auto"/>
        </w:rPr>
      </w:pPr>
    </w:p>
    <w:p>
      <w:pPr>
        <w:ind w:left="520" w:right="140" w:hanging="512"/>
        <w:spacing w:after="0" w:line="261"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Company’s portfolio companies are domiciled in the United States. Under the Investment Company Act of 1940, as amended (the “1940 Act”), the Company would “control” a portfolio company if the Company owned</w:t>
      </w: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25% of its outstanding voting securities and/or had the power to exercise control over the management or policies of</w:t>
      </w:r>
    </w:p>
    <w:p>
      <w:pPr>
        <w:spacing w:after="0" w:line="9" w:lineRule="exact"/>
        <w:rPr>
          <w:rFonts w:ascii="Times New Roman" w:cs="Times New Roman" w:eastAsia="Times New Roman" w:hAnsi="Times New Roman"/>
          <w:sz w:val="18"/>
          <w:szCs w:val="18"/>
          <w:color w:val="auto"/>
        </w:rPr>
      </w:pPr>
    </w:p>
    <w:p>
      <w:pPr>
        <w:ind w:left="520" w:right="4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portfolio company. As of March 31, 2024, the Company does not “control” any of the portfolio companies. Also under the 1940 Act, the Company would be deemed to be an “Affiliated Person” of a portfolio company if the Company owns more than 5% of the portfolio company’s outstanding voting securities. As of March 31, 2024, the Company does not identify any of its portfolio companies as affiliates.</w:t>
      </w:r>
    </w:p>
    <w:p>
      <w:pPr>
        <w:spacing w:after="0" w:line="1" w:lineRule="exact"/>
        <w:rPr>
          <w:rFonts w:ascii="Times New Roman" w:cs="Times New Roman" w:eastAsia="Times New Roman" w:hAnsi="Times New Roman"/>
          <w:sz w:val="18"/>
          <w:szCs w:val="18"/>
          <w:color w:val="auto"/>
        </w:rPr>
      </w:pPr>
    </w:p>
    <w:p>
      <w:pPr>
        <w:ind w:left="520" w:right="40" w:hanging="512"/>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w:t>
      </w:r>
    </w:p>
    <w:p>
      <w:pPr>
        <w:spacing w:after="0" w:line="9" w:lineRule="exact"/>
        <w:rPr>
          <w:rFonts w:ascii="Times New Roman" w:cs="Times New Roman" w:eastAsia="Times New Roman" w:hAnsi="Times New Roman"/>
          <w:sz w:val="18"/>
          <w:szCs w:val="18"/>
          <w:color w:val="auto"/>
        </w:rPr>
      </w:pPr>
    </w:p>
    <w:p>
      <w:pPr>
        <w:ind w:left="520" w:right="1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determined by reference to either Euro Interbank Offer Rate (“Euribor” or “E”), Term Secured Overnight Financing Rate (“SOFR”), which may also contain a credit spread adjustment depending on the tenor election, Sterling Overnight Interbank Average Rate (“SONIA” or “S”), the Norwegian Interbank Offered Rate ("NIBOR" or "N"), Stockholm Interbank Offered Rate ("STIBOR"),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March 31, 2024.</w:t>
      </w:r>
    </w:p>
    <w:p>
      <w:pPr>
        <w:spacing w:after="0" w:line="2" w:lineRule="exact"/>
        <w:rPr>
          <w:rFonts w:ascii="Times New Roman" w:cs="Times New Roman" w:eastAsia="Times New Roman" w:hAnsi="Times New Roman"/>
          <w:sz w:val="18"/>
          <w:szCs w:val="18"/>
          <w:color w:val="auto"/>
        </w:rPr>
      </w:pPr>
    </w:p>
    <w:p>
      <w:pPr>
        <w:ind w:left="520" w:right="240" w:hanging="512"/>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20.2% of total assets as of March 31, 2024.</w:t>
      </w:r>
    </w:p>
    <w:p>
      <w:pPr>
        <w:spacing w:after="0" w:line="1" w:lineRule="exact"/>
        <w:rPr>
          <w:rFonts w:ascii="Times New Roman" w:cs="Times New Roman" w:eastAsia="Times New Roman" w:hAnsi="Times New Roman"/>
          <w:sz w:val="18"/>
          <w:szCs w:val="18"/>
          <w:color w:val="auto"/>
        </w:rPr>
      </w:pPr>
    </w:p>
    <w:p>
      <w:pPr>
        <w:ind w:left="520" w:right="360" w:hanging="512"/>
        <w:spacing w:after="0" w:line="26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w:t>
      </w:r>
    </w:p>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030" w:right="299" w:bottom="1440" w:gutter="0" w:footer="0" w:header="0"/>
        </w:sectPr>
      </w:pPr>
    </w:p>
    <w:bookmarkStart w:id="9" w:name="page10"/>
    <w:bookmarkEnd w:id="9"/>
    <w:p>
      <w:pPr>
        <w:jc w:val="both"/>
        <w:ind w:left="512" w:right="60"/>
        <w:spacing w:after="0" w:line="276" w:lineRule="auto"/>
        <w:rPr>
          <w:sz w:val="20"/>
          <w:szCs w:val="20"/>
          <w:color w:val="auto"/>
        </w:rPr>
      </w:pPr>
      <w:r>
        <w:rPr>
          <w:rFonts w:ascii="Times New Roman" w:cs="Times New Roman" w:eastAsia="Times New Roman" w:hAnsi="Times New Roman"/>
          <w:sz w:val="17"/>
          <w:szCs w:val="17"/>
          <w:color w:val="auto"/>
        </w:rPr>
        <w:t>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1" w:lineRule="exact"/>
        <w:rPr>
          <w:sz w:val="20"/>
          <w:szCs w:val="20"/>
          <w:color w:val="auto"/>
        </w:rPr>
      </w:pPr>
    </w:p>
    <w:p>
      <w:pPr>
        <w:ind w:left="512" w:right="2100" w:hanging="512"/>
        <w:spacing w:after="0" w:line="250" w:lineRule="auto"/>
        <w:tabs>
          <w:tab w:leader="none" w:pos="5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Times New Roman" w:cs="Times New Roman" w:eastAsia="Times New Roman" w:hAnsi="Times New Roman"/>
          <w:sz w:val="18"/>
          <w:szCs w:val="18"/>
          <w:color w:val="auto"/>
        </w:rPr>
      </w:pPr>
    </w:p>
    <w:p>
      <w:pPr>
        <w:ind w:left="512" w:right="120" w:hanging="512"/>
        <w:spacing w:after="0" w:line="250" w:lineRule="auto"/>
        <w:tabs>
          <w:tab w:leader="none" w:pos="5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2024, the estimated cost basis of investments for U.S. federal tax purposes was $4,213,375 resulting in estimated gross unrealized gains and losses of $90,351 and $28,187, respectfully.</w:t>
      </w:r>
    </w:p>
    <w:p>
      <w:pPr>
        <w:ind w:left="512" w:hanging="512"/>
        <w:spacing w:after="0"/>
        <w:tabs>
          <w:tab w:leader="none" w:pos="5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non-income producing.</w:t>
      </w:r>
    </w:p>
    <w:p>
      <w:pPr>
        <w:spacing w:after="0" w:line="9"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9" w:lineRule="exact"/>
        <w:rPr>
          <w:rFonts w:ascii="Times New Roman" w:cs="Times New Roman" w:eastAsia="Times New Roman" w:hAnsi="Times New Roman"/>
          <w:sz w:val="18"/>
          <w:szCs w:val="18"/>
          <w:color w:val="auto"/>
        </w:rPr>
      </w:pPr>
    </w:p>
    <w:p>
      <w:pPr>
        <w:jc w:val="both"/>
        <w:ind w:left="512" w:right="40" w:hanging="512"/>
        <w:spacing w:after="0" w:line="250" w:lineRule="auto"/>
        <w:tabs>
          <w:tab w:leader="none" w:pos="5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portion of this security was acquired in a transaction exempt from registration under the Securities Act of 1933, as amended (the “Securities Act”), and may be deemed to be “restricted securities” under the Securities Act. As of March 31, 2024, the aggregate fair value of these securities is $77,040, or 3.2% of the Company’s net assets.</w:t>
      </w:r>
    </w:p>
    <w:p>
      <w:pPr>
        <w:spacing w:after="0" w:line="1" w:lineRule="exact"/>
        <w:rPr>
          <w:rFonts w:ascii="Times New Roman" w:cs="Times New Roman" w:eastAsia="Times New Roman" w:hAnsi="Times New Roman"/>
          <w:sz w:val="18"/>
          <w:szCs w:val="18"/>
          <w:color w:val="auto"/>
        </w:rPr>
      </w:pPr>
    </w:p>
    <w:p>
      <w:pPr>
        <w:ind w:left="512" w:hanging="512"/>
        <w:spacing w:after="0" w:line="250" w:lineRule="auto"/>
        <w:tabs>
          <w:tab w:leader="none" w:pos="5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principal amount outstanding and accrued interest owed on this investment, the Company is entitled to a separate Make-Whole Amount (the “Make-Whole”) of $22.3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1" w:lineRule="exact"/>
        <w:rPr>
          <w:rFonts w:ascii="Times New Roman" w:cs="Times New Roman" w:eastAsia="Times New Roman" w:hAnsi="Times New Roman"/>
          <w:sz w:val="18"/>
          <w:szCs w:val="18"/>
          <w:color w:val="auto"/>
        </w:rPr>
      </w:pPr>
    </w:p>
    <w:p>
      <w:pPr>
        <w:ind w:left="512" w:right="1700" w:hanging="512"/>
        <w:spacing w:after="0" w:line="260" w:lineRule="auto"/>
        <w:tabs>
          <w:tab w:leader="none" w:pos="5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6 for further information related to investments at fair value.</w:t>
      </w:r>
    </w:p>
    <w:p>
      <w:pPr>
        <w:spacing w:after="0" w:line="39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12"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December 31, 2023</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008"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Initial</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Company </w:t>
            </w:r>
            <w:r>
              <w:rPr>
                <w:rFonts w:ascii="Times New Roman" w:cs="Times New Roman" w:eastAsia="Times New Roman" w:hAnsi="Times New Roman"/>
                <w:sz w:val="16"/>
                <w:szCs w:val="16"/>
                <w:b w:val="1"/>
                <w:bCs w:val="1"/>
                <w:color w:val="auto"/>
                <w:vertAlign w:val="superscript"/>
              </w:rPr>
              <w:t>(1)(9)</w:t>
            </w: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20" w:type="dxa"/>
            <w:vAlign w:val="bottom"/>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43"/>
              <w:spacing w:after="0" w:line="128"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60" w:type="dxa"/>
            <w:vAlign w:val="bottom"/>
            <w:vMerge w:val="restart"/>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(6)</w:t>
            </w:r>
          </w:p>
        </w:tc>
        <w:tc>
          <w:tcPr>
            <w:tcW w:w="220" w:type="dxa"/>
            <w:vAlign w:val="bottom"/>
          </w:tcPr>
          <w:p>
            <w:pPr>
              <w:spacing w:after="0"/>
              <w:rPr>
                <w:sz w:val="11"/>
                <w:szCs w:val="11"/>
                <w:color w:val="auto"/>
              </w:rPr>
            </w:pPr>
          </w:p>
        </w:tc>
        <w:tc>
          <w:tcPr>
            <w:tcW w:w="960" w:type="dxa"/>
            <w:vAlign w:val="bottom"/>
            <w:gridSpan w:val="3"/>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76"/>
        </w:trPr>
        <w:tc>
          <w:tcPr>
            <w:tcW w:w="1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Pr>
          <w:p>
            <w:pPr>
              <w:ind w:left="8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240" w:type="dxa"/>
            <w:vAlign w:val="bottom"/>
          </w:tcPr>
          <w:p>
            <w:pPr>
              <w:spacing w:after="0"/>
              <w:rPr>
                <w:sz w:val="15"/>
                <w:szCs w:val="15"/>
                <w:color w:val="auto"/>
              </w:rPr>
            </w:pPr>
          </w:p>
        </w:tc>
        <w:tc>
          <w:tcPr>
            <w:tcW w:w="130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680" w:type="dxa"/>
            <w:vAlign w:val="bottom"/>
          </w:tcPr>
          <w:p>
            <w:pPr>
              <w:jc w:val="right"/>
              <w:ind w:right="83"/>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Cost</w:t>
            </w:r>
            <w:r>
              <w:rPr>
                <w:rFonts w:ascii="Times New Roman" w:cs="Times New Roman" w:eastAsia="Times New Roman" w:hAnsi="Times New Roman"/>
                <w:sz w:val="8"/>
                <w:szCs w:val="8"/>
                <w:b w:val="1"/>
                <w:bCs w:val="1"/>
                <w:color w:val="auto"/>
              </w:rPr>
              <w:t xml:space="preserve"> (2) (7)</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of Net Assets</w:t>
            </w:r>
          </w:p>
        </w:tc>
        <w:tc>
          <w:tcPr>
            <w:tcW w:w="0" w:type="dxa"/>
            <w:vAlign w:val="bottom"/>
          </w:tcPr>
          <w:p>
            <w:pPr>
              <w:spacing w:after="0"/>
              <w:rPr>
                <w:sz w:val="1"/>
                <w:szCs w:val="1"/>
                <w:color w:val="auto"/>
              </w:rPr>
            </w:pPr>
          </w:p>
        </w:tc>
      </w:tr>
      <w:tr>
        <w:trPr>
          <w:trHeight w:val="155"/>
        </w:trPr>
        <w:tc>
          <w:tcPr>
            <w:tcW w:w="15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120" w:type="dxa"/>
            <w:vAlign w:val="bottom"/>
            <w:shd w:val="clear" w:color="auto" w:fill="CFF0FC"/>
          </w:tcPr>
          <w:p>
            <w:pPr>
              <w:spacing w:after="0"/>
              <w:rPr>
                <w:sz w:val="13"/>
                <w:szCs w:val="13"/>
                <w:color w:val="auto"/>
              </w:rPr>
            </w:pPr>
          </w:p>
        </w:tc>
        <w:tc>
          <w:tcPr>
            <w:tcW w:w="234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5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Automotive</w:t>
            </w: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Bestpass, Inc. </w:t>
            </w:r>
            <w:r>
              <w:rPr>
                <w:rFonts w:ascii="Times New Roman" w:cs="Times New Roman" w:eastAsia="Times New Roman" w:hAnsi="Times New Roman"/>
                <w:sz w:val="15"/>
                <w:szCs w:val="15"/>
                <w:color w:val="auto"/>
                <w:vertAlign w:val="superscript"/>
              </w:rPr>
              <w:t>(3)(5)</w:t>
            </w:r>
          </w:p>
        </w:tc>
        <w:tc>
          <w:tcPr>
            <w:tcW w:w="120" w:type="dxa"/>
            <w:vAlign w:val="bottom"/>
            <w:shd w:val="clear" w:color="auto" w:fill="CFF0FC"/>
          </w:tcPr>
          <w:p>
            <w:pPr>
              <w:spacing w:after="0"/>
              <w:rPr>
                <w:sz w:val="11"/>
                <w:szCs w:val="11"/>
                <w:color w:val="auto"/>
              </w:rPr>
            </w:pPr>
          </w:p>
        </w:tc>
        <w:tc>
          <w:tcPr>
            <w:tcW w:w="234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First-lien loan ($59,950 par, due 5/2029)</w:t>
            </w:r>
          </w:p>
        </w:tc>
        <w:tc>
          <w:tcPr>
            <w:tcW w:w="860" w:type="dxa"/>
            <w:vAlign w:val="bottom"/>
            <w:gridSpan w:val="2"/>
            <w:shd w:val="clear" w:color="auto" w:fill="CFF0FC"/>
          </w:tcPr>
          <w:p>
            <w:pPr>
              <w:ind w:left="340"/>
              <w:spacing w:after="0" w:line="131" w:lineRule="exact"/>
              <w:rPr>
                <w:sz w:val="20"/>
                <w:szCs w:val="20"/>
                <w:color w:val="auto"/>
              </w:rPr>
            </w:pPr>
            <w:r>
              <w:rPr>
                <w:rFonts w:ascii="Times New Roman" w:cs="Times New Roman" w:eastAsia="Times New Roman" w:hAnsi="Times New Roman"/>
                <w:sz w:val="13"/>
                <w:szCs w:val="13"/>
                <w:color w:val="auto"/>
                <w:w w:val="94"/>
              </w:rPr>
              <w:t>5/26/2023</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540" w:type="dxa"/>
            <w:vAlign w:val="bottom"/>
            <w:gridSpan w:val="4"/>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11.11 %  $</w:t>
            </w:r>
          </w:p>
        </w:tc>
        <w:tc>
          <w:tcPr>
            <w:tcW w:w="6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57,781</w:t>
            </w:r>
          </w:p>
        </w:tc>
        <w:tc>
          <w:tcPr>
            <w:tcW w:w="560" w:type="dxa"/>
            <w:vAlign w:val="bottom"/>
            <w:gridSpan w:val="2"/>
            <w:shd w:val="clear" w:color="auto" w:fill="CFF0FC"/>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w:t>
            </w:r>
          </w:p>
        </w:tc>
        <w:tc>
          <w:tcPr>
            <w:tcW w:w="156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59,201</w:t>
            </w:r>
          </w:p>
        </w:tc>
        <w:tc>
          <w:tcPr>
            <w:tcW w:w="1160" w:type="dxa"/>
            <w:vAlign w:val="bottom"/>
            <w:gridSpan w:val="3"/>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3.3 %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Business Services</w:t>
            </w: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2"/>
                <w:szCs w:val="12"/>
                <w:color w:val="auto"/>
              </w:rPr>
              <w:t>Artisan Bidco, Inc.</w:t>
            </w:r>
            <w:r>
              <w:rPr>
                <w:rFonts w:ascii="Times New Roman" w:cs="Times New Roman" w:eastAsia="Times New Roman" w:hAnsi="Times New Roman"/>
                <w:sz w:val="15"/>
                <w:szCs w:val="15"/>
                <w:color w:val="auto"/>
                <w:vertAlign w:val="superscript"/>
              </w:rPr>
              <w:t>(3)</w:t>
            </w:r>
          </w:p>
        </w:tc>
        <w:tc>
          <w:tcPr>
            <w:tcW w:w="120" w:type="dxa"/>
            <w:vAlign w:val="bottom"/>
            <w:shd w:val="clear" w:color="auto" w:fill="CFF0FC"/>
          </w:tcPr>
          <w:p>
            <w:pPr>
              <w:spacing w:after="0"/>
              <w:rPr>
                <w:sz w:val="11"/>
                <w:szCs w:val="11"/>
                <w:color w:val="auto"/>
              </w:rPr>
            </w:pPr>
          </w:p>
        </w:tc>
        <w:tc>
          <w:tcPr>
            <w:tcW w:w="234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First-lien loan ($141,889 par, due 11/2029)</w:t>
            </w:r>
          </w:p>
        </w:tc>
        <w:tc>
          <w:tcPr>
            <w:tcW w:w="860" w:type="dxa"/>
            <w:vAlign w:val="bottom"/>
            <w:gridSpan w:val="2"/>
            <w:shd w:val="clear" w:color="auto" w:fill="CFF0FC"/>
          </w:tcPr>
          <w:p>
            <w:pPr>
              <w:ind w:left="340"/>
              <w:spacing w:after="0" w:line="131" w:lineRule="exact"/>
              <w:rPr>
                <w:sz w:val="20"/>
                <w:szCs w:val="20"/>
                <w:color w:val="auto"/>
              </w:rPr>
            </w:pPr>
            <w:r>
              <w:rPr>
                <w:rFonts w:ascii="Times New Roman" w:cs="Times New Roman" w:eastAsia="Times New Roman" w:hAnsi="Times New Roman"/>
                <w:sz w:val="13"/>
                <w:szCs w:val="13"/>
                <w:color w:val="auto"/>
                <w:w w:val="94"/>
              </w:rPr>
              <w:t>11/7/2023</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460" w:type="dxa"/>
            <w:vAlign w:val="bottom"/>
            <w:gridSpan w:val="3"/>
            <w:shd w:val="clear" w:color="auto" w:fill="CFF0FC"/>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12.38 %</w:t>
            </w: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138,686</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56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139,850</w:t>
            </w:r>
          </w:p>
        </w:tc>
        <w:tc>
          <w:tcPr>
            <w:tcW w:w="1160" w:type="dxa"/>
            <w:vAlign w:val="bottom"/>
            <w:gridSpan w:val="3"/>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7.7 %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60"/>
          </w:cols>
          <w:pgMar w:left="320" w:top="1009" w:right="319" w:bottom="1440" w:gutter="0" w:footer="0" w:header="0"/>
        </w:sect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BCTO Ignition Purchaser, Inc.</w:t>
      </w:r>
    </w:p>
    <w:p>
      <w:pPr>
        <w:ind w:left="20"/>
        <w:spacing w:after="0"/>
        <w:rPr>
          <w:sz w:val="20"/>
          <w:szCs w:val="20"/>
          <w:color w:val="auto"/>
        </w:rPr>
      </w:pPr>
      <w:r>
        <w:rPr>
          <w:rFonts w:ascii="Times New Roman" w:cs="Times New Roman" w:eastAsia="Times New Roman" w:hAnsi="Times New Roman"/>
          <w:sz w:val="8"/>
          <w:szCs w:val="8"/>
          <w:color w:val="auto"/>
        </w:rPr>
        <w:t>(3)</w:t>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Crewline Buyer, Inc. </w:t>
      </w:r>
      <w:r>
        <w:rPr>
          <w:rFonts w:ascii="Times New Roman" w:cs="Times New Roman" w:eastAsia="Times New Roman" w:hAnsi="Times New Roman"/>
          <w:sz w:val="16"/>
          <w:szCs w:val="16"/>
          <w:color w:val="auto"/>
          <w:vertAlign w:val="superscript"/>
        </w:rPr>
        <w:t>(3)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242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First-lien loan (EUR 66,029 par, due</w:t>
            </w:r>
          </w:p>
        </w:tc>
        <w:tc>
          <w:tcPr>
            <w:tcW w:w="90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3"/>
                <w:szCs w:val="13"/>
                <w:color w:val="auto"/>
              </w:rPr>
              <w:t>11/7/2023</w:t>
            </w:r>
          </w:p>
        </w:tc>
        <w:tc>
          <w:tcPr>
            <w:tcW w:w="1000" w:type="dxa"/>
            <w:vAlign w:val="bottom"/>
          </w:tcPr>
          <w:p>
            <w:pPr>
              <w:jc w:val="right"/>
              <w:ind w:right="237"/>
              <w:spacing w:after="0" w:line="131" w:lineRule="exact"/>
              <w:rPr>
                <w:sz w:val="20"/>
                <w:szCs w:val="20"/>
                <w:color w:val="auto"/>
              </w:rPr>
            </w:pPr>
            <w:r>
              <w:rPr>
                <w:rFonts w:ascii="Times New Roman" w:cs="Times New Roman" w:eastAsia="Times New Roman" w:hAnsi="Times New Roman"/>
                <w:sz w:val="13"/>
                <w:szCs w:val="13"/>
                <w:color w:val="auto"/>
              </w:rPr>
              <w:t>E + 7.00%</w:t>
            </w:r>
          </w:p>
        </w:tc>
        <w:tc>
          <w:tcPr>
            <w:tcW w:w="1280" w:type="dxa"/>
            <w:vAlign w:val="bottom"/>
          </w:tcPr>
          <w:p>
            <w:pPr>
              <w:jc w:val="right"/>
              <w:ind w:right="157"/>
              <w:spacing w:after="0" w:line="131" w:lineRule="exact"/>
              <w:rPr>
                <w:sz w:val="20"/>
                <w:szCs w:val="20"/>
                <w:color w:val="auto"/>
              </w:rPr>
            </w:pPr>
            <w:r>
              <w:rPr>
                <w:rFonts w:ascii="Times New Roman" w:cs="Times New Roman" w:eastAsia="Times New Roman" w:hAnsi="Times New Roman"/>
                <w:sz w:val="13"/>
                <w:szCs w:val="13"/>
                <w:color w:val="auto"/>
              </w:rPr>
              <w:t>10.96 %</w:t>
            </w:r>
          </w:p>
        </w:tc>
        <w:tc>
          <w:tcPr>
            <w:tcW w:w="1320" w:type="dxa"/>
            <w:vAlign w:val="bottom"/>
          </w:tcPr>
          <w:p>
            <w:pPr>
              <w:jc w:val="right"/>
              <w:ind w:right="637"/>
              <w:spacing w:after="0" w:line="131" w:lineRule="exact"/>
              <w:rPr>
                <w:sz w:val="20"/>
                <w:szCs w:val="20"/>
                <w:color w:val="auto"/>
              </w:rPr>
            </w:pPr>
            <w:r>
              <w:rPr>
                <w:rFonts w:ascii="Times New Roman" w:cs="Times New Roman" w:eastAsia="Times New Roman" w:hAnsi="Times New Roman"/>
                <w:sz w:val="13"/>
                <w:szCs w:val="13"/>
                <w:color w:val="auto"/>
              </w:rPr>
              <w:t>69,552</w:t>
            </w:r>
          </w:p>
        </w:tc>
        <w:tc>
          <w:tcPr>
            <w:tcW w:w="1840" w:type="dxa"/>
            <w:vAlign w:val="bottom"/>
          </w:tcPr>
          <w:p>
            <w:pPr>
              <w:jc w:val="right"/>
              <w:ind w:right="357"/>
              <w:spacing w:after="0" w:line="131" w:lineRule="exact"/>
              <w:rPr>
                <w:sz w:val="20"/>
                <w:szCs w:val="20"/>
                <w:color w:val="auto"/>
              </w:rPr>
            </w:pPr>
            <w:r>
              <w:rPr>
                <w:rFonts w:ascii="Times New Roman" w:cs="Times New Roman" w:eastAsia="Times New Roman" w:hAnsi="Times New Roman"/>
                <w:sz w:val="13"/>
                <w:szCs w:val="13"/>
                <w:color w:val="auto"/>
              </w:rPr>
              <w:t>72,027</w:t>
            </w:r>
          </w:p>
        </w:tc>
        <w:tc>
          <w:tcPr>
            <w:tcW w:w="78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4.0 %</w:t>
            </w:r>
          </w:p>
        </w:tc>
      </w:tr>
      <w:tr>
        <w:trPr>
          <w:trHeight w:val="162"/>
        </w:trPr>
        <w:tc>
          <w:tcPr>
            <w:tcW w:w="2420" w:type="dxa"/>
            <w:vAlign w:val="bottom"/>
          </w:tcPr>
          <w:p>
            <w:pPr>
              <w:spacing w:after="0"/>
              <w:rPr>
                <w:sz w:val="20"/>
                <w:szCs w:val="20"/>
                <w:color w:val="auto"/>
              </w:rPr>
            </w:pPr>
            <w:r>
              <w:rPr>
                <w:rFonts w:ascii="Times New Roman" w:cs="Times New Roman" w:eastAsia="Times New Roman" w:hAnsi="Times New Roman"/>
                <w:sz w:val="13"/>
                <w:szCs w:val="13"/>
                <w:color w:val="auto"/>
              </w:rPr>
              <w:t>11/2029)</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4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(EUR 65,203)</w:t>
            </w:r>
          </w:p>
        </w:tc>
        <w:tc>
          <w:tcPr>
            <w:tcW w:w="780" w:type="dxa"/>
            <w:vAlign w:val="bottom"/>
          </w:tcPr>
          <w:p>
            <w:pPr>
              <w:spacing w:after="0"/>
              <w:rPr>
                <w:sz w:val="14"/>
                <w:szCs w:val="14"/>
                <w:color w:val="auto"/>
              </w:rPr>
            </w:pPr>
          </w:p>
        </w:tc>
      </w:tr>
      <w:tr>
        <w:trPr>
          <w:trHeight w:val="135"/>
        </w:trPr>
        <w:tc>
          <w:tcPr>
            <w:tcW w:w="24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holdco loan ($106,450 par, due</w:t>
            </w:r>
          </w:p>
        </w:tc>
        <w:tc>
          <w:tcPr>
            <w:tcW w:w="90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4/18/2023</w:t>
            </w:r>
          </w:p>
        </w:tc>
        <w:tc>
          <w:tcPr>
            <w:tcW w:w="1000" w:type="dxa"/>
            <w:vAlign w:val="bottom"/>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SOFR +</w:t>
            </w:r>
          </w:p>
        </w:tc>
        <w:tc>
          <w:tcPr>
            <w:tcW w:w="1280" w:type="dxa"/>
            <w:vAlign w:val="bottom"/>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14.40% PIK</w:t>
            </w:r>
          </w:p>
        </w:tc>
        <w:tc>
          <w:tcPr>
            <w:tcW w:w="1320" w:type="dxa"/>
            <w:vAlign w:val="bottom"/>
          </w:tcPr>
          <w:p>
            <w:pPr>
              <w:jc w:val="right"/>
              <w:ind w:right="637"/>
              <w:spacing w:after="0" w:line="135" w:lineRule="exact"/>
              <w:rPr>
                <w:sz w:val="20"/>
                <w:szCs w:val="20"/>
                <w:color w:val="auto"/>
              </w:rPr>
            </w:pPr>
            <w:r>
              <w:rPr>
                <w:rFonts w:ascii="Times New Roman" w:cs="Times New Roman" w:eastAsia="Times New Roman" w:hAnsi="Times New Roman"/>
                <w:sz w:val="13"/>
                <w:szCs w:val="13"/>
                <w:color w:val="auto"/>
              </w:rPr>
              <w:t>103,719</w:t>
            </w:r>
          </w:p>
        </w:tc>
        <w:tc>
          <w:tcPr>
            <w:tcW w:w="1840" w:type="dxa"/>
            <w:vAlign w:val="bottom"/>
          </w:tcPr>
          <w:p>
            <w:pPr>
              <w:jc w:val="right"/>
              <w:ind w:right="357"/>
              <w:spacing w:after="0" w:line="135" w:lineRule="exact"/>
              <w:rPr>
                <w:sz w:val="20"/>
                <w:szCs w:val="20"/>
                <w:color w:val="auto"/>
              </w:rPr>
            </w:pPr>
            <w:r>
              <w:rPr>
                <w:rFonts w:ascii="Times New Roman" w:cs="Times New Roman" w:eastAsia="Times New Roman" w:hAnsi="Times New Roman"/>
                <w:sz w:val="13"/>
                <w:szCs w:val="13"/>
                <w:color w:val="auto"/>
              </w:rPr>
              <w:t>105,918</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5.9 %</w:t>
            </w:r>
          </w:p>
        </w:tc>
      </w:tr>
      <w:tr>
        <w:trPr>
          <w:trHeight w:val="162"/>
        </w:trPr>
        <w:tc>
          <w:tcPr>
            <w:tcW w:w="2420" w:type="dxa"/>
            <w:vAlign w:val="bottom"/>
          </w:tcPr>
          <w:p>
            <w:pPr>
              <w:spacing w:after="0"/>
              <w:rPr>
                <w:sz w:val="20"/>
                <w:szCs w:val="20"/>
                <w:color w:val="auto"/>
              </w:rPr>
            </w:pPr>
            <w:r>
              <w:rPr>
                <w:rFonts w:ascii="Times New Roman" w:cs="Times New Roman" w:eastAsia="Times New Roman" w:hAnsi="Times New Roman"/>
                <w:sz w:val="13"/>
                <w:szCs w:val="13"/>
                <w:color w:val="auto"/>
              </w:rPr>
              <w:t>10/2030)</w:t>
            </w:r>
          </w:p>
        </w:tc>
        <w:tc>
          <w:tcPr>
            <w:tcW w:w="900" w:type="dxa"/>
            <w:vAlign w:val="bottom"/>
          </w:tcPr>
          <w:p>
            <w:pPr>
              <w:spacing w:after="0"/>
              <w:rPr>
                <w:sz w:val="14"/>
                <w:szCs w:val="14"/>
                <w:color w:val="auto"/>
              </w:rPr>
            </w:pPr>
          </w:p>
        </w:tc>
        <w:tc>
          <w:tcPr>
            <w:tcW w:w="100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9.00%</w:t>
            </w: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5"/>
        </w:trPr>
        <w:tc>
          <w:tcPr>
            <w:tcW w:w="24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($190,636 par, due 11/2030)</w:t>
            </w:r>
          </w:p>
        </w:tc>
        <w:tc>
          <w:tcPr>
            <w:tcW w:w="90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11/8/2023</w:t>
            </w:r>
          </w:p>
        </w:tc>
        <w:tc>
          <w:tcPr>
            <w:tcW w:w="1000" w:type="dxa"/>
            <w:vAlign w:val="bottom"/>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SOFR +</w:t>
            </w:r>
          </w:p>
        </w:tc>
        <w:tc>
          <w:tcPr>
            <w:tcW w:w="128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12.10 %</w:t>
            </w:r>
          </w:p>
        </w:tc>
        <w:tc>
          <w:tcPr>
            <w:tcW w:w="1320" w:type="dxa"/>
            <w:vAlign w:val="bottom"/>
          </w:tcPr>
          <w:p>
            <w:pPr>
              <w:jc w:val="right"/>
              <w:ind w:right="637"/>
              <w:spacing w:after="0" w:line="135" w:lineRule="exact"/>
              <w:rPr>
                <w:sz w:val="20"/>
                <w:szCs w:val="20"/>
                <w:color w:val="auto"/>
              </w:rPr>
            </w:pPr>
            <w:r>
              <w:rPr>
                <w:rFonts w:ascii="Times New Roman" w:cs="Times New Roman" w:eastAsia="Times New Roman" w:hAnsi="Times New Roman"/>
                <w:sz w:val="13"/>
                <w:szCs w:val="13"/>
                <w:color w:val="auto"/>
              </w:rPr>
              <w:t>185,410</w:t>
            </w:r>
          </w:p>
        </w:tc>
        <w:tc>
          <w:tcPr>
            <w:tcW w:w="1840" w:type="dxa"/>
            <w:vAlign w:val="bottom"/>
          </w:tcPr>
          <w:p>
            <w:pPr>
              <w:jc w:val="right"/>
              <w:ind w:right="357"/>
              <w:spacing w:after="0" w:line="135" w:lineRule="exact"/>
              <w:rPr>
                <w:sz w:val="20"/>
                <w:szCs w:val="20"/>
                <w:color w:val="auto"/>
              </w:rPr>
            </w:pPr>
            <w:r>
              <w:rPr>
                <w:rFonts w:ascii="Times New Roman" w:cs="Times New Roman" w:eastAsia="Times New Roman" w:hAnsi="Times New Roman"/>
                <w:sz w:val="13"/>
                <w:szCs w:val="13"/>
                <w:color w:val="auto"/>
              </w:rPr>
              <w:t>186,952</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10.3 %</w:t>
            </w:r>
          </w:p>
        </w:tc>
      </w:tr>
      <w:tr>
        <w:trPr>
          <w:trHeight w:val="159"/>
        </w:trPr>
        <w:tc>
          <w:tcPr>
            <w:tcW w:w="2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6.75%</w:t>
            </w:r>
          </w:p>
        </w:tc>
        <w:tc>
          <w:tcPr>
            <w:tcW w:w="1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7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-371475</wp:posOffset>
            </wp:positionV>
            <wp:extent cx="713232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560" w:space="160"/>
            <w:col w:w="9540"/>
          </w:cols>
          <w:pgMar w:left="320" w:top="1009" w:right="31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1420" w:type="dxa"/>
            <w:vAlign w:val="bottom"/>
            <w:shd w:val="clear" w:color="auto" w:fill="CFF0FC"/>
          </w:tcPr>
          <w:p>
            <w:pPr>
              <w:ind w:left="20"/>
              <w:spacing w:after="0" w:line="138" w:lineRule="exact"/>
              <w:rPr>
                <w:sz w:val="20"/>
                <w:szCs w:val="20"/>
                <w:color w:val="auto"/>
              </w:rPr>
            </w:pPr>
            <w:r>
              <w:rPr>
                <w:rFonts w:ascii="Times New Roman" w:cs="Times New Roman" w:eastAsia="Times New Roman" w:hAnsi="Times New Roman"/>
                <w:sz w:val="12"/>
                <w:szCs w:val="12"/>
                <w:color w:val="auto"/>
              </w:rPr>
              <w:t xml:space="preserve">Galileo Parent, Inc. </w:t>
            </w:r>
            <w:r>
              <w:rPr>
                <w:rFonts w:ascii="Times New Roman" w:cs="Times New Roman" w:eastAsia="Times New Roman" w:hAnsi="Times New Roman"/>
                <w:sz w:val="15"/>
                <w:szCs w:val="15"/>
                <w:color w:val="auto"/>
                <w:vertAlign w:val="superscript"/>
              </w:rPr>
              <w:t>(3)</w:t>
            </w:r>
          </w:p>
        </w:tc>
        <w:tc>
          <w:tcPr>
            <w:tcW w:w="2720" w:type="dxa"/>
            <w:vAlign w:val="bottom"/>
            <w:shd w:val="clear" w:color="auto" w:fill="CFF0FC"/>
          </w:tcPr>
          <w:p>
            <w:pPr>
              <w:ind w:left="300"/>
              <w:spacing w:after="0" w:line="138" w:lineRule="exact"/>
              <w:rPr>
                <w:sz w:val="20"/>
                <w:szCs w:val="20"/>
                <w:color w:val="auto"/>
              </w:rPr>
            </w:pPr>
            <w:r>
              <w:rPr>
                <w:rFonts w:ascii="Times New Roman" w:cs="Times New Roman" w:eastAsia="Times New Roman" w:hAnsi="Times New Roman"/>
                <w:sz w:val="13"/>
                <w:szCs w:val="13"/>
                <w:color w:val="auto"/>
              </w:rPr>
              <w:t>First-lien loan ($151,064 par, due 5/2030)</w:t>
            </w:r>
          </w:p>
        </w:tc>
        <w:tc>
          <w:tcPr>
            <w:tcW w:w="940" w:type="dxa"/>
            <w:vAlign w:val="bottom"/>
            <w:shd w:val="clear" w:color="auto" w:fill="CFF0FC"/>
          </w:tcPr>
          <w:p>
            <w:pPr>
              <w:jc w:val="right"/>
              <w:ind w:right="137"/>
              <w:spacing w:after="0" w:line="138" w:lineRule="exact"/>
              <w:rPr>
                <w:sz w:val="20"/>
                <w:szCs w:val="20"/>
                <w:color w:val="auto"/>
              </w:rPr>
            </w:pPr>
            <w:r>
              <w:rPr>
                <w:rFonts w:ascii="Times New Roman" w:cs="Times New Roman" w:eastAsia="Times New Roman" w:hAnsi="Times New Roman"/>
                <w:sz w:val="13"/>
                <w:szCs w:val="13"/>
                <w:color w:val="auto"/>
              </w:rPr>
              <w:t>5/3/2023</w:t>
            </w:r>
          </w:p>
        </w:tc>
        <w:tc>
          <w:tcPr>
            <w:tcW w:w="1140" w:type="dxa"/>
            <w:vAlign w:val="bottom"/>
            <w:shd w:val="clear" w:color="auto" w:fill="CFF0FC"/>
          </w:tcPr>
          <w:p>
            <w:pPr>
              <w:jc w:val="right"/>
              <w:ind w:right="457"/>
              <w:spacing w:after="0" w:line="138" w:lineRule="exact"/>
              <w:rPr>
                <w:sz w:val="20"/>
                <w:szCs w:val="20"/>
                <w:color w:val="auto"/>
              </w:rPr>
            </w:pPr>
            <w:r>
              <w:rPr>
                <w:rFonts w:ascii="Times New Roman" w:cs="Times New Roman" w:eastAsia="Times New Roman" w:hAnsi="Times New Roman"/>
                <w:sz w:val="13"/>
                <w:szCs w:val="13"/>
                <w:color w:val="auto"/>
              </w:rPr>
              <w:t>SOFR +</w:t>
            </w:r>
          </w:p>
        </w:tc>
        <w:tc>
          <w:tcPr>
            <w:tcW w:w="1100" w:type="dxa"/>
            <w:vAlign w:val="bottom"/>
            <w:shd w:val="clear" w:color="auto" w:fill="CFF0FC"/>
          </w:tcPr>
          <w:p>
            <w:pPr>
              <w:jc w:val="right"/>
              <w:ind w:right="157"/>
              <w:spacing w:after="0" w:line="138" w:lineRule="exact"/>
              <w:rPr>
                <w:sz w:val="20"/>
                <w:szCs w:val="20"/>
                <w:color w:val="auto"/>
              </w:rPr>
            </w:pPr>
            <w:r>
              <w:rPr>
                <w:rFonts w:ascii="Times New Roman" w:cs="Times New Roman" w:eastAsia="Times New Roman" w:hAnsi="Times New Roman"/>
                <w:sz w:val="13"/>
                <w:szCs w:val="13"/>
                <w:color w:val="auto"/>
              </w:rPr>
              <w:t>12.60 %</w:t>
            </w:r>
          </w:p>
        </w:tc>
        <w:tc>
          <w:tcPr>
            <w:tcW w:w="1480" w:type="dxa"/>
            <w:vAlign w:val="bottom"/>
            <w:shd w:val="clear" w:color="auto" w:fill="CFF0FC"/>
          </w:tcPr>
          <w:p>
            <w:pPr>
              <w:jc w:val="right"/>
              <w:ind w:right="797"/>
              <w:spacing w:after="0" w:line="138" w:lineRule="exact"/>
              <w:rPr>
                <w:sz w:val="20"/>
                <w:szCs w:val="20"/>
                <w:color w:val="auto"/>
              </w:rPr>
            </w:pPr>
            <w:r>
              <w:rPr>
                <w:rFonts w:ascii="Times New Roman" w:cs="Times New Roman" w:eastAsia="Times New Roman" w:hAnsi="Times New Roman"/>
                <w:sz w:val="13"/>
                <w:szCs w:val="13"/>
                <w:color w:val="auto"/>
              </w:rPr>
              <w:t>146,963</w:t>
            </w:r>
          </w:p>
        </w:tc>
        <w:tc>
          <w:tcPr>
            <w:tcW w:w="1720" w:type="dxa"/>
            <w:vAlign w:val="bottom"/>
            <w:shd w:val="clear" w:color="auto" w:fill="CFF0FC"/>
          </w:tcPr>
          <w:p>
            <w:pPr>
              <w:jc w:val="right"/>
              <w:ind w:right="397"/>
              <w:spacing w:after="0" w:line="138" w:lineRule="exact"/>
              <w:rPr>
                <w:sz w:val="20"/>
                <w:szCs w:val="20"/>
                <w:color w:val="auto"/>
              </w:rPr>
            </w:pPr>
            <w:r>
              <w:rPr>
                <w:rFonts w:ascii="Times New Roman" w:cs="Times New Roman" w:eastAsia="Times New Roman" w:hAnsi="Times New Roman"/>
                <w:sz w:val="13"/>
                <w:szCs w:val="13"/>
                <w:color w:val="auto"/>
              </w:rPr>
              <w:t>148,798</w:t>
            </w:r>
          </w:p>
        </w:tc>
        <w:tc>
          <w:tcPr>
            <w:tcW w:w="720" w:type="dxa"/>
            <w:vAlign w:val="bottom"/>
            <w:shd w:val="clear" w:color="auto" w:fill="CFF0FC"/>
          </w:tcPr>
          <w:p>
            <w:pPr>
              <w:jc w:val="right"/>
              <w:spacing w:after="0" w:line="138" w:lineRule="exact"/>
              <w:rPr>
                <w:sz w:val="20"/>
                <w:szCs w:val="20"/>
                <w:color w:val="auto"/>
              </w:rPr>
            </w:pPr>
            <w:r>
              <w:rPr>
                <w:rFonts w:ascii="Times New Roman" w:cs="Times New Roman" w:eastAsia="Times New Roman" w:hAnsi="Times New Roman"/>
                <w:sz w:val="13"/>
                <w:szCs w:val="13"/>
                <w:color w:val="auto"/>
              </w:rPr>
              <w:t>8.2 %</w:t>
            </w:r>
          </w:p>
        </w:tc>
        <w:tc>
          <w:tcPr>
            <w:tcW w:w="20" w:type="dxa"/>
            <w:vAlign w:val="bottom"/>
          </w:tcPr>
          <w:p>
            <w:pPr>
              <w:spacing w:after="0"/>
              <w:rPr>
                <w:sz w:val="11"/>
                <w:szCs w:val="11"/>
                <w:color w:val="auto"/>
              </w:rPr>
            </w:pPr>
          </w:p>
        </w:tc>
      </w:tr>
      <w:tr>
        <w:trPr>
          <w:trHeight w:val="167"/>
        </w:trPr>
        <w:tc>
          <w:tcPr>
            <w:tcW w:w="1420" w:type="dxa"/>
            <w:vAlign w:val="bottom"/>
            <w:shd w:val="clear" w:color="auto" w:fill="CFF0FC"/>
          </w:tcPr>
          <w:p>
            <w:pPr>
              <w:spacing w:after="0"/>
              <w:rPr>
                <w:sz w:val="14"/>
                <w:szCs w:val="14"/>
                <w:color w:val="auto"/>
              </w:rPr>
            </w:pPr>
          </w:p>
        </w:tc>
        <w:tc>
          <w:tcPr>
            <w:tcW w:w="27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17"/>
              <w:spacing w:after="0"/>
              <w:rPr>
                <w:sz w:val="20"/>
                <w:szCs w:val="20"/>
                <w:color w:val="auto"/>
              </w:rPr>
            </w:pPr>
            <w:r>
              <w:rPr>
                <w:rFonts w:ascii="Times New Roman" w:cs="Times New Roman" w:eastAsia="Times New Roman" w:hAnsi="Times New Roman"/>
                <w:sz w:val="13"/>
                <w:szCs w:val="13"/>
                <w:color w:val="auto"/>
              </w:rPr>
              <w:t>7.25%</w:t>
            </w:r>
          </w:p>
        </w:tc>
        <w:tc>
          <w:tcPr>
            <w:tcW w:w="110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7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1260"/>
          </w:cols>
          <w:pgMar w:left="320" w:top="1009" w:right="319" w:bottom="1440" w:gutter="0" w:footer="0" w:header="0"/>
          <w:type w:val="continuous"/>
        </w:sect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Hornetsecurity Holding</w:t>
      </w:r>
    </w:p>
    <w:p>
      <w:pPr>
        <w:ind w:left="20"/>
        <w:spacing w:after="0" w:line="187" w:lineRule="auto"/>
        <w:rPr>
          <w:sz w:val="20"/>
          <w:szCs w:val="20"/>
          <w:color w:val="auto"/>
        </w:rPr>
      </w:pPr>
      <w:r>
        <w:rPr>
          <w:rFonts w:ascii="Times New Roman" w:cs="Times New Roman" w:eastAsia="Times New Roman" w:hAnsi="Times New Roman"/>
          <w:sz w:val="18"/>
          <w:szCs w:val="18"/>
          <w:color w:val="auto"/>
          <w:vertAlign w:val="subscript"/>
        </w:rPr>
        <w:t>GmbH</w:t>
      </w:r>
      <w:r>
        <w:rPr>
          <w:rFonts w:ascii="Times New Roman" w:cs="Times New Roman" w:eastAsia="Times New Roman" w:hAnsi="Times New Roman"/>
          <w:sz w:val="7"/>
          <w:szCs w:val="7"/>
          <w:color w:val="auto"/>
        </w:rPr>
        <w:t xml:space="preserve"> (3)(4)</w:t>
      </w:r>
    </w:p>
    <w:p>
      <w:pPr>
        <w:ind w:left="20"/>
        <w:spacing w:after="0" w:line="189" w:lineRule="auto"/>
        <w:rPr>
          <w:sz w:val="20"/>
          <w:szCs w:val="20"/>
          <w:color w:val="auto"/>
        </w:rPr>
      </w:pPr>
      <w:r>
        <w:rPr>
          <w:rFonts w:ascii="Times New Roman" w:cs="Times New Roman" w:eastAsia="Times New Roman" w:hAnsi="Times New Roman"/>
          <w:sz w:val="10"/>
          <w:szCs w:val="10"/>
          <w:color w:val="auto"/>
        </w:rPr>
        <w:t>OutSystems Luxco SARL</w:t>
      </w:r>
      <w:r>
        <w:rPr>
          <w:rFonts w:ascii="Times New Roman" w:cs="Times New Roman" w:eastAsia="Times New Roman" w:hAnsi="Times New Roman"/>
          <w:sz w:val="12"/>
          <w:szCs w:val="12"/>
          <w:color w:val="auto"/>
          <w:vertAlign w:val="superscript"/>
        </w:rPr>
        <w:t>(3)(4)</w:t>
      </w:r>
    </w:p>
    <w:p>
      <w:pPr>
        <w:ind w:left="20"/>
        <w:spacing w:after="0"/>
        <w:rPr>
          <w:sz w:val="20"/>
          <w:szCs w:val="20"/>
          <w:color w:val="auto"/>
        </w:rPr>
      </w:pPr>
      <w:r>
        <w:rPr>
          <w:rFonts w:ascii="Times New Roman" w:cs="Times New Roman" w:eastAsia="Times New Roman" w:hAnsi="Times New Roman"/>
          <w:sz w:val="8"/>
          <w:szCs w:val="8"/>
          <w:color w:val="auto"/>
        </w:rPr>
        <w:t>(5)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244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First-lien revolving loan ($7,740 par, due</w:t>
            </w:r>
          </w:p>
        </w:tc>
        <w:tc>
          <w:tcPr>
            <w:tcW w:w="88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3"/>
                <w:szCs w:val="13"/>
                <w:color w:val="auto"/>
              </w:rPr>
              <w:t>5/3/2023</w:t>
            </w:r>
          </w:p>
        </w:tc>
        <w:tc>
          <w:tcPr>
            <w:tcW w:w="1180" w:type="dxa"/>
            <w:vAlign w:val="bottom"/>
          </w:tcPr>
          <w:p>
            <w:pPr>
              <w:jc w:val="right"/>
              <w:ind w:right="457"/>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160" w:type="dxa"/>
            <w:vAlign w:val="bottom"/>
          </w:tcPr>
          <w:p>
            <w:pPr>
              <w:jc w:val="right"/>
              <w:ind w:right="217"/>
              <w:spacing w:after="0" w:line="131" w:lineRule="exact"/>
              <w:rPr>
                <w:sz w:val="20"/>
                <w:szCs w:val="20"/>
                <w:color w:val="auto"/>
              </w:rPr>
            </w:pPr>
            <w:r>
              <w:rPr>
                <w:rFonts w:ascii="Times New Roman" w:cs="Times New Roman" w:eastAsia="Times New Roman" w:hAnsi="Times New Roman"/>
                <w:sz w:val="13"/>
                <w:szCs w:val="13"/>
                <w:color w:val="auto"/>
              </w:rPr>
              <w:t>12.60 %</w:t>
            </w:r>
          </w:p>
        </w:tc>
        <w:tc>
          <w:tcPr>
            <w:tcW w:w="1300" w:type="dxa"/>
            <w:vAlign w:val="bottom"/>
          </w:tcPr>
          <w:p>
            <w:pPr>
              <w:jc w:val="right"/>
              <w:ind w:right="677"/>
              <w:spacing w:after="0" w:line="131" w:lineRule="exact"/>
              <w:rPr>
                <w:sz w:val="20"/>
                <w:szCs w:val="20"/>
                <w:color w:val="auto"/>
              </w:rPr>
            </w:pPr>
            <w:r>
              <w:rPr>
                <w:rFonts w:ascii="Times New Roman" w:cs="Times New Roman" w:eastAsia="Times New Roman" w:hAnsi="Times New Roman"/>
                <w:sz w:val="13"/>
                <w:szCs w:val="13"/>
                <w:color w:val="auto"/>
              </w:rPr>
              <w:t>7,112</w:t>
            </w:r>
          </w:p>
        </w:tc>
        <w:tc>
          <w:tcPr>
            <w:tcW w:w="1840" w:type="dxa"/>
            <w:vAlign w:val="bottom"/>
          </w:tcPr>
          <w:p>
            <w:pPr>
              <w:jc w:val="right"/>
              <w:ind w:right="397"/>
              <w:spacing w:after="0" w:line="131" w:lineRule="exact"/>
              <w:rPr>
                <w:sz w:val="20"/>
                <w:szCs w:val="20"/>
                <w:color w:val="auto"/>
              </w:rPr>
            </w:pPr>
            <w:r>
              <w:rPr>
                <w:rFonts w:ascii="Times New Roman" w:cs="Times New Roman" w:eastAsia="Times New Roman" w:hAnsi="Times New Roman"/>
                <w:sz w:val="13"/>
                <w:szCs w:val="13"/>
                <w:color w:val="auto"/>
              </w:rPr>
              <w:t>7,387</w:t>
            </w:r>
          </w:p>
        </w:tc>
        <w:tc>
          <w:tcPr>
            <w:tcW w:w="74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0.4 %</w:t>
            </w:r>
          </w:p>
        </w:tc>
      </w:tr>
      <w:tr>
        <w:trPr>
          <w:trHeight w:val="162"/>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5/2029)</w:t>
            </w:r>
          </w:p>
        </w:tc>
        <w:tc>
          <w:tcPr>
            <w:tcW w:w="880" w:type="dxa"/>
            <w:vAlign w:val="bottom"/>
          </w:tcPr>
          <w:p>
            <w:pPr>
              <w:spacing w:after="0"/>
              <w:rPr>
                <w:sz w:val="14"/>
                <w:szCs w:val="14"/>
                <w:color w:val="auto"/>
              </w:rPr>
            </w:pPr>
          </w:p>
        </w:tc>
        <w:tc>
          <w:tcPr>
            <w:tcW w:w="118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7.25%</w:t>
            </w: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5"/>
        </w:trPr>
        <w:tc>
          <w:tcPr>
            <w:tcW w:w="2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(EUR 3,150 par, due 11/2029)</w:t>
            </w:r>
          </w:p>
        </w:tc>
        <w:tc>
          <w:tcPr>
            <w:tcW w:w="88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11/14/2022</w:t>
            </w:r>
          </w:p>
        </w:tc>
        <w:tc>
          <w:tcPr>
            <w:tcW w:w="118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E + 6.50%</w:t>
            </w:r>
          </w:p>
        </w:tc>
        <w:tc>
          <w:tcPr>
            <w:tcW w:w="116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10.50 %</w:t>
            </w:r>
          </w:p>
        </w:tc>
        <w:tc>
          <w:tcPr>
            <w:tcW w:w="1300" w:type="dxa"/>
            <w:vAlign w:val="bottom"/>
          </w:tcPr>
          <w:p>
            <w:pPr>
              <w:jc w:val="right"/>
              <w:ind w:right="677"/>
              <w:spacing w:after="0" w:line="135" w:lineRule="exact"/>
              <w:rPr>
                <w:sz w:val="20"/>
                <w:szCs w:val="20"/>
                <w:color w:val="auto"/>
              </w:rPr>
            </w:pPr>
            <w:r>
              <w:rPr>
                <w:rFonts w:ascii="Times New Roman" w:cs="Times New Roman" w:eastAsia="Times New Roman" w:hAnsi="Times New Roman"/>
                <w:sz w:val="13"/>
                <w:szCs w:val="13"/>
                <w:color w:val="auto"/>
              </w:rPr>
              <w:t>3,158</w:t>
            </w:r>
          </w:p>
        </w:tc>
        <w:tc>
          <w:tcPr>
            <w:tcW w:w="1840" w:type="dxa"/>
            <w:vAlign w:val="bottom"/>
          </w:tcPr>
          <w:p>
            <w:pPr>
              <w:jc w:val="right"/>
              <w:ind w:right="397"/>
              <w:spacing w:after="0" w:line="135" w:lineRule="exact"/>
              <w:rPr>
                <w:sz w:val="20"/>
                <w:szCs w:val="20"/>
                <w:color w:val="auto"/>
              </w:rPr>
            </w:pPr>
            <w:r>
              <w:rPr>
                <w:rFonts w:ascii="Times New Roman" w:cs="Times New Roman" w:eastAsia="Times New Roman" w:hAnsi="Times New Roman"/>
                <w:sz w:val="13"/>
                <w:szCs w:val="13"/>
                <w:color w:val="auto"/>
              </w:rPr>
              <w:t>3,536</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0.2 %</w:t>
            </w:r>
          </w:p>
        </w:tc>
      </w:tr>
      <w:tr>
        <w:trPr>
          <w:trHeight w:val="162"/>
        </w:trPr>
        <w:tc>
          <w:tcPr>
            <w:tcW w:w="2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(EUR 3,201)</w:t>
            </w:r>
          </w:p>
        </w:tc>
        <w:tc>
          <w:tcPr>
            <w:tcW w:w="740" w:type="dxa"/>
            <w:vAlign w:val="bottom"/>
          </w:tcPr>
          <w:p>
            <w:pPr>
              <w:spacing w:after="0"/>
              <w:rPr>
                <w:sz w:val="14"/>
                <w:szCs w:val="14"/>
                <w:color w:val="auto"/>
              </w:rPr>
            </w:pPr>
          </w:p>
        </w:tc>
      </w:tr>
      <w:tr>
        <w:trPr>
          <w:trHeight w:val="135"/>
        </w:trPr>
        <w:tc>
          <w:tcPr>
            <w:tcW w:w="24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(EUR 3,004 par, due 12/2028)</w:t>
            </w:r>
          </w:p>
        </w:tc>
        <w:tc>
          <w:tcPr>
            <w:tcW w:w="88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12/8/2022</w:t>
            </w:r>
          </w:p>
        </w:tc>
        <w:tc>
          <w:tcPr>
            <w:tcW w:w="118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E + 5.75%</w:t>
            </w:r>
          </w:p>
        </w:tc>
        <w:tc>
          <w:tcPr>
            <w:tcW w:w="116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9.59 %</w:t>
            </w:r>
          </w:p>
        </w:tc>
        <w:tc>
          <w:tcPr>
            <w:tcW w:w="1300" w:type="dxa"/>
            <w:vAlign w:val="bottom"/>
          </w:tcPr>
          <w:p>
            <w:pPr>
              <w:jc w:val="right"/>
              <w:ind w:right="677"/>
              <w:spacing w:after="0" w:line="135" w:lineRule="exact"/>
              <w:rPr>
                <w:sz w:val="20"/>
                <w:szCs w:val="20"/>
                <w:color w:val="auto"/>
              </w:rPr>
            </w:pPr>
            <w:r>
              <w:rPr>
                <w:rFonts w:ascii="Times New Roman" w:cs="Times New Roman" w:eastAsia="Times New Roman" w:hAnsi="Times New Roman"/>
                <w:sz w:val="13"/>
                <w:szCs w:val="13"/>
                <w:color w:val="auto"/>
              </w:rPr>
              <w:t>3,094</w:t>
            </w:r>
          </w:p>
        </w:tc>
        <w:tc>
          <w:tcPr>
            <w:tcW w:w="1840" w:type="dxa"/>
            <w:vAlign w:val="bottom"/>
          </w:tcPr>
          <w:p>
            <w:pPr>
              <w:jc w:val="right"/>
              <w:ind w:right="397"/>
              <w:spacing w:after="0" w:line="135" w:lineRule="exact"/>
              <w:rPr>
                <w:sz w:val="20"/>
                <w:szCs w:val="20"/>
                <w:color w:val="auto"/>
              </w:rPr>
            </w:pPr>
            <w:r>
              <w:rPr>
                <w:rFonts w:ascii="Times New Roman" w:cs="Times New Roman" w:eastAsia="Times New Roman" w:hAnsi="Times New Roman"/>
                <w:sz w:val="13"/>
                <w:szCs w:val="13"/>
                <w:color w:val="auto"/>
              </w:rPr>
              <w:t>3,332</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0.2 %</w:t>
            </w:r>
          </w:p>
        </w:tc>
      </w:tr>
      <w:tr>
        <w:trPr>
          <w:trHeight w:val="159"/>
        </w:trPr>
        <w:tc>
          <w:tcPr>
            <w:tcW w:w="2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(EUR 3,016)</w:t>
            </w:r>
          </w:p>
        </w:tc>
        <w:tc>
          <w:tcPr>
            <w:tcW w:w="7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-371475</wp:posOffset>
            </wp:positionV>
            <wp:extent cx="713232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540" w:space="180"/>
            <w:col w:w="9540"/>
          </w:cols>
          <w:pgMar w:left="320" w:top="1009" w:right="31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1640" w:type="dxa"/>
            <w:vAlign w:val="bottom"/>
            <w:shd w:val="clear" w:color="auto" w:fill="CFF0FC"/>
          </w:tcPr>
          <w:p>
            <w:pPr>
              <w:ind w:left="20"/>
              <w:spacing w:after="0" w:line="138" w:lineRule="exact"/>
              <w:rPr>
                <w:sz w:val="20"/>
                <w:szCs w:val="20"/>
                <w:color w:val="auto"/>
              </w:rPr>
            </w:pPr>
            <w:r>
              <w:rPr>
                <w:rFonts w:ascii="Times New Roman" w:cs="Times New Roman" w:eastAsia="Times New Roman" w:hAnsi="Times New Roman"/>
                <w:sz w:val="12"/>
                <w:szCs w:val="12"/>
                <w:color w:val="auto"/>
              </w:rPr>
              <w:t xml:space="preserve">Price Fx Inc. </w:t>
            </w:r>
            <w:r>
              <w:rPr>
                <w:rFonts w:ascii="Times New Roman" w:cs="Times New Roman" w:eastAsia="Times New Roman" w:hAnsi="Times New Roman"/>
                <w:sz w:val="15"/>
                <w:szCs w:val="15"/>
                <w:color w:val="auto"/>
                <w:vertAlign w:val="superscript"/>
              </w:rPr>
              <w:t>(3)(4)</w:t>
            </w:r>
          </w:p>
        </w:tc>
        <w:tc>
          <w:tcPr>
            <w:tcW w:w="2500" w:type="dxa"/>
            <w:vAlign w:val="bottom"/>
            <w:shd w:val="clear" w:color="auto" w:fill="CFF0FC"/>
          </w:tcPr>
          <w:p>
            <w:pPr>
              <w:ind w:left="80"/>
              <w:spacing w:after="0" w:line="138" w:lineRule="exact"/>
              <w:rPr>
                <w:sz w:val="20"/>
                <w:szCs w:val="20"/>
                <w:color w:val="auto"/>
              </w:rPr>
            </w:pPr>
            <w:r>
              <w:rPr>
                <w:rFonts w:ascii="Times New Roman" w:cs="Times New Roman" w:eastAsia="Times New Roman" w:hAnsi="Times New Roman"/>
                <w:sz w:val="13"/>
                <w:szCs w:val="13"/>
                <w:color w:val="auto"/>
              </w:rPr>
              <w:t>First-lien loan (EUR 910 par, due 10/2029)</w:t>
            </w:r>
          </w:p>
        </w:tc>
        <w:tc>
          <w:tcPr>
            <w:tcW w:w="900" w:type="dxa"/>
            <w:vAlign w:val="bottom"/>
            <w:shd w:val="clear" w:color="auto" w:fill="CFF0FC"/>
          </w:tcPr>
          <w:p>
            <w:pPr>
              <w:jc w:val="right"/>
              <w:ind w:right="97"/>
              <w:spacing w:after="0" w:line="138" w:lineRule="exact"/>
              <w:rPr>
                <w:sz w:val="20"/>
                <w:szCs w:val="20"/>
                <w:color w:val="auto"/>
              </w:rPr>
            </w:pPr>
            <w:r>
              <w:rPr>
                <w:rFonts w:ascii="Times New Roman" w:cs="Times New Roman" w:eastAsia="Times New Roman" w:hAnsi="Times New Roman"/>
                <w:sz w:val="13"/>
                <w:szCs w:val="13"/>
                <w:color w:val="auto"/>
              </w:rPr>
              <w:t>10/27/2023</w:t>
            </w:r>
          </w:p>
        </w:tc>
        <w:tc>
          <w:tcPr>
            <w:tcW w:w="1020" w:type="dxa"/>
            <w:vAlign w:val="bottom"/>
            <w:shd w:val="clear" w:color="auto" w:fill="CFF0FC"/>
          </w:tcPr>
          <w:p>
            <w:pPr>
              <w:jc w:val="right"/>
              <w:ind w:right="257"/>
              <w:spacing w:after="0" w:line="138" w:lineRule="exact"/>
              <w:rPr>
                <w:sz w:val="20"/>
                <w:szCs w:val="20"/>
                <w:color w:val="auto"/>
              </w:rPr>
            </w:pPr>
            <w:r>
              <w:rPr>
                <w:rFonts w:ascii="Times New Roman" w:cs="Times New Roman" w:eastAsia="Times New Roman" w:hAnsi="Times New Roman"/>
                <w:sz w:val="13"/>
                <w:szCs w:val="13"/>
                <w:color w:val="auto"/>
              </w:rPr>
              <w:t>E + 7.00%</w:t>
            </w:r>
          </w:p>
        </w:tc>
        <w:tc>
          <w:tcPr>
            <w:tcW w:w="1140" w:type="dxa"/>
            <w:vAlign w:val="bottom"/>
            <w:shd w:val="clear" w:color="auto" w:fill="CFF0FC"/>
          </w:tcPr>
          <w:p>
            <w:pPr>
              <w:jc w:val="right"/>
              <w:ind w:right="37"/>
              <w:spacing w:after="0" w:line="138" w:lineRule="exact"/>
              <w:rPr>
                <w:sz w:val="20"/>
                <w:szCs w:val="20"/>
                <w:color w:val="auto"/>
              </w:rPr>
            </w:pPr>
            <w:r>
              <w:rPr>
                <w:rFonts w:ascii="Times New Roman" w:cs="Times New Roman" w:eastAsia="Times New Roman" w:hAnsi="Times New Roman"/>
                <w:sz w:val="13"/>
                <w:szCs w:val="13"/>
                <w:color w:val="auto"/>
              </w:rPr>
              <w:t>10.94 %</w:t>
            </w:r>
          </w:p>
        </w:tc>
        <w:tc>
          <w:tcPr>
            <w:tcW w:w="760" w:type="dxa"/>
            <w:vAlign w:val="bottom"/>
            <w:shd w:val="clear" w:color="auto" w:fill="CFF0FC"/>
          </w:tcPr>
          <w:p>
            <w:pPr>
              <w:jc w:val="right"/>
              <w:spacing w:after="0" w:line="138" w:lineRule="exact"/>
              <w:rPr>
                <w:sz w:val="20"/>
                <w:szCs w:val="20"/>
                <w:color w:val="auto"/>
              </w:rPr>
            </w:pPr>
            <w:r>
              <w:rPr>
                <w:rFonts w:ascii="Times New Roman" w:cs="Times New Roman" w:eastAsia="Times New Roman" w:hAnsi="Times New Roman"/>
                <w:sz w:val="13"/>
                <w:szCs w:val="13"/>
                <w:color w:val="auto"/>
              </w:rPr>
              <w:t>962</w:t>
            </w:r>
          </w:p>
        </w:tc>
        <w:tc>
          <w:tcPr>
            <w:tcW w:w="2120" w:type="dxa"/>
            <w:vAlign w:val="bottom"/>
            <w:gridSpan w:val="2"/>
            <w:shd w:val="clear" w:color="auto" w:fill="CFF0FC"/>
          </w:tcPr>
          <w:p>
            <w:pPr>
              <w:jc w:val="right"/>
              <w:spacing w:after="0" w:line="138" w:lineRule="exact"/>
              <w:rPr>
                <w:sz w:val="20"/>
                <w:szCs w:val="20"/>
                <w:color w:val="auto"/>
              </w:rPr>
            </w:pPr>
            <w:r>
              <w:rPr>
                <w:rFonts w:ascii="Times New Roman" w:cs="Times New Roman" w:eastAsia="Times New Roman" w:hAnsi="Times New Roman"/>
                <w:sz w:val="13"/>
                <w:szCs w:val="13"/>
                <w:color w:val="auto"/>
              </w:rPr>
              <w:t>983</w:t>
            </w:r>
          </w:p>
        </w:tc>
        <w:tc>
          <w:tcPr>
            <w:tcW w:w="1160" w:type="dxa"/>
            <w:vAlign w:val="bottom"/>
            <w:gridSpan w:val="3"/>
            <w:shd w:val="clear" w:color="auto" w:fill="CFF0FC"/>
          </w:tcPr>
          <w:p>
            <w:pPr>
              <w:jc w:val="right"/>
              <w:spacing w:after="0" w:line="138" w:lineRule="exact"/>
              <w:rPr>
                <w:sz w:val="20"/>
                <w:szCs w:val="20"/>
                <w:color w:val="auto"/>
              </w:rPr>
            </w:pPr>
            <w:r>
              <w:rPr>
                <w:rFonts w:ascii="Times New Roman" w:cs="Times New Roman" w:eastAsia="Times New Roman" w:hAnsi="Times New Roman"/>
                <w:sz w:val="13"/>
                <w:szCs w:val="13"/>
                <w:color w:val="auto"/>
              </w:rPr>
              <w:t>0.1 %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FF0FC"/>
          </w:tcPr>
          <w:p>
            <w:pPr>
              <w:spacing w:after="0"/>
              <w:rPr>
                <w:sz w:val="14"/>
                <w:szCs w:val="14"/>
                <w:color w:val="auto"/>
              </w:rPr>
            </w:pPr>
          </w:p>
        </w:tc>
        <w:tc>
          <w:tcPr>
            <w:tcW w:w="25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890)</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4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Wrangler TopCo, LLC </w:t>
            </w:r>
            <w:r>
              <w:rPr>
                <w:rFonts w:ascii="Times New Roman" w:cs="Times New Roman" w:eastAsia="Times New Roman" w:hAnsi="Times New Roman"/>
                <w:sz w:val="15"/>
                <w:szCs w:val="15"/>
                <w:color w:val="auto"/>
                <w:vertAlign w:val="superscript"/>
              </w:rPr>
              <w:t>(3)</w:t>
            </w:r>
          </w:p>
        </w:tc>
        <w:tc>
          <w:tcPr>
            <w:tcW w:w="2500" w:type="dxa"/>
            <w:vAlign w:val="bottom"/>
          </w:tcPr>
          <w:p>
            <w:pPr>
              <w:ind w:left="80"/>
              <w:spacing w:after="0" w:line="131" w:lineRule="exact"/>
              <w:rPr>
                <w:sz w:val="20"/>
                <w:szCs w:val="20"/>
                <w:color w:val="auto"/>
              </w:rPr>
            </w:pPr>
            <w:r>
              <w:rPr>
                <w:rFonts w:ascii="Times New Roman" w:cs="Times New Roman" w:eastAsia="Times New Roman" w:hAnsi="Times New Roman"/>
                <w:sz w:val="13"/>
                <w:szCs w:val="13"/>
                <w:color w:val="auto"/>
              </w:rPr>
              <w:t>First-lien loan ($93,847 par, due 7/2029)</w:t>
            </w:r>
          </w:p>
        </w:tc>
        <w:tc>
          <w:tcPr>
            <w:tcW w:w="90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3"/>
                <w:szCs w:val="13"/>
                <w:color w:val="auto"/>
              </w:rPr>
              <w:t>7/7/2023</w:t>
            </w:r>
          </w:p>
        </w:tc>
        <w:tc>
          <w:tcPr>
            <w:tcW w:w="1020" w:type="dxa"/>
            <w:vAlign w:val="bottom"/>
          </w:tcPr>
          <w:p>
            <w:pPr>
              <w:jc w:val="right"/>
              <w:ind w:right="297"/>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12.88 %</w:t>
            </w:r>
          </w:p>
        </w:tc>
        <w:tc>
          <w:tcPr>
            <w:tcW w:w="76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91,386</w:t>
            </w:r>
          </w:p>
        </w:tc>
        <w:tc>
          <w:tcPr>
            <w:tcW w:w="21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93,072</w:t>
            </w:r>
          </w:p>
        </w:tc>
        <w:tc>
          <w:tcPr>
            <w:tcW w:w="116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5.1 %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7.50%</w:t>
            </w:r>
          </w:p>
        </w:tc>
        <w:tc>
          <w:tcPr>
            <w:tcW w:w="11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40" w:type="dxa"/>
            <w:vAlign w:val="bottom"/>
            <w:shd w:val="clear" w:color="auto" w:fill="CFF0FC"/>
          </w:tcPr>
          <w:p>
            <w:pPr>
              <w:spacing w:after="0"/>
              <w:rPr>
                <w:sz w:val="13"/>
                <w:szCs w:val="13"/>
                <w:color w:val="auto"/>
              </w:rPr>
            </w:pPr>
          </w:p>
        </w:tc>
        <w:tc>
          <w:tcPr>
            <w:tcW w:w="25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750,042</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761,855</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42.1 %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Chemicals</w:t>
            </w:r>
          </w:p>
        </w:tc>
        <w:tc>
          <w:tcPr>
            <w:tcW w:w="2500" w:type="dxa"/>
            <w:vAlign w:val="bottom"/>
            <w:tcBorders>
              <w:top w:val="single" w:sz="8" w:color="CFF0FC"/>
            </w:tcBorders>
          </w:tcPr>
          <w:p>
            <w:pPr>
              <w:spacing w:after="0"/>
              <w:rPr>
                <w:sz w:val="13"/>
                <w:szCs w:val="13"/>
                <w:color w:val="auto"/>
              </w:rPr>
            </w:pPr>
          </w:p>
        </w:tc>
        <w:tc>
          <w:tcPr>
            <w:tcW w:w="900" w:type="dxa"/>
            <w:vAlign w:val="bottom"/>
            <w:tcBorders>
              <w:top w:val="single" w:sz="8" w:color="CFF0FC"/>
            </w:tcBorders>
          </w:tcPr>
          <w:p>
            <w:pPr>
              <w:spacing w:after="0"/>
              <w:rPr>
                <w:sz w:val="13"/>
                <w:szCs w:val="13"/>
                <w:color w:val="auto"/>
              </w:rPr>
            </w:pPr>
          </w:p>
        </w:tc>
        <w:tc>
          <w:tcPr>
            <w:tcW w:w="1020" w:type="dxa"/>
            <w:vAlign w:val="bottom"/>
            <w:tcBorders>
              <w:top w:val="single" w:sz="8" w:color="CFF0FC"/>
            </w:tcBorders>
          </w:tcPr>
          <w:p>
            <w:pPr>
              <w:spacing w:after="0"/>
              <w:rPr>
                <w:sz w:val="13"/>
                <w:szCs w:val="13"/>
                <w:color w:val="auto"/>
              </w:rPr>
            </w:pPr>
          </w:p>
        </w:tc>
        <w:tc>
          <w:tcPr>
            <w:tcW w:w="1140" w:type="dxa"/>
            <w:vAlign w:val="bottom"/>
            <w:tcBorders>
              <w:top w:val="single" w:sz="8" w:color="CFF0FC"/>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9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64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Erling Lux Bidco SARL </w:t>
            </w:r>
            <w:r>
              <w:rPr>
                <w:rFonts w:ascii="Times New Roman" w:cs="Times New Roman" w:eastAsia="Times New Roman" w:hAnsi="Times New Roman"/>
                <w:sz w:val="15"/>
                <w:szCs w:val="15"/>
                <w:color w:val="auto"/>
                <w:vertAlign w:val="superscript"/>
              </w:rPr>
              <w:t>(3)(4)</w:t>
            </w:r>
          </w:p>
        </w:tc>
        <w:tc>
          <w:tcPr>
            <w:tcW w:w="2500" w:type="dxa"/>
            <w:vAlign w:val="bottom"/>
            <w:shd w:val="clear" w:color="auto" w:fill="CFF0FC"/>
          </w:tcPr>
          <w:p>
            <w:pPr>
              <w:ind w:left="80"/>
              <w:spacing w:after="0" w:line="131" w:lineRule="exact"/>
              <w:rPr>
                <w:sz w:val="20"/>
                <w:szCs w:val="20"/>
                <w:color w:val="auto"/>
              </w:rPr>
            </w:pPr>
            <w:r>
              <w:rPr>
                <w:rFonts w:ascii="Times New Roman" w:cs="Times New Roman" w:eastAsia="Times New Roman" w:hAnsi="Times New Roman"/>
                <w:sz w:val="13"/>
                <w:szCs w:val="13"/>
                <w:color w:val="auto"/>
              </w:rPr>
              <w:t>First-lien loan (EUR 7,239 par, due 9/2028)</w:t>
            </w:r>
          </w:p>
        </w:tc>
        <w:tc>
          <w:tcPr>
            <w:tcW w:w="900" w:type="dxa"/>
            <w:vAlign w:val="bottom"/>
            <w:shd w:val="clear" w:color="auto" w:fill="CFF0FC"/>
          </w:tcPr>
          <w:p>
            <w:pPr>
              <w:jc w:val="right"/>
              <w:ind w:right="97"/>
              <w:spacing w:after="0" w:line="131" w:lineRule="exact"/>
              <w:rPr>
                <w:sz w:val="20"/>
                <w:szCs w:val="20"/>
                <w:color w:val="auto"/>
              </w:rPr>
            </w:pPr>
            <w:r>
              <w:rPr>
                <w:rFonts w:ascii="Times New Roman" w:cs="Times New Roman" w:eastAsia="Times New Roman" w:hAnsi="Times New Roman"/>
                <w:sz w:val="13"/>
                <w:szCs w:val="13"/>
                <w:color w:val="auto"/>
              </w:rPr>
              <w:t>9/6/2022</w:t>
            </w:r>
          </w:p>
        </w:tc>
        <w:tc>
          <w:tcPr>
            <w:tcW w:w="1020" w:type="dxa"/>
            <w:vAlign w:val="bottom"/>
            <w:shd w:val="clear" w:color="auto" w:fill="CFF0FC"/>
          </w:tcPr>
          <w:p>
            <w:pPr>
              <w:jc w:val="right"/>
              <w:ind w:right="257"/>
              <w:spacing w:after="0" w:line="131" w:lineRule="exact"/>
              <w:rPr>
                <w:sz w:val="20"/>
                <w:szCs w:val="20"/>
                <w:color w:val="auto"/>
              </w:rPr>
            </w:pPr>
            <w:r>
              <w:rPr>
                <w:rFonts w:ascii="Times New Roman" w:cs="Times New Roman" w:eastAsia="Times New Roman" w:hAnsi="Times New Roman"/>
                <w:sz w:val="13"/>
                <w:szCs w:val="13"/>
                <w:color w:val="auto"/>
              </w:rPr>
              <w:t>E + 6.75%</w:t>
            </w:r>
          </w:p>
        </w:tc>
        <w:tc>
          <w:tcPr>
            <w:tcW w:w="1140" w:type="dxa"/>
            <w:vAlign w:val="bottom"/>
            <w:shd w:val="clear" w:color="auto" w:fill="CFF0FC"/>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10.70 %</w:t>
            </w:r>
          </w:p>
        </w:tc>
        <w:tc>
          <w:tcPr>
            <w:tcW w:w="76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6,965</w:t>
            </w:r>
          </w:p>
        </w:tc>
        <w:tc>
          <w:tcPr>
            <w:tcW w:w="212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8,053</w:t>
            </w:r>
          </w:p>
        </w:tc>
        <w:tc>
          <w:tcPr>
            <w:tcW w:w="1160" w:type="dxa"/>
            <w:vAlign w:val="bottom"/>
            <w:gridSpan w:val="3"/>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0.4 %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FF0FC"/>
          </w:tcPr>
          <w:p>
            <w:pPr>
              <w:spacing w:after="0"/>
              <w:rPr>
                <w:sz w:val="14"/>
                <w:szCs w:val="14"/>
                <w:color w:val="auto"/>
              </w:rPr>
            </w:pPr>
          </w:p>
        </w:tc>
        <w:tc>
          <w:tcPr>
            <w:tcW w:w="25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7,290)</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40" w:type="dxa"/>
            <w:vAlign w:val="bottom"/>
          </w:tcPr>
          <w:p>
            <w:pPr>
              <w:spacing w:after="0"/>
              <w:rPr>
                <w:sz w:val="11"/>
                <w:szCs w:val="11"/>
                <w:color w:val="auto"/>
              </w:rPr>
            </w:pPr>
          </w:p>
        </w:tc>
        <w:tc>
          <w:tcPr>
            <w:tcW w:w="2500" w:type="dxa"/>
            <w:vAlign w:val="bottom"/>
          </w:tcPr>
          <w:p>
            <w:pPr>
              <w:ind w:left="80"/>
              <w:spacing w:after="0" w:line="131" w:lineRule="exact"/>
              <w:rPr>
                <w:sz w:val="20"/>
                <w:szCs w:val="20"/>
                <w:color w:val="auto"/>
              </w:rPr>
            </w:pPr>
            <w:r>
              <w:rPr>
                <w:rFonts w:ascii="Times New Roman" w:cs="Times New Roman" w:eastAsia="Times New Roman" w:hAnsi="Times New Roman"/>
                <w:sz w:val="13"/>
                <w:szCs w:val="13"/>
                <w:color w:val="auto"/>
              </w:rPr>
              <w:t>First-lien loan (GBP 12,287 par, due 9/2028)</w:t>
            </w:r>
          </w:p>
        </w:tc>
        <w:tc>
          <w:tcPr>
            <w:tcW w:w="90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3"/>
                <w:szCs w:val="13"/>
                <w:color w:val="auto"/>
              </w:rPr>
              <w:t>9/6/2022</w:t>
            </w:r>
          </w:p>
        </w:tc>
        <w:tc>
          <w:tcPr>
            <w:tcW w:w="1020" w:type="dxa"/>
            <w:vAlign w:val="bottom"/>
          </w:tcPr>
          <w:p>
            <w:pPr>
              <w:jc w:val="right"/>
              <w:ind w:right="257"/>
              <w:spacing w:after="0" w:line="131" w:lineRule="exact"/>
              <w:rPr>
                <w:sz w:val="20"/>
                <w:szCs w:val="20"/>
                <w:color w:val="auto"/>
              </w:rPr>
            </w:pPr>
            <w:r>
              <w:rPr>
                <w:rFonts w:ascii="Times New Roman" w:cs="Times New Roman" w:eastAsia="Times New Roman" w:hAnsi="Times New Roman"/>
                <w:sz w:val="13"/>
                <w:szCs w:val="13"/>
                <w:color w:val="auto"/>
              </w:rPr>
              <w:t>S + 6.75%</w:t>
            </w:r>
          </w:p>
        </w:tc>
        <w:tc>
          <w:tcPr>
            <w:tcW w:w="114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11.98 %</w:t>
            </w:r>
          </w:p>
        </w:tc>
        <w:tc>
          <w:tcPr>
            <w:tcW w:w="76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13,880</w:t>
            </w:r>
          </w:p>
        </w:tc>
        <w:tc>
          <w:tcPr>
            <w:tcW w:w="21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15,741</w:t>
            </w:r>
          </w:p>
        </w:tc>
        <w:tc>
          <w:tcPr>
            <w:tcW w:w="116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0.9 %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(GBP 12,349)</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40" w:type="dxa"/>
            <w:vAlign w:val="bottom"/>
            <w:shd w:val="clear" w:color="auto" w:fill="CFF0FC"/>
          </w:tcPr>
          <w:p>
            <w:pPr>
              <w:spacing w:after="0"/>
              <w:rPr>
                <w:sz w:val="11"/>
                <w:szCs w:val="11"/>
                <w:color w:val="auto"/>
              </w:rPr>
            </w:pPr>
          </w:p>
        </w:tc>
        <w:tc>
          <w:tcPr>
            <w:tcW w:w="2500" w:type="dxa"/>
            <w:vAlign w:val="bottom"/>
            <w:shd w:val="clear" w:color="auto" w:fill="CFF0FC"/>
          </w:tcPr>
          <w:p>
            <w:pPr>
              <w:ind w:left="80"/>
              <w:spacing w:after="0" w:line="133" w:lineRule="exact"/>
              <w:rPr>
                <w:sz w:val="20"/>
                <w:szCs w:val="20"/>
                <w:color w:val="auto"/>
              </w:rPr>
            </w:pPr>
            <w:r>
              <w:rPr>
                <w:rFonts w:ascii="Times New Roman" w:cs="Times New Roman" w:eastAsia="Times New Roman" w:hAnsi="Times New Roman"/>
                <w:sz w:val="13"/>
                <w:szCs w:val="13"/>
                <w:color w:val="auto"/>
              </w:rPr>
              <w:t>First-lien revolving loan (GBP 312 par, due</w:t>
            </w:r>
          </w:p>
        </w:tc>
        <w:tc>
          <w:tcPr>
            <w:tcW w:w="900" w:type="dxa"/>
            <w:vAlign w:val="bottom"/>
            <w:shd w:val="clear" w:color="auto" w:fill="CFF0FC"/>
          </w:tcPr>
          <w:p>
            <w:pPr>
              <w:jc w:val="right"/>
              <w:ind w:right="97"/>
              <w:spacing w:after="0" w:line="133" w:lineRule="exact"/>
              <w:rPr>
                <w:sz w:val="20"/>
                <w:szCs w:val="20"/>
                <w:color w:val="auto"/>
              </w:rPr>
            </w:pPr>
            <w:r>
              <w:rPr>
                <w:rFonts w:ascii="Times New Roman" w:cs="Times New Roman" w:eastAsia="Times New Roman" w:hAnsi="Times New Roman"/>
                <w:sz w:val="13"/>
                <w:szCs w:val="13"/>
                <w:color w:val="auto"/>
              </w:rPr>
              <w:t>9/6/2022</w:t>
            </w:r>
          </w:p>
        </w:tc>
        <w:tc>
          <w:tcPr>
            <w:tcW w:w="1020" w:type="dxa"/>
            <w:vAlign w:val="bottom"/>
            <w:shd w:val="clear" w:color="auto" w:fill="CFF0FC"/>
          </w:tcPr>
          <w:p>
            <w:pPr>
              <w:jc w:val="right"/>
              <w:ind w:right="257"/>
              <w:spacing w:after="0" w:line="133" w:lineRule="exact"/>
              <w:rPr>
                <w:sz w:val="20"/>
                <w:szCs w:val="20"/>
                <w:color w:val="auto"/>
              </w:rPr>
            </w:pPr>
            <w:r>
              <w:rPr>
                <w:rFonts w:ascii="Times New Roman" w:cs="Times New Roman" w:eastAsia="Times New Roman" w:hAnsi="Times New Roman"/>
                <w:sz w:val="13"/>
                <w:szCs w:val="13"/>
                <w:color w:val="auto"/>
              </w:rPr>
              <w:t>S + 6.75%</w:t>
            </w:r>
          </w:p>
        </w:tc>
        <w:tc>
          <w:tcPr>
            <w:tcW w:w="1140" w:type="dxa"/>
            <w:vAlign w:val="bottom"/>
            <w:shd w:val="clear" w:color="auto" w:fill="CFF0FC"/>
          </w:tcPr>
          <w:p>
            <w:pPr>
              <w:jc w:val="right"/>
              <w:ind w:right="37"/>
              <w:spacing w:after="0" w:line="133" w:lineRule="exact"/>
              <w:rPr>
                <w:sz w:val="20"/>
                <w:szCs w:val="20"/>
                <w:color w:val="auto"/>
              </w:rPr>
            </w:pPr>
            <w:r>
              <w:rPr>
                <w:rFonts w:ascii="Times New Roman" w:cs="Times New Roman" w:eastAsia="Times New Roman" w:hAnsi="Times New Roman"/>
                <w:sz w:val="13"/>
                <w:szCs w:val="13"/>
                <w:color w:val="auto"/>
              </w:rPr>
              <w:t>11.98 %</w:t>
            </w:r>
          </w:p>
        </w:tc>
        <w:tc>
          <w:tcPr>
            <w:tcW w:w="7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400</w:t>
            </w:r>
          </w:p>
        </w:tc>
        <w:tc>
          <w:tcPr>
            <w:tcW w:w="212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399</w:t>
            </w:r>
          </w:p>
        </w:tc>
        <w:tc>
          <w:tcPr>
            <w:tcW w:w="116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0.0 %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40" w:type="dxa"/>
            <w:vAlign w:val="bottom"/>
            <w:tcBorders>
              <w:bottom w:val="single" w:sz="8" w:color="CFF0FC"/>
            </w:tcBorders>
            <w:shd w:val="clear" w:color="auto" w:fill="CFF0FC"/>
          </w:tcPr>
          <w:p>
            <w:pPr>
              <w:spacing w:after="0"/>
              <w:rPr>
                <w:sz w:val="14"/>
                <w:szCs w:val="14"/>
                <w:color w:val="auto"/>
              </w:rPr>
            </w:pPr>
          </w:p>
        </w:tc>
        <w:tc>
          <w:tcPr>
            <w:tcW w:w="25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9/2028)</w:t>
            </w:r>
          </w:p>
        </w:tc>
        <w:tc>
          <w:tcPr>
            <w:tcW w:w="90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(GBP 313)</w:t>
            </w:r>
          </w:p>
        </w:tc>
        <w:tc>
          <w:tcPr>
            <w:tcW w:w="2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21,245</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24,193</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Communications</w:t>
            </w:r>
          </w:p>
        </w:tc>
        <w:tc>
          <w:tcPr>
            <w:tcW w:w="25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9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Banyan Software Holdings,</w:t>
            </w:r>
          </w:p>
        </w:tc>
        <w:tc>
          <w:tcPr>
            <w:tcW w:w="250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First-lien loan ($59,477 par, due 10/2026)</w:t>
            </w:r>
          </w:p>
        </w:tc>
        <w:tc>
          <w:tcPr>
            <w:tcW w:w="900" w:type="dxa"/>
            <w:vAlign w:val="bottom"/>
          </w:tcPr>
          <w:p>
            <w:pPr>
              <w:jc w:val="right"/>
              <w:ind w:right="97"/>
              <w:spacing w:after="0" w:line="122" w:lineRule="exact"/>
              <w:rPr>
                <w:sz w:val="20"/>
                <w:szCs w:val="20"/>
                <w:color w:val="auto"/>
              </w:rPr>
            </w:pPr>
            <w:r>
              <w:rPr>
                <w:rFonts w:ascii="Times New Roman" w:cs="Times New Roman" w:eastAsia="Times New Roman" w:hAnsi="Times New Roman"/>
                <w:sz w:val="13"/>
                <w:szCs w:val="13"/>
                <w:color w:val="auto"/>
              </w:rPr>
              <w:t>1/27/2023</w:t>
            </w:r>
          </w:p>
        </w:tc>
        <w:tc>
          <w:tcPr>
            <w:tcW w:w="1020" w:type="dxa"/>
            <w:vAlign w:val="bottom"/>
          </w:tcPr>
          <w:p>
            <w:pPr>
              <w:jc w:val="right"/>
              <w:ind w:right="297"/>
              <w:spacing w:after="0" w:line="122"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12.71 %</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57,589</w:t>
            </w:r>
          </w:p>
        </w:tc>
        <w:tc>
          <w:tcPr>
            <w:tcW w:w="2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59,477</w:t>
            </w:r>
          </w:p>
        </w:tc>
        <w:tc>
          <w:tcPr>
            <w:tcW w:w="1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3.3 %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640" w:type="dxa"/>
            <w:vAlign w:val="bottom"/>
          </w:tcPr>
          <w:p>
            <w:pPr>
              <w:ind w:left="20"/>
              <w:spacing w:after="0" w:line="176" w:lineRule="exact"/>
              <w:rPr>
                <w:sz w:val="20"/>
                <w:szCs w:val="20"/>
                <w:color w:val="auto"/>
              </w:rPr>
            </w:pPr>
            <w:r>
              <w:rPr>
                <w:rFonts w:ascii="Times New Roman" w:cs="Times New Roman" w:eastAsia="Times New Roman" w:hAnsi="Times New Roman"/>
                <w:sz w:val="20"/>
                <w:szCs w:val="20"/>
                <w:color w:val="auto"/>
                <w:vertAlign w:val="subscript"/>
              </w:rPr>
              <w:t>LLC</w:t>
            </w:r>
            <w:r>
              <w:rPr>
                <w:rFonts w:ascii="Times New Roman" w:cs="Times New Roman" w:eastAsia="Times New Roman" w:hAnsi="Times New Roman"/>
                <w:sz w:val="8"/>
                <w:szCs w:val="8"/>
                <w:color w:val="auto"/>
              </w:rPr>
              <w:t xml:space="preserve"> (3)(4)</w:t>
            </w:r>
          </w:p>
        </w:tc>
        <w:tc>
          <w:tcPr>
            <w:tcW w:w="2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7.35%</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Education</w:t>
            </w:r>
          </w:p>
        </w:tc>
        <w:tc>
          <w:tcPr>
            <w:tcW w:w="25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4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Kangaroo Bidco AS </w:t>
            </w:r>
            <w:r>
              <w:rPr>
                <w:rFonts w:ascii="Times New Roman" w:cs="Times New Roman" w:eastAsia="Times New Roman" w:hAnsi="Times New Roman"/>
                <w:sz w:val="15"/>
                <w:szCs w:val="15"/>
                <w:color w:val="auto"/>
                <w:vertAlign w:val="superscript"/>
              </w:rPr>
              <w:t>(3)(4)</w:t>
            </w:r>
          </w:p>
        </w:tc>
        <w:tc>
          <w:tcPr>
            <w:tcW w:w="2500" w:type="dxa"/>
            <w:vAlign w:val="bottom"/>
          </w:tcPr>
          <w:p>
            <w:pPr>
              <w:ind w:left="80"/>
              <w:spacing w:after="0" w:line="131" w:lineRule="exact"/>
              <w:rPr>
                <w:sz w:val="20"/>
                <w:szCs w:val="20"/>
                <w:color w:val="auto"/>
              </w:rPr>
            </w:pPr>
            <w:r>
              <w:rPr>
                <w:rFonts w:ascii="Times New Roman" w:cs="Times New Roman" w:eastAsia="Times New Roman" w:hAnsi="Times New Roman"/>
                <w:sz w:val="13"/>
                <w:szCs w:val="13"/>
                <w:color w:val="auto"/>
              </w:rPr>
              <w:t>First-lien loan ($146,183 par, due 11/2030)</w:t>
            </w:r>
          </w:p>
        </w:tc>
        <w:tc>
          <w:tcPr>
            <w:tcW w:w="90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3"/>
                <w:szCs w:val="13"/>
                <w:color w:val="auto"/>
              </w:rPr>
              <w:t>11/2/2023</w:t>
            </w:r>
          </w:p>
        </w:tc>
        <w:tc>
          <w:tcPr>
            <w:tcW w:w="1020" w:type="dxa"/>
            <w:vAlign w:val="bottom"/>
          </w:tcPr>
          <w:p>
            <w:pPr>
              <w:jc w:val="right"/>
              <w:ind w:right="297"/>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12.94 %</w:t>
            </w:r>
          </w:p>
        </w:tc>
        <w:tc>
          <w:tcPr>
            <w:tcW w:w="76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140,690</w:t>
            </w:r>
          </w:p>
        </w:tc>
        <w:tc>
          <w:tcPr>
            <w:tcW w:w="21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141,682</w:t>
            </w:r>
          </w:p>
        </w:tc>
        <w:tc>
          <w:tcPr>
            <w:tcW w:w="116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7.8 %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7.50%</w:t>
            </w: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Services</w:t>
            </w:r>
          </w:p>
        </w:tc>
        <w:tc>
          <w:tcPr>
            <w:tcW w:w="25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4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Alaska Bidco Oy </w:t>
            </w:r>
            <w:r>
              <w:rPr>
                <w:rFonts w:ascii="Times New Roman" w:cs="Times New Roman" w:eastAsia="Times New Roman" w:hAnsi="Times New Roman"/>
                <w:sz w:val="15"/>
                <w:szCs w:val="15"/>
                <w:color w:val="auto"/>
                <w:vertAlign w:val="superscript"/>
              </w:rPr>
              <w:t>(3)(4)</w:t>
            </w:r>
          </w:p>
        </w:tc>
        <w:tc>
          <w:tcPr>
            <w:tcW w:w="2500" w:type="dxa"/>
            <w:vAlign w:val="bottom"/>
          </w:tcPr>
          <w:p>
            <w:pPr>
              <w:ind w:left="80"/>
              <w:spacing w:after="0" w:line="131" w:lineRule="exact"/>
              <w:rPr>
                <w:sz w:val="20"/>
                <w:szCs w:val="20"/>
                <w:color w:val="auto"/>
              </w:rPr>
            </w:pPr>
            <w:r>
              <w:rPr>
                <w:rFonts w:ascii="Times New Roman" w:cs="Times New Roman" w:eastAsia="Times New Roman" w:hAnsi="Times New Roman"/>
                <w:sz w:val="13"/>
                <w:szCs w:val="13"/>
                <w:color w:val="auto"/>
              </w:rPr>
              <w:t>First-lien loan (EUR 727 par, due 5/2030)</w:t>
            </w:r>
          </w:p>
        </w:tc>
        <w:tc>
          <w:tcPr>
            <w:tcW w:w="90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3"/>
                <w:szCs w:val="13"/>
                <w:color w:val="auto"/>
              </w:rPr>
              <w:t>5/30/2023</w:t>
            </w:r>
          </w:p>
        </w:tc>
        <w:tc>
          <w:tcPr>
            <w:tcW w:w="1020" w:type="dxa"/>
            <w:vAlign w:val="bottom"/>
          </w:tcPr>
          <w:p>
            <w:pPr>
              <w:jc w:val="right"/>
              <w:ind w:right="257"/>
              <w:spacing w:after="0" w:line="131" w:lineRule="exact"/>
              <w:rPr>
                <w:sz w:val="20"/>
                <w:szCs w:val="20"/>
                <w:color w:val="auto"/>
              </w:rPr>
            </w:pPr>
            <w:r>
              <w:rPr>
                <w:rFonts w:ascii="Times New Roman" w:cs="Times New Roman" w:eastAsia="Times New Roman" w:hAnsi="Times New Roman"/>
                <w:sz w:val="13"/>
                <w:szCs w:val="13"/>
                <w:color w:val="auto"/>
              </w:rPr>
              <w:t>E + 6.25%</w:t>
            </w:r>
          </w:p>
        </w:tc>
        <w:tc>
          <w:tcPr>
            <w:tcW w:w="114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10.39 %</w:t>
            </w:r>
          </w:p>
        </w:tc>
        <w:tc>
          <w:tcPr>
            <w:tcW w:w="76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755</w:t>
            </w:r>
          </w:p>
        </w:tc>
        <w:tc>
          <w:tcPr>
            <w:tcW w:w="21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796</w:t>
            </w:r>
          </w:p>
        </w:tc>
        <w:tc>
          <w:tcPr>
            <w:tcW w:w="116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0.0 %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720)</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64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1"/>
                <w:szCs w:val="11"/>
                <w:color w:val="auto"/>
              </w:rPr>
              <w:t xml:space="preserve">BCTO Bluebill Buyer, Inc. </w:t>
            </w:r>
            <w:r>
              <w:rPr>
                <w:rFonts w:ascii="Times New Roman" w:cs="Times New Roman" w:eastAsia="Times New Roman" w:hAnsi="Times New Roman"/>
                <w:sz w:val="14"/>
                <w:szCs w:val="14"/>
                <w:color w:val="auto"/>
                <w:vertAlign w:val="superscript"/>
              </w:rPr>
              <w:t>(3)</w:t>
            </w:r>
          </w:p>
        </w:tc>
        <w:tc>
          <w:tcPr>
            <w:tcW w:w="2500" w:type="dxa"/>
            <w:vAlign w:val="bottom"/>
            <w:shd w:val="clear" w:color="auto" w:fill="CFF0FC"/>
          </w:tcPr>
          <w:p>
            <w:pPr>
              <w:ind w:left="80"/>
              <w:spacing w:after="0" w:line="124" w:lineRule="exact"/>
              <w:rPr>
                <w:sz w:val="20"/>
                <w:szCs w:val="20"/>
                <w:color w:val="auto"/>
              </w:rPr>
            </w:pPr>
            <w:r>
              <w:rPr>
                <w:rFonts w:ascii="Times New Roman" w:cs="Times New Roman" w:eastAsia="Times New Roman" w:hAnsi="Times New Roman"/>
                <w:sz w:val="13"/>
                <w:szCs w:val="13"/>
                <w:color w:val="auto"/>
              </w:rPr>
              <w:t>First-lien loan ($7,425 par, due 7/2029)</w:t>
            </w:r>
          </w:p>
        </w:tc>
        <w:tc>
          <w:tcPr>
            <w:tcW w:w="900" w:type="dxa"/>
            <w:vAlign w:val="bottom"/>
            <w:shd w:val="clear" w:color="auto" w:fill="CFF0FC"/>
          </w:tcPr>
          <w:p>
            <w:pPr>
              <w:jc w:val="right"/>
              <w:ind w:right="97"/>
              <w:spacing w:after="0" w:line="124" w:lineRule="exact"/>
              <w:rPr>
                <w:sz w:val="20"/>
                <w:szCs w:val="20"/>
                <w:color w:val="auto"/>
              </w:rPr>
            </w:pPr>
            <w:r>
              <w:rPr>
                <w:rFonts w:ascii="Times New Roman" w:cs="Times New Roman" w:eastAsia="Times New Roman" w:hAnsi="Times New Roman"/>
                <w:sz w:val="13"/>
                <w:szCs w:val="13"/>
                <w:color w:val="auto"/>
              </w:rPr>
              <w:t>7/20/2023</w:t>
            </w:r>
          </w:p>
        </w:tc>
        <w:tc>
          <w:tcPr>
            <w:tcW w:w="1020" w:type="dxa"/>
            <w:vAlign w:val="bottom"/>
            <w:shd w:val="clear" w:color="auto" w:fill="CFF0FC"/>
          </w:tcPr>
          <w:p>
            <w:pPr>
              <w:jc w:val="right"/>
              <w:ind w:right="297"/>
              <w:spacing w:after="0" w:line="124"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shd w:val="clear" w:color="auto" w:fill="CFF0FC"/>
          </w:tcPr>
          <w:p>
            <w:pPr>
              <w:jc w:val="right"/>
              <w:ind w:right="37"/>
              <w:spacing w:after="0" w:line="124" w:lineRule="exact"/>
              <w:rPr>
                <w:sz w:val="20"/>
                <w:szCs w:val="20"/>
                <w:color w:val="auto"/>
              </w:rPr>
            </w:pPr>
            <w:r>
              <w:rPr>
                <w:rFonts w:ascii="Times New Roman" w:cs="Times New Roman" w:eastAsia="Times New Roman" w:hAnsi="Times New Roman"/>
                <w:sz w:val="13"/>
                <w:szCs w:val="13"/>
                <w:color w:val="auto"/>
              </w:rPr>
              <w:t>12.60 %</w:t>
            </w:r>
          </w:p>
        </w:tc>
        <w:tc>
          <w:tcPr>
            <w:tcW w:w="76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7,164</w:t>
            </w:r>
          </w:p>
        </w:tc>
        <w:tc>
          <w:tcPr>
            <w:tcW w:w="212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7,258</w:t>
            </w:r>
          </w:p>
        </w:tc>
        <w:tc>
          <w:tcPr>
            <w:tcW w:w="1160" w:type="dxa"/>
            <w:vAlign w:val="bottom"/>
            <w:gridSpan w:val="3"/>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0.4 %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25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020" w:type="dxa"/>
            <w:vAlign w:val="bottom"/>
            <w:vMerge w:val="restart"/>
            <w:shd w:val="clear" w:color="auto" w:fill="CFF0FC"/>
          </w:tcPr>
          <w:p>
            <w:pPr>
              <w:jc w:val="right"/>
              <w:ind w:right="257"/>
              <w:spacing w:after="0"/>
              <w:rPr>
                <w:sz w:val="20"/>
                <w:szCs w:val="20"/>
                <w:color w:val="auto"/>
              </w:rPr>
            </w:pPr>
            <w:r>
              <w:rPr>
                <w:rFonts w:ascii="Times New Roman" w:cs="Times New Roman" w:eastAsia="Times New Roman" w:hAnsi="Times New Roman"/>
                <w:sz w:val="13"/>
                <w:szCs w:val="13"/>
                <w:color w:val="auto"/>
              </w:rPr>
              <w:t>7.25%</w:t>
            </w:r>
          </w:p>
        </w:tc>
        <w:tc>
          <w:tcPr>
            <w:tcW w:w="114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40" w:type="dxa"/>
            <w:vAlign w:val="bottom"/>
            <w:shd w:val="clear" w:color="auto" w:fill="CFF0FC"/>
          </w:tcPr>
          <w:p>
            <w:pPr>
              <w:spacing w:after="0"/>
              <w:rPr>
                <w:sz w:val="5"/>
                <w:szCs w:val="5"/>
                <w:color w:val="auto"/>
              </w:rPr>
            </w:pPr>
          </w:p>
        </w:tc>
        <w:tc>
          <w:tcPr>
            <w:tcW w:w="250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1020" w:type="dxa"/>
            <w:vAlign w:val="bottom"/>
            <w:vMerge w:val="continue"/>
            <w:shd w:val="clear" w:color="auto" w:fill="CFF0FC"/>
          </w:tcPr>
          <w:p>
            <w:pPr>
              <w:spacing w:after="0"/>
              <w:rPr>
                <w:sz w:val="5"/>
                <w:szCs w:val="5"/>
                <w:color w:val="auto"/>
              </w:rPr>
            </w:pPr>
          </w:p>
        </w:tc>
        <w:tc>
          <w:tcPr>
            <w:tcW w:w="1140" w:type="dxa"/>
            <w:vAlign w:val="bottom"/>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90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8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64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BTRS Holdings, Inc. </w:t>
            </w:r>
            <w:r>
              <w:rPr>
                <w:rFonts w:ascii="Times New Roman" w:cs="Times New Roman" w:eastAsia="Times New Roman" w:hAnsi="Times New Roman"/>
                <w:sz w:val="15"/>
                <w:szCs w:val="15"/>
                <w:color w:val="auto"/>
                <w:vertAlign w:val="superscript"/>
              </w:rPr>
              <w:t>(3)</w:t>
            </w:r>
          </w:p>
        </w:tc>
        <w:tc>
          <w:tcPr>
            <w:tcW w:w="2500" w:type="dxa"/>
            <w:vAlign w:val="bottom"/>
          </w:tcPr>
          <w:p>
            <w:pPr>
              <w:ind w:left="80"/>
              <w:spacing w:after="0" w:line="131" w:lineRule="exact"/>
              <w:rPr>
                <w:sz w:val="20"/>
                <w:szCs w:val="20"/>
                <w:color w:val="auto"/>
              </w:rPr>
            </w:pPr>
            <w:r>
              <w:rPr>
                <w:rFonts w:ascii="Times New Roman" w:cs="Times New Roman" w:eastAsia="Times New Roman" w:hAnsi="Times New Roman"/>
                <w:sz w:val="13"/>
                <w:szCs w:val="13"/>
                <w:color w:val="auto"/>
              </w:rPr>
              <w:t>First-lien loan ($141,152 par, due 12/2028)</w:t>
            </w:r>
          </w:p>
        </w:tc>
        <w:tc>
          <w:tcPr>
            <w:tcW w:w="90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3"/>
                <w:szCs w:val="13"/>
                <w:color w:val="auto"/>
              </w:rPr>
              <w:t>12/16/2022</w:t>
            </w:r>
          </w:p>
        </w:tc>
        <w:tc>
          <w:tcPr>
            <w:tcW w:w="1020" w:type="dxa"/>
            <w:vAlign w:val="bottom"/>
          </w:tcPr>
          <w:p>
            <w:pPr>
              <w:jc w:val="right"/>
              <w:ind w:right="297"/>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13.38 %</w:t>
            </w:r>
          </w:p>
        </w:tc>
        <w:tc>
          <w:tcPr>
            <w:tcW w:w="76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137,646</w:t>
            </w:r>
          </w:p>
        </w:tc>
        <w:tc>
          <w:tcPr>
            <w:tcW w:w="21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141,505</w:t>
            </w:r>
          </w:p>
        </w:tc>
        <w:tc>
          <w:tcPr>
            <w:tcW w:w="116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7.8 %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8.00%</w:t>
            </w: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40" w:type="dxa"/>
            <w:vAlign w:val="bottom"/>
            <w:shd w:val="clear" w:color="auto" w:fill="CFF0FC"/>
          </w:tcPr>
          <w:p>
            <w:pPr>
              <w:spacing w:after="0"/>
              <w:rPr>
                <w:sz w:val="11"/>
                <w:szCs w:val="11"/>
                <w:color w:val="auto"/>
              </w:rPr>
            </w:pPr>
          </w:p>
        </w:tc>
        <w:tc>
          <w:tcPr>
            <w:tcW w:w="2500" w:type="dxa"/>
            <w:vAlign w:val="bottom"/>
            <w:shd w:val="clear" w:color="auto" w:fill="CFF0FC"/>
          </w:tcPr>
          <w:p>
            <w:pPr>
              <w:ind w:left="80"/>
              <w:spacing w:after="0" w:line="133" w:lineRule="exact"/>
              <w:rPr>
                <w:sz w:val="20"/>
                <w:szCs w:val="20"/>
                <w:color w:val="auto"/>
              </w:rPr>
            </w:pPr>
            <w:r>
              <w:rPr>
                <w:rFonts w:ascii="Times New Roman" w:cs="Times New Roman" w:eastAsia="Times New Roman" w:hAnsi="Times New Roman"/>
                <w:sz w:val="13"/>
                <w:szCs w:val="13"/>
                <w:color w:val="auto"/>
              </w:rPr>
              <w:t>First-lien revolving loan ($3,614 par, due</w:t>
            </w:r>
          </w:p>
        </w:tc>
        <w:tc>
          <w:tcPr>
            <w:tcW w:w="900" w:type="dxa"/>
            <w:vAlign w:val="bottom"/>
            <w:shd w:val="clear" w:color="auto" w:fill="CFF0FC"/>
          </w:tcPr>
          <w:p>
            <w:pPr>
              <w:jc w:val="right"/>
              <w:ind w:right="97"/>
              <w:spacing w:after="0" w:line="133" w:lineRule="exact"/>
              <w:rPr>
                <w:sz w:val="20"/>
                <w:szCs w:val="20"/>
                <w:color w:val="auto"/>
              </w:rPr>
            </w:pPr>
            <w:r>
              <w:rPr>
                <w:rFonts w:ascii="Times New Roman" w:cs="Times New Roman" w:eastAsia="Times New Roman" w:hAnsi="Times New Roman"/>
                <w:sz w:val="13"/>
                <w:szCs w:val="13"/>
                <w:color w:val="auto"/>
              </w:rPr>
              <w:t>12/16/2022</w:t>
            </w:r>
          </w:p>
        </w:tc>
        <w:tc>
          <w:tcPr>
            <w:tcW w:w="1020" w:type="dxa"/>
            <w:vAlign w:val="bottom"/>
            <w:shd w:val="clear" w:color="auto" w:fill="CFF0FC"/>
          </w:tcPr>
          <w:p>
            <w:pPr>
              <w:jc w:val="right"/>
              <w:ind w:right="297"/>
              <w:spacing w:after="0" w:line="133"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shd w:val="clear" w:color="auto" w:fill="CFF0FC"/>
          </w:tcPr>
          <w:p>
            <w:pPr>
              <w:jc w:val="right"/>
              <w:ind w:right="37"/>
              <w:spacing w:after="0" w:line="133" w:lineRule="exact"/>
              <w:rPr>
                <w:sz w:val="20"/>
                <w:szCs w:val="20"/>
                <w:color w:val="auto"/>
              </w:rPr>
            </w:pPr>
            <w:r>
              <w:rPr>
                <w:rFonts w:ascii="Times New Roman" w:cs="Times New Roman" w:eastAsia="Times New Roman" w:hAnsi="Times New Roman"/>
                <w:sz w:val="13"/>
                <w:szCs w:val="13"/>
                <w:color w:val="auto"/>
              </w:rPr>
              <w:t>12.63 %</w:t>
            </w:r>
          </w:p>
        </w:tc>
        <w:tc>
          <w:tcPr>
            <w:tcW w:w="7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3,256</w:t>
            </w:r>
          </w:p>
        </w:tc>
        <w:tc>
          <w:tcPr>
            <w:tcW w:w="212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3,651</w:t>
            </w:r>
          </w:p>
        </w:tc>
        <w:tc>
          <w:tcPr>
            <w:tcW w:w="116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0.2 %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FF0FC"/>
          </w:tcPr>
          <w:p>
            <w:pPr>
              <w:spacing w:after="0"/>
              <w:rPr>
                <w:sz w:val="14"/>
                <w:szCs w:val="14"/>
                <w:color w:val="auto"/>
              </w:rPr>
            </w:pPr>
          </w:p>
        </w:tc>
        <w:tc>
          <w:tcPr>
            <w:tcW w:w="2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12/2028)</w:t>
            </w:r>
          </w:p>
        </w:tc>
        <w:tc>
          <w:tcPr>
            <w:tcW w:w="9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57"/>
              <w:spacing w:after="0"/>
              <w:rPr>
                <w:sz w:val="20"/>
                <w:szCs w:val="20"/>
                <w:color w:val="auto"/>
              </w:rPr>
            </w:pPr>
            <w:r>
              <w:rPr>
                <w:rFonts w:ascii="Times New Roman" w:cs="Times New Roman" w:eastAsia="Times New Roman" w:hAnsi="Times New Roman"/>
                <w:sz w:val="13"/>
                <w:szCs w:val="13"/>
                <w:color w:val="auto"/>
              </w:rPr>
              <w:t>8.00%</w:t>
            </w:r>
          </w:p>
        </w:tc>
        <w:tc>
          <w:tcPr>
            <w:tcW w:w="1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4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CLGF HoldCo 2, LLC </w:t>
            </w:r>
            <w:r>
              <w:rPr>
                <w:rFonts w:ascii="Times New Roman" w:cs="Times New Roman" w:eastAsia="Times New Roman" w:hAnsi="Times New Roman"/>
                <w:sz w:val="15"/>
                <w:szCs w:val="15"/>
                <w:color w:val="auto"/>
                <w:vertAlign w:val="superscript"/>
              </w:rPr>
              <w:t>(3)(4)</w:t>
            </w:r>
          </w:p>
        </w:tc>
        <w:tc>
          <w:tcPr>
            <w:tcW w:w="2500" w:type="dxa"/>
            <w:vAlign w:val="bottom"/>
          </w:tcPr>
          <w:p>
            <w:pPr>
              <w:ind w:left="80"/>
              <w:spacing w:after="0" w:line="131" w:lineRule="exact"/>
              <w:rPr>
                <w:sz w:val="20"/>
                <w:szCs w:val="20"/>
                <w:color w:val="auto"/>
              </w:rPr>
            </w:pPr>
            <w:r>
              <w:rPr>
                <w:rFonts w:ascii="Times New Roman" w:cs="Times New Roman" w:eastAsia="Times New Roman" w:hAnsi="Times New Roman"/>
                <w:sz w:val="13"/>
                <w:szCs w:val="13"/>
                <w:color w:val="auto"/>
              </w:rPr>
              <w:t>First-lien loan ($97,902 par, due 11/2027)</w:t>
            </w:r>
          </w:p>
        </w:tc>
        <w:tc>
          <w:tcPr>
            <w:tcW w:w="90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3"/>
                <w:szCs w:val="13"/>
                <w:color w:val="auto"/>
              </w:rPr>
              <w:t>11/7/2023</w:t>
            </w:r>
          </w:p>
        </w:tc>
        <w:tc>
          <w:tcPr>
            <w:tcW w:w="1020" w:type="dxa"/>
            <w:vAlign w:val="bottom"/>
          </w:tcPr>
          <w:p>
            <w:pPr>
              <w:jc w:val="right"/>
              <w:ind w:right="297"/>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13.85 %</w:t>
            </w:r>
          </w:p>
        </w:tc>
        <w:tc>
          <w:tcPr>
            <w:tcW w:w="76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96,132</w:t>
            </w:r>
          </w:p>
        </w:tc>
        <w:tc>
          <w:tcPr>
            <w:tcW w:w="21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96,678</w:t>
            </w:r>
          </w:p>
        </w:tc>
        <w:tc>
          <w:tcPr>
            <w:tcW w:w="116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5.3 %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8.50%</w:t>
            </w: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40" w:type="dxa"/>
            <w:vAlign w:val="bottom"/>
            <w:shd w:val="clear" w:color="auto" w:fill="CFF0FC"/>
          </w:tcPr>
          <w:p>
            <w:pPr>
              <w:spacing w:after="0"/>
              <w:rPr>
                <w:sz w:val="11"/>
                <w:szCs w:val="11"/>
                <w:color w:val="auto"/>
              </w:rPr>
            </w:pPr>
          </w:p>
        </w:tc>
        <w:tc>
          <w:tcPr>
            <w:tcW w:w="2500" w:type="dxa"/>
            <w:vAlign w:val="bottom"/>
            <w:shd w:val="clear" w:color="auto" w:fill="CFF0FC"/>
          </w:tcPr>
          <w:p>
            <w:pPr>
              <w:ind w:left="80"/>
              <w:spacing w:after="0" w:line="133" w:lineRule="exact"/>
              <w:rPr>
                <w:sz w:val="20"/>
                <w:szCs w:val="20"/>
                <w:color w:val="auto"/>
              </w:rPr>
            </w:pPr>
            <w:r>
              <w:rPr>
                <w:rFonts w:ascii="Times New Roman" w:cs="Times New Roman" w:eastAsia="Times New Roman" w:hAnsi="Times New Roman"/>
                <w:sz w:val="13"/>
                <w:szCs w:val="13"/>
                <w:color w:val="auto"/>
              </w:rPr>
              <w:t>Second-lien loan ($83,916 par, due 11/2028)</w:t>
            </w:r>
          </w:p>
        </w:tc>
        <w:tc>
          <w:tcPr>
            <w:tcW w:w="900" w:type="dxa"/>
            <w:vAlign w:val="bottom"/>
            <w:shd w:val="clear" w:color="auto" w:fill="CFF0FC"/>
          </w:tcPr>
          <w:p>
            <w:pPr>
              <w:jc w:val="right"/>
              <w:ind w:right="97"/>
              <w:spacing w:after="0" w:line="133" w:lineRule="exact"/>
              <w:rPr>
                <w:sz w:val="20"/>
                <w:szCs w:val="20"/>
                <w:color w:val="auto"/>
              </w:rPr>
            </w:pPr>
            <w:r>
              <w:rPr>
                <w:rFonts w:ascii="Times New Roman" w:cs="Times New Roman" w:eastAsia="Times New Roman" w:hAnsi="Times New Roman"/>
                <w:sz w:val="13"/>
                <w:szCs w:val="13"/>
                <w:color w:val="auto"/>
              </w:rPr>
              <w:t>11/7/2023</w:t>
            </w:r>
          </w:p>
        </w:tc>
        <w:tc>
          <w:tcPr>
            <w:tcW w:w="1020" w:type="dxa"/>
            <w:vAlign w:val="bottom"/>
            <w:shd w:val="clear" w:color="auto" w:fill="CFF0FC"/>
          </w:tcPr>
          <w:p>
            <w:pPr>
              <w:jc w:val="right"/>
              <w:ind w:right="297"/>
              <w:spacing w:after="0" w:line="133"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shd w:val="clear" w:color="auto" w:fill="CFF0FC"/>
          </w:tcPr>
          <w:p>
            <w:pPr>
              <w:jc w:val="right"/>
              <w:ind w:right="37"/>
              <w:spacing w:after="0" w:line="133" w:lineRule="exact"/>
              <w:rPr>
                <w:sz w:val="20"/>
                <w:szCs w:val="20"/>
                <w:color w:val="auto"/>
              </w:rPr>
            </w:pPr>
            <w:r>
              <w:rPr>
                <w:rFonts w:ascii="Times New Roman" w:cs="Times New Roman" w:eastAsia="Times New Roman" w:hAnsi="Times New Roman"/>
                <w:sz w:val="13"/>
                <w:szCs w:val="13"/>
                <w:color w:val="auto"/>
              </w:rPr>
              <w:t>17.35 %</w:t>
            </w:r>
          </w:p>
        </w:tc>
        <w:tc>
          <w:tcPr>
            <w:tcW w:w="7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77,895</w:t>
            </w:r>
          </w:p>
        </w:tc>
        <w:tc>
          <w:tcPr>
            <w:tcW w:w="212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79,091</w:t>
            </w:r>
          </w:p>
        </w:tc>
        <w:tc>
          <w:tcPr>
            <w:tcW w:w="116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4.4 %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FF0FC"/>
          </w:tcPr>
          <w:p>
            <w:pPr>
              <w:spacing w:after="0"/>
              <w:rPr>
                <w:sz w:val="14"/>
                <w:szCs w:val="14"/>
                <w:color w:val="auto"/>
              </w:rPr>
            </w:pPr>
          </w:p>
        </w:tc>
        <w:tc>
          <w:tcPr>
            <w:tcW w:w="25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57"/>
              <w:spacing w:after="0"/>
              <w:rPr>
                <w:sz w:val="20"/>
                <w:szCs w:val="20"/>
                <w:color w:val="auto"/>
              </w:rPr>
            </w:pPr>
            <w:r>
              <w:rPr>
                <w:rFonts w:ascii="Times New Roman" w:cs="Times New Roman" w:eastAsia="Times New Roman" w:hAnsi="Times New Roman"/>
                <w:sz w:val="13"/>
                <w:szCs w:val="13"/>
                <w:color w:val="auto"/>
              </w:rPr>
              <w:t>12.00%</w:t>
            </w:r>
          </w:p>
        </w:tc>
        <w:tc>
          <w:tcPr>
            <w:tcW w:w="1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4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Fullsteam Operations LLC </w:t>
            </w:r>
            <w:r>
              <w:rPr>
                <w:rFonts w:ascii="Times New Roman" w:cs="Times New Roman" w:eastAsia="Times New Roman" w:hAnsi="Times New Roman"/>
                <w:sz w:val="15"/>
                <w:szCs w:val="15"/>
                <w:color w:val="auto"/>
                <w:vertAlign w:val="superscript"/>
              </w:rPr>
              <w:t>(3)</w:t>
            </w:r>
          </w:p>
        </w:tc>
        <w:tc>
          <w:tcPr>
            <w:tcW w:w="2500" w:type="dxa"/>
            <w:vAlign w:val="bottom"/>
          </w:tcPr>
          <w:p>
            <w:pPr>
              <w:ind w:left="80"/>
              <w:spacing w:after="0" w:line="131" w:lineRule="exact"/>
              <w:rPr>
                <w:sz w:val="20"/>
                <w:szCs w:val="20"/>
                <w:color w:val="auto"/>
              </w:rPr>
            </w:pPr>
            <w:r>
              <w:rPr>
                <w:rFonts w:ascii="Times New Roman" w:cs="Times New Roman" w:eastAsia="Times New Roman" w:hAnsi="Times New Roman"/>
                <w:sz w:val="13"/>
                <w:szCs w:val="13"/>
                <w:color w:val="auto"/>
              </w:rPr>
              <w:t>First-lien loan ($82,397 par, due 11/2029)</w:t>
            </w:r>
          </w:p>
        </w:tc>
        <w:tc>
          <w:tcPr>
            <w:tcW w:w="90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3"/>
                <w:szCs w:val="13"/>
                <w:color w:val="auto"/>
              </w:rPr>
              <w:t>11/27/2023</w:t>
            </w:r>
          </w:p>
        </w:tc>
        <w:tc>
          <w:tcPr>
            <w:tcW w:w="1020" w:type="dxa"/>
            <w:vAlign w:val="bottom"/>
          </w:tcPr>
          <w:p>
            <w:pPr>
              <w:jc w:val="right"/>
              <w:ind w:right="297"/>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13.78 %</w:t>
            </w:r>
          </w:p>
        </w:tc>
        <w:tc>
          <w:tcPr>
            <w:tcW w:w="76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79,471</w:t>
            </w:r>
          </w:p>
        </w:tc>
        <w:tc>
          <w:tcPr>
            <w:tcW w:w="21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80,692</w:t>
            </w:r>
          </w:p>
        </w:tc>
        <w:tc>
          <w:tcPr>
            <w:tcW w:w="116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4.4 %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8.25%</w:t>
            </w: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4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 xml:space="preserve">Ping Identity Holding Corp. </w:t>
            </w:r>
            <w:r>
              <w:rPr>
                <w:rFonts w:ascii="Times New Roman" w:cs="Times New Roman" w:eastAsia="Times New Roman" w:hAnsi="Times New Roman"/>
                <w:sz w:val="15"/>
                <w:szCs w:val="15"/>
                <w:color w:val="auto"/>
                <w:vertAlign w:val="superscript"/>
              </w:rPr>
              <w:t>(3)</w:t>
            </w:r>
          </w:p>
        </w:tc>
        <w:tc>
          <w:tcPr>
            <w:tcW w:w="2500" w:type="dxa"/>
            <w:vAlign w:val="bottom"/>
            <w:shd w:val="clear" w:color="auto" w:fill="CFF0FC"/>
          </w:tcPr>
          <w:p>
            <w:pPr>
              <w:ind w:left="80"/>
              <w:spacing w:after="0" w:line="133" w:lineRule="exact"/>
              <w:rPr>
                <w:sz w:val="20"/>
                <w:szCs w:val="20"/>
                <w:color w:val="auto"/>
              </w:rPr>
            </w:pPr>
            <w:r>
              <w:rPr>
                <w:rFonts w:ascii="Times New Roman" w:cs="Times New Roman" w:eastAsia="Times New Roman" w:hAnsi="Times New Roman"/>
                <w:sz w:val="13"/>
                <w:szCs w:val="13"/>
                <w:color w:val="auto"/>
              </w:rPr>
              <w:t>First-lien loan ($136,364 par, due 10/2029)</w:t>
            </w:r>
          </w:p>
        </w:tc>
        <w:tc>
          <w:tcPr>
            <w:tcW w:w="900" w:type="dxa"/>
            <w:vAlign w:val="bottom"/>
            <w:shd w:val="clear" w:color="auto" w:fill="CFF0FC"/>
          </w:tcPr>
          <w:p>
            <w:pPr>
              <w:jc w:val="right"/>
              <w:ind w:right="97"/>
              <w:spacing w:after="0" w:line="133" w:lineRule="exact"/>
              <w:rPr>
                <w:sz w:val="20"/>
                <w:szCs w:val="20"/>
                <w:color w:val="auto"/>
              </w:rPr>
            </w:pPr>
            <w:r>
              <w:rPr>
                <w:rFonts w:ascii="Times New Roman" w:cs="Times New Roman" w:eastAsia="Times New Roman" w:hAnsi="Times New Roman"/>
                <w:sz w:val="13"/>
                <w:szCs w:val="13"/>
                <w:color w:val="auto"/>
              </w:rPr>
              <w:t>10/17/2022</w:t>
            </w:r>
          </w:p>
        </w:tc>
        <w:tc>
          <w:tcPr>
            <w:tcW w:w="1020" w:type="dxa"/>
            <w:vAlign w:val="bottom"/>
            <w:shd w:val="clear" w:color="auto" w:fill="CFF0FC"/>
          </w:tcPr>
          <w:p>
            <w:pPr>
              <w:jc w:val="right"/>
              <w:ind w:right="297"/>
              <w:spacing w:after="0" w:line="133"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shd w:val="clear" w:color="auto" w:fill="CFF0FC"/>
          </w:tcPr>
          <w:p>
            <w:pPr>
              <w:jc w:val="right"/>
              <w:ind w:right="37"/>
              <w:spacing w:after="0" w:line="133" w:lineRule="exact"/>
              <w:rPr>
                <w:sz w:val="20"/>
                <w:szCs w:val="20"/>
                <w:color w:val="auto"/>
              </w:rPr>
            </w:pPr>
            <w:r>
              <w:rPr>
                <w:rFonts w:ascii="Times New Roman" w:cs="Times New Roman" w:eastAsia="Times New Roman" w:hAnsi="Times New Roman"/>
                <w:sz w:val="13"/>
                <w:szCs w:val="13"/>
                <w:color w:val="auto"/>
              </w:rPr>
              <w:t>12.36 %</w:t>
            </w:r>
          </w:p>
        </w:tc>
        <w:tc>
          <w:tcPr>
            <w:tcW w:w="7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133,270</w:t>
            </w:r>
          </w:p>
        </w:tc>
        <w:tc>
          <w:tcPr>
            <w:tcW w:w="212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138,989</w:t>
            </w:r>
          </w:p>
        </w:tc>
        <w:tc>
          <w:tcPr>
            <w:tcW w:w="116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7.7 %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FF0FC"/>
          </w:tcPr>
          <w:p>
            <w:pPr>
              <w:spacing w:after="0"/>
              <w:rPr>
                <w:sz w:val="14"/>
                <w:szCs w:val="14"/>
                <w:color w:val="auto"/>
              </w:rPr>
            </w:pPr>
          </w:p>
        </w:tc>
        <w:tc>
          <w:tcPr>
            <w:tcW w:w="25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57"/>
              <w:spacing w:after="0"/>
              <w:rPr>
                <w:sz w:val="20"/>
                <w:szCs w:val="20"/>
                <w:color w:val="auto"/>
              </w:rPr>
            </w:pPr>
            <w:r>
              <w:rPr>
                <w:rFonts w:ascii="Times New Roman" w:cs="Times New Roman" w:eastAsia="Times New Roman" w:hAnsi="Times New Roman"/>
                <w:sz w:val="13"/>
                <w:szCs w:val="13"/>
                <w:color w:val="auto"/>
              </w:rPr>
              <w:t>7.00%</w:t>
            </w:r>
          </w:p>
        </w:tc>
        <w:tc>
          <w:tcPr>
            <w:tcW w:w="1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Volante Technologies, Inc.</w:t>
            </w:r>
          </w:p>
        </w:tc>
        <w:tc>
          <w:tcPr>
            <w:tcW w:w="2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loan ($2,604 par, due 9/2028)</w:t>
            </w: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9/29/2023</w:t>
            </w:r>
          </w:p>
        </w:tc>
        <w:tc>
          <w:tcPr>
            <w:tcW w:w="1020" w:type="dxa"/>
            <w:vAlign w:val="bottom"/>
          </w:tcPr>
          <w:p>
            <w:pPr>
              <w:jc w:val="right"/>
              <w:ind w:right="157"/>
              <w:spacing w:after="0"/>
              <w:rPr>
                <w:sz w:val="20"/>
                <w:szCs w:val="20"/>
                <w:color w:val="auto"/>
              </w:rPr>
            </w:pPr>
            <w:r>
              <w:rPr>
                <w:rFonts w:ascii="Times New Roman" w:cs="Times New Roman" w:eastAsia="Times New Roman" w:hAnsi="Times New Roman"/>
                <w:sz w:val="11"/>
                <w:szCs w:val="11"/>
                <w:color w:val="auto"/>
              </w:rPr>
              <w:t>16.50 %</w:t>
            </w:r>
          </w:p>
        </w:tc>
        <w:tc>
          <w:tcPr>
            <w:tcW w:w="114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16.50% PIK</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2,578</w:t>
            </w:r>
          </w:p>
        </w:tc>
        <w:tc>
          <w:tcPr>
            <w:tcW w:w="22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2,598</w:t>
            </w:r>
          </w:p>
        </w:tc>
        <w:tc>
          <w:tcPr>
            <w:tcW w:w="2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40" w:type="dxa"/>
            <w:vAlign w:val="bottom"/>
            <w:shd w:val="clear" w:color="auto" w:fill="CFF0FC"/>
          </w:tcPr>
          <w:p>
            <w:pPr>
              <w:spacing w:after="0"/>
              <w:rPr>
                <w:sz w:val="13"/>
                <w:szCs w:val="13"/>
                <w:color w:val="auto"/>
              </w:rPr>
            </w:pPr>
          </w:p>
        </w:tc>
        <w:tc>
          <w:tcPr>
            <w:tcW w:w="25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538,167</w:t>
            </w:r>
          </w:p>
        </w:tc>
        <w:tc>
          <w:tcPr>
            <w:tcW w:w="220" w:type="dxa"/>
            <w:vAlign w:val="bottom"/>
            <w:shd w:val="clear" w:color="auto" w:fill="CFF0FC"/>
          </w:tcPr>
          <w:p>
            <w:pPr>
              <w:spacing w:after="0"/>
              <w:rPr>
                <w:sz w:val="13"/>
                <w:szCs w:val="13"/>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551,258</w:t>
            </w:r>
          </w:p>
        </w:tc>
        <w:tc>
          <w:tcPr>
            <w:tcW w:w="2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30.3 %</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2500" w:type="dxa"/>
            <w:vAlign w:val="bottom"/>
            <w:tcBorders>
              <w:top w:val="single" w:sz="8" w:color="CFF0FC"/>
            </w:tcBorders>
          </w:tcPr>
          <w:p>
            <w:pPr>
              <w:spacing w:after="0"/>
              <w:rPr>
                <w:sz w:val="13"/>
                <w:szCs w:val="13"/>
                <w:color w:val="auto"/>
              </w:rPr>
            </w:pPr>
          </w:p>
        </w:tc>
        <w:tc>
          <w:tcPr>
            <w:tcW w:w="900" w:type="dxa"/>
            <w:vAlign w:val="bottom"/>
            <w:tcBorders>
              <w:top w:val="single" w:sz="8" w:color="CFF0FC"/>
            </w:tcBorders>
          </w:tcPr>
          <w:p>
            <w:pPr>
              <w:spacing w:after="0"/>
              <w:rPr>
                <w:sz w:val="13"/>
                <w:szCs w:val="13"/>
                <w:color w:val="auto"/>
              </w:rPr>
            </w:pPr>
          </w:p>
        </w:tc>
        <w:tc>
          <w:tcPr>
            <w:tcW w:w="1020" w:type="dxa"/>
            <w:vAlign w:val="bottom"/>
            <w:tcBorders>
              <w:top w:val="single" w:sz="8" w:color="CFF0FC"/>
            </w:tcBorders>
          </w:tcPr>
          <w:p>
            <w:pPr>
              <w:spacing w:after="0"/>
              <w:rPr>
                <w:sz w:val="13"/>
                <w:szCs w:val="13"/>
                <w:color w:val="auto"/>
              </w:rPr>
            </w:pPr>
          </w:p>
        </w:tc>
        <w:tc>
          <w:tcPr>
            <w:tcW w:w="1140" w:type="dxa"/>
            <w:vAlign w:val="bottom"/>
            <w:tcBorders>
              <w:top w:val="single" w:sz="8" w:color="CFF0FC"/>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9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64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Edge Bidco B.V </w:t>
            </w:r>
            <w:r>
              <w:rPr>
                <w:rFonts w:ascii="Times New Roman" w:cs="Times New Roman" w:eastAsia="Times New Roman" w:hAnsi="Times New Roman"/>
                <w:sz w:val="15"/>
                <w:szCs w:val="15"/>
                <w:color w:val="auto"/>
                <w:vertAlign w:val="superscript"/>
              </w:rPr>
              <w:t>(3)(4)(5)</w:t>
            </w:r>
          </w:p>
        </w:tc>
        <w:tc>
          <w:tcPr>
            <w:tcW w:w="2500" w:type="dxa"/>
            <w:vAlign w:val="bottom"/>
            <w:shd w:val="clear" w:color="auto" w:fill="CFF0FC"/>
          </w:tcPr>
          <w:p>
            <w:pPr>
              <w:ind w:left="80"/>
              <w:spacing w:after="0" w:line="131" w:lineRule="exact"/>
              <w:rPr>
                <w:sz w:val="20"/>
                <w:szCs w:val="20"/>
                <w:color w:val="auto"/>
              </w:rPr>
            </w:pPr>
            <w:r>
              <w:rPr>
                <w:rFonts w:ascii="Times New Roman" w:cs="Times New Roman" w:eastAsia="Times New Roman" w:hAnsi="Times New Roman"/>
                <w:sz w:val="13"/>
                <w:szCs w:val="13"/>
                <w:color w:val="auto"/>
              </w:rPr>
              <w:t>First-lien loan (EUR 3,850 par, due 2/2029)</w:t>
            </w:r>
          </w:p>
        </w:tc>
        <w:tc>
          <w:tcPr>
            <w:tcW w:w="900" w:type="dxa"/>
            <w:vAlign w:val="bottom"/>
            <w:shd w:val="clear" w:color="auto" w:fill="CFF0FC"/>
          </w:tcPr>
          <w:p>
            <w:pPr>
              <w:jc w:val="right"/>
              <w:ind w:right="97"/>
              <w:spacing w:after="0" w:line="131" w:lineRule="exact"/>
              <w:rPr>
                <w:sz w:val="20"/>
                <w:szCs w:val="20"/>
                <w:color w:val="auto"/>
              </w:rPr>
            </w:pPr>
            <w:r>
              <w:rPr>
                <w:rFonts w:ascii="Times New Roman" w:cs="Times New Roman" w:eastAsia="Times New Roman" w:hAnsi="Times New Roman"/>
                <w:sz w:val="13"/>
                <w:szCs w:val="13"/>
                <w:color w:val="auto"/>
              </w:rPr>
              <w:t>2/24/2023</w:t>
            </w:r>
          </w:p>
        </w:tc>
        <w:tc>
          <w:tcPr>
            <w:tcW w:w="1020" w:type="dxa"/>
            <w:vAlign w:val="bottom"/>
            <w:shd w:val="clear" w:color="auto" w:fill="CFF0FC"/>
          </w:tcPr>
          <w:p>
            <w:pPr>
              <w:jc w:val="right"/>
              <w:ind w:right="257"/>
              <w:spacing w:after="0" w:line="131" w:lineRule="exact"/>
              <w:rPr>
                <w:sz w:val="20"/>
                <w:szCs w:val="20"/>
                <w:color w:val="auto"/>
              </w:rPr>
            </w:pPr>
            <w:r>
              <w:rPr>
                <w:rFonts w:ascii="Times New Roman" w:cs="Times New Roman" w:eastAsia="Times New Roman" w:hAnsi="Times New Roman"/>
                <w:sz w:val="13"/>
                <w:szCs w:val="13"/>
                <w:color w:val="auto"/>
              </w:rPr>
              <w:t>E + 7.00%</w:t>
            </w:r>
          </w:p>
        </w:tc>
        <w:tc>
          <w:tcPr>
            <w:tcW w:w="1140" w:type="dxa"/>
            <w:vAlign w:val="bottom"/>
            <w:shd w:val="clear" w:color="auto" w:fill="CFF0FC"/>
          </w:tcPr>
          <w:p>
            <w:pPr>
              <w:jc w:val="right"/>
              <w:ind w:right="197"/>
              <w:spacing w:after="0" w:line="131" w:lineRule="exact"/>
              <w:rPr>
                <w:sz w:val="20"/>
                <w:szCs w:val="20"/>
                <w:color w:val="auto"/>
              </w:rPr>
            </w:pPr>
            <w:r>
              <w:rPr>
                <w:rFonts w:ascii="Times New Roman" w:cs="Times New Roman" w:eastAsia="Times New Roman" w:hAnsi="Times New Roman"/>
                <w:sz w:val="13"/>
                <w:szCs w:val="13"/>
                <w:color w:val="auto"/>
              </w:rPr>
              <w:t>10.93% (incl.</w:t>
            </w:r>
          </w:p>
        </w:tc>
        <w:tc>
          <w:tcPr>
            <w:tcW w:w="76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3,951</w:t>
            </w:r>
          </w:p>
        </w:tc>
        <w:tc>
          <w:tcPr>
            <w:tcW w:w="212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4,266</w:t>
            </w:r>
          </w:p>
        </w:tc>
        <w:tc>
          <w:tcPr>
            <w:tcW w:w="1160" w:type="dxa"/>
            <w:vAlign w:val="bottom"/>
            <w:gridSpan w:val="3"/>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0.2 %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FF0FC"/>
          </w:tcPr>
          <w:p>
            <w:pPr>
              <w:spacing w:after="0"/>
              <w:rPr>
                <w:sz w:val="14"/>
                <w:szCs w:val="14"/>
                <w:color w:val="auto"/>
              </w:rPr>
            </w:pPr>
          </w:p>
        </w:tc>
        <w:tc>
          <w:tcPr>
            <w:tcW w:w="25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3.25% PIK)</w:t>
            </w: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3,862)</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4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Raptor US Buyer II Corp. </w:t>
            </w:r>
            <w:r>
              <w:rPr>
                <w:rFonts w:ascii="Times New Roman" w:cs="Times New Roman" w:eastAsia="Times New Roman" w:hAnsi="Times New Roman"/>
                <w:sz w:val="15"/>
                <w:szCs w:val="15"/>
                <w:color w:val="auto"/>
                <w:vertAlign w:val="superscript"/>
              </w:rPr>
              <w:t>(3)</w:t>
            </w:r>
          </w:p>
        </w:tc>
        <w:tc>
          <w:tcPr>
            <w:tcW w:w="2500" w:type="dxa"/>
            <w:vAlign w:val="bottom"/>
          </w:tcPr>
          <w:p>
            <w:pPr>
              <w:ind w:left="80"/>
              <w:spacing w:after="0" w:line="131" w:lineRule="exact"/>
              <w:rPr>
                <w:sz w:val="20"/>
                <w:szCs w:val="20"/>
                <w:color w:val="auto"/>
              </w:rPr>
            </w:pPr>
            <w:r>
              <w:rPr>
                <w:rFonts w:ascii="Times New Roman" w:cs="Times New Roman" w:eastAsia="Times New Roman" w:hAnsi="Times New Roman"/>
                <w:sz w:val="13"/>
                <w:szCs w:val="13"/>
                <w:color w:val="auto"/>
              </w:rPr>
              <w:t>First-lien loan ($98,606 par, due 3/2029)</w:t>
            </w:r>
          </w:p>
        </w:tc>
        <w:tc>
          <w:tcPr>
            <w:tcW w:w="90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3"/>
                <w:szCs w:val="13"/>
                <w:color w:val="auto"/>
              </w:rPr>
              <w:t>3/24/2023</w:t>
            </w:r>
          </w:p>
        </w:tc>
        <w:tc>
          <w:tcPr>
            <w:tcW w:w="1020" w:type="dxa"/>
            <w:vAlign w:val="bottom"/>
          </w:tcPr>
          <w:p>
            <w:pPr>
              <w:jc w:val="right"/>
              <w:ind w:right="297"/>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12.10 %</w:t>
            </w:r>
          </w:p>
        </w:tc>
        <w:tc>
          <w:tcPr>
            <w:tcW w:w="76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95,435</w:t>
            </w:r>
          </w:p>
        </w:tc>
        <w:tc>
          <w:tcPr>
            <w:tcW w:w="21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98,113</w:t>
            </w:r>
          </w:p>
        </w:tc>
        <w:tc>
          <w:tcPr>
            <w:tcW w:w="116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5.4 %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6.75%</w:t>
            </w: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4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 xml:space="preserve">SL Buyer Corp. </w:t>
            </w:r>
            <w:r>
              <w:rPr>
                <w:rFonts w:ascii="Times New Roman" w:cs="Times New Roman" w:eastAsia="Times New Roman" w:hAnsi="Times New Roman"/>
                <w:sz w:val="15"/>
                <w:szCs w:val="15"/>
                <w:color w:val="auto"/>
                <w:vertAlign w:val="superscript"/>
              </w:rPr>
              <w:t>(3)(5)</w:t>
            </w:r>
          </w:p>
        </w:tc>
        <w:tc>
          <w:tcPr>
            <w:tcW w:w="2500" w:type="dxa"/>
            <w:vAlign w:val="bottom"/>
            <w:shd w:val="clear" w:color="auto" w:fill="CFF0FC"/>
          </w:tcPr>
          <w:p>
            <w:pPr>
              <w:ind w:left="80"/>
              <w:spacing w:after="0" w:line="133" w:lineRule="exact"/>
              <w:rPr>
                <w:sz w:val="20"/>
                <w:szCs w:val="20"/>
                <w:color w:val="auto"/>
              </w:rPr>
            </w:pPr>
            <w:r>
              <w:rPr>
                <w:rFonts w:ascii="Times New Roman" w:cs="Times New Roman" w:eastAsia="Times New Roman" w:hAnsi="Times New Roman"/>
                <w:sz w:val="13"/>
                <w:szCs w:val="13"/>
                <w:color w:val="auto"/>
              </w:rPr>
              <w:t>First-lien loan ($3,525 par, due 7/2029)</w:t>
            </w:r>
          </w:p>
        </w:tc>
        <w:tc>
          <w:tcPr>
            <w:tcW w:w="900" w:type="dxa"/>
            <w:vAlign w:val="bottom"/>
            <w:shd w:val="clear" w:color="auto" w:fill="CFF0FC"/>
          </w:tcPr>
          <w:p>
            <w:pPr>
              <w:jc w:val="right"/>
              <w:ind w:right="97"/>
              <w:spacing w:after="0" w:line="133" w:lineRule="exact"/>
              <w:rPr>
                <w:sz w:val="20"/>
                <w:szCs w:val="20"/>
                <w:color w:val="auto"/>
              </w:rPr>
            </w:pPr>
            <w:r>
              <w:rPr>
                <w:rFonts w:ascii="Times New Roman" w:cs="Times New Roman" w:eastAsia="Times New Roman" w:hAnsi="Times New Roman"/>
                <w:sz w:val="13"/>
                <w:szCs w:val="13"/>
                <w:color w:val="auto"/>
              </w:rPr>
              <w:t>7/7/2023</w:t>
            </w:r>
          </w:p>
        </w:tc>
        <w:tc>
          <w:tcPr>
            <w:tcW w:w="1020" w:type="dxa"/>
            <w:vAlign w:val="bottom"/>
            <w:shd w:val="clear" w:color="auto" w:fill="CFF0FC"/>
          </w:tcPr>
          <w:p>
            <w:pPr>
              <w:jc w:val="right"/>
              <w:ind w:right="297"/>
              <w:spacing w:after="0" w:line="133"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shd w:val="clear" w:color="auto" w:fill="CFF0FC"/>
          </w:tcPr>
          <w:p>
            <w:pPr>
              <w:jc w:val="right"/>
              <w:ind w:right="37"/>
              <w:spacing w:after="0" w:line="133" w:lineRule="exact"/>
              <w:rPr>
                <w:sz w:val="20"/>
                <w:szCs w:val="20"/>
                <w:color w:val="auto"/>
              </w:rPr>
            </w:pPr>
            <w:r>
              <w:rPr>
                <w:rFonts w:ascii="Times New Roman" w:cs="Times New Roman" w:eastAsia="Times New Roman" w:hAnsi="Times New Roman"/>
                <w:sz w:val="13"/>
                <w:szCs w:val="13"/>
                <w:color w:val="auto"/>
              </w:rPr>
              <w:t>12.36 %</w:t>
            </w:r>
          </w:p>
        </w:tc>
        <w:tc>
          <w:tcPr>
            <w:tcW w:w="7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3,375</w:t>
            </w:r>
          </w:p>
        </w:tc>
        <w:tc>
          <w:tcPr>
            <w:tcW w:w="212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3,460</w:t>
            </w:r>
          </w:p>
        </w:tc>
        <w:tc>
          <w:tcPr>
            <w:tcW w:w="116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0.2 %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40" w:type="dxa"/>
            <w:vAlign w:val="bottom"/>
            <w:tcBorders>
              <w:bottom w:val="single" w:sz="8" w:color="CFF0FC"/>
            </w:tcBorders>
            <w:shd w:val="clear" w:color="auto" w:fill="CFF0FC"/>
          </w:tcPr>
          <w:p>
            <w:pPr>
              <w:spacing w:after="0"/>
              <w:rPr>
                <w:sz w:val="13"/>
                <w:szCs w:val="13"/>
                <w:color w:val="auto"/>
              </w:rPr>
            </w:pPr>
          </w:p>
        </w:tc>
        <w:tc>
          <w:tcPr>
            <w:tcW w:w="250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CFF0FC"/>
            </w:tcBorders>
            <w:shd w:val="clear" w:color="auto" w:fill="CFF0FC"/>
          </w:tcPr>
          <w:p>
            <w:pPr>
              <w:jc w:val="right"/>
              <w:ind w:right="257"/>
              <w:spacing w:after="0"/>
              <w:rPr>
                <w:sz w:val="20"/>
                <w:szCs w:val="20"/>
                <w:color w:val="auto"/>
              </w:rPr>
            </w:pPr>
            <w:r>
              <w:rPr>
                <w:rFonts w:ascii="Times New Roman" w:cs="Times New Roman" w:eastAsia="Times New Roman" w:hAnsi="Times New Roman"/>
                <w:sz w:val="13"/>
                <w:szCs w:val="13"/>
                <w:color w:val="auto"/>
              </w:rPr>
              <w:t>7.00%</w:t>
            </w:r>
          </w:p>
        </w:tc>
        <w:tc>
          <w:tcPr>
            <w:tcW w:w="114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90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102,761</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105,839</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5.8 %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Human Resource Support</w:t>
            </w:r>
          </w:p>
        </w:tc>
        <w:tc>
          <w:tcPr>
            <w:tcW w:w="25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9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25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4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bswift, LLC </w:t>
            </w:r>
            <w:r>
              <w:rPr>
                <w:rFonts w:ascii="Times New Roman" w:cs="Times New Roman" w:eastAsia="Times New Roman" w:hAnsi="Times New Roman"/>
                <w:sz w:val="15"/>
                <w:szCs w:val="15"/>
                <w:color w:val="auto"/>
                <w:vertAlign w:val="superscript"/>
              </w:rPr>
              <w:t>(3)(5)</w:t>
            </w:r>
          </w:p>
        </w:tc>
        <w:tc>
          <w:tcPr>
            <w:tcW w:w="2500" w:type="dxa"/>
            <w:vAlign w:val="bottom"/>
          </w:tcPr>
          <w:p>
            <w:pPr>
              <w:ind w:left="80"/>
              <w:spacing w:after="0" w:line="131" w:lineRule="exact"/>
              <w:rPr>
                <w:sz w:val="20"/>
                <w:szCs w:val="20"/>
                <w:color w:val="auto"/>
              </w:rPr>
            </w:pPr>
            <w:r>
              <w:rPr>
                <w:rFonts w:ascii="Times New Roman" w:cs="Times New Roman" w:eastAsia="Times New Roman" w:hAnsi="Times New Roman"/>
                <w:sz w:val="13"/>
                <w:szCs w:val="13"/>
                <w:color w:val="auto"/>
              </w:rPr>
              <w:t>First-lien loan ($140,970 par, due 11/2028)</w:t>
            </w:r>
          </w:p>
        </w:tc>
        <w:tc>
          <w:tcPr>
            <w:tcW w:w="90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3"/>
                <w:szCs w:val="13"/>
                <w:color w:val="auto"/>
              </w:rPr>
              <w:t>11/7/2022</w:t>
            </w:r>
          </w:p>
        </w:tc>
        <w:tc>
          <w:tcPr>
            <w:tcW w:w="1020" w:type="dxa"/>
            <w:vAlign w:val="bottom"/>
          </w:tcPr>
          <w:p>
            <w:pPr>
              <w:jc w:val="right"/>
              <w:ind w:right="297"/>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12.03 %</w:t>
            </w:r>
          </w:p>
        </w:tc>
        <w:tc>
          <w:tcPr>
            <w:tcW w:w="76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137,195</w:t>
            </w:r>
          </w:p>
        </w:tc>
        <w:tc>
          <w:tcPr>
            <w:tcW w:w="21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142,379</w:t>
            </w:r>
          </w:p>
        </w:tc>
        <w:tc>
          <w:tcPr>
            <w:tcW w:w="116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7.8 %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6.63%</w:t>
            </w: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4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 xml:space="preserve">HireVue, Inc. </w:t>
            </w:r>
            <w:r>
              <w:rPr>
                <w:rFonts w:ascii="Times New Roman" w:cs="Times New Roman" w:eastAsia="Times New Roman" w:hAnsi="Times New Roman"/>
                <w:sz w:val="15"/>
                <w:szCs w:val="15"/>
                <w:color w:val="auto"/>
                <w:vertAlign w:val="superscript"/>
              </w:rPr>
              <w:t>(3)</w:t>
            </w:r>
          </w:p>
        </w:tc>
        <w:tc>
          <w:tcPr>
            <w:tcW w:w="2500" w:type="dxa"/>
            <w:vAlign w:val="bottom"/>
            <w:shd w:val="clear" w:color="auto" w:fill="CFF0FC"/>
          </w:tcPr>
          <w:p>
            <w:pPr>
              <w:ind w:left="80"/>
              <w:spacing w:after="0" w:line="133" w:lineRule="exact"/>
              <w:rPr>
                <w:sz w:val="20"/>
                <w:szCs w:val="20"/>
                <w:color w:val="auto"/>
              </w:rPr>
            </w:pPr>
            <w:r>
              <w:rPr>
                <w:rFonts w:ascii="Times New Roman" w:cs="Times New Roman" w:eastAsia="Times New Roman" w:hAnsi="Times New Roman"/>
                <w:sz w:val="13"/>
                <w:szCs w:val="13"/>
                <w:color w:val="auto"/>
              </w:rPr>
              <w:t>First-lien loan ($110,887 par, due 5/2029)</w:t>
            </w:r>
          </w:p>
        </w:tc>
        <w:tc>
          <w:tcPr>
            <w:tcW w:w="900" w:type="dxa"/>
            <w:vAlign w:val="bottom"/>
            <w:shd w:val="clear" w:color="auto" w:fill="CFF0FC"/>
          </w:tcPr>
          <w:p>
            <w:pPr>
              <w:jc w:val="right"/>
              <w:ind w:right="97"/>
              <w:spacing w:after="0" w:line="133" w:lineRule="exact"/>
              <w:rPr>
                <w:sz w:val="20"/>
                <w:szCs w:val="20"/>
                <w:color w:val="auto"/>
              </w:rPr>
            </w:pPr>
            <w:r>
              <w:rPr>
                <w:rFonts w:ascii="Times New Roman" w:cs="Times New Roman" w:eastAsia="Times New Roman" w:hAnsi="Times New Roman"/>
                <w:sz w:val="13"/>
                <w:szCs w:val="13"/>
                <w:color w:val="auto"/>
              </w:rPr>
              <w:t>5/3/2023</w:t>
            </w:r>
          </w:p>
        </w:tc>
        <w:tc>
          <w:tcPr>
            <w:tcW w:w="1020" w:type="dxa"/>
            <w:vAlign w:val="bottom"/>
            <w:shd w:val="clear" w:color="auto" w:fill="CFF0FC"/>
          </w:tcPr>
          <w:p>
            <w:pPr>
              <w:jc w:val="right"/>
              <w:ind w:right="297"/>
              <w:spacing w:after="0" w:line="133"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shd w:val="clear" w:color="auto" w:fill="CFF0FC"/>
          </w:tcPr>
          <w:p>
            <w:pPr>
              <w:jc w:val="right"/>
              <w:ind w:right="37"/>
              <w:spacing w:after="0" w:line="133" w:lineRule="exact"/>
              <w:rPr>
                <w:sz w:val="20"/>
                <w:szCs w:val="20"/>
                <w:color w:val="auto"/>
              </w:rPr>
            </w:pPr>
            <w:r>
              <w:rPr>
                <w:rFonts w:ascii="Times New Roman" w:cs="Times New Roman" w:eastAsia="Times New Roman" w:hAnsi="Times New Roman"/>
                <w:sz w:val="13"/>
                <w:szCs w:val="13"/>
                <w:color w:val="auto"/>
              </w:rPr>
              <w:t>12.63 %</w:t>
            </w:r>
          </w:p>
        </w:tc>
        <w:tc>
          <w:tcPr>
            <w:tcW w:w="7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107,645</w:t>
            </w:r>
          </w:p>
        </w:tc>
        <w:tc>
          <w:tcPr>
            <w:tcW w:w="212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110,262</w:t>
            </w:r>
          </w:p>
        </w:tc>
        <w:tc>
          <w:tcPr>
            <w:tcW w:w="116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FF0FC"/>
          </w:tcPr>
          <w:p>
            <w:pPr>
              <w:spacing w:after="0"/>
              <w:rPr>
                <w:sz w:val="14"/>
                <w:szCs w:val="14"/>
                <w:color w:val="auto"/>
              </w:rPr>
            </w:pPr>
          </w:p>
        </w:tc>
        <w:tc>
          <w:tcPr>
            <w:tcW w:w="25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57"/>
              <w:spacing w:after="0"/>
              <w:rPr>
                <w:sz w:val="20"/>
                <w:szCs w:val="20"/>
                <w:color w:val="auto"/>
              </w:rPr>
            </w:pPr>
            <w:r>
              <w:rPr>
                <w:rFonts w:ascii="Times New Roman" w:cs="Times New Roman" w:eastAsia="Times New Roman" w:hAnsi="Times New Roman"/>
                <w:sz w:val="13"/>
                <w:szCs w:val="13"/>
                <w:color w:val="auto"/>
              </w:rPr>
              <w:t>7.25%</w:t>
            </w:r>
          </w:p>
        </w:tc>
        <w:tc>
          <w:tcPr>
            <w:tcW w:w="1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4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MadCap Software, Inc. </w:t>
            </w:r>
            <w:r>
              <w:rPr>
                <w:rFonts w:ascii="Times New Roman" w:cs="Times New Roman" w:eastAsia="Times New Roman" w:hAnsi="Times New Roman"/>
                <w:sz w:val="15"/>
                <w:szCs w:val="15"/>
                <w:color w:val="auto"/>
                <w:vertAlign w:val="superscript"/>
              </w:rPr>
              <w:t>(3)(5)</w:t>
            </w:r>
          </w:p>
        </w:tc>
        <w:tc>
          <w:tcPr>
            <w:tcW w:w="2500" w:type="dxa"/>
            <w:vAlign w:val="bottom"/>
          </w:tcPr>
          <w:p>
            <w:pPr>
              <w:ind w:left="80"/>
              <w:spacing w:after="0" w:line="131" w:lineRule="exact"/>
              <w:rPr>
                <w:sz w:val="20"/>
                <w:szCs w:val="20"/>
                <w:color w:val="auto"/>
              </w:rPr>
            </w:pPr>
            <w:r>
              <w:rPr>
                <w:rFonts w:ascii="Times New Roman" w:cs="Times New Roman" w:eastAsia="Times New Roman" w:hAnsi="Times New Roman"/>
                <w:sz w:val="13"/>
                <w:szCs w:val="13"/>
                <w:color w:val="auto"/>
              </w:rPr>
              <w:t>First-lien loan ($2,500 par, due 12/2026)</w:t>
            </w:r>
          </w:p>
        </w:tc>
        <w:tc>
          <w:tcPr>
            <w:tcW w:w="90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3"/>
                <w:szCs w:val="13"/>
                <w:color w:val="auto"/>
              </w:rPr>
              <w:t>12/15/2023</w:t>
            </w:r>
          </w:p>
        </w:tc>
        <w:tc>
          <w:tcPr>
            <w:tcW w:w="1020" w:type="dxa"/>
            <w:vAlign w:val="bottom"/>
          </w:tcPr>
          <w:p>
            <w:pPr>
              <w:jc w:val="right"/>
              <w:ind w:right="297"/>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11.46 %</w:t>
            </w:r>
          </w:p>
        </w:tc>
        <w:tc>
          <w:tcPr>
            <w:tcW w:w="76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2,439</w:t>
            </w:r>
          </w:p>
        </w:tc>
        <w:tc>
          <w:tcPr>
            <w:tcW w:w="21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2,444</w:t>
            </w:r>
          </w:p>
        </w:tc>
        <w:tc>
          <w:tcPr>
            <w:tcW w:w="116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0.1 %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6.10%</w:t>
            </w:r>
          </w:p>
        </w:tc>
        <w:tc>
          <w:tcPr>
            <w:tcW w:w="11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40" w:type="dxa"/>
            <w:vAlign w:val="bottom"/>
            <w:shd w:val="clear" w:color="auto" w:fill="CFF0FC"/>
          </w:tcPr>
          <w:p>
            <w:pPr>
              <w:spacing w:after="0"/>
              <w:rPr>
                <w:sz w:val="13"/>
                <w:szCs w:val="13"/>
                <w:color w:val="auto"/>
              </w:rPr>
            </w:pPr>
          </w:p>
        </w:tc>
        <w:tc>
          <w:tcPr>
            <w:tcW w:w="25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247,279</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255,085</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Insurance</w:t>
            </w:r>
          </w:p>
        </w:tc>
        <w:tc>
          <w:tcPr>
            <w:tcW w:w="2500" w:type="dxa"/>
            <w:vAlign w:val="bottom"/>
            <w:tcBorders>
              <w:top w:val="single" w:sz="8" w:color="CFF0FC"/>
            </w:tcBorders>
          </w:tcPr>
          <w:p>
            <w:pPr>
              <w:spacing w:after="0"/>
              <w:rPr>
                <w:sz w:val="13"/>
                <w:szCs w:val="13"/>
                <w:color w:val="auto"/>
              </w:rPr>
            </w:pPr>
          </w:p>
        </w:tc>
        <w:tc>
          <w:tcPr>
            <w:tcW w:w="900" w:type="dxa"/>
            <w:vAlign w:val="bottom"/>
            <w:tcBorders>
              <w:top w:val="single" w:sz="8" w:color="CFF0FC"/>
            </w:tcBorders>
          </w:tcPr>
          <w:p>
            <w:pPr>
              <w:spacing w:after="0"/>
              <w:rPr>
                <w:sz w:val="13"/>
                <w:szCs w:val="13"/>
                <w:color w:val="auto"/>
              </w:rPr>
            </w:pPr>
          </w:p>
        </w:tc>
        <w:tc>
          <w:tcPr>
            <w:tcW w:w="1020" w:type="dxa"/>
            <w:vAlign w:val="bottom"/>
            <w:tcBorders>
              <w:top w:val="single" w:sz="8" w:color="CFF0FC"/>
            </w:tcBorders>
          </w:tcPr>
          <w:p>
            <w:pPr>
              <w:spacing w:after="0"/>
              <w:rPr>
                <w:sz w:val="13"/>
                <w:szCs w:val="13"/>
                <w:color w:val="auto"/>
              </w:rPr>
            </w:pPr>
          </w:p>
        </w:tc>
        <w:tc>
          <w:tcPr>
            <w:tcW w:w="1140" w:type="dxa"/>
            <w:vAlign w:val="bottom"/>
            <w:tcBorders>
              <w:top w:val="single" w:sz="8" w:color="CFF0FC"/>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9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64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2"/>
                <w:szCs w:val="12"/>
                <w:color w:val="auto"/>
              </w:rPr>
              <w:t>Disco Parent, Inc.</w:t>
            </w:r>
            <w:r>
              <w:rPr>
                <w:rFonts w:ascii="Times New Roman" w:cs="Times New Roman" w:eastAsia="Times New Roman" w:hAnsi="Times New Roman"/>
                <w:sz w:val="15"/>
                <w:szCs w:val="15"/>
                <w:color w:val="auto"/>
                <w:vertAlign w:val="superscript"/>
              </w:rPr>
              <w:t>(3)</w:t>
            </w:r>
          </w:p>
        </w:tc>
        <w:tc>
          <w:tcPr>
            <w:tcW w:w="2500" w:type="dxa"/>
            <w:vAlign w:val="bottom"/>
            <w:shd w:val="clear" w:color="auto" w:fill="CFF0FC"/>
          </w:tcPr>
          <w:p>
            <w:pPr>
              <w:ind w:left="80"/>
              <w:spacing w:after="0" w:line="131" w:lineRule="exact"/>
              <w:rPr>
                <w:sz w:val="20"/>
                <w:szCs w:val="20"/>
                <w:color w:val="auto"/>
              </w:rPr>
            </w:pPr>
            <w:r>
              <w:rPr>
                <w:rFonts w:ascii="Times New Roman" w:cs="Times New Roman" w:eastAsia="Times New Roman" w:hAnsi="Times New Roman"/>
                <w:sz w:val="13"/>
                <w:szCs w:val="13"/>
                <w:color w:val="auto"/>
              </w:rPr>
              <w:t>First-lien loan ($57,756 par, due 3/2029)</w:t>
            </w:r>
          </w:p>
        </w:tc>
        <w:tc>
          <w:tcPr>
            <w:tcW w:w="900" w:type="dxa"/>
            <w:vAlign w:val="bottom"/>
            <w:shd w:val="clear" w:color="auto" w:fill="CFF0FC"/>
          </w:tcPr>
          <w:p>
            <w:pPr>
              <w:jc w:val="right"/>
              <w:ind w:right="97"/>
              <w:spacing w:after="0" w:line="131" w:lineRule="exact"/>
              <w:rPr>
                <w:sz w:val="20"/>
                <w:szCs w:val="20"/>
                <w:color w:val="auto"/>
              </w:rPr>
            </w:pPr>
            <w:r>
              <w:rPr>
                <w:rFonts w:ascii="Times New Roman" w:cs="Times New Roman" w:eastAsia="Times New Roman" w:hAnsi="Times New Roman"/>
                <w:sz w:val="13"/>
                <w:szCs w:val="13"/>
                <w:color w:val="auto"/>
              </w:rPr>
              <w:t>3/30/2023</w:t>
            </w:r>
          </w:p>
        </w:tc>
        <w:tc>
          <w:tcPr>
            <w:tcW w:w="1020" w:type="dxa"/>
            <w:vAlign w:val="bottom"/>
            <w:shd w:val="clear" w:color="auto" w:fill="CFF0FC"/>
          </w:tcPr>
          <w:p>
            <w:pPr>
              <w:jc w:val="right"/>
              <w:ind w:right="297"/>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1140" w:type="dxa"/>
            <w:vAlign w:val="bottom"/>
            <w:shd w:val="clear" w:color="auto" w:fill="CFF0FC"/>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12.89 %</w:t>
            </w:r>
          </w:p>
        </w:tc>
        <w:tc>
          <w:tcPr>
            <w:tcW w:w="76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56,368</w:t>
            </w:r>
          </w:p>
        </w:tc>
        <w:tc>
          <w:tcPr>
            <w:tcW w:w="212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57,597</w:t>
            </w:r>
          </w:p>
        </w:tc>
        <w:tc>
          <w:tcPr>
            <w:tcW w:w="1160" w:type="dxa"/>
            <w:vAlign w:val="bottom"/>
            <w:gridSpan w:val="3"/>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3.2 %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FF0FC"/>
          </w:tcPr>
          <w:p>
            <w:pPr>
              <w:spacing w:after="0"/>
              <w:rPr>
                <w:sz w:val="14"/>
                <w:szCs w:val="14"/>
                <w:color w:val="auto"/>
              </w:rPr>
            </w:pPr>
          </w:p>
        </w:tc>
        <w:tc>
          <w:tcPr>
            <w:tcW w:w="25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57"/>
              <w:spacing w:after="0"/>
              <w:rPr>
                <w:sz w:val="20"/>
                <w:szCs w:val="20"/>
                <w:color w:val="auto"/>
              </w:rPr>
            </w:pPr>
            <w:r>
              <w:rPr>
                <w:rFonts w:ascii="Times New Roman" w:cs="Times New Roman" w:eastAsia="Times New Roman" w:hAnsi="Times New Roman"/>
                <w:sz w:val="13"/>
                <w:szCs w:val="13"/>
                <w:color w:val="auto"/>
              </w:rPr>
              <w:t>7.50%</w:t>
            </w:r>
          </w:p>
        </w:tc>
        <w:tc>
          <w:tcPr>
            <w:tcW w:w="1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-5151120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-5151120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-5151120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-4474210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-4474210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-4474210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-1945005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-1945005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-1276350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-1276350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-299720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-299720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3"/>
          <w:szCs w:val="13"/>
          <w:b w:val="1"/>
          <w:bCs w:val="1"/>
          <w:color w:val="auto"/>
        </w:rPr>
        <w:t>Internet Services</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9" w:right="31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84"/>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 xml:space="preserve">Arrow Buyer, Inc. </w:t>
            </w:r>
            <w:r>
              <w:rPr>
                <w:rFonts w:ascii="Times New Roman" w:cs="Times New Roman" w:eastAsia="Times New Roman" w:hAnsi="Times New Roman"/>
                <w:sz w:val="16"/>
                <w:szCs w:val="16"/>
                <w:color w:val="auto"/>
                <w:vertAlign w:val="superscript"/>
              </w:rPr>
              <w:t>(3)</w:t>
            </w:r>
          </w:p>
        </w:tc>
        <w:tc>
          <w:tcPr>
            <w:tcW w:w="2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First-lien loan ($121,875 par, due 7/2030)</w:t>
            </w:r>
          </w:p>
        </w:tc>
        <w:tc>
          <w:tcPr>
            <w:tcW w:w="8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6/30/2023</w:t>
            </w:r>
          </w:p>
        </w:tc>
        <w:tc>
          <w:tcPr>
            <w:tcW w:w="1300" w:type="dxa"/>
            <w:vAlign w:val="bottom"/>
            <w:shd w:val="clear" w:color="auto" w:fill="CFF0FC"/>
          </w:tcPr>
          <w:p>
            <w:pPr>
              <w:jc w:val="right"/>
              <w:ind w:right="518"/>
              <w:spacing w:after="0"/>
              <w:rPr>
                <w:sz w:val="20"/>
                <w:szCs w:val="20"/>
                <w:color w:val="auto"/>
              </w:rPr>
            </w:pPr>
            <w:r>
              <w:rPr>
                <w:rFonts w:ascii="Times New Roman" w:cs="Times New Roman" w:eastAsia="Times New Roman" w:hAnsi="Times New Roman"/>
                <w:sz w:val="13"/>
                <w:szCs w:val="13"/>
                <w:color w:val="auto"/>
              </w:rPr>
              <w:t>SOFR +</w:t>
            </w:r>
          </w:p>
        </w:tc>
        <w:tc>
          <w:tcPr>
            <w:tcW w:w="9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11.85 %</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118,648</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120,750</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FF0FC"/>
          </w:tcPr>
          <w:p>
            <w:pPr>
              <w:spacing w:after="0"/>
              <w:rPr>
                <w:sz w:val="14"/>
                <w:szCs w:val="14"/>
                <w:color w:val="auto"/>
              </w:rPr>
            </w:pPr>
          </w:p>
        </w:tc>
        <w:tc>
          <w:tcPr>
            <w:tcW w:w="25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00" w:type="dxa"/>
            <w:vAlign w:val="bottom"/>
            <w:shd w:val="clear" w:color="auto" w:fill="CFF0FC"/>
          </w:tcPr>
          <w:p>
            <w:pPr>
              <w:jc w:val="right"/>
              <w:ind w:right="478"/>
              <w:spacing w:after="0"/>
              <w:rPr>
                <w:sz w:val="20"/>
                <w:szCs w:val="20"/>
                <w:color w:val="auto"/>
              </w:rPr>
            </w:pPr>
            <w:r>
              <w:rPr>
                <w:rFonts w:ascii="Times New Roman" w:cs="Times New Roman" w:eastAsia="Times New Roman" w:hAnsi="Times New Roman"/>
                <w:sz w:val="13"/>
                <w:szCs w:val="13"/>
                <w:color w:val="auto"/>
              </w:rPr>
              <w:t>6.50%</w:t>
            </w:r>
          </w:p>
        </w:tc>
        <w:tc>
          <w:tcPr>
            <w:tcW w:w="9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2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Coupa Holdings, LLC </w:t>
            </w:r>
            <w:r>
              <w:rPr>
                <w:rFonts w:ascii="Times New Roman" w:cs="Times New Roman" w:eastAsia="Times New Roman" w:hAnsi="Times New Roman"/>
                <w:sz w:val="15"/>
                <w:szCs w:val="15"/>
                <w:color w:val="auto"/>
                <w:vertAlign w:val="superscript"/>
              </w:rPr>
              <w:t>(3)</w:t>
            </w:r>
          </w:p>
        </w:tc>
        <w:tc>
          <w:tcPr>
            <w:tcW w:w="2520" w:type="dxa"/>
            <w:vAlign w:val="bottom"/>
          </w:tcPr>
          <w:p>
            <w:pPr>
              <w:ind w:left="100"/>
              <w:spacing w:after="0" w:line="131" w:lineRule="exact"/>
              <w:rPr>
                <w:sz w:val="20"/>
                <w:szCs w:val="20"/>
                <w:color w:val="auto"/>
              </w:rPr>
            </w:pPr>
            <w:r>
              <w:rPr>
                <w:rFonts w:ascii="Times New Roman" w:cs="Times New Roman" w:eastAsia="Times New Roman" w:hAnsi="Times New Roman"/>
                <w:sz w:val="13"/>
                <w:szCs w:val="13"/>
                <w:color w:val="auto"/>
              </w:rPr>
              <w:t>First-lien loan ($129,573 par, due 2/2030)</w:t>
            </w:r>
          </w:p>
        </w:tc>
        <w:tc>
          <w:tcPr>
            <w:tcW w:w="84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2/27/2023</w:t>
            </w:r>
          </w:p>
        </w:tc>
        <w:tc>
          <w:tcPr>
            <w:tcW w:w="1300" w:type="dxa"/>
            <w:vAlign w:val="bottom"/>
          </w:tcPr>
          <w:p>
            <w:pPr>
              <w:jc w:val="right"/>
              <w:ind w:right="518"/>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92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12.86 %</w:t>
            </w:r>
          </w:p>
        </w:tc>
        <w:tc>
          <w:tcPr>
            <w:tcW w:w="76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126,405</w:t>
            </w:r>
          </w:p>
        </w:tc>
        <w:tc>
          <w:tcPr>
            <w:tcW w:w="21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130,323</w:t>
            </w:r>
          </w:p>
        </w:tc>
        <w:tc>
          <w:tcPr>
            <w:tcW w:w="116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7.2 %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right"/>
              <w:ind w:right="478"/>
              <w:spacing w:after="0"/>
              <w:rPr>
                <w:sz w:val="20"/>
                <w:szCs w:val="20"/>
                <w:color w:val="auto"/>
              </w:rPr>
            </w:pPr>
            <w:r>
              <w:rPr>
                <w:rFonts w:ascii="Times New Roman" w:cs="Times New Roman" w:eastAsia="Times New Roman" w:hAnsi="Times New Roman"/>
                <w:sz w:val="13"/>
                <w:szCs w:val="13"/>
                <w:color w:val="auto"/>
              </w:rPr>
              <w:t>7.50%</w:t>
            </w: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62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3"/>
                <w:szCs w:val="13"/>
                <w:color w:val="auto"/>
              </w:rPr>
              <w:t>SMA Technologies Holdings,</w:t>
            </w:r>
          </w:p>
        </w:tc>
        <w:tc>
          <w:tcPr>
            <w:tcW w:w="2520" w:type="dxa"/>
            <w:vAlign w:val="bottom"/>
            <w:shd w:val="clear" w:color="auto" w:fill="CFF0FC"/>
          </w:tcPr>
          <w:p>
            <w:pPr>
              <w:ind w:left="100"/>
              <w:spacing w:after="0" w:line="124" w:lineRule="exact"/>
              <w:rPr>
                <w:sz w:val="20"/>
                <w:szCs w:val="20"/>
                <w:color w:val="auto"/>
              </w:rPr>
            </w:pPr>
            <w:r>
              <w:rPr>
                <w:rFonts w:ascii="Times New Roman" w:cs="Times New Roman" w:eastAsia="Times New Roman" w:hAnsi="Times New Roman"/>
                <w:sz w:val="13"/>
                <w:szCs w:val="13"/>
                <w:color w:val="auto"/>
              </w:rPr>
              <w:t>First-lien loan ($5,667 par, due 10/2028)</w:t>
            </w:r>
          </w:p>
        </w:tc>
        <w:tc>
          <w:tcPr>
            <w:tcW w:w="840" w:type="dxa"/>
            <w:vAlign w:val="bottom"/>
            <w:shd w:val="clear" w:color="auto" w:fill="CFF0FC"/>
          </w:tcPr>
          <w:p>
            <w:pPr>
              <w:jc w:val="right"/>
              <w:ind w:right="37"/>
              <w:spacing w:after="0" w:line="124" w:lineRule="exact"/>
              <w:rPr>
                <w:sz w:val="20"/>
                <w:szCs w:val="20"/>
                <w:color w:val="auto"/>
              </w:rPr>
            </w:pPr>
            <w:r>
              <w:rPr>
                <w:rFonts w:ascii="Times New Roman" w:cs="Times New Roman" w:eastAsia="Times New Roman" w:hAnsi="Times New Roman"/>
                <w:sz w:val="13"/>
                <w:szCs w:val="13"/>
                <w:color w:val="auto"/>
              </w:rPr>
              <w:t>10/31/2022</w:t>
            </w:r>
          </w:p>
        </w:tc>
        <w:tc>
          <w:tcPr>
            <w:tcW w:w="1300" w:type="dxa"/>
            <w:vAlign w:val="bottom"/>
            <w:shd w:val="clear" w:color="auto" w:fill="CFF0FC"/>
          </w:tcPr>
          <w:p>
            <w:pPr>
              <w:jc w:val="right"/>
              <w:ind w:right="518"/>
              <w:spacing w:after="0" w:line="124" w:lineRule="exact"/>
              <w:rPr>
                <w:sz w:val="20"/>
                <w:szCs w:val="20"/>
                <w:color w:val="auto"/>
              </w:rPr>
            </w:pPr>
            <w:r>
              <w:rPr>
                <w:rFonts w:ascii="Times New Roman" w:cs="Times New Roman" w:eastAsia="Times New Roman" w:hAnsi="Times New Roman"/>
                <w:sz w:val="13"/>
                <w:szCs w:val="13"/>
                <w:color w:val="auto"/>
              </w:rPr>
              <w:t>SOFR +</w:t>
            </w:r>
          </w:p>
        </w:tc>
        <w:tc>
          <w:tcPr>
            <w:tcW w:w="920" w:type="dxa"/>
            <w:vAlign w:val="bottom"/>
            <w:shd w:val="clear" w:color="auto" w:fill="CFF0FC"/>
          </w:tcPr>
          <w:p>
            <w:pPr>
              <w:jc w:val="right"/>
              <w:ind w:right="37"/>
              <w:spacing w:after="0" w:line="124" w:lineRule="exact"/>
              <w:rPr>
                <w:sz w:val="20"/>
                <w:szCs w:val="20"/>
                <w:color w:val="auto"/>
              </w:rPr>
            </w:pPr>
            <w:r>
              <w:rPr>
                <w:rFonts w:ascii="Times New Roman" w:cs="Times New Roman" w:eastAsia="Times New Roman" w:hAnsi="Times New Roman"/>
                <w:sz w:val="13"/>
                <w:szCs w:val="13"/>
                <w:color w:val="auto"/>
              </w:rPr>
              <w:t>12.11 %</w:t>
            </w:r>
          </w:p>
        </w:tc>
        <w:tc>
          <w:tcPr>
            <w:tcW w:w="76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5,470</w:t>
            </w:r>
          </w:p>
        </w:tc>
        <w:tc>
          <w:tcPr>
            <w:tcW w:w="212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5,709</w:t>
            </w:r>
          </w:p>
        </w:tc>
        <w:tc>
          <w:tcPr>
            <w:tcW w:w="1160" w:type="dxa"/>
            <w:vAlign w:val="bottom"/>
            <w:gridSpan w:val="3"/>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0.3 %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620" w:type="dxa"/>
            <w:vAlign w:val="bottom"/>
            <w:tcBorders>
              <w:bottom w:val="single" w:sz="8" w:color="CFF0FC"/>
            </w:tcBorders>
            <w:shd w:val="clear" w:color="auto" w:fill="CFF0FC"/>
          </w:tcPr>
          <w:p>
            <w:pPr>
              <w:ind w:left="20"/>
              <w:spacing w:after="0" w:line="162" w:lineRule="exact"/>
              <w:rPr>
                <w:sz w:val="20"/>
                <w:szCs w:val="20"/>
                <w:color w:val="auto"/>
              </w:rPr>
            </w:pPr>
            <w:r>
              <w:rPr>
                <w:rFonts w:ascii="Times New Roman" w:cs="Times New Roman" w:eastAsia="Times New Roman" w:hAnsi="Times New Roman"/>
                <w:sz w:val="18"/>
                <w:szCs w:val="18"/>
                <w:color w:val="auto"/>
                <w:vertAlign w:val="subscript"/>
              </w:rPr>
              <w:t>LLC</w:t>
            </w:r>
            <w:r>
              <w:rPr>
                <w:rFonts w:ascii="Times New Roman" w:cs="Times New Roman" w:eastAsia="Times New Roman" w:hAnsi="Times New Roman"/>
                <w:sz w:val="7"/>
                <w:szCs w:val="7"/>
                <w:color w:val="auto"/>
              </w:rPr>
              <w:t xml:space="preserve"> (3)(5)</w:t>
            </w:r>
          </w:p>
        </w:tc>
        <w:tc>
          <w:tcPr>
            <w:tcW w:w="25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300" w:type="dxa"/>
            <w:vAlign w:val="bottom"/>
            <w:tcBorders>
              <w:bottom w:val="single" w:sz="8" w:color="CFF0FC"/>
            </w:tcBorders>
            <w:shd w:val="clear" w:color="auto" w:fill="CFF0FC"/>
          </w:tcPr>
          <w:p>
            <w:pPr>
              <w:jc w:val="right"/>
              <w:ind w:right="478"/>
              <w:spacing w:after="0"/>
              <w:rPr>
                <w:sz w:val="20"/>
                <w:szCs w:val="20"/>
                <w:color w:val="auto"/>
              </w:rPr>
            </w:pPr>
            <w:r>
              <w:rPr>
                <w:rFonts w:ascii="Times New Roman" w:cs="Times New Roman" w:eastAsia="Times New Roman" w:hAnsi="Times New Roman"/>
                <w:sz w:val="13"/>
                <w:szCs w:val="13"/>
                <w:color w:val="auto"/>
              </w:rPr>
              <w:t>6.75%</w:t>
            </w:r>
          </w:p>
        </w:tc>
        <w:tc>
          <w:tcPr>
            <w:tcW w:w="9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9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250,523</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256,782</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14.1 %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Manufacturing</w:t>
            </w:r>
          </w:p>
        </w:tc>
        <w:tc>
          <w:tcPr>
            <w:tcW w:w="25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9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ASP Unifrax Holdings, Inc.</w:t>
            </w:r>
          </w:p>
        </w:tc>
        <w:tc>
          <w:tcPr>
            <w:tcW w:w="25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 xml:space="preserve">First-lien loan ($1,130 par, due 12/2025) </w:t>
            </w:r>
            <w:r>
              <w:rPr>
                <w:rFonts w:ascii="Times New Roman" w:cs="Times New Roman" w:eastAsia="Times New Roman" w:hAnsi="Times New Roman"/>
                <w:sz w:val="14"/>
                <w:szCs w:val="14"/>
                <w:color w:val="auto"/>
                <w:vertAlign w:val="superscript"/>
              </w:rPr>
              <w:t>(3)</w:t>
            </w:r>
          </w:p>
        </w:tc>
        <w:tc>
          <w:tcPr>
            <w:tcW w:w="84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8/25/2023</w:t>
            </w:r>
          </w:p>
        </w:tc>
        <w:tc>
          <w:tcPr>
            <w:tcW w:w="1300" w:type="dxa"/>
            <w:vAlign w:val="bottom"/>
          </w:tcPr>
          <w:p>
            <w:pPr>
              <w:jc w:val="right"/>
              <w:ind w:right="518"/>
              <w:spacing w:after="0" w:line="122" w:lineRule="exact"/>
              <w:rPr>
                <w:sz w:val="20"/>
                <w:szCs w:val="20"/>
                <w:color w:val="auto"/>
              </w:rPr>
            </w:pPr>
            <w:r>
              <w:rPr>
                <w:rFonts w:ascii="Times New Roman" w:cs="Times New Roman" w:eastAsia="Times New Roman" w:hAnsi="Times New Roman"/>
                <w:sz w:val="13"/>
                <w:szCs w:val="13"/>
                <w:color w:val="auto"/>
              </w:rPr>
              <w:t>SOFR +</w:t>
            </w:r>
          </w:p>
        </w:tc>
        <w:tc>
          <w:tcPr>
            <w:tcW w:w="92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9.25 %</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1,055</w:t>
            </w:r>
          </w:p>
        </w:tc>
        <w:tc>
          <w:tcPr>
            <w:tcW w:w="2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1,051</w:t>
            </w:r>
          </w:p>
        </w:tc>
        <w:tc>
          <w:tcPr>
            <w:tcW w:w="1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0.1 %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20" w:type="dxa"/>
            <w:vAlign w:val="bottom"/>
          </w:tcPr>
          <w:p>
            <w:pPr>
              <w:ind w:left="20"/>
              <w:spacing w:after="0"/>
              <w:rPr>
                <w:sz w:val="20"/>
                <w:szCs w:val="20"/>
                <w:color w:val="auto"/>
              </w:rPr>
            </w:pPr>
            <w:r>
              <w:rPr>
                <w:rFonts w:ascii="Times New Roman" w:cs="Times New Roman" w:eastAsia="Times New Roman" w:hAnsi="Times New Roman"/>
                <w:sz w:val="8"/>
                <w:szCs w:val="8"/>
                <w:color w:val="auto"/>
              </w:rPr>
              <w:t>(12)</w:t>
            </w:r>
          </w:p>
        </w:tc>
        <w:tc>
          <w:tcPr>
            <w:tcW w:w="2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00" w:type="dxa"/>
            <w:vAlign w:val="bottom"/>
            <w:vMerge w:val="restart"/>
          </w:tcPr>
          <w:p>
            <w:pPr>
              <w:jc w:val="right"/>
              <w:ind w:right="478"/>
              <w:spacing w:after="0"/>
              <w:rPr>
                <w:sz w:val="20"/>
                <w:szCs w:val="20"/>
                <w:color w:val="auto"/>
              </w:rPr>
            </w:pPr>
            <w:r>
              <w:rPr>
                <w:rFonts w:ascii="Times New Roman" w:cs="Times New Roman" w:eastAsia="Times New Roman" w:hAnsi="Times New Roman"/>
                <w:sz w:val="13"/>
                <w:szCs w:val="13"/>
                <w:color w:val="auto"/>
              </w:rPr>
              <w:t>3.90%</w:t>
            </w:r>
          </w:p>
        </w:tc>
        <w:tc>
          <w:tcPr>
            <w:tcW w:w="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620" w:type="dxa"/>
            <w:vAlign w:val="bottom"/>
            <w:shd w:val="clear" w:color="auto" w:fill="CFF0FC"/>
          </w:tcPr>
          <w:p>
            <w:pPr>
              <w:spacing w:after="0"/>
              <w:rPr>
                <w:sz w:val="10"/>
                <w:szCs w:val="10"/>
                <w:color w:val="auto"/>
              </w:rPr>
            </w:pPr>
          </w:p>
        </w:tc>
        <w:tc>
          <w:tcPr>
            <w:tcW w:w="2520" w:type="dxa"/>
            <w:vAlign w:val="bottom"/>
            <w:shd w:val="clear" w:color="auto" w:fill="CFF0FC"/>
          </w:tcPr>
          <w:p>
            <w:pPr>
              <w:ind w:left="100"/>
              <w:spacing w:after="0" w:line="124" w:lineRule="exact"/>
              <w:rPr>
                <w:sz w:val="20"/>
                <w:szCs w:val="20"/>
                <w:color w:val="auto"/>
              </w:rPr>
            </w:pPr>
            <w:r>
              <w:rPr>
                <w:rFonts w:ascii="Times New Roman" w:cs="Times New Roman" w:eastAsia="Times New Roman" w:hAnsi="Times New Roman"/>
                <w:sz w:val="13"/>
                <w:szCs w:val="13"/>
                <w:color w:val="auto"/>
              </w:rPr>
              <w:t>First-lien loan (EUR 1,023 par, due 12/2025)</w:t>
            </w:r>
          </w:p>
        </w:tc>
        <w:tc>
          <w:tcPr>
            <w:tcW w:w="840" w:type="dxa"/>
            <w:vAlign w:val="bottom"/>
            <w:shd w:val="clear" w:color="auto" w:fill="CFF0FC"/>
          </w:tcPr>
          <w:p>
            <w:pPr>
              <w:jc w:val="right"/>
              <w:ind w:right="37"/>
              <w:spacing w:after="0" w:line="124" w:lineRule="exact"/>
              <w:rPr>
                <w:sz w:val="20"/>
                <w:szCs w:val="20"/>
                <w:color w:val="auto"/>
              </w:rPr>
            </w:pPr>
            <w:r>
              <w:rPr>
                <w:rFonts w:ascii="Times New Roman" w:cs="Times New Roman" w:eastAsia="Times New Roman" w:hAnsi="Times New Roman"/>
                <w:sz w:val="13"/>
                <w:szCs w:val="13"/>
                <w:color w:val="auto"/>
              </w:rPr>
              <w:t>9/14/2023</w:t>
            </w:r>
          </w:p>
        </w:tc>
        <w:tc>
          <w:tcPr>
            <w:tcW w:w="1300" w:type="dxa"/>
            <w:vAlign w:val="bottom"/>
            <w:shd w:val="clear" w:color="auto" w:fill="CFF0FC"/>
          </w:tcPr>
          <w:p>
            <w:pPr>
              <w:jc w:val="right"/>
              <w:ind w:right="478"/>
              <w:spacing w:after="0" w:line="124" w:lineRule="exact"/>
              <w:rPr>
                <w:sz w:val="20"/>
                <w:szCs w:val="20"/>
                <w:color w:val="auto"/>
              </w:rPr>
            </w:pPr>
            <w:r>
              <w:rPr>
                <w:rFonts w:ascii="Times New Roman" w:cs="Times New Roman" w:eastAsia="Times New Roman" w:hAnsi="Times New Roman"/>
                <w:sz w:val="13"/>
                <w:szCs w:val="13"/>
                <w:color w:val="auto"/>
              </w:rPr>
              <w:t>E + 3.75%</w:t>
            </w:r>
          </w:p>
        </w:tc>
        <w:tc>
          <w:tcPr>
            <w:tcW w:w="920" w:type="dxa"/>
            <w:vAlign w:val="bottom"/>
            <w:shd w:val="clear" w:color="auto" w:fill="CFF0FC"/>
          </w:tcPr>
          <w:p>
            <w:pPr>
              <w:jc w:val="right"/>
              <w:ind w:right="37"/>
              <w:spacing w:after="0" w:line="124" w:lineRule="exact"/>
              <w:rPr>
                <w:sz w:val="20"/>
                <w:szCs w:val="20"/>
                <w:color w:val="auto"/>
              </w:rPr>
            </w:pPr>
            <w:r>
              <w:rPr>
                <w:rFonts w:ascii="Times New Roman" w:cs="Times New Roman" w:eastAsia="Times New Roman" w:hAnsi="Times New Roman"/>
                <w:sz w:val="13"/>
                <w:szCs w:val="13"/>
                <w:color w:val="auto"/>
              </w:rPr>
              <w:t>7.68 %</w:t>
            </w:r>
          </w:p>
        </w:tc>
        <w:tc>
          <w:tcPr>
            <w:tcW w:w="76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997</w:t>
            </w:r>
          </w:p>
        </w:tc>
        <w:tc>
          <w:tcPr>
            <w:tcW w:w="212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1,030</w:t>
            </w:r>
          </w:p>
        </w:tc>
        <w:tc>
          <w:tcPr>
            <w:tcW w:w="1160" w:type="dxa"/>
            <w:vAlign w:val="bottom"/>
            <w:gridSpan w:val="3"/>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0.1 %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20" w:type="dxa"/>
            <w:vAlign w:val="bottom"/>
            <w:shd w:val="clear" w:color="auto" w:fill="CFF0FC"/>
          </w:tcPr>
          <w:p>
            <w:pPr>
              <w:spacing w:after="0"/>
              <w:rPr>
                <w:sz w:val="9"/>
                <w:szCs w:val="9"/>
                <w:color w:val="auto"/>
              </w:rPr>
            </w:pPr>
          </w:p>
        </w:tc>
        <w:tc>
          <w:tcPr>
            <w:tcW w:w="2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(3)</w:t>
            </w:r>
          </w:p>
        </w:tc>
        <w:tc>
          <w:tcPr>
            <w:tcW w:w="8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932)</w:t>
            </w: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20" w:type="dxa"/>
            <w:vAlign w:val="bottom"/>
            <w:shd w:val="clear" w:color="auto" w:fill="CFF0FC"/>
          </w:tcPr>
          <w:p>
            <w:pPr>
              <w:spacing w:after="0"/>
              <w:rPr>
                <w:sz w:val="5"/>
                <w:szCs w:val="5"/>
                <w:color w:val="auto"/>
              </w:rPr>
            </w:pPr>
          </w:p>
        </w:tc>
        <w:tc>
          <w:tcPr>
            <w:tcW w:w="2520" w:type="dxa"/>
            <w:vAlign w:val="bottom"/>
            <w:shd w:val="clear" w:color="auto" w:fill="CFF0FC"/>
          </w:tcPr>
          <w:p>
            <w:pPr>
              <w:spacing w:after="0"/>
              <w:rPr>
                <w:sz w:val="5"/>
                <w:szCs w:val="5"/>
                <w:color w:val="auto"/>
              </w:rPr>
            </w:pPr>
          </w:p>
        </w:tc>
        <w:tc>
          <w:tcPr>
            <w:tcW w:w="840" w:type="dxa"/>
            <w:vAlign w:val="bottom"/>
            <w:shd w:val="clear" w:color="auto" w:fill="CFF0FC"/>
          </w:tcPr>
          <w:p>
            <w:pPr>
              <w:spacing w:after="0"/>
              <w:rPr>
                <w:sz w:val="5"/>
                <w:szCs w:val="5"/>
                <w:color w:val="auto"/>
              </w:rPr>
            </w:pPr>
          </w:p>
        </w:tc>
        <w:tc>
          <w:tcPr>
            <w:tcW w:w="1300" w:type="dxa"/>
            <w:vAlign w:val="bottom"/>
            <w:shd w:val="clear" w:color="auto" w:fill="CFF0FC"/>
          </w:tcPr>
          <w:p>
            <w:pPr>
              <w:spacing w:after="0"/>
              <w:rPr>
                <w:sz w:val="5"/>
                <w:szCs w:val="5"/>
                <w:color w:val="auto"/>
              </w:rPr>
            </w:pPr>
          </w:p>
        </w:tc>
        <w:tc>
          <w:tcPr>
            <w:tcW w:w="920" w:type="dxa"/>
            <w:vAlign w:val="bottom"/>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90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8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2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Unsecured note ($1,059 par, due 9/2029)</w:t>
            </w: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8/31/2023</w:t>
            </w:r>
          </w:p>
        </w:tc>
        <w:tc>
          <w:tcPr>
            <w:tcW w:w="1300" w:type="dxa"/>
            <w:vAlign w:val="bottom"/>
          </w:tcPr>
          <w:p>
            <w:pPr>
              <w:jc w:val="right"/>
              <w:ind w:right="358"/>
              <w:spacing w:after="0"/>
              <w:rPr>
                <w:sz w:val="20"/>
                <w:szCs w:val="20"/>
                <w:color w:val="auto"/>
              </w:rPr>
            </w:pPr>
            <w:r>
              <w:rPr>
                <w:rFonts w:ascii="Times New Roman" w:cs="Times New Roman" w:eastAsia="Times New Roman" w:hAnsi="Times New Roman"/>
                <w:sz w:val="13"/>
                <w:szCs w:val="13"/>
                <w:color w:val="auto"/>
              </w:rPr>
              <w:t>7.50 %</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7.50 %</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spacing w:after="0"/>
              <w:rPr>
                <w:sz w:val="14"/>
                <w:szCs w:val="14"/>
                <w:color w:val="auto"/>
              </w:rPr>
            </w:pPr>
          </w:p>
        </w:tc>
        <w:tc>
          <w:tcPr>
            <w:tcW w:w="2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Secured note ($91 par, due 9/2028)</w:t>
            </w:r>
          </w:p>
        </w:tc>
        <w:tc>
          <w:tcPr>
            <w:tcW w:w="8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12/19/2023</w:t>
            </w:r>
          </w:p>
        </w:tc>
        <w:tc>
          <w:tcPr>
            <w:tcW w:w="1300" w:type="dxa"/>
            <w:vAlign w:val="bottom"/>
            <w:shd w:val="clear" w:color="auto" w:fill="CFF0FC"/>
          </w:tcPr>
          <w:p>
            <w:pPr>
              <w:jc w:val="right"/>
              <w:ind w:right="358"/>
              <w:spacing w:after="0"/>
              <w:rPr>
                <w:sz w:val="20"/>
                <w:szCs w:val="20"/>
                <w:color w:val="auto"/>
              </w:rPr>
            </w:pPr>
            <w:r>
              <w:rPr>
                <w:rFonts w:ascii="Times New Roman" w:cs="Times New Roman" w:eastAsia="Times New Roman" w:hAnsi="Times New Roman"/>
                <w:sz w:val="13"/>
                <w:szCs w:val="13"/>
                <w:color w:val="auto"/>
              </w:rPr>
              <w:t>5.25 %</w:t>
            </w:r>
          </w:p>
        </w:tc>
        <w:tc>
          <w:tcPr>
            <w:tcW w:w="9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5.25 %</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2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Avalara, Inc. </w:t>
            </w:r>
            <w:r>
              <w:rPr>
                <w:rFonts w:ascii="Times New Roman" w:cs="Times New Roman" w:eastAsia="Times New Roman" w:hAnsi="Times New Roman"/>
                <w:sz w:val="15"/>
                <w:szCs w:val="15"/>
                <w:color w:val="auto"/>
                <w:vertAlign w:val="superscript"/>
              </w:rPr>
              <w:t>(3)</w:t>
            </w:r>
          </w:p>
        </w:tc>
        <w:tc>
          <w:tcPr>
            <w:tcW w:w="2520" w:type="dxa"/>
            <w:vAlign w:val="bottom"/>
          </w:tcPr>
          <w:p>
            <w:pPr>
              <w:ind w:left="100"/>
              <w:spacing w:after="0" w:line="131" w:lineRule="exact"/>
              <w:rPr>
                <w:sz w:val="20"/>
                <w:szCs w:val="20"/>
                <w:color w:val="auto"/>
              </w:rPr>
            </w:pPr>
            <w:r>
              <w:rPr>
                <w:rFonts w:ascii="Times New Roman" w:cs="Times New Roman" w:eastAsia="Times New Roman" w:hAnsi="Times New Roman"/>
                <w:sz w:val="13"/>
                <w:szCs w:val="13"/>
                <w:color w:val="auto"/>
              </w:rPr>
              <w:t>First-lien loan ($136,364 par, due 10/2028)</w:t>
            </w:r>
          </w:p>
        </w:tc>
        <w:tc>
          <w:tcPr>
            <w:tcW w:w="84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10/19/2022</w:t>
            </w:r>
          </w:p>
        </w:tc>
        <w:tc>
          <w:tcPr>
            <w:tcW w:w="1300" w:type="dxa"/>
            <w:vAlign w:val="bottom"/>
          </w:tcPr>
          <w:p>
            <w:pPr>
              <w:jc w:val="right"/>
              <w:ind w:right="518"/>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92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12.60 %</w:t>
            </w:r>
          </w:p>
        </w:tc>
        <w:tc>
          <w:tcPr>
            <w:tcW w:w="76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133,365</w:t>
            </w:r>
          </w:p>
        </w:tc>
        <w:tc>
          <w:tcPr>
            <w:tcW w:w="21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136,739</w:t>
            </w:r>
          </w:p>
        </w:tc>
        <w:tc>
          <w:tcPr>
            <w:tcW w:w="116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7.5 %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right"/>
              <w:ind w:right="478"/>
              <w:spacing w:after="0"/>
              <w:rPr>
                <w:sz w:val="20"/>
                <w:szCs w:val="20"/>
                <w:color w:val="auto"/>
              </w:rPr>
            </w:pPr>
            <w:r>
              <w:rPr>
                <w:rFonts w:ascii="Times New Roman" w:cs="Times New Roman" w:eastAsia="Times New Roman" w:hAnsi="Times New Roman"/>
                <w:sz w:val="13"/>
                <w:szCs w:val="13"/>
                <w:color w:val="auto"/>
              </w:rPr>
              <w:t>7.25%</w:t>
            </w: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62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3"/>
                <w:szCs w:val="13"/>
                <w:color w:val="auto"/>
              </w:rPr>
              <w:t>Skylark UK DebtCo Limited</w:t>
            </w:r>
          </w:p>
        </w:tc>
        <w:tc>
          <w:tcPr>
            <w:tcW w:w="2520" w:type="dxa"/>
            <w:vAlign w:val="bottom"/>
            <w:shd w:val="clear" w:color="auto" w:fill="CFF0FC"/>
          </w:tcPr>
          <w:p>
            <w:pPr>
              <w:ind w:left="100"/>
              <w:spacing w:after="0" w:line="124" w:lineRule="exact"/>
              <w:rPr>
                <w:sz w:val="20"/>
                <w:szCs w:val="20"/>
                <w:color w:val="auto"/>
              </w:rPr>
            </w:pPr>
            <w:r>
              <w:rPr>
                <w:rFonts w:ascii="Times New Roman" w:cs="Times New Roman" w:eastAsia="Times New Roman" w:hAnsi="Times New Roman"/>
                <w:sz w:val="13"/>
                <w:szCs w:val="13"/>
                <w:color w:val="auto"/>
              </w:rPr>
              <w:t>First-lien loan ($65,149 par, due 9/2030)</w:t>
            </w:r>
          </w:p>
        </w:tc>
        <w:tc>
          <w:tcPr>
            <w:tcW w:w="840" w:type="dxa"/>
            <w:vAlign w:val="bottom"/>
            <w:shd w:val="clear" w:color="auto" w:fill="CFF0FC"/>
          </w:tcPr>
          <w:p>
            <w:pPr>
              <w:jc w:val="right"/>
              <w:ind w:right="37"/>
              <w:spacing w:after="0" w:line="124" w:lineRule="exact"/>
              <w:rPr>
                <w:sz w:val="20"/>
                <w:szCs w:val="20"/>
                <w:color w:val="auto"/>
              </w:rPr>
            </w:pPr>
            <w:r>
              <w:rPr>
                <w:rFonts w:ascii="Times New Roman" w:cs="Times New Roman" w:eastAsia="Times New Roman" w:hAnsi="Times New Roman"/>
                <w:sz w:val="13"/>
                <w:szCs w:val="13"/>
                <w:color w:val="auto"/>
              </w:rPr>
              <w:t>9/7/2023</w:t>
            </w:r>
          </w:p>
        </w:tc>
        <w:tc>
          <w:tcPr>
            <w:tcW w:w="1300" w:type="dxa"/>
            <w:vAlign w:val="bottom"/>
            <w:shd w:val="clear" w:color="auto" w:fill="CFF0FC"/>
          </w:tcPr>
          <w:p>
            <w:pPr>
              <w:jc w:val="right"/>
              <w:ind w:right="478"/>
              <w:spacing w:after="0" w:line="124" w:lineRule="exact"/>
              <w:rPr>
                <w:sz w:val="20"/>
                <w:szCs w:val="20"/>
                <w:color w:val="auto"/>
              </w:rPr>
            </w:pPr>
            <w:r>
              <w:rPr>
                <w:rFonts w:ascii="Times New Roman" w:cs="Times New Roman" w:eastAsia="Times New Roman" w:hAnsi="Times New Roman"/>
                <w:sz w:val="11"/>
                <w:szCs w:val="11"/>
                <w:color w:val="auto"/>
              </w:rPr>
              <w:t>SOFR + 6.25%</w:t>
            </w:r>
          </w:p>
        </w:tc>
        <w:tc>
          <w:tcPr>
            <w:tcW w:w="920" w:type="dxa"/>
            <w:vAlign w:val="bottom"/>
            <w:shd w:val="clear" w:color="auto" w:fill="CFF0FC"/>
          </w:tcPr>
          <w:p>
            <w:pPr>
              <w:jc w:val="right"/>
              <w:ind w:right="37"/>
              <w:spacing w:after="0" w:line="124" w:lineRule="exact"/>
              <w:rPr>
                <w:sz w:val="20"/>
                <w:szCs w:val="20"/>
                <w:color w:val="auto"/>
              </w:rPr>
            </w:pPr>
            <w:r>
              <w:rPr>
                <w:rFonts w:ascii="Times New Roman" w:cs="Times New Roman" w:eastAsia="Times New Roman" w:hAnsi="Times New Roman"/>
                <w:sz w:val="13"/>
                <w:szCs w:val="13"/>
                <w:color w:val="auto"/>
              </w:rPr>
              <w:t>11.60 %</w:t>
            </w:r>
          </w:p>
        </w:tc>
        <w:tc>
          <w:tcPr>
            <w:tcW w:w="76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63,411</w:t>
            </w:r>
          </w:p>
        </w:tc>
        <w:tc>
          <w:tcPr>
            <w:tcW w:w="212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63,683</w:t>
            </w:r>
          </w:p>
        </w:tc>
        <w:tc>
          <w:tcPr>
            <w:tcW w:w="1160" w:type="dxa"/>
            <w:vAlign w:val="bottom"/>
            <w:gridSpan w:val="3"/>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3.5 %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(3)(4)</w:t>
            </w:r>
          </w:p>
        </w:tc>
        <w:tc>
          <w:tcPr>
            <w:tcW w:w="252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spacing w:after="0"/>
              <w:rPr>
                <w:sz w:val="10"/>
                <w:szCs w:val="10"/>
                <w:color w:val="auto"/>
              </w:rPr>
            </w:pPr>
          </w:p>
        </w:tc>
        <w:tc>
          <w:tcPr>
            <w:tcW w:w="130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90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20" w:type="dxa"/>
            <w:vAlign w:val="bottom"/>
          </w:tcPr>
          <w:p>
            <w:pPr>
              <w:spacing w:after="0"/>
              <w:rPr>
                <w:sz w:val="11"/>
                <w:szCs w:val="11"/>
                <w:color w:val="auto"/>
              </w:rPr>
            </w:pPr>
          </w:p>
        </w:tc>
        <w:tc>
          <w:tcPr>
            <w:tcW w:w="2520" w:type="dxa"/>
            <w:vAlign w:val="bottom"/>
          </w:tcPr>
          <w:p>
            <w:pPr>
              <w:ind w:left="100"/>
              <w:spacing w:after="0" w:line="131" w:lineRule="exact"/>
              <w:rPr>
                <w:sz w:val="20"/>
                <w:szCs w:val="20"/>
                <w:color w:val="auto"/>
              </w:rPr>
            </w:pPr>
            <w:r>
              <w:rPr>
                <w:rFonts w:ascii="Times New Roman" w:cs="Times New Roman" w:eastAsia="Times New Roman" w:hAnsi="Times New Roman"/>
                <w:sz w:val="13"/>
                <w:szCs w:val="13"/>
                <w:color w:val="auto"/>
              </w:rPr>
              <w:t>First-lien loan (GBP 66,344 par, due 9/2030)</w:t>
            </w:r>
          </w:p>
        </w:tc>
        <w:tc>
          <w:tcPr>
            <w:tcW w:w="84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9/7/2023</w:t>
            </w:r>
          </w:p>
        </w:tc>
        <w:tc>
          <w:tcPr>
            <w:tcW w:w="1300" w:type="dxa"/>
            <w:vAlign w:val="bottom"/>
          </w:tcPr>
          <w:p>
            <w:pPr>
              <w:jc w:val="right"/>
              <w:ind w:right="478"/>
              <w:spacing w:after="0"/>
              <w:rPr>
                <w:sz w:val="20"/>
                <w:szCs w:val="20"/>
                <w:color w:val="auto"/>
              </w:rPr>
            </w:pPr>
            <w:r>
              <w:rPr>
                <w:rFonts w:ascii="Times New Roman" w:cs="Times New Roman" w:eastAsia="Times New Roman" w:hAnsi="Times New Roman"/>
                <w:sz w:val="11"/>
                <w:szCs w:val="11"/>
                <w:color w:val="auto"/>
              </w:rPr>
              <w:t>S + 6.25%</w:t>
            </w:r>
          </w:p>
        </w:tc>
        <w:tc>
          <w:tcPr>
            <w:tcW w:w="92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11.52 %</w:t>
            </w:r>
          </w:p>
        </w:tc>
        <w:tc>
          <w:tcPr>
            <w:tcW w:w="76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79,846</w:t>
            </w:r>
          </w:p>
        </w:tc>
        <w:tc>
          <w:tcPr>
            <w:tcW w:w="21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82,038</w:t>
            </w:r>
          </w:p>
        </w:tc>
        <w:tc>
          <w:tcPr>
            <w:tcW w:w="116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4.5 %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(GBP 64,354)</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20" w:type="dxa"/>
            <w:vAlign w:val="bottom"/>
            <w:shd w:val="clear" w:color="auto" w:fill="CFF0FC"/>
          </w:tcPr>
          <w:p>
            <w:pPr>
              <w:spacing w:after="0"/>
              <w:rPr>
                <w:sz w:val="11"/>
                <w:szCs w:val="11"/>
                <w:color w:val="auto"/>
              </w:rPr>
            </w:pPr>
          </w:p>
        </w:tc>
        <w:tc>
          <w:tcPr>
            <w:tcW w:w="2520" w:type="dxa"/>
            <w:vAlign w:val="bottom"/>
            <w:shd w:val="clear" w:color="auto" w:fill="CFF0FC"/>
          </w:tcPr>
          <w:p>
            <w:pPr>
              <w:ind w:left="100"/>
              <w:spacing w:after="0" w:line="133" w:lineRule="exact"/>
              <w:rPr>
                <w:sz w:val="20"/>
                <w:szCs w:val="20"/>
                <w:color w:val="auto"/>
              </w:rPr>
            </w:pPr>
            <w:r>
              <w:rPr>
                <w:rFonts w:ascii="Times New Roman" w:cs="Times New Roman" w:eastAsia="Times New Roman" w:hAnsi="Times New Roman"/>
                <w:sz w:val="13"/>
                <w:szCs w:val="13"/>
                <w:color w:val="auto"/>
              </w:rPr>
              <w:t>First-lien loan (EUR 19,342 par, due 9/2030)</w:t>
            </w:r>
          </w:p>
        </w:tc>
        <w:tc>
          <w:tcPr>
            <w:tcW w:w="840" w:type="dxa"/>
            <w:vAlign w:val="bottom"/>
            <w:shd w:val="clear" w:color="auto" w:fill="CFF0FC"/>
          </w:tcPr>
          <w:p>
            <w:pPr>
              <w:jc w:val="right"/>
              <w:ind w:right="37"/>
              <w:spacing w:after="0" w:line="133" w:lineRule="exact"/>
              <w:rPr>
                <w:sz w:val="20"/>
                <w:szCs w:val="20"/>
                <w:color w:val="auto"/>
              </w:rPr>
            </w:pPr>
            <w:r>
              <w:rPr>
                <w:rFonts w:ascii="Times New Roman" w:cs="Times New Roman" w:eastAsia="Times New Roman" w:hAnsi="Times New Roman"/>
                <w:sz w:val="13"/>
                <w:szCs w:val="13"/>
                <w:color w:val="auto"/>
              </w:rPr>
              <w:t>9/7/2023</w:t>
            </w:r>
          </w:p>
        </w:tc>
        <w:tc>
          <w:tcPr>
            <w:tcW w:w="1300" w:type="dxa"/>
            <w:vAlign w:val="bottom"/>
            <w:shd w:val="clear" w:color="auto" w:fill="CFF0FC"/>
          </w:tcPr>
          <w:p>
            <w:pPr>
              <w:jc w:val="right"/>
              <w:ind w:right="478"/>
              <w:spacing w:after="0"/>
              <w:rPr>
                <w:sz w:val="20"/>
                <w:szCs w:val="20"/>
                <w:color w:val="auto"/>
              </w:rPr>
            </w:pPr>
            <w:r>
              <w:rPr>
                <w:rFonts w:ascii="Times New Roman" w:cs="Times New Roman" w:eastAsia="Times New Roman" w:hAnsi="Times New Roman"/>
                <w:sz w:val="11"/>
                <w:szCs w:val="11"/>
                <w:color w:val="auto"/>
              </w:rPr>
              <w:t>E + 6.25%</w:t>
            </w:r>
          </w:p>
        </w:tc>
        <w:tc>
          <w:tcPr>
            <w:tcW w:w="920" w:type="dxa"/>
            <w:vAlign w:val="bottom"/>
            <w:shd w:val="clear" w:color="auto" w:fill="CFF0FC"/>
          </w:tcPr>
          <w:p>
            <w:pPr>
              <w:jc w:val="right"/>
              <w:ind w:right="37"/>
              <w:spacing w:after="0" w:line="133" w:lineRule="exact"/>
              <w:rPr>
                <w:sz w:val="20"/>
                <w:szCs w:val="20"/>
                <w:color w:val="auto"/>
              </w:rPr>
            </w:pPr>
            <w:r>
              <w:rPr>
                <w:rFonts w:ascii="Times New Roman" w:cs="Times New Roman" w:eastAsia="Times New Roman" w:hAnsi="Times New Roman"/>
                <w:sz w:val="13"/>
                <w:szCs w:val="13"/>
                <w:color w:val="auto"/>
              </w:rPr>
              <w:t>10.18 %</w:t>
            </w:r>
          </w:p>
        </w:tc>
        <w:tc>
          <w:tcPr>
            <w:tcW w:w="7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20,154</w:t>
            </w:r>
          </w:p>
        </w:tc>
        <w:tc>
          <w:tcPr>
            <w:tcW w:w="212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20,885</w:t>
            </w:r>
          </w:p>
        </w:tc>
        <w:tc>
          <w:tcPr>
            <w:tcW w:w="116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20" w:type="dxa"/>
            <w:vAlign w:val="bottom"/>
            <w:tcBorders>
              <w:bottom w:val="single" w:sz="8" w:color="CFF0FC"/>
            </w:tcBorders>
            <w:shd w:val="clear" w:color="auto" w:fill="CFF0FC"/>
          </w:tcPr>
          <w:p>
            <w:pPr>
              <w:spacing w:after="0"/>
              <w:rPr>
                <w:sz w:val="14"/>
                <w:szCs w:val="14"/>
                <w:color w:val="auto"/>
              </w:rPr>
            </w:pPr>
          </w:p>
        </w:tc>
        <w:tc>
          <w:tcPr>
            <w:tcW w:w="25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30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18,907)</w:t>
            </w:r>
          </w:p>
        </w:tc>
        <w:tc>
          <w:tcPr>
            <w:tcW w:w="2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299,460</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306,032</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16.8 %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Oil, Gas and Consumable</w:t>
            </w:r>
          </w:p>
        </w:tc>
        <w:tc>
          <w:tcPr>
            <w:tcW w:w="25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3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9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Fuels</w:t>
            </w:r>
          </w:p>
        </w:tc>
        <w:tc>
          <w:tcPr>
            <w:tcW w:w="25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20" w:type="dxa"/>
            <w:vAlign w:val="bottom"/>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Laramie Energy, LLC </w:t>
            </w:r>
            <w:r>
              <w:rPr>
                <w:rFonts w:ascii="Times New Roman" w:cs="Times New Roman" w:eastAsia="Times New Roman" w:hAnsi="Times New Roman"/>
                <w:sz w:val="15"/>
                <w:szCs w:val="15"/>
                <w:color w:val="auto"/>
                <w:vertAlign w:val="superscript"/>
              </w:rPr>
              <w:t>(3)</w:t>
            </w:r>
          </w:p>
        </w:tc>
        <w:tc>
          <w:tcPr>
            <w:tcW w:w="2520" w:type="dxa"/>
            <w:vAlign w:val="bottom"/>
          </w:tcPr>
          <w:p>
            <w:pPr>
              <w:ind w:left="100"/>
              <w:spacing w:after="0" w:line="131" w:lineRule="exact"/>
              <w:rPr>
                <w:sz w:val="20"/>
                <w:szCs w:val="20"/>
                <w:color w:val="auto"/>
              </w:rPr>
            </w:pPr>
            <w:r>
              <w:rPr>
                <w:rFonts w:ascii="Times New Roman" w:cs="Times New Roman" w:eastAsia="Times New Roman" w:hAnsi="Times New Roman"/>
                <w:sz w:val="13"/>
                <w:szCs w:val="13"/>
                <w:color w:val="auto"/>
              </w:rPr>
              <w:t>First-lien loan ($97,561 par, due 2/2027)</w:t>
            </w:r>
          </w:p>
        </w:tc>
        <w:tc>
          <w:tcPr>
            <w:tcW w:w="84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2/21/2023</w:t>
            </w:r>
          </w:p>
        </w:tc>
        <w:tc>
          <w:tcPr>
            <w:tcW w:w="1300" w:type="dxa"/>
            <w:vAlign w:val="bottom"/>
          </w:tcPr>
          <w:p>
            <w:pPr>
              <w:jc w:val="right"/>
              <w:ind w:right="518"/>
              <w:spacing w:after="0" w:line="131" w:lineRule="exact"/>
              <w:rPr>
                <w:sz w:val="20"/>
                <w:szCs w:val="20"/>
                <w:color w:val="auto"/>
              </w:rPr>
            </w:pPr>
            <w:r>
              <w:rPr>
                <w:rFonts w:ascii="Times New Roman" w:cs="Times New Roman" w:eastAsia="Times New Roman" w:hAnsi="Times New Roman"/>
                <w:sz w:val="13"/>
                <w:szCs w:val="13"/>
                <w:color w:val="auto"/>
              </w:rPr>
              <w:t>SOFR +</w:t>
            </w:r>
          </w:p>
        </w:tc>
        <w:tc>
          <w:tcPr>
            <w:tcW w:w="92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3"/>
                <w:szCs w:val="13"/>
                <w:color w:val="auto"/>
              </w:rPr>
              <w:t>12.46 %</w:t>
            </w:r>
          </w:p>
        </w:tc>
        <w:tc>
          <w:tcPr>
            <w:tcW w:w="76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95,599</w:t>
            </w:r>
          </w:p>
        </w:tc>
        <w:tc>
          <w:tcPr>
            <w:tcW w:w="21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96,936</w:t>
            </w:r>
          </w:p>
        </w:tc>
        <w:tc>
          <w:tcPr>
            <w:tcW w:w="116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rPr>
              <w:t>5.3 %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right"/>
              <w:ind w:right="478"/>
              <w:spacing w:after="0"/>
              <w:rPr>
                <w:sz w:val="20"/>
                <w:szCs w:val="20"/>
                <w:color w:val="auto"/>
              </w:rPr>
            </w:pPr>
            <w:r>
              <w:rPr>
                <w:rFonts w:ascii="Times New Roman" w:cs="Times New Roman" w:eastAsia="Times New Roman" w:hAnsi="Times New Roman"/>
                <w:sz w:val="13"/>
                <w:szCs w:val="13"/>
                <w:color w:val="auto"/>
              </w:rPr>
              <w:t>7.10%</w:t>
            </w: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62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3"/>
                <w:szCs w:val="13"/>
                <w:color w:val="auto"/>
              </w:rPr>
              <w:t>Mach Natural Resources LP</w:t>
            </w:r>
          </w:p>
        </w:tc>
        <w:tc>
          <w:tcPr>
            <w:tcW w:w="2520" w:type="dxa"/>
            <w:vAlign w:val="bottom"/>
            <w:shd w:val="clear" w:color="auto" w:fill="CFF0FC"/>
          </w:tcPr>
          <w:p>
            <w:pPr>
              <w:ind w:left="100"/>
              <w:spacing w:after="0" w:line="124" w:lineRule="exact"/>
              <w:rPr>
                <w:sz w:val="20"/>
                <w:szCs w:val="20"/>
                <w:color w:val="auto"/>
              </w:rPr>
            </w:pPr>
            <w:r>
              <w:rPr>
                <w:rFonts w:ascii="Times New Roman" w:cs="Times New Roman" w:eastAsia="Times New Roman" w:hAnsi="Times New Roman"/>
                <w:sz w:val="13"/>
                <w:szCs w:val="13"/>
                <w:color w:val="auto"/>
              </w:rPr>
              <w:t>First-lien loan ($135,000 par, due 12/2026)</w:t>
            </w:r>
          </w:p>
        </w:tc>
        <w:tc>
          <w:tcPr>
            <w:tcW w:w="840" w:type="dxa"/>
            <w:vAlign w:val="bottom"/>
            <w:shd w:val="clear" w:color="auto" w:fill="CFF0FC"/>
          </w:tcPr>
          <w:p>
            <w:pPr>
              <w:jc w:val="right"/>
              <w:ind w:right="37"/>
              <w:spacing w:after="0" w:line="124" w:lineRule="exact"/>
              <w:rPr>
                <w:sz w:val="20"/>
                <w:szCs w:val="20"/>
                <w:color w:val="auto"/>
              </w:rPr>
            </w:pPr>
            <w:r>
              <w:rPr>
                <w:rFonts w:ascii="Times New Roman" w:cs="Times New Roman" w:eastAsia="Times New Roman" w:hAnsi="Times New Roman"/>
                <w:sz w:val="13"/>
                <w:szCs w:val="13"/>
                <w:color w:val="auto"/>
              </w:rPr>
              <w:t>12/28/2023</w:t>
            </w:r>
          </w:p>
        </w:tc>
        <w:tc>
          <w:tcPr>
            <w:tcW w:w="1300" w:type="dxa"/>
            <w:vAlign w:val="bottom"/>
            <w:shd w:val="clear" w:color="auto" w:fill="CFF0FC"/>
          </w:tcPr>
          <w:p>
            <w:pPr>
              <w:jc w:val="right"/>
              <w:ind w:right="518"/>
              <w:spacing w:after="0" w:line="124" w:lineRule="exact"/>
              <w:rPr>
                <w:sz w:val="20"/>
                <w:szCs w:val="20"/>
                <w:color w:val="auto"/>
              </w:rPr>
            </w:pPr>
            <w:r>
              <w:rPr>
                <w:rFonts w:ascii="Times New Roman" w:cs="Times New Roman" w:eastAsia="Times New Roman" w:hAnsi="Times New Roman"/>
                <w:sz w:val="13"/>
                <w:szCs w:val="13"/>
                <w:color w:val="auto"/>
              </w:rPr>
              <w:t>SOFR +</w:t>
            </w:r>
          </w:p>
        </w:tc>
        <w:tc>
          <w:tcPr>
            <w:tcW w:w="920" w:type="dxa"/>
            <w:vAlign w:val="bottom"/>
            <w:shd w:val="clear" w:color="auto" w:fill="CFF0FC"/>
          </w:tcPr>
          <w:p>
            <w:pPr>
              <w:jc w:val="right"/>
              <w:ind w:right="37"/>
              <w:spacing w:after="0" w:line="124" w:lineRule="exact"/>
              <w:rPr>
                <w:sz w:val="20"/>
                <w:szCs w:val="20"/>
                <w:color w:val="auto"/>
              </w:rPr>
            </w:pPr>
            <w:r>
              <w:rPr>
                <w:rFonts w:ascii="Times New Roman" w:cs="Times New Roman" w:eastAsia="Times New Roman" w:hAnsi="Times New Roman"/>
                <w:sz w:val="13"/>
                <w:szCs w:val="13"/>
                <w:color w:val="auto"/>
              </w:rPr>
              <w:t>12.00 %</w:t>
            </w:r>
          </w:p>
        </w:tc>
        <w:tc>
          <w:tcPr>
            <w:tcW w:w="76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132,310</w:t>
            </w:r>
          </w:p>
        </w:tc>
        <w:tc>
          <w:tcPr>
            <w:tcW w:w="212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132,300</w:t>
            </w:r>
          </w:p>
        </w:tc>
        <w:tc>
          <w:tcPr>
            <w:tcW w:w="1160" w:type="dxa"/>
            <w:vAlign w:val="bottom"/>
            <w:gridSpan w:val="3"/>
            <w:shd w:val="clear" w:color="auto" w:fill="CFF0FC"/>
          </w:tcPr>
          <w:p>
            <w:pPr>
              <w:jc w:val="right"/>
              <w:spacing w:after="0" w:line="124" w:lineRule="exact"/>
              <w:rPr>
                <w:sz w:val="20"/>
                <w:szCs w:val="20"/>
                <w:color w:val="auto"/>
              </w:rPr>
            </w:pPr>
            <w:r>
              <w:rPr>
                <w:rFonts w:ascii="Times New Roman" w:cs="Times New Roman" w:eastAsia="Times New Roman" w:hAnsi="Times New Roman"/>
                <w:sz w:val="13"/>
                <w:szCs w:val="13"/>
                <w:color w:val="auto"/>
              </w:rPr>
              <w:t>7.3 %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(3)(4)</w:t>
            </w:r>
          </w:p>
        </w:tc>
        <w:tc>
          <w:tcPr>
            <w:tcW w:w="252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CFF0FC"/>
            </w:tcBorders>
            <w:shd w:val="clear" w:color="auto" w:fill="CFF0FC"/>
          </w:tcPr>
          <w:p>
            <w:pPr>
              <w:spacing w:after="0"/>
              <w:rPr>
                <w:sz w:val="12"/>
                <w:szCs w:val="12"/>
                <w:color w:val="auto"/>
              </w:rPr>
            </w:pPr>
          </w:p>
        </w:tc>
        <w:tc>
          <w:tcPr>
            <w:tcW w:w="1300" w:type="dxa"/>
            <w:vAlign w:val="bottom"/>
            <w:tcBorders>
              <w:bottom w:val="single" w:sz="8" w:color="CFF0FC"/>
            </w:tcBorders>
            <w:shd w:val="clear" w:color="auto" w:fill="CFF0FC"/>
          </w:tcPr>
          <w:p>
            <w:pPr>
              <w:jc w:val="right"/>
              <w:ind w:right="478"/>
              <w:spacing w:after="0" w:line="142" w:lineRule="exact"/>
              <w:rPr>
                <w:sz w:val="20"/>
                <w:szCs w:val="20"/>
                <w:color w:val="auto"/>
              </w:rPr>
            </w:pPr>
            <w:r>
              <w:rPr>
                <w:rFonts w:ascii="Times New Roman" w:cs="Times New Roman" w:eastAsia="Times New Roman" w:hAnsi="Times New Roman"/>
                <w:sz w:val="13"/>
                <w:szCs w:val="13"/>
                <w:color w:val="auto"/>
              </w:rPr>
              <w:t>6.50%</w:t>
            </w:r>
          </w:p>
        </w:tc>
        <w:tc>
          <w:tcPr>
            <w:tcW w:w="92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9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CFF0FC"/>
          </w:tcPr>
          <w:p>
            <w:pPr>
              <w:spacing w:after="0" w:line="20" w:lineRule="exact"/>
              <w:rPr>
                <w:sz w:val="1"/>
                <w:szCs w:val="1"/>
                <w:color w:val="auto"/>
              </w:rPr>
            </w:pPr>
          </w:p>
        </w:tc>
        <w:tc>
          <w:tcPr>
            <w:tcW w:w="25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-2219960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-2219960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-2219960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-685165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-685165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80"/>
          </w:cols>
          <w:pgMar w:left="320" w:top="977" w:right="299" w:bottom="1440" w:gutter="0" w:footer="0" w:header="0"/>
        </w:sectPr>
      </w:pPr>
    </w:p>
    <w:p>
      <w:pPr>
        <w:spacing w:after="0" w:line="169" w:lineRule="exact"/>
        <w:rPr>
          <w:sz w:val="20"/>
          <w:szCs w:val="20"/>
          <w:color w:val="auto"/>
        </w:rPr>
      </w:pPr>
    </w:p>
    <w:p>
      <w:pPr>
        <w:ind w:left="20" w:right="320"/>
        <w:spacing w:after="0" w:line="237" w:lineRule="auto"/>
        <w:rPr>
          <w:sz w:val="20"/>
          <w:szCs w:val="20"/>
          <w:color w:val="auto"/>
        </w:rPr>
      </w:pPr>
      <w:r>
        <w:rPr>
          <w:rFonts w:ascii="Times New Roman" w:cs="Times New Roman" w:eastAsia="Times New Roman" w:hAnsi="Times New Roman"/>
          <w:sz w:val="13"/>
          <w:szCs w:val="13"/>
          <w:b w:val="1"/>
          <w:bCs w:val="1"/>
          <w:color w:val="auto"/>
        </w:rPr>
        <w:t>Retail and Consumer Products</w:t>
      </w:r>
    </w:p>
    <w:p>
      <w:pPr>
        <w:ind w:left="20"/>
        <w:spacing w:after="0" w:line="189" w:lineRule="auto"/>
        <w:rPr>
          <w:sz w:val="20"/>
          <w:szCs w:val="20"/>
          <w:color w:val="auto"/>
        </w:rPr>
      </w:pPr>
      <w:r>
        <w:rPr>
          <w:rFonts w:ascii="Times New Roman" w:cs="Times New Roman" w:eastAsia="Times New Roman" w:hAnsi="Times New Roman"/>
          <w:sz w:val="10"/>
          <w:szCs w:val="10"/>
          <w:color w:val="auto"/>
        </w:rPr>
        <w:t xml:space="preserve">Bed Bath and Beyond Inc. </w:t>
      </w:r>
      <w:r>
        <w:rPr>
          <w:rFonts w:ascii="Times New Roman" w:cs="Times New Roman" w:eastAsia="Times New Roman" w:hAnsi="Times New Roman"/>
          <w:sz w:val="12"/>
          <w:szCs w:val="12"/>
          <w:color w:val="auto"/>
          <w:vertAlign w:val="superscript"/>
        </w:rPr>
        <w:t>(3)</w:t>
      </w:r>
    </w:p>
    <w:p>
      <w:pPr>
        <w:ind w:left="20"/>
        <w:spacing w:after="0"/>
        <w:rPr>
          <w:sz w:val="20"/>
          <w:szCs w:val="20"/>
          <w:color w:val="auto"/>
        </w:rPr>
      </w:pPr>
      <w:r>
        <w:rPr>
          <w:rFonts w:ascii="Times New Roman" w:cs="Times New Roman" w:eastAsia="Times New Roman" w:hAnsi="Times New Roman"/>
          <w:sz w:val="8"/>
          <w:szCs w:val="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Commercehub, Inc. </w:t>
      </w:r>
      <w:r>
        <w:rPr>
          <w:rFonts w:ascii="Times New Roman" w:cs="Times New Roman" w:eastAsia="Times New Roman" w:hAnsi="Times New Roman"/>
          <w:sz w:val="16"/>
          <w:szCs w:val="16"/>
          <w:color w:val="auto"/>
          <w:vertAlign w:val="superscript"/>
        </w:rPr>
        <w:t>(3)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227,909</w:t>
            </w:r>
          </w:p>
        </w:tc>
        <w:tc>
          <w:tcPr>
            <w:tcW w:w="22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229,236</w:t>
            </w:r>
          </w:p>
        </w:tc>
        <w:tc>
          <w:tcPr>
            <w:tcW w:w="2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12.6 %</w:t>
            </w:r>
          </w:p>
        </w:tc>
      </w:tr>
      <w:tr>
        <w:trPr>
          <w:trHeight w:val="20"/>
        </w:trPr>
        <w:tc>
          <w:tcPr>
            <w:tcW w:w="2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1"/>
        </w:trPr>
        <w:tc>
          <w:tcPr>
            <w:tcW w:w="2380" w:type="dxa"/>
            <w:vAlign w:val="bottom"/>
          </w:tcPr>
          <w:p>
            <w:pPr>
              <w:spacing w:after="0"/>
              <w:rPr>
                <w:sz w:val="20"/>
                <w:szCs w:val="20"/>
                <w:color w:val="auto"/>
              </w:rPr>
            </w:pPr>
            <w:r>
              <w:rPr>
                <w:rFonts w:ascii="Times New Roman" w:cs="Times New Roman" w:eastAsia="Times New Roman" w:hAnsi="Times New Roman"/>
                <w:sz w:val="13"/>
                <w:szCs w:val="13"/>
                <w:color w:val="auto"/>
              </w:rPr>
              <w:t>ABL FILO term loan ($25,574 par, due</w:t>
            </w:r>
          </w:p>
        </w:tc>
        <w:tc>
          <w:tcPr>
            <w:tcW w:w="980" w:type="dxa"/>
            <w:vAlign w:val="bottom"/>
          </w:tcPr>
          <w:p>
            <w:pPr>
              <w:jc w:val="right"/>
              <w:ind w:right="142"/>
              <w:spacing w:after="0"/>
              <w:rPr>
                <w:sz w:val="20"/>
                <w:szCs w:val="20"/>
                <w:color w:val="auto"/>
              </w:rPr>
            </w:pPr>
            <w:r>
              <w:rPr>
                <w:rFonts w:ascii="Times New Roman" w:cs="Times New Roman" w:eastAsia="Times New Roman" w:hAnsi="Times New Roman"/>
                <w:sz w:val="13"/>
                <w:szCs w:val="13"/>
                <w:color w:val="auto"/>
              </w:rPr>
              <w:t>9/2/2022</w:t>
            </w:r>
          </w:p>
        </w:tc>
        <w:tc>
          <w:tcPr>
            <w:tcW w:w="92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SOFR +</w:t>
            </w: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15.26 %</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25,040</w:t>
            </w:r>
          </w:p>
        </w:tc>
        <w:tc>
          <w:tcPr>
            <w:tcW w:w="2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24,487</w:t>
            </w:r>
          </w:p>
        </w:tc>
        <w:tc>
          <w:tcPr>
            <w:tcW w:w="2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1.3 %</w:t>
            </w:r>
          </w:p>
        </w:tc>
      </w:tr>
      <w:tr>
        <w:trPr>
          <w:trHeight w:val="162"/>
        </w:trPr>
        <w:tc>
          <w:tcPr>
            <w:tcW w:w="2380" w:type="dxa"/>
            <w:vAlign w:val="bottom"/>
          </w:tcPr>
          <w:p>
            <w:pPr>
              <w:spacing w:after="0"/>
              <w:rPr>
                <w:sz w:val="20"/>
                <w:szCs w:val="20"/>
                <w:color w:val="auto"/>
              </w:rPr>
            </w:pPr>
            <w:r>
              <w:rPr>
                <w:rFonts w:ascii="Times New Roman" w:cs="Times New Roman" w:eastAsia="Times New Roman" w:hAnsi="Times New Roman"/>
                <w:sz w:val="13"/>
                <w:szCs w:val="13"/>
                <w:color w:val="auto"/>
              </w:rPr>
              <w:t>8/2027)</w:t>
            </w:r>
          </w:p>
        </w:tc>
        <w:tc>
          <w:tcPr>
            <w:tcW w:w="980" w:type="dxa"/>
            <w:vAlign w:val="bottom"/>
          </w:tcPr>
          <w:p>
            <w:pPr>
              <w:spacing w:after="0"/>
              <w:rPr>
                <w:sz w:val="14"/>
                <w:szCs w:val="14"/>
                <w:color w:val="auto"/>
              </w:rPr>
            </w:pPr>
          </w:p>
        </w:tc>
        <w:tc>
          <w:tcPr>
            <w:tcW w:w="92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9.90%</w:t>
            </w: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Roll Up DIP term loan ($8,617 par, due</w:t>
            </w:r>
          </w:p>
        </w:tc>
        <w:tc>
          <w:tcPr>
            <w:tcW w:w="980" w:type="dxa"/>
            <w:vAlign w:val="bottom"/>
          </w:tcPr>
          <w:p>
            <w:pPr>
              <w:jc w:val="right"/>
              <w:ind w:right="142"/>
              <w:spacing w:after="0"/>
              <w:rPr>
                <w:sz w:val="20"/>
                <w:szCs w:val="20"/>
                <w:color w:val="auto"/>
              </w:rPr>
            </w:pPr>
            <w:r>
              <w:rPr>
                <w:rFonts w:ascii="Times New Roman" w:cs="Times New Roman" w:eastAsia="Times New Roman" w:hAnsi="Times New Roman"/>
                <w:sz w:val="11"/>
                <w:szCs w:val="11"/>
                <w:color w:val="auto"/>
              </w:rPr>
              <w:t>4/24/2023</w:t>
            </w:r>
          </w:p>
        </w:tc>
        <w:tc>
          <w:tcPr>
            <w:tcW w:w="92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SOFR +</w:t>
            </w:r>
          </w:p>
        </w:tc>
        <w:tc>
          <w:tcPr>
            <w:tcW w:w="12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13.26 %</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8,617</w:t>
            </w:r>
          </w:p>
        </w:tc>
        <w:tc>
          <w:tcPr>
            <w:tcW w:w="2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8,250</w:t>
            </w:r>
          </w:p>
        </w:tc>
        <w:tc>
          <w:tcPr>
            <w:tcW w:w="118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0.5 %</w:t>
            </w:r>
          </w:p>
        </w:tc>
      </w:tr>
      <w:tr>
        <w:trPr>
          <w:trHeight w:val="162"/>
        </w:trPr>
        <w:tc>
          <w:tcPr>
            <w:tcW w:w="2380" w:type="dxa"/>
            <w:vAlign w:val="bottom"/>
          </w:tcPr>
          <w:p>
            <w:pPr>
              <w:spacing w:after="0"/>
              <w:rPr>
                <w:sz w:val="20"/>
                <w:szCs w:val="20"/>
                <w:color w:val="auto"/>
              </w:rPr>
            </w:pPr>
            <w:r>
              <w:rPr>
                <w:rFonts w:ascii="Times New Roman" w:cs="Times New Roman" w:eastAsia="Times New Roman" w:hAnsi="Times New Roman"/>
                <w:sz w:val="13"/>
                <w:szCs w:val="13"/>
                <w:color w:val="auto"/>
              </w:rPr>
              <w:t>9/2024)</w:t>
            </w:r>
          </w:p>
        </w:tc>
        <w:tc>
          <w:tcPr>
            <w:tcW w:w="980" w:type="dxa"/>
            <w:vAlign w:val="bottom"/>
          </w:tcPr>
          <w:p>
            <w:pPr>
              <w:spacing w:after="0"/>
              <w:rPr>
                <w:sz w:val="14"/>
                <w:szCs w:val="14"/>
                <w:color w:val="auto"/>
              </w:rPr>
            </w:pPr>
          </w:p>
        </w:tc>
        <w:tc>
          <w:tcPr>
            <w:tcW w:w="92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7.90%</w:t>
            </w: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Super-Priority DIP term loan ($47,147 par,</w:t>
            </w:r>
          </w:p>
        </w:tc>
        <w:tc>
          <w:tcPr>
            <w:tcW w:w="980" w:type="dxa"/>
            <w:vAlign w:val="bottom"/>
          </w:tcPr>
          <w:p>
            <w:pPr>
              <w:jc w:val="right"/>
              <w:ind w:right="142"/>
              <w:spacing w:after="0"/>
              <w:rPr>
                <w:sz w:val="20"/>
                <w:szCs w:val="20"/>
                <w:color w:val="auto"/>
              </w:rPr>
            </w:pPr>
            <w:r>
              <w:rPr>
                <w:rFonts w:ascii="Times New Roman" w:cs="Times New Roman" w:eastAsia="Times New Roman" w:hAnsi="Times New Roman"/>
                <w:sz w:val="11"/>
                <w:szCs w:val="11"/>
                <w:color w:val="auto"/>
              </w:rPr>
              <w:t>4/24/2023</w:t>
            </w:r>
          </w:p>
        </w:tc>
        <w:tc>
          <w:tcPr>
            <w:tcW w:w="92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SOFR +</w:t>
            </w:r>
          </w:p>
        </w:tc>
        <w:tc>
          <w:tcPr>
            <w:tcW w:w="120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13.26% (incl.</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47,147</w:t>
            </w:r>
          </w:p>
        </w:tc>
        <w:tc>
          <w:tcPr>
            <w:tcW w:w="2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45,143</w:t>
            </w:r>
          </w:p>
        </w:tc>
        <w:tc>
          <w:tcPr>
            <w:tcW w:w="118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2.5 %</w:t>
            </w:r>
          </w:p>
        </w:tc>
      </w:tr>
      <w:tr>
        <w:trPr>
          <w:trHeight w:val="162"/>
        </w:trPr>
        <w:tc>
          <w:tcPr>
            <w:tcW w:w="2380" w:type="dxa"/>
            <w:vAlign w:val="bottom"/>
          </w:tcPr>
          <w:p>
            <w:pPr>
              <w:spacing w:after="0"/>
              <w:rPr>
                <w:sz w:val="20"/>
                <w:szCs w:val="20"/>
                <w:color w:val="auto"/>
              </w:rPr>
            </w:pPr>
            <w:r>
              <w:rPr>
                <w:rFonts w:ascii="Times New Roman" w:cs="Times New Roman" w:eastAsia="Times New Roman" w:hAnsi="Times New Roman"/>
                <w:sz w:val="13"/>
                <w:szCs w:val="13"/>
                <w:color w:val="auto"/>
              </w:rPr>
              <w:t>due 9/2024)</w:t>
            </w:r>
          </w:p>
        </w:tc>
        <w:tc>
          <w:tcPr>
            <w:tcW w:w="980" w:type="dxa"/>
            <w:vAlign w:val="bottom"/>
          </w:tcPr>
          <w:p>
            <w:pPr>
              <w:spacing w:after="0"/>
              <w:rPr>
                <w:sz w:val="14"/>
                <w:szCs w:val="14"/>
                <w:color w:val="auto"/>
              </w:rPr>
            </w:pPr>
          </w:p>
        </w:tc>
        <w:tc>
          <w:tcPr>
            <w:tcW w:w="92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7.90%</w:t>
            </w:r>
          </w:p>
        </w:tc>
        <w:tc>
          <w:tcPr>
            <w:tcW w:w="12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13.26% PIK)</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($148,500 par, due 12/2027)</w:t>
            </w:r>
          </w:p>
        </w:tc>
        <w:tc>
          <w:tcPr>
            <w:tcW w:w="980" w:type="dxa"/>
            <w:vAlign w:val="bottom"/>
          </w:tcPr>
          <w:p>
            <w:pPr>
              <w:jc w:val="right"/>
              <w:ind w:right="142"/>
              <w:spacing w:after="0" w:line="135" w:lineRule="exact"/>
              <w:rPr>
                <w:sz w:val="20"/>
                <w:szCs w:val="20"/>
                <w:color w:val="auto"/>
              </w:rPr>
            </w:pPr>
            <w:r>
              <w:rPr>
                <w:rFonts w:ascii="Times New Roman" w:cs="Times New Roman" w:eastAsia="Times New Roman" w:hAnsi="Times New Roman"/>
                <w:sz w:val="13"/>
                <w:szCs w:val="13"/>
                <w:color w:val="auto"/>
              </w:rPr>
              <w:t>11/15/2022</w:t>
            </w:r>
          </w:p>
        </w:tc>
        <w:tc>
          <w:tcPr>
            <w:tcW w:w="92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SOFR +</w:t>
            </w:r>
          </w:p>
        </w:tc>
        <w:tc>
          <w:tcPr>
            <w:tcW w:w="12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11.79 %</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139,880</w:t>
            </w:r>
          </w:p>
        </w:tc>
        <w:tc>
          <w:tcPr>
            <w:tcW w:w="2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145,530</w:t>
            </w:r>
          </w:p>
        </w:tc>
        <w:tc>
          <w:tcPr>
            <w:tcW w:w="118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8.0 %</w:t>
            </w:r>
          </w:p>
        </w:tc>
      </w:tr>
      <w:tr>
        <w:trPr>
          <w:trHeight w:val="164"/>
        </w:trPr>
        <w:tc>
          <w:tcPr>
            <w:tcW w:w="2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6.25%</w:t>
            </w: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-940435</wp:posOffset>
            </wp:positionV>
            <wp:extent cx="7132320"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-563880</wp:posOffset>
            </wp:positionV>
            <wp:extent cx="713232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-186690</wp:posOffset>
            </wp:positionV>
            <wp:extent cx="7132320"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480" w:space="240"/>
            <w:col w:w="9560"/>
          </w:cols>
          <w:pgMar w:left="320" w:top="977" w:right="29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1620" w:type="dxa"/>
            <w:vAlign w:val="bottom"/>
          </w:tcPr>
          <w:p>
            <w:pPr>
              <w:ind w:left="20"/>
              <w:spacing w:after="0" w:line="124" w:lineRule="exact"/>
              <w:rPr>
                <w:sz w:val="20"/>
                <w:szCs w:val="20"/>
                <w:color w:val="auto"/>
              </w:rPr>
            </w:pPr>
            <w:r>
              <w:rPr>
                <w:rFonts w:ascii="Times New Roman" w:cs="Times New Roman" w:eastAsia="Times New Roman" w:hAnsi="Times New Roman"/>
                <w:sz w:val="13"/>
                <w:szCs w:val="13"/>
                <w:color w:val="auto"/>
              </w:rPr>
              <w:t>Rapid Data GmbH</w:t>
            </w:r>
          </w:p>
        </w:tc>
        <w:tc>
          <w:tcPr>
            <w:tcW w:w="2500" w:type="dxa"/>
            <w:vAlign w:val="bottom"/>
          </w:tcPr>
          <w:p>
            <w:pPr>
              <w:ind w:left="100"/>
              <w:spacing w:after="0" w:line="124" w:lineRule="exact"/>
              <w:rPr>
                <w:sz w:val="20"/>
                <w:szCs w:val="20"/>
                <w:color w:val="auto"/>
              </w:rPr>
            </w:pPr>
            <w:r>
              <w:rPr>
                <w:rFonts w:ascii="Times New Roman" w:cs="Times New Roman" w:eastAsia="Times New Roman" w:hAnsi="Times New Roman"/>
                <w:sz w:val="13"/>
                <w:szCs w:val="13"/>
                <w:color w:val="auto"/>
              </w:rPr>
              <w:t>First-lien loan (EUR 4,495 par, due 7/2029)</w:t>
            </w:r>
          </w:p>
        </w:tc>
        <w:tc>
          <w:tcPr>
            <w:tcW w:w="960" w:type="dxa"/>
            <w:vAlign w:val="bottom"/>
          </w:tcPr>
          <w:p>
            <w:pPr>
              <w:jc w:val="right"/>
              <w:ind w:right="137"/>
              <w:spacing w:after="0" w:line="124" w:lineRule="exact"/>
              <w:rPr>
                <w:sz w:val="20"/>
                <w:szCs w:val="20"/>
                <w:color w:val="auto"/>
              </w:rPr>
            </w:pPr>
            <w:r>
              <w:rPr>
                <w:rFonts w:ascii="Times New Roman" w:cs="Times New Roman" w:eastAsia="Times New Roman" w:hAnsi="Times New Roman"/>
                <w:sz w:val="13"/>
                <w:szCs w:val="13"/>
                <w:color w:val="auto"/>
              </w:rPr>
              <w:t>7/11/2023</w:t>
            </w:r>
          </w:p>
        </w:tc>
        <w:tc>
          <w:tcPr>
            <w:tcW w:w="1140" w:type="dxa"/>
            <w:vAlign w:val="bottom"/>
          </w:tcPr>
          <w:p>
            <w:pPr>
              <w:ind w:left="200"/>
              <w:spacing w:after="0" w:line="124" w:lineRule="exact"/>
              <w:rPr>
                <w:sz w:val="20"/>
                <w:szCs w:val="20"/>
                <w:color w:val="auto"/>
              </w:rPr>
            </w:pPr>
            <w:r>
              <w:rPr>
                <w:rFonts w:ascii="Times New Roman" w:cs="Times New Roman" w:eastAsia="Times New Roman" w:hAnsi="Times New Roman"/>
                <w:sz w:val="11"/>
                <w:szCs w:val="11"/>
                <w:color w:val="auto"/>
              </w:rPr>
              <w:t>E + 6.50%</w:t>
            </w:r>
          </w:p>
        </w:tc>
        <w:tc>
          <w:tcPr>
            <w:tcW w:w="980" w:type="dxa"/>
            <w:vAlign w:val="bottom"/>
          </w:tcPr>
          <w:p>
            <w:pPr>
              <w:jc w:val="right"/>
              <w:ind w:right="37"/>
              <w:spacing w:after="0" w:line="124" w:lineRule="exact"/>
              <w:rPr>
                <w:sz w:val="20"/>
                <w:szCs w:val="20"/>
                <w:color w:val="auto"/>
              </w:rPr>
            </w:pPr>
            <w:r>
              <w:rPr>
                <w:rFonts w:ascii="Times New Roman" w:cs="Times New Roman" w:eastAsia="Times New Roman" w:hAnsi="Times New Roman"/>
                <w:sz w:val="13"/>
                <w:szCs w:val="13"/>
                <w:color w:val="auto"/>
              </w:rPr>
              <w:t>10.48 %</w:t>
            </w:r>
          </w:p>
        </w:tc>
        <w:tc>
          <w:tcPr>
            <w:tcW w:w="160" w:type="dxa"/>
            <w:vAlign w:val="bottom"/>
          </w:tcPr>
          <w:p>
            <w:pPr>
              <w:spacing w:after="0"/>
              <w:rPr>
                <w:sz w:val="10"/>
                <w:szCs w:val="10"/>
                <w:color w:val="auto"/>
              </w:rPr>
            </w:pPr>
          </w:p>
        </w:tc>
        <w:tc>
          <w:tcPr>
            <w:tcW w:w="600" w:type="dxa"/>
            <w:vAlign w:val="bottom"/>
          </w:tcPr>
          <w:p>
            <w:pPr>
              <w:jc w:val="right"/>
              <w:spacing w:after="0" w:line="124" w:lineRule="exact"/>
              <w:rPr>
                <w:sz w:val="20"/>
                <w:szCs w:val="20"/>
                <w:color w:val="auto"/>
              </w:rPr>
            </w:pPr>
            <w:r>
              <w:rPr>
                <w:rFonts w:ascii="Times New Roman" w:cs="Times New Roman" w:eastAsia="Times New Roman" w:hAnsi="Times New Roman"/>
                <w:sz w:val="13"/>
                <w:szCs w:val="13"/>
                <w:color w:val="auto"/>
              </w:rPr>
              <w:t>4,677</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Pr>
          <w:p>
            <w:pPr>
              <w:jc w:val="right"/>
              <w:spacing w:after="0" w:line="124" w:lineRule="exact"/>
              <w:rPr>
                <w:sz w:val="20"/>
                <w:szCs w:val="20"/>
                <w:color w:val="auto"/>
              </w:rPr>
            </w:pPr>
            <w:r>
              <w:rPr>
                <w:rFonts w:ascii="Times New Roman" w:cs="Times New Roman" w:eastAsia="Times New Roman" w:hAnsi="Times New Roman"/>
                <w:sz w:val="13"/>
                <w:szCs w:val="13"/>
                <w:color w:val="auto"/>
              </w:rPr>
              <w:t>4,853</w:t>
            </w:r>
          </w:p>
        </w:tc>
        <w:tc>
          <w:tcPr>
            <w:tcW w:w="1200" w:type="dxa"/>
            <w:vAlign w:val="bottom"/>
            <w:gridSpan w:val="4"/>
          </w:tcPr>
          <w:p>
            <w:pPr>
              <w:jc w:val="right"/>
              <w:ind w:right="20"/>
              <w:spacing w:after="0" w:line="124" w:lineRule="exact"/>
              <w:rPr>
                <w:sz w:val="20"/>
                <w:szCs w:val="20"/>
                <w:color w:val="auto"/>
              </w:rPr>
            </w:pPr>
            <w:r>
              <w:rPr>
                <w:rFonts w:ascii="Times New Roman" w:cs="Times New Roman" w:eastAsia="Times New Roman" w:hAnsi="Times New Roman"/>
                <w:sz w:val="13"/>
                <w:szCs w:val="13"/>
                <w:color w:val="auto"/>
              </w:rPr>
              <w:t>0.3 %</w:t>
            </w:r>
          </w:p>
        </w:tc>
        <w:tc>
          <w:tcPr>
            <w:tcW w:w="0" w:type="dxa"/>
            <w:vAlign w:val="bottom"/>
          </w:tcPr>
          <w:p>
            <w:pPr>
              <w:spacing w:after="0"/>
              <w:rPr>
                <w:sz w:val="1"/>
                <w:szCs w:val="1"/>
                <w:color w:val="auto"/>
              </w:rPr>
            </w:pPr>
          </w:p>
        </w:tc>
      </w:tr>
      <w:tr>
        <w:trPr>
          <w:trHeight w:val="176"/>
        </w:trPr>
        <w:tc>
          <w:tcPr>
            <w:tcW w:w="162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 xml:space="preserve">Unternehmensberatung </w:t>
            </w:r>
            <w:r>
              <w:rPr>
                <w:rFonts w:ascii="Times New Roman" w:cs="Times New Roman" w:eastAsia="Times New Roman" w:hAnsi="Times New Roman"/>
                <w:sz w:val="16"/>
                <w:szCs w:val="16"/>
                <w:color w:val="auto"/>
                <w:vertAlign w:val="superscript"/>
              </w:rPr>
              <w:t>(3)(4)</w:t>
            </w:r>
          </w:p>
        </w:tc>
        <w:tc>
          <w:tcPr>
            <w:tcW w:w="2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(EUR 4,393)</w:t>
            </w:r>
          </w:p>
        </w:tc>
        <w:tc>
          <w:tcPr>
            <w:tcW w:w="2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620" w:type="dxa"/>
            <w:vAlign w:val="bottom"/>
            <w:shd w:val="clear" w:color="auto" w:fill="CFF0FC"/>
          </w:tcPr>
          <w:p>
            <w:pPr>
              <w:spacing w:after="0"/>
              <w:rPr>
                <w:sz w:val="13"/>
                <w:szCs w:val="13"/>
                <w:color w:val="auto"/>
              </w:rPr>
            </w:pPr>
          </w:p>
        </w:tc>
        <w:tc>
          <w:tcPr>
            <w:tcW w:w="25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225,361</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228,263</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20" w:type="dxa"/>
            <w:vAlign w:val="bottom"/>
            <w:tcBorders>
              <w:top w:val="single" w:sz="8" w:color="CFF0FC"/>
            </w:tcBorders>
          </w:tcPr>
          <w:p>
            <w:pPr>
              <w:spacing w:after="0"/>
              <w:rPr>
                <w:sz w:val="13"/>
                <w:szCs w:val="13"/>
                <w:color w:val="auto"/>
              </w:rPr>
            </w:pPr>
          </w:p>
        </w:tc>
        <w:tc>
          <w:tcPr>
            <w:tcW w:w="2500" w:type="dxa"/>
            <w:vAlign w:val="bottom"/>
            <w:tcBorders>
              <w:top w:val="single" w:sz="8" w:color="CFF0FC"/>
            </w:tcBorders>
          </w:tcPr>
          <w:p>
            <w:pPr>
              <w:spacing w:after="0"/>
              <w:rPr>
                <w:sz w:val="13"/>
                <w:szCs w:val="13"/>
                <w:color w:val="auto"/>
              </w:rPr>
            </w:pPr>
          </w:p>
        </w:tc>
        <w:tc>
          <w:tcPr>
            <w:tcW w:w="960" w:type="dxa"/>
            <w:vAlign w:val="bottom"/>
            <w:tcBorders>
              <w:top w:val="single" w:sz="8" w:color="CFF0FC"/>
            </w:tcBorders>
          </w:tcPr>
          <w:p>
            <w:pPr>
              <w:spacing w:after="0"/>
              <w:rPr>
                <w:sz w:val="13"/>
                <w:szCs w:val="13"/>
                <w:color w:val="auto"/>
              </w:rPr>
            </w:pPr>
          </w:p>
        </w:tc>
        <w:tc>
          <w:tcPr>
            <w:tcW w:w="1140" w:type="dxa"/>
            <w:vAlign w:val="bottom"/>
            <w:tcBorders>
              <w:top w:val="single" w:sz="8" w:color="CFF0FC"/>
            </w:tcBorders>
          </w:tcPr>
          <w:p>
            <w:pPr>
              <w:spacing w:after="0"/>
              <w:rPr>
                <w:sz w:val="13"/>
                <w:szCs w:val="13"/>
                <w:color w:val="auto"/>
              </w:rPr>
            </w:pPr>
          </w:p>
        </w:tc>
        <w:tc>
          <w:tcPr>
            <w:tcW w:w="980" w:type="dxa"/>
            <w:vAlign w:val="bottom"/>
            <w:tcBorders>
              <w:top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Debt Investments</w:t>
            </w:r>
          </w:p>
        </w:tc>
        <w:tc>
          <w:tcPr>
            <w:tcW w:w="25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2,975,175</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3,036,500</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167.2 %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20" w:type="dxa"/>
            <w:vAlign w:val="bottom"/>
            <w:tcBorders>
              <w:top w:val="single" w:sz="8" w:color="CFF0FC"/>
            </w:tcBorders>
          </w:tcPr>
          <w:p>
            <w:pPr>
              <w:spacing w:after="0"/>
              <w:rPr>
                <w:sz w:val="13"/>
                <w:szCs w:val="13"/>
                <w:color w:val="auto"/>
              </w:rPr>
            </w:pPr>
          </w:p>
        </w:tc>
        <w:tc>
          <w:tcPr>
            <w:tcW w:w="2500" w:type="dxa"/>
            <w:vAlign w:val="bottom"/>
            <w:tcBorders>
              <w:top w:val="single" w:sz="8" w:color="CFF0FC"/>
            </w:tcBorders>
          </w:tcPr>
          <w:p>
            <w:pPr>
              <w:spacing w:after="0"/>
              <w:rPr>
                <w:sz w:val="13"/>
                <w:szCs w:val="13"/>
                <w:color w:val="auto"/>
              </w:rPr>
            </w:pPr>
          </w:p>
        </w:tc>
        <w:tc>
          <w:tcPr>
            <w:tcW w:w="960" w:type="dxa"/>
            <w:vAlign w:val="bottom"/>
            <w:tcBorders>
              <w:top w:val="single" w:sz="8" w:color="CFF0FC"/>
            </w:tcBorders>
          </w:tcPr>
          <w:p>
            <w:pPr>
              <w:spacing w:after="0"/>
              <w:rPr>
                <w:sz w:val="13"/>
                <w:szCs w:val="13"/>
                <w:color w:val="auto"/>
              </w:rPr>
            </w:pPr>
          </w:p>
        </w:tc>
        <w:tc>
          <w:tcPr>
            <w:tcW w:w="1140" w:type="dxa"/>
            <w:vAlign w:val="bottom"/>
            <w:tcBorders>
              <w:top w:val="single" w:sz="8" w:color="CFF0FC"/>
            </w:tcBorders>
          </w:tcPr>
          <w:p>
            <w:pPr>
              <w:spacing w:after="0"/>
              <w:rPr>
                <w:sz w:val="13"/>
                <w:szCs w:val="13"/>
                <w:color w:val="auto"/>
              </w:rPr>
            </w:pPr>
          </w:p>
        </w:tc>
        <w:tc>
          <w:tcPr>
            <w:tcW w:w="98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62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Equity and Other</w:t>
            </w:r>
          </w:p>
        </w:tc>
        <w:tc>
          <w:tcPr>
            <w:tcW w:w="25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5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Business Services</w:t>
            </w:r>
          </w:p>
        </w:tc>
        <w:tc>
          <w:tcPr>
            <w:tcW w:w="25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AF Eagle Parent, L.P. </w:t>
            </w:r>
            <w:r>
              <w:rPr>
                <w:rFonts w:ascii="Times New Roman" w:cs="Times New Roman" w:eastAsia="Times New Roman" w:hAnsi="Times New Roman"/>
                <w:sz w:val="16"/>
                <w:szCs w:val="16"/>
                <w:color w:val="auto"/>
                <w:vertAlign w:val="superscript"/>
              </w:rPr>
              <w:t>(8)(10)</w:t>
            </w:r>
          </w:p>
        </w:tc>
        <w:tc>
          <w:tcPr>
            <w:tcW w:w="2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Partnership Units (337,024)</w:t>
            </w:r>
          </w:p>
        </w:tc>
        <w:tc>
          <w:tcPr>
            <w:tcW w:w="9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11/27/2023</w:t>
            </w: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11,364</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11,364</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Artisan Topco LP </w:t>
            </w:r>
            <w:r>
              <w:rPr>
                <w:rFonts w:ascii="Times New Roman" w:cs="Times New Roman" w:eastAsia="Times New Roman" w:hAnsi="Times New Roman"/>
                <w:sz w:val="16"/>
                <w:szCs w:val="16"/>
                <w:color w:val="auto"/>
                <w:vertAlign w:val="superscript"/>
              </w:rPr>
              <w:t>(8)(10)</w:t>
            </w:r>
          </w:p>
        </w:tc>
        <w:tc>
          <w:tcPr>
            <w:tcW w:w="2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Class A Preferred Units (7,882,736 units)</w:t>
            </w:r>
          </w:p>
        </w:tc>
        <w:tc>
          <w:tcPr>
            <w:tcW w:w="96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11/7/2023</w:t>
            </w:r>
          </w:p>
        </w:tc>
        <w:tc>
          <w:tcPr>
            <w:tcW w:w="1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7,883</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7,883</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Warrior TopCo LP </w:t>
            </w:r>
            <w:r>
              <w:rPr>
                <w:rFonts w:ascii="Times New Roman" w:cs="Times New Roman" w:eastAsia="Times New Roman" w:hAnsi="Times New Roman"/>
                <w:sz w:val="16"/>
                <w:szCs w:val="16"/>
                <w:color w:val="auto"/>
                <w:vertAlign w:val="superscript"/>
              </w:rPr>
              <w:t>(8)(10)</w:t>
            </w:r>
          </w:p>
        </w:tc>
        <w:tc>
          <w:tcPr>
            <w:tcW w:w="2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Class A Units (9,576,271 units)</w:t>
            </w:r>
          </w:p>
        </w:tc>
        <w:tc>
          <w:tcPr>
            <w:tcW w:w="9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7/7/2023</w:t>
            </w: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9,576</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9,576</w:t>
            </w:r>
          </w:p>
        </w:tc>
        <w:tc>
          <w:tcPr>
            <w:tcW w:w="2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20" w:type="dxa"/>
            <w:vAlign w:val="bottom"/>
            <w:shd w:val="clear" w:color="auto" w:fill="CFF0FC"/>
          </w:tcPr>
          <w:p>
            <w:pPr>
              <w:spacing w:after="0"/>
              <w:rPr>
                <w:sz w:val="13"/>
                <w:szCs w:val="13"/>
                <w:color w:val="auto"/>
              </w:rPr>
            </w:pPr>
          </w:p>
        </w:tc>
        <w:tc>
          <w:tcPr>
            <w:tcW w:w="25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28,823</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28,823</w:t>
            </w:r>
          </w:p>
        </w:tc>
        <w:tc>
          <w:tcPr>
            <w:tcW w:w="2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Services</w:t>
            </w:r>
          </w:p>
        </w:tc>
        <w:tc>
          <w:tcPr>
            <w:tcW w:w="2500" w:type="dxa"/>
            <w:vAlign w:val="bottom"/>
            <w:tcBorders>
              <w:top w:val="single" w:sz="8" w:color="CFF0FC"/>
            </w:tcBorders>
          </w:tcPr>
          <w:p>
            <w:pPr>
              <w:spacing w:after="0"/>
              <w:rPr>
                <w:sz w:val="13"/>
                <w:szCs w:val="13"/>
                <w:color w:val="auto"/>
              </w:rPr>
            </w:pPr>
          </w:p>
        </w:tc>
        <w:tc>
          <w:tcPr>
            <w:tcW w:w="960" w:type="dxa"/>
            <w:vAlign w:val="bottom"/>
            <w:tcBorders>
              <w:top w:val="single" w:sz="8" w:color="CFF0FC"/>
            </w:tcBorders>
          </w:tcPr>
          <w:p>
            <w:pPr>
              <w:spacing w:after="0"/>
              <w:rPr>
                <w:sz w:val="13"/>
                <w:szCs w:val="13"/>
                <w:color w:val="auto"/>
              </w:rPr>
            </w:pPr>
          </w:p>
        </w:tc>
        <w:tc>
          <w:tcPr>
            <w:tcW w:w="1140" w:type="dxa"/>
            <w:vAlign w:val="bottom"/>
            <w:tcBorders>
              <w:top w:val="single" w:sz="8" w:color="CFF0FC"/>
            </w:tcBorders>
          </w:tcPr>
          <w:p>
            <w:pPr>
              <w:spacing w:after="0"/>
              <w:rPr>
                <w:sz w:val="13"/>
                <w:szCs w:val="13"/>
                <w:color w:val="auto"/>
              </w:rPr>
            </w:pPr>
          </w:p>
        </w:tc>
        <w:tc>
          <w:tcPr>
            <w:tcW w:w="98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w w:val="99"/>
              </w:rPr>
              <w:t xml:space="preserve">CLGF Holdings, L.P. </w:t>
            </w:r>
            <w:r>
              <w:rPr>
                <w:rFonts w:ascii="Times New Roman" w:cs="Times New Roman" w:eastAsia="Times New Roman" w:hAnsi="Times New Roman"/>
                <w:sz w:val="16"/>
                <w:szCs w:val="16"/>
                <w:color w:val="auto"/>
                <w:w w:val="99"/>
                <w:vertAlign w:val="superscript"/>
              </w:rPr>
              <w:t>(4)(8)(10)</w:t>
            </w:r>
          </w:p>
        </w:tc>
        <w:tc>
          <w:tcPr>
            <w:tcW w:w="2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8,358,075 Warrants</w:t>
            </w:r>
          </w:p>
        </w:tc>
        <w:tc>
          <w:tcPr>
            <w:tcW w:w="96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11/7/2023</w:t>
            </w:r>
          </w:p>
        </w:tc>
        <w:tc>
          <w:tcPr>
            <w:tcW w:w="1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4,575</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4,575</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25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 xml:space="preserve">Raptor US Buyer II Corp. </w:t>
            </w:r>
            <w:r>
              <w:rPr>
                <w:rFonts w:ascii="Times New Roman" w:cs="Times New Roman" w:eastAsia="Times New Roman" w:hAnsi="Times New Roman"/>
                <w:sz w:val="14"/>
                <w:szCs w:val="14"/>
                <w:color w:val="auto"/>
                <w:vertAlign w:val="superscript"/>
              </w:rPr>
              <w:t>(8)</w:t>
            </w:r>
          </w:p>
        </w:tc>
        <w:tc>
          <w:tcPr>
            <w:tcW w:w="250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128,321 Ordinary Shares</w:t>
            </w:r>
          </w:p>
        </w:tc>
        <w:tc>
          <w:tcPr>
            <w:tcW w:w="960" w:type="dxa"/>
            <w:vAlign w:val="bottom"/>
          </w:tcPr>
          <w:p>
            <w:pPr>
              <w:jc w:val="right"/>
              <w:ind w:right="137"/>
              <w:spacing w:after="0" w:line="122" w:lineRule="exact"/>
              <w:rPr>
                <w:sz w:val="20"/>
                <w:szCs w:val="20"/>
                <w:color w:val="auto"/>
              </w:rPr>
            </w:pPr>
            <w:r>
              <w:rPr>
                <w:rFonts w:ascii="Times New Roman" w:cs="Times New Roman" w:eastAsia="Times New Roman" w:hAnsi="Times New Roman"/>
                <w:sz w:val="13"/>
                <w:szCs w:val="13"/>
                <w:color w:val="auto"/>
              </w:rPr>
              <w:t>3/24/2023</w:t>
            </w:r>
          </w:p>
        </w:tc>
        <w:tc>
          <w:tcPr>
            <w:tcW w:w="1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12,875</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12,875</w:t>
            </w:r>
          </w:p>
        </w:tc>
        <w:tc>
          <w:tcPr>
            <w:tcW w:w="1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0.7 %</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20" w:type="dxa"/>
            <w:vAlign w:val="bottom"/>
          </w:tcPr>
          <w:p>
            <w:pPr>
              <w:ind w:left="20"/>
              <w:spacing w:after="0"/>
              <w:rPr>
                <w:sz w:val="20"/>
                <w:szCs w:val="20"/>
                <w:color w:val="auto"/>
              </w:rPr>
            </w:pPr>
            <w:r>
              <w:rPr>
                <w:rFonts w:ascii="Times New Roman" w:cs="Times New Roman" w:eastAsia="Times New Roman" w:hAnsi="Times New Roman"/>
                <w:sz w:val="8"/>
                <w:szCs w:val="8"/>
                <w:color w:val="auto"/>
              </w:rPr>
              <w:t>(10)</w:t>
            </w:r>
          </w:p>
        </w:tc>
        <w:tc>
          <w:tcPr>
            <w:tcW w:w="2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16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620" w:type="dxa"/>
            <w:vAlign w:val="bottom"/>
            <w:shd w:val="clear" w:color="auto" w:fill="CFF0FC"/>
          </w:tcPr>
          <w:p>
            <w:pPr>
              <w:spacing w:after="0"/>
              <w:rPr>
                <w:sz w:val="14"/>
                <w:szCs w:val="14"/>
                <w:color w:val="auto"/>
              </w:rPr>
            </w:pPr>
          </w:p>
        </w:tc>
        <w:tc>
          <w:tcPr>
            <w:tcW w:w="25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6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Human Resource Support</w:t>
            </w:r>
          </w:p>
        </w:tc>
        <w:tc>
          <w:tcPr>
            <w:tcW w:w="2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2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20" w:type="dxa"/>
            <w:vAlign w:val="bottom"/>
            <w:shd w:val="clear" w:color="auto" w:fill="CFF0FC"/>
          </w:tcPr>
          <w:p>
            <w:pPr>
              <w:ind w:left="20"/>
              <w:spacing w:after="0" w:line="165" w:lineRule="exact"/>
              <w:rPr>
                <w:sz w:val="20"/>
                <w:szCs w:val="20"/>
                <w:color w:val="auto"/>
              </w:rPr>
            </w:pPr>
            <w:r>
              <w:rPr>
                <w:rFonts w:ascii="Times New Roman" w:cs="Times New Roman" w:eastAsia="Times New Roman" w:hAnsi="Times New Roman"/>
                <w:sz w:val="13"/>
                <w:szCs w:val="13"/>
                <w:color w:val="auto"/>
              </w:rPr>
              <w:t xml:space="preserve">bswift, LLC </w:t>
            </w:r>
            <w:r>
              <w:rPr>
                <w:rFonts w:ascii="Times New Roman" w:cs="Times New Roman" w:eastAsia="Times New Roman" w:hAnsi="Times New Roman"/>
                <w:sz w:val="16"/>
                <w:szCs w:val="16"/>
                <w:color w:val="auto"/>
                <w:vertAlign w:val="superscript"/>
              </w:rPr>
              <w:t>(8)</w:t>
            </w:r>
          </w:p>
        </w:tc>
        <w:tc>
          <w:tcPr>
            <w:tcW w:w="2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Class A-1 Units (7,606,491 units)</w:t>
            </w:r>
          </w:p>
        </w:tc>
        <w:tc>
          <w:tcPr>
            <w:tcW w:w="96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11/7/2022</w:t>
            </w:r>
          </w:p>
        </w:tc>
        <w:tc>
          <w:tcPr>
            <w:tcW w:w="1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7,606</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7,606</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Internet Services</w:t>
            </w:r>
          </w:p>
        </w:tc>
        <w:tc>
          <w:tcPr>
            <w:tcW w:w="25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 xml:space="preserve">Newark FP Co-Invest, L.P. </w:t>
            </w:r>
            <w:r>
              <w:rPr>
                <w:rFonts w:ascii="Times New Roman" w:cs="Times New Roman" w:eastAsia="Times New Roman" w:hAnsi="Times New Roman"/>
                <w:sz w:val="14"/>
                <w:szCs w:val="14"/>
                <w:color w:val="auto"/>
                <w:vertAlign w:val="superscript"/>
              </w:rPr>
              <w:t>(8)</w:t>
            </w:r>
          </w:p>
        </w:tc>
        <w:tc>
          <w:tcPr>
            <w:tcW w:w="250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Partnership (8,555,356 units)</w:t>
            </w:r>
          </w:p>
        </w:tc>
        <w:tc>
          <w:tcPr>
            <w:tcW w:w="960" w:type="dxa"/>
            <w:vAlign w:val="bottom"/>
          </w:tcPr>
          <w:p>
            <w:pPr>
              <w:jc w:val="right"/>
              <w:ind w:right="137"/>
              <w:spacing w:after="0" w:line="122" w:lineRule="exact"/>
              <w:rPr>
                <w:sz w:val="20"/>
                <w:szCs w:val="20"/>
                <w:color w:val="auto"/>
              </w:rPr>
            </w:pPr>
            <w:r>
              <w:rPr>
                <w:rFonts w:ascii="Times New Roman" w:cs="Times New Roman" w:eastAsia="Times New Roman" w:hAnsi="Times New Roman"/>
                <w:sz w:val="13"/>
                <w:szCs w:val="13"/>
                <w:color w:val="auto"/>
              </w:rPr>
              <w:t>11/8/2023</w:t>
            </w:r>
          </w:p>
        </w:tc>
        <w:tc>
          <w:tcPr>
            <w:tcW w:w="1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8,572</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8,572</w:t>
            </w:r>
          </w:p>
        </w:tc>
        <w:tc>
          <w:tcPr>
            <w:tcW w:w="1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0.5 %</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620" w:type="dxa"/>
            <w:vAlign w:val="bottom"/>
          </w:tcPr>
          <w:p>
            <w:pPr>
              <w:ind w:left="20"/>
              <w:spacing w:after="0"/>
              <w:rPr>
                <w:sz w:val="20"/>
                <w:szCs w:val="20"/>
                <w:color w:val="auto"/>
              </w:rPr>
            </w:pPr>
            <w:r>
              <w:rPr>
                <w:rFonts w:ascii="Times New Roman" w:cs="Times New Roman" w:eastAsia="Times New Roman" w:hAnsi="Times New Roman"/>
                <w:sz w:val="8"/>
                <w:szCs w:val="8"/>
                <w:color w:val="auto"/>
              </w:rPr>
              <w:t>(10)</w:t>
            </w:r>
          </w:p>
        </w:tc>
        <w:tc>
          <w:tcPr>
            <w:tcW w:w="2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16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6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color w:val="auto"/>
              </w:rPr>
              <w:t>SMA Technologies Holdings,</w:t>
            </w:r>
          </w:p>
        </w:tc>
        <w:tc>
          <w:tcPr>
            <w:tcW w:w="250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3"/>
                <w:szCs w:val="13"/>
                <w:color w:val="auto"/>
              </w:rPr>
              <w:t>Class A Units (200 units)</w:t>
            </w:r>
          </w:p>
        </w:tc>
        <w:tc>
          <w:tcPr>
            <w:tcW w:w="960" w:type="dxa"/>
            <w:vAlign w:val="bottom"/>
            <w:shd w:val="clear" w:color="auto" w:fill="CFF0FC"/>
          </w:tcPr>
          <w:p>
            <w:pPr>
              <w:jc w:val="right"/>
              <w:ind w:right="137"/>
              <w:spacing w:after="0" w:line="122" w:lineRule="exact"/>
              <w:rPr>
                <w:sz w:val="20"/>
                <w:szCs w:val="20"/>
                <w:color w:val="auto"/>
              </w:rPr>
            </w:pPr>
            <w:r>
              <w:rPr>
                <w:rFonts w:ascii="Times New Roman" w:cs="Times New Roman" w:eastAsia="Times New Roman" w:hAnsi="Times New Roman"/>
                <w:sz w:val="13"/>
                <w:szCs w:val="13"/>
                <w:color w:val="auto"/>
              </w:rPr>
              <w:t>11/21/2022</w:t>
            </w:r>
          </w:p>
        </w:tc>
        <w:tc>
          <w:tcPr>
            <w:tcW w:w="11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200</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200</w:t>
            </w:r>
          </w:p>
        </w:tc>
        <w:tc>
          <w:tcPr>
            <w:tcW w:w="116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0.0 %</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6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3"/>
                <w:szCs w:val="13"/>
                <w:color w:val="auto"/>
              </w:rPr>
              <w:t xml:space="preserve">LLC </w:t>
            </w:r>
            <w:r>
              <w:rPr>
                <w:rFonts w:ascii="Times New Roman" w:cs="Times New Roman" w:eastAsia="Times New Roman" w:hAnsi="Times New Roman"/>
                <w:sz w:val="16"/>
                <w:szCs w:val="16"/>
                <w:color w:val="auto"/>
                <w:vertAlign w:val="superscript"/>
              </w:rPr>
              <w:t>(8)</w:t>
            </w:r>
          </w:p>
        </w:tc>
        <w:tc>
          <w:tcPr>
            <w:tcW w:w="25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2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Class B Units (142,038 units)</w:t>
            </w:r>
          </w:p>
        </w:tc>
        <w:tc>
          <w:tcPr>
            <w:tcW w:w="9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11/21/2022</w:t>
            </w: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20" w:type="dxa"/>
            <w:vAlign w:val="bottom"/>
            <w:shd w:val="clear" w:color="auto" w:fill="CFF0FC"/>
          </w:tcPr>
          <w:p>
            <w:pPr>
              <w:spacing w:after="0"/>
              <w:rPr>
                <w:sz w:val="13"/>
                <w:szCs w:val="13"/>
                <w:color w:val="auto"/>
              </w:rPr>
            </w:pPr>
          </w:p>
        </w:tc>
        <w:tc>
          <w:tcPr>
            <w:tcW w:w="25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8,772</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8,772</w:t>
            </w:r>
          </w:p>
        </w:tc>
        <w:tc>
          <w:tcPr>
            <w:tcW w:w="2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20" w:type="dxa"/>
            <w:vAlign w:val="bottom"/>
            <w:tcBorders>
              <w:top w:val="single" w:sz="8" w:color="CFF0FC"/>
            </w:tcBorders>
          </w:tcPr>
          <w:p>
            <w:pPr>
              <w:spacing w:after="0"/>
              <w:rPr>
                <w:sz w:val="13"/>
                <w:szCs w:val="13"/>
                <w:color w:val="auto"/>
              </w:rPr>
            </w:pPr>
          </w:p>
        </w:tc>
        <w:tc>
          <w:tcPr>
            <w:tcW w:w="2500" w:type="dxa"/>
            <w:vAlign w:val="bottom"/>
            <w:tcBorders>
              <w:top w:val="single" w:sz="8" w:color="CFF0FC"/>
            </w:tcBorders>
          </w:tcPr>
          <w:p>
            <w:pPr>
              <w:spacing w:after="0"/>
              <w:rPr>
                <w:sz w:val="13"/>
                <w:szCs w:val="13"/>
                <w:color w:val="auto"/>
              </w:rPr>
            </w:pPr>
          </w:p>
        </w:tc>
        <w:tc>
          <w:tcPr>
            <w:tcW w:w="960" w:type="dxa"/>
            <w:vAlign w:val="bottom"/>
            <w:tcBorders>
              <w:top w:val="single" w:sz="8" w:color="CFF0FC"/>
            </w:tcBorders>
          </w:tcPr>
          <w:p>
            <w:pPr>
              <w:spacing w:after="0"/>
              <w:rPr>
                <w:sz w:val="13"/>
                <w:szCs w:val="13"/>
                <w:color w:val="auto"/>
              </w:rPr>
            </w:pPr>
          </w:p>
        </w:tc>
        <w:tc>
          <w:tcPr>
            <w:tcW w:w="1140" w:type="dxa"/>
            <w:vAlign w:val="bottom"/>
            <w:tcBorders>
              <w:top w:val="single" w:sz="8" w:color="CFF0FC"/>
            </w:tcBorders>
          </w:tcPr>
          <w:p>
            <w:pPr>
              <w:spacing w:after="0"/>
              <w:rPr>
                <w:sz w:val="13"/>
                <w:szCs w:val="13"/>
                <w:color w:val="auto"/>
              </w:rPr>
            </w:pPr>
          </w:p>
        </w:tc>
        <w:tc>
          <w:tcPr>
            <w:tcW w:w="980" w:type="dxa"/>
            <w:vAlign w:val="bottom"/>
            <w:tcBorders>
              <w:top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Equity and Other</w:t>
            </w:r>
          </w:p>
        </w:tc>
        <w:tc>
          <w:tcPr>
            <w:tcW w:w="25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62,651</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62,651</w:t>
            </w:r>
          </w:p>
        </w:tc>
        <w:tc>
          <w:tcPr>
            <w:tcW w:w="116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3.4 %</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50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shd w:val="clear" w:color="auto" w:fill="CFF0FC"/>
          </w:tcPr>
          <w:p>
            <w:pPr>
              <w:spacing w:after="0"/>
              <w:rPr>
                <w:sz w:val="13"/>
                <w:szCs w:val="13"/>
                <w:color w:val="auto"/>
              </w:rPr>
            </w:pPr>
          </w:p>
        </w:tc>
        <w:tc>
          <w:tcPr>
            <w:tcW w:w="114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Investments</w:t>
            </w:r>
          </w:p>
        </w:tc>
        <w:tc>
          <w:tcPr>
            <w:tcW w:w="25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3,037,826</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3,099,151</w:t>
            </w: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170.6 %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FF0FC"/>
            </w:tcBorders>
            <w:shd w:val="clear" w:color="auto" w:fill="CFF0FC"/>
          </w:tcPr>
          <w:p>
            <w:pPr>
              <w:spacing w:after="0" w:line="20" w:lineRule="exact"/>
              <w:rPr>
                <w:sz w:val="1"/>
                <w:szCs w:val="1"/>
                <w:color w:val="auto"/>
              </w:rPr>
            </w:pPr>
          </w:p>
        </w:tc>
        <w:tc>
          <w:tcPr>
            <w:tcW w:w="25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-3445510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-3445510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-3222625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-3222625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-2296795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-2296795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-548005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-548005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977" w:right="299" w:bottom="1440" w:gutter="0" w:footer="0" w:header="0"/>
          <w:type w:val="continuous"/>
        </w:sectPr>
      </w:pPr>
    </w:p>
    <w:bookmarkStart w:id="13" w:name="page14"/>
    <w:bookmarkEnd w:id="13"/>
    <w:p>
      <w:pPr>
        <w:ind w:left="512" w:right="100" w:hanging="512"/>
        <w:spacing w:after="0" w:line="261" w:lineRule="auto"/>
        <w:tabs>
          <w:tab w:leader="none" w:pos="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Company’s portfolio companies are domiciled in the United States. Under the Investment Company Act of 1940, as amended (the “1940 Act”), the Company would “control” a portfolio company if the Company owned</w:t>
      </w:r>
    </w:p>
    <w:p>
      <w:pPr>
        <w:ind w:left="5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25% of its outstanding voting securities and/or had the power to exercise control over the management or policies of</w:t>
      </w:r>
    </w:p>
    <w:p>
      <w:pPr>
        <w:spacing w:after="0" w:line="9" w:lineRule="exact"/>
        <w:rPr>
          <w:rFonts w:ascii="Times New Roman" w:cs="Times New Roman" w:eastAsia="Times New Roman" w:hAnsi="Times New Roman"/>
          <w:sz w:val="18"/>
          <w:szCs w:val="18"/>
          <w:color w:val="auto"/>
        </w:rPr>
      </w:pPr>
    </w:p>
    <w:p>
      <w:pPr>
        <w:ind w:left="512" w:right="2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portfolio company. As of December 31, 2023, the Company does not “control” any of the portfolio companies. Also under the 1940 Act, the Company would be deemed to be an “Affiliated Person” of a portfolio company if the Company owns more than 5% of the portfolio company’s outstanding voting securities. As of December 31, 2023, the Company does not identify any of its portfolio companies as affiliates.</w:t>
      </w:r>
    </w:p>
    <w:p>
      <w:pPr>
        <w:spacing w:after="0" w:line="1" w:lineRule="exact"/>
        <w:rPr>
          <w:rFonts w:ascii="Times New Roman" w:cs="Times New Roman" w:eastAsia="Times New Roman" w:hAnsi="Times New Roman"/>
          <w:sz w:val="18"/>
          <w:szCs w:val="18"/>
          <w:color w:val="auto"/>
        </w:rPr>
      </w:pPr>
    </w:p>
    <w:p>
      <w:pPr>
        <w:ind w:left="512" w:hanging="512"/>
        <w:spacing w:after="0" w:line="250" w:lineRule="auto"/>
        <w:tabs>
          <w:tab w:leader="none" w:pos="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ind w:left="512" w:hanging="512"/>
        <w:spacing w:after="0"/>
        <w:tabs>
          <w:tab w:leader="none" w:pos="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w:t>
      </w:r>
    </w:p>
    <w:p>
      <w:pPr>
        <w:spacing w:after="0" w:line="9" w:lineRule="exact"/>
        <w:rPr>
          <w:rFonts w:ascii="Times New Roman" w:cs="Times New Roman" w:eastAsia="Times New Roman" w:hAnsi="Times New Roman"/>
          <w:sz w:val="18"/>
          <w:szCs w:val="18"/>
          <w:color w:val="auto"/>
        </w:rPr>
      </w:pPr>
    </w:p>
    <w:p>
      <w:pPr>
        <w:ind w:left="512"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determined by reference to either Euro Interbank Offer Rate (“Euribor” or “E”), Term Secured Overnight Financing Rate (“SOFR”), which may also contain a credit spread adjustment depending on the tenor election,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2023.</w:t>
      </w:r>
    </w:p>
    <w:p>
      <w:pPr>
        <w:spacing w:after="0" w:line="1" w:lineRule="exact"/>
        <w:rPr>
          <w:rFonts w:ascii="Times New Roman" w:cs="Times New Roman" w:eastAsia="Times New Roman" w:hAnsi="Times New Roman"/>
          <w:sz w:val="18"/>
          <w:szCs w:val="18"/>
          <w:color w:val="auto"/>
        </w:rPr>
      </w:pPr>
    </w:p>
    <w:p>
      <w:pPr>
        <w:ind w:left="512" w:right="200" w:hanging="512"/>
        <w:spacing w:after="0" w:line="250" w:lineRule="auto"/>
        <w:tabs>
          <w:tab w:leader="none" w:pos="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23.0% of total assets as of December 31, 2023.</w:t>
      </w:r>
    </w:p>
    <w:p>
      <w:pPr>
        <w:spacing w:after="0" w:line="1" w:lineRule="exact"/>
        <w:rPr>
          <w:rFonts w:ascii="Times New Roman" w:cs="Times New Roman" w:eastAsia="Times New Roman" w:hAnsi="Times New Roman"/>
          <w:sz w:val="18"/>
          <w:szCs w:val="18"/>
          <w:color w:val="auto"/>
        </w:rPr>
      </w:pPr>
    </w:p>
    <w:p>
      <w:pPr>
        <w:ind w:left="512" w:right="40" w:hanging="512"/>
        <w:spacing w:after="0" w:line="250" w:lineRule="auto"/>
        <w:tabs>
          <w:tab w:leader="none" w:pos="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1" w:lineRule="exact"/>
        <w:rPr>
          <w:rFonts w:ascii="Times New Roman" w:cs="Times New Roman" w:eastAsia="Times New Roman" w:hAnsi="Times New Roman"/>
          <w:sz w:val="18"/>
          <w:szCs w:val="18"/>
          <w:color w:val="auto"/>
        </w:rPr>
      </w:pPr>
    </w:p>
    <w:p>
      <w:pPr>
        <w:ind w:left="512" w:right="2120" w:hanging="512"/>
        <w:spacing w:after="0" w:line="250" w:lineRule="auto"/>
        <w:tabs>
          <w:tab w:leader="none" w:pos="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Times New Roman" w:cs="Times New Roman" w:eastAsia="Times New Roman" w:hAnsi="Times New Roman"/>
          <w:sz w:val="18"/>
          <w:szCs w:val="18"/>
          <w:color w:val="auto"/>
        </w:rPr>
      </w:pPr>
    </w:p>
    <w:p>
      <w:pPr>
        <w:ind w:left="512" w:right="680" w:hanging="512"/>
        <w:spacing w:after="0" w:line="250" w:lineRule="auto"/>
        <w:tabs>
          <w:tab w:leader="none" w:pos="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estimated cost basis of investments for U.S. federal tax purposes was $3,047,224 resulting in estimated gross unrealized gains and losses of $69,618 and $23,923, respectfully.</w:t>
      </w:r>
    </w:p>
    <w:p>
      <w:pPr>
        <w:ind w:left="512" w:hanging="512"/>
        <w:spacing w:after="0"/>
        <w:tabs>
          <w:tab w:leader="none" w:pos="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non-income producing.</w:t>
      </w:r>
    </w:p>
    <w:p>
      <w:pPr>
        <w:spacing w:after="0" w:line="9"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9" w:lineRule="exact"/>
        <w:rPr>
          <w:rFonts w:ascii="Times New Roman" w:cs="Times New Roman" w:eastAsia="Times New Roman" w:hAnsi="Times New Roman"/>
          <w:sz w:val="18"/>
          <w:szCs w:val="18"/>
          <w:color w:val="auto"/>
        </w:rPr>
      </w:pPr>
    </w:p>
    <w:p>
      <w:pPr>
        <w:ind w:left="512" w:right="60" w:hanging="512"/>
        <w:spacing w:after="0" w:line="250" w:lineRule="auto"/>
        <w:tabs>
          <w:tab w:leader="none" w:pos="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portion of this security was acquired in a transaction exempt from registration under the Securities Act of 1933, as amended (the “Securities Act”), and may be deemed to be “restricted securities” under the Securities Act. As of December 31, 2023, the aggregate fair value of these securities is $54,845, or 3.0% of the Company’s net assets.</w:t>
      </w:r>
    </w:p>
    <w:p>
      <w:pPr>
        <w:spacing w:after="0" w:line="1" w:lineRule="exact"/>
        <w:rPr>
          <w:rFonts w:ascii="Times New Roman" w:cs="Times New Roman" w:eastAsia="Times New Roman" w:hAnsi="Times New Roman"/>
          <w:sz w:val="18"/>
          <w:szCs w:val="18"/>
          <w:color w:val="auto"/>
        </w:rPr>
      </w:pPr>
    </w:p>
    <w:p>
      <w:pPr>
        <w:ind w:left="512" w:right="20" w:hanging="512"/>
        <w:spacing w:after="0" w:line="250" w:lineRule="auto"/>
        <w:tabs>
          <w:tab w:leader="none" w:pos="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principal amount outstanding and accrued interest owed on this investment, the Company is entitled to a separate Make-Whole Amount (the “Make-Whole”) of $21.5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1" w:lineRule="exact"/>
        <w:rPr>
          <w:rFonts w:ascii="Times New Roman" w:cs="Times New Roman" w:eastAsia="Times New Roman" w:hAnsi="Times New Roman"/>
          <w:sz w:val="18"/>
          <w:szCs w:val="18"/>
          <w:color w:val="auto"/>
        </w:rPr>
      </w:pPr>
    </w:p>
    <w:p>
      <w:pPr>
        <w:ind w:left="512" w:right="1720" w:hanging="512"/>
        <w:spacing w:after="0" w:line="260" w:lineRule="auto"/>
        <w:tabs>
          <w:tab w:leader="none" w:pos="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6 for further information related to investments at fair value.</w:t>
      </w:r>
    </w:p>
    <w:p>
      <w:pPr>
        <w:spacing w:after="0" w:line="18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28" w:right="339" w:bottom="1440" w:gutter="0" w:footer="0" w:header="0"/>
        </w:sectPr>
      </w:pPr>
    </w:p>
    <w:bookmarkStart w:id="14" w:name="page15"/>
    <w:bookmarkEnd w:id="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480" w:type="dxa"/>
            <w:vAlign w:val="bottom"/>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4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center"/>
              <w:ind w:right="90"/>
              <w:spacing w:after="0" w:line="124"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jc w:val="center"/>
              <w:ind w:right="30"/>
              <w:spacing w:after="0" w:line="124" w:lineRule="exact"/>
              <w:rPr>
                <w:sz w:val="20"/>
                <w:szCs w:val="20"/>
                <w:color w:val="auto"/>
              </w:rPr>
            </w:pPr>
            <w:r>
              <w:rPr>
                <w:rFonts w:ascii="Times New Roman" w:cs="Times New Roman" w:eastAsia="Times New Roman" w:hAnsi="Times New Roman"/>
                <w:sz w:val="13"/>
                <w:szCs w:val="13"/>
                <w:b w:val="1"/>
                <w:bCs w:val="1"/>
                <w:color w:val="auto"/>
                <w:w w:val="98"/>
              </w:rPr>
              <w:t>Paid in Capital in</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3"/>
                <w:szCs w:val="13"/>
                <w:b w:val="1"/>
                <w:bCs w:val="1"/>
                <w:color w:val="auto"/>
                <w:w w:val="95"/>
              </w:rPr>
              <w:t>Accumulated Net</w:t>
            </w:r>
          </w:p>
        </w:tc>
        <w:tc>
          <w:tcPr>
            <w:tcW w:w="220" w:type="dxa"/>
            <w:vAlign w:val="bottom"/>
          </w:tcPr>
          <w:p>
            <w:pPr>
              <w:spacing w:after="0"/>
              <w:rPr>
                <w:sz w:val="10"/>
                <w:szCs w:val="10"/>
                <w:color w:val="auto"/>
              </w:rPr>
            </w:pPr>
          </w:p>
        </w:tc>
        <w:tc>
          <w:tcPr>
            <w:tcW w:w="110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3"/>
                <w:szCs w:val="13"/>
                <w:b w:val="1"/>
                <w:bCs w:val="1"/>
                <w:color w:val="auto"/>
                <w:w w:val="95"/>
              </w:rPr>
              <w:t>Total Net</w:t>
            </w:r>
          </w:p>
        </w:tc>
        <w:tc>
          <w:tcPr>
            <w:tcW w:w="0" w:type="dxa"/>
            <w:vAlign w:val="bottom"/>
          </w:tcPr>
          <w:p>
            <w:pPr>
              <w:spacing w:after="0"/>
              <w:rPr>
                <w:sz w:val="1"/>
                <w:szCs w:val="1"/>
                <w:color w:val="auto"/>
              </w:rPr>
            </w:pPr>
          </w:p>
        </w:tc>
      </w:tr>
      <w:tr>
        <w:trPr>
          <w:trHeight w:val="167"/>
        </w:trPr>
        <w:tc>
          <w:tcPr>
            <w:tcW w:w="4480" w:type="dxa"/>
            <w:vAlign w:val="bottom"/>
          </w:tcPr>
          <w:p>
            <w:pPr>
              <w:spacing w:after="0"/>
              <w:rPr>
                <w:sz w:val="14"/>
                <w:szCs w:val="14"/>
                <w:color w:val="auto"/>
              </w:rPr>
            </w:pP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6"/>
              </w:rPr>
              <w:t>Excess of Par</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65,478,775</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1,734,426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82,576</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1,817,067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investment income (loss)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72,722</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72,722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4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Net change in unrealized gains (losses) on investments and</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22,741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48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Net realized gains (losses) on investments and foreign</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2,262</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currency transactions</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4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Increase (decrease) in Net Assets Resulting from Capital Share</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Transactions:</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 of common shares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17,348,908</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499,718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499,736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 to shareholders:</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Shares issued in connection with dividend reinvestment plan</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795,040</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22,061</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Dividends declared from net investment income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(56,027 )</w:t>
            </w:r>
          </w:p>
        </w:tc>
        <w:tc>
          <w:tcPr>
            <w:tcW w:w="22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(56,027 )</w:t>
            </w:r>
          </w:p>
        </w:tc>
        <w:tc>
          <w:tcPr>
            <w:tcW w:w="0" w:type="dxa"/>
            <w:vAlign w:val="bottom"/>
          </w:tcPr>
          <w:p>
            <w:pPr>
              <w:spacing w:after="0"/>
              <w:rPr>
                <w:sz w:val="1"/>
                <w:szCs w:val="1"/>
                <w:color w:val="auto"/>
              </w:rPr>
            </w:pPr>
          </w:p>
        </w:tc>
      </w:tr>
      <w:tr>
        <w:trPr>
          <w:trHeight w:val="209"/>
        </w:trPr>
        <w:tc>
          <w:tcPr>
            <w:tcW w:w="44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83,622,723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2,256,205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124,274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2,380,563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4480" w:type="dxa"/>
            <w:vAlign w:val="bottom"/>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6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44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center"/>
              <w:ind w:right="90"/>
              <w:spacing w:after="0" w:line="124"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jc w:val="center"/>
              <w:ind w:right="30"/>
              <w:spacing w:after="0" w:line="124" w:lineRule="exact"/>
              <w:rPr>
                <w:sz w:val="20"/>
                <w:szCs w:val="20"/>
                <w:color w:val="auto"/>
              </w:rPr>
            </w:pPr>
            <w:r>
              <w:rPr>
                <w:rFonts w:ascii="Times New Roman" w:cs="Times New Roman" w:eastAsia="Times New Roman" w:hAnsi="Times New Roman"/>
                <w:sz w:val="13"/>
                <w:szCs w:val="13"/>
                <w:b w:val="1"/>
                <w:bCs w:val="1"/>
                <w:color w:val="auto"/>
                <w:w w:val="98"/>
              </w:rPr>
              <w:t>Paid in Capital in</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3"/>
                <w:szCs w:val="13"/>
                <w:b w:val="1"/>
                <w:bCs w:val="1"/>
                <w:color w:val="auto"/>
                <w:w w:val="97"/>
              </w:rPr>
              <w:t>Distributable</w:t>
            </w:r>
          </w:p>
        </w:tc>
        <w:tc>
          <w:tcPr>
            <w:tcW w:w="220" w:type="dxa"/>
            <w:vAlign w:val="bottom"/>
          </w:tcPr>
          <w:p>
            <w:pPr>
              <w:spacing w:after="0"/>
              <w:rPr>
                <w:sz w:val="10"/>
                <w:szCs w:val="10"/>
                <w:color w:val="auto"/>
              </w:rPr>
            </w:pPr>
          </w:p>
        </w:tc>
        <w:tc>
          <w:tcPr>
            <w:tcW w:w="110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3"/>
                <w:szCs w:val="13"/>
                <w:b w:val="1"/>
                <w:bCs w:val="1"/>
                <w:color w:val="auto"/>
                <w:w w:val="95"/>
              </w:rPr>
              <w:t>Total Net</w:t>
            </w:r>
          </w:p>
        </w:tc>
        <w:tc>
          <w:tcPr>
            <w:tcW w:w="0" w:type="dxa"/>
            <w:vAlign w:val="bottom"/>
          </w:tcPr>
          <w:p>
            <w:pPr>
              <w:spacing w:after="0"/>
              <w:rPr>
                <w:sz w:val="1"/>
                <w:szCs w:val="1"/>
                <w:color w:val="auto"/>
              </w:rPr>
            </w:pPr>
          </w:p>
        </w:tc>
      </w:tr>
      <w:tr>
        <w:trPr>
          <w:trHeight w:val="167"/>
        </w:trPr>
        <w:tc>
          <w:tcPr>
            <w:tcW w:w="4480" w:type="dxa"/>
            <w:vAlign w:val="bottom"/>
          </w:tcPr>
          <w:p>
            <w:pPr>
              <w:spacing w:after="0"/>
              <w:rPr>
                <w:sz w:val="14"/>
                <w:szCs w:val="14"/>
                <w:color w:val="auto"/>
              </w:rPr>
            </w:pP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6"/>
              </w:rPr>
              <w:t>Excess of Par</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21,882,028</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542,596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4,093</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546,711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investment income (loss)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15,115</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4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Net change in unrealized gains (losses) on investments and</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13,047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48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Net realized gains (losses) on investments and foreign</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currency transactions</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Increase (decrease) in net assets resulting from capital share transactions:</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 of common shares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9,643,813</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249,990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 to shareholders:</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Dividends declared from net investment income</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(12,610 )</w:t>
            </w:r>
          </w:p>
        </w:tc>
        <w:tc>
          <w:tcPr>
            <w:tcW w:w="2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(12,610 )</w:t>
            </w:r>
          </w:p>
        </w:tc>
        <w:tc>
          <w:tcPr>
            <w:tcW w:w="0" w:type="dxa"/>
            <w:vAlign w:val="bottom"/>
          </w:tcPr>
          <w:p>
            <w:pPr>
              <w:spacing w:after="0"/>
              <w:rPr>
                <w:sz w:val="1"/>
                <w:szCs w:val="1"/>
                <w:color w:val="auto"/>
              </w:rPr>
            </w:pPr>
          </w:p>
        </w:tc>
      </w:tr>
      <w:tr>
        <w:trPr>
          <w:trHeight w:val="169"/>
        </w:trPr>
        <w:tc>
          <w:tcPr>
            <w:tcW w:w="4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31,525,841</w:t>
            </w:r>
          </w:p>
        </w:tc>
        <w:tc>
          <w:tcPr>
            <w:tcW w:w="24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w:t>
            </w:r>
          </w:p>
        </w:tc>
        <w:tc>
          <w:tcPr>
            <w:tcW w:w="24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792,586</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19,701</w:t>
            </w:r>
          </w:p>
        </w:tc>
        <w:tc>
          <w:tcPr>
            <w:tcW w:w="220" w:type="dxa"/>
            <w:vAlign w:val="bottom"/>
            <w:tcBorders>
              <w:top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812,319</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-1876425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-1859915</wp:posOffset>
            </wp:positionV>
            <wp:extent cx="768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-1996440</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-1876425</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-1859915</wp:posOffset>
            </wp:positionV>
            <wp:extent cx="768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-1996440</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-1876425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-1859915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-1996440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-1876425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-1859915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-1996440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-1859915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-145415</wp:posOffset>
            </wp:positionV>
            <wp:extent cx="768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-145415</wp:posOffset>
            </wp:positionV>
            <wp:extent cx="768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-145415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-145415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5" w:name="page16"/>
    <w:bookmarkEnd w:id="1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7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7"/>
        </w:trPr>
        <w:tc>
          <w:tcPr>
            <w:tcW w:w="7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69"/>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tcBorders>
              <w:top w:val="single" w:sz="8" w:color="auto"/>
            </w:tcBorders>
            <w:shd w:val="clear" w:color="auto" w:fill="CFF0FC"/>
          </w:tcPr>
          <w:p>
            <w:pPr>
              <w:spacing w:after="0"/>
              <w:rPr>
                <w:sz w:val="14"/>
                <w:szCs w:val="14"/>
                <w:color w:val="auto"/>
              </w:rPr>
            </w:pPr>
          </w:p>
        </w:tc>
        <w:tc>
          <w:tcPr>
            <w:tcW w:w="17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6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(Decrease) in net assets resulting from operations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97,725</w:t>
            </w:r>
          </w:p>
        </w:tc>
        <w:tc>
          <w:tcPr>
            <w:tcW w:w="2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28,218</w:t>
            </w:r>
          </w:p>
        </w:tc>
        <w:tc>
          <w:tcPr>
            <w:tcW w:w="100" w:type="dxa"/>
            <w:vAlign w:val="bottom"/>
          </w:tcPr>
          <w:p>
            <w:pPr>
              <w:spacing w:after="0"/>
              <w:rPr>
                <w:sz w:val="15"/>
                <w:szCs w:val="15"/>
                <w:color w:val="auto"/>
              </w:rPr>
            </w:pPr>
          </w:p>
        </w:tc>
      </w:tr>
      <w:tr>
        <w:trPr>
          <w:trHeight w:val="139"/>
        </w:trPr>
        <w:tc>
          <w:tcPr>
            <w:tcW w:w="71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Adjustments to reconcile increase (decrease) in net assets resulting from operations</w:t>
            </w:r>
          </w:p>
        </w:tc>
        <w:tc>
          <w:tcPr>
            <w:tcW w:w="220" w:type="dxa"/>
            <w:vAlign w:val="bottom"/>
            <w:shd w:val="clear" w:color="auto" w:fill="CFF0FC"/>
          </w:tcPr>
          <w:p>
            <w:pPr>
              <w:spacing w:after="0"/>
              <w:rPr>
                <w:sz w:val="12"/>
                <w:szCs w:val="12"/>
                <w:color w:val="auto"/>
              </w:rPr>
            </w:pPr>
          </w:p>
        </w:tc>
        <w:tc>
          <w:tcPr>
            <w:tcW w:w="1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5"/>
        </w:trPr>
        <w:tc>
          <w:tcPr>
            <w:tcW w:w="7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 net cash provided by (used in) operating activities:</w:t>
            </w:r>
          </w:p>
        </w:tc>
        <w:tc>
          <w:tcPr>
            <w:tcW w:w="22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76"/>
        </w:trPr>
        <w:tc>
          <w:tcPr>
            <w:tcW w:w="71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change in unrealized (gains) losses on investments</w:t>
            </w:r>
          </w:p>
        </w:tc>
        <w:tc>
          <w:tcPr>
            <w:tcW w:w="220" w:type="dxa"/>
            <w:vAlign w:val="bottom"/>
          </w:tcPr>
          <w:p>
            <w:pPr>
              <w:spacing w:after="0"/>
              <w:rPr>
                <w:sz w:val="15"/>
                <w:szCs w:val="15"/>
                <w:color w:val="auto"/>
              </w:rPr>
            </w:pP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(18,534 )</w:t>
            </w:r>
          </w:p>
        </w:tc>
        <w:tc>
          <w:tcPr>
            <w:tcW w:w="160" w:type="dxa"/>
            <w:vAlign w:val="bottom"/>
          </w:tcPr>
          <w:p>
            <w:pPr>
              <w:spacing w:after="0"/>
              <w:rPr>
                <w:sz w:val="15"/>
                <w:szCs w:val="15"/>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(13,761 )</w:t>
            </w:r>
          </w:p>
        </w:tc>
      </w:tr>
      <w:tr>
        <w:trPr>
          <w:trHeight w:val="175"/>
        </w:trPr>
        <w:tc>
          <w:tcPr>
            <w:tcW w:w="7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Net change in unrealized (gains) losses on foreign currency transactions</w:t>
            </w:r>
          </w:p>
        </w:tc>
        <w:tc>
          <w:tcPr>
            <w:tcW w:w="220" w:type="dxa"/>
            <w:vAlign w:val="bottom"/>
            <w:shd w:val="clear" w:color="auto" w:fill="CFF0FC"/>
          </w:tcPr>
          <w:p>
            <w:pPr>
              <w:spacing w:after="0"/>
              <w:rPr>
                <w:sz w:val="15"/>
                <w:szCs w:val="15"/>
                <w:color w:val="auto"/>
              </w:rPr>
            </w:pP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(4,207 )</w:t>
            </w: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shd w:val="clear" w:color="auto" w:fill="CFF0FC"/>
          </w:tcPr>
          <w:p>
            <w:pPr>
              <w:spacing w:after="0"/>
              <w:rPr>
                <w:sz w:val="15"/>
                <w:szCs w:val="15"/>
                <w:color w:val="auto"/>
              </w:rPr>
            </w:pPr>
          </w:p>
        </w:tc>
      </w:tr>
      <w:tr>
        <w:trPr>
          <w:trHeight w:val="176"/>
        </w:trPr>
        <w:tc>
          <w:tcPr>
            <w:tcW w:w="71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realized (gains) losses on investments</w:t>
            </w:r>
          </w:p>
        </w:tc>
        <w:tc>
          <w:tcPr>
            <w:tcW w:w="220" w:type="dxa"/>
            <w:vAlign w:val="bottom"/>
          </w:tcPr>
          <w:p>
            <w:pPr>
              <w:spacing w:after="0"/>
              <w:rPr>
                <w:sz w:val="15"/>
                <w:szCs w:val="15"/>
                <w:color w:val="auto"/>
              </w:rPr>
            </w:pP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(2,342 )</w:t>
            </w:r>
          </w:p>
        </w:tc>
        <w:tc>
          <w:tcPr>
            <w:tcW w:w="160" w:type="dxa"/>
            <w:vAlign w:val="bottom"/>
          </w:tcPr>
          <w:p>
            <w:pPr>
              <w:spacing w:after="0"/>
              <w:rPr>
                <w:sz w:val="15"/>
                <w:szCs w:val="15"/>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Net realized (gains) losses on foreign currency transactions</w:t>
            </w:r>
          </w:p>
        </w:tc>
        <w:tc>
          <w:tcPr>
            <w:tcW w:w="220" w:type="dxa"/>
            <w:vAlign w:val="bottom"/>
            <w:shd w:val="clear" w:color="auto" w:fill="CFF0FC"/>
          </w:tcPr>
          <w:p>
            <w:pPr>
              <w:spacing w:after="0"/>
              <w:rPr>
                <w:sz w:val="15"/>
                <w:szCs w:val="15"/>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(21 )</w:t>
            </w:r>
          </w:p>
        </w:tc>
      </w:tr>
      <w:tr>
        <w:trPr>
          <w:trHeight w:val="176"/>
        </w:trPr>
        <w:tc>
          <w:tcPr>
            <w:tcW w:w="71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amortization of discount on investments</w:t>
            </w:r>
          </w:p>
        </w:tc>
        <w:tc>
          <w:tcPr>
            <w:tcW w:w="220" w:type="dxa"/>
            <w:vAlign w:val="bottom"/>
          </w:tcPr>
          <w:p>
            <w:pPr>
              <w:spacing w:after="0"/>
              <w:rPr>
                <w:sz w:val="15"/>
                <w:szCs w:val="15"/>
                <w:color w:val="auto"/>
              </w:rPr>
            </w:pP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(4,212 )</w:t>
            </w:r>
          </w:p>
        </w:tc>
        <w:tc>
          <w:tcPr>
            <w:tcW w:w="160" w:type="dxa"/>
            <w:vAlign w:val="bottom"/>
          </w:tcPr>
          <w:p>
            <w:pPr>
              <w:spacing w:after="0"/>
              <w:rPr>
                <w:sz w:val="15"/>
                <w:szCs w:val="15"/>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(1,392 )</w:t>
            </w:r>
          </w:p>
        </w:tc>
      </w:tr>
      <w:tr>
        <w:trPr>
          <w:trHeight w:val="176"/>
        </w:trPr>
        <w:tc>
          <w:tcPr>
            <w:tcW w:w="7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220" w:type="dxa"/>
            <w:vAlign w:val="bottom"/>
            <w:shd w:val="clear" w:color="auto" w:fill="CFF0FC"/>
          </w:tcPr>
          <w:p>
            <w:pPr>
              <w:spacing w:after="0"/>
              <w:rPr>
                <w:sz w:val="15"/>
                <w:szCs w:val="15"/>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1,827</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100" w:type="dxa"/>
            <w:vAlign w:val="bottom"/>
            <w:shd w:val="clear" w:color="auto" w:fill="CFF0FC"/>
          </w:tcPr>
          <w:p>
            <w:pPr>
              <w:spacing w:after="0"/>
              <w:rPr>
                <w:sz w:val="15"/>
                <w:szCs w:val="15"/>
                <w:color w:val="auto"/>
              </w:rPr>
            </w:pPr>
          </w:p>
        </w:tc>
      </w:tr>
      <w:tr>
        <w:trPr>
          <w:trHeight w:val="175"/>
        </w:trPr>
        <w:tc>
          <w:tcPr>
            <w:tcW w:w="71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Amortization of discount on debt</w:t>
            </w:r>
          </w:p>
        </w:tc>
        <w:tc>
          <w:tcPr>
            <w:tcW w:w="2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Purchases and originations of investments, net</w:t>
            </w:r>
          </w:p>
        </w:tc>
        <w:tc>
          <w:tcPr>
            <w:tcW w:w="220" w:type="dxa"/>
            <w:vAlign w:val="bottom"/>
            <w:shd w:val="clear" w:color="auto" w:fill="CFF0FC"/>
          </w:tcPr>
          <w:p>
            <w:pPr>
              <w:spacing w:after="0"/>
              <w:rPr>
                <w:sz w:val="15"/>
                <w:szCs w:val="15"/>
                <w:color w:val="auto"/>
              </w:rPr>
            </w:pP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(1,298,865 )</w:t>
            </w:r>
          </w:p>
        </w:tc>
        <w:tc>
          <w:tcPr>
            <w:tcW w:w="16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(444,762 )</w:t>
            </w:r>
          </w:p>
        </w:tc>
      </w:tr>
      <w:tr>
        <w:trPr>
          <w:trHeight w:val="175"/>
        </w:trPr>
        <w:tc>
          <w:tcPr>
            <w:tcW w:w="71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investments, net</w:t>
            </w:r>
          </w:p>
        </w:tc>
        <w:tc>
          <w:tcPr>
            <w:tcW w:w="2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140,558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Repayments on investments</w:t>
            </w:r>
          </w:p>
        </w:tc>
        <w:tc>
          <w:tcPr>
            <w:tcW w:w="220" w:type="dxa"/>
            <w:vAlign w:val="bottom"/>
            <w:shd w:val="clear" w:color="auto" w:fill="CFF0FC"/>
          </w:tcPr>
          <w:p>
            <w:pPr>
              <w:spacing w:after="0"/>
              <w:rPr>
                <w:sz w:val="15"/>
                <w:szCs w:val="15"/>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11,026</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6,286</w:t>
            </w:r>
          </w:p>
        </w:tc>
        <w:tc>
          <w:tcPr>
            <w:tcW w:w="100" w:type="dxa"/>
            <w:vAlign w:val="bottom"/>
            <w:shd w:val="clear" w:color="auto" w:fill="CFF0FC"/>
          </w:tcPr>
          <w:p>
            <w:pPr>
              <w:spacing w:after="0"/>
              <w:rPr>
                <w:sz w:val="15"/>
                <w:szCs w:val="15"/>
                <w:color w:val="auto"/>
              </w:rPr>
            </w:pPr>
          </w:p>
        </w:tc>
      </w:tr>
      <w:tr>
        <w:trPr>
          <w:trHeight w:val="175"/>
        </w:trPr>
        <w:tc>
          <w:tcPr>
            <w:tcW w:w="71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Paid-in-kind interest</w:t>
            </w:r>
          </w:p>
        </w:tc>
        <w:tc>
          <w:tcPr>
            <w:tcW w:w="220" w:type="dxa"/>
            <w:vAlign w:val="bottom"/>
          </w:tcPr>
          <w:p>
            <w:pPr>
              <w:spacing w:after="0"/>
              <w:rPr>
                <w:sz w:val="15"/>
                <w:szCs w:val="15"/>
                <w:color w:val="auto"/>
              </w:rPr>
            </w:pP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(5,545 )</w:t>
            </w:r>
          </w:p>
        </w:tc>
        <w:tc>
          <w:tcPr>
            <w:tcW w:w="160" w:type="dxa"/>
            <w:vAlign w:val="bottom"/>
          </w:tcPr>
          <w:p>
            <w:pPr>
              <w:spacing w:after="0"/>
              <w:rPr>
                <w:sz w:val="15"/>
                <w:szCs w:val="15"/>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(21 )</w:t>
            </w:r>
          </w:p>
        </w:tc>
      </w:tr>
      <w:tr>
        <w:trPr>
          <w:trHeight w:val="176"/>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1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Interest receivable</w:t>
            </w:r>
          </w:p>
        </w:tc>
        <w:tc>
          <w:tcPr>
            <w:tcW w:w="220" w:type="dxa"/>
            <w:vAlign w:val="bottom"/>
          </w:tcPr>
          <w:p>
            <w:pPr>
              <w:spacing w:after="0"/>
              <w:rPr>
                <w:sz w:val="15"/>
                <w:szCs w:val="15"/>
                <w:color w:val="auto"/>
              </w:rPr>
            </w:pP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(18,049 )</w:t>
            </w: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5"/>
                <w:szCs w:val="15"/>
                <w:color w:val="auto"/>
              </w:rPr>
            </w:pPr>
          </w:p>
        </w:tc>
      </w:tr>
      <w:tr>
        <w:trPr>
          <w:trHeight w:val="175"/>
        </w:trPr>
        <w:tc>
          <w:tcPr>
            <w:tcW w:w="7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Interest receivable paid-in-kind</w:t>
            </w:r>
          </w:p>
        </w:tc>
        <w:tc>
          <w:tcPr>
            <w:tcW w:w="220" w:type="dxa"/>
            <w:vAlign w:val="bottom"/>
            <w:shd w:val="clear" w:color="auto" w:fill="CFF0FC"/>
          </w:tcPr>
          <w:p>
            <w:pPr>
              <w:spacing w:after="0"/>
              <w:rPr>
                <w:sz w:val="15"/>
                <w:szCs w:val="15"/>
                <w:color w:val="auto"/>
              </w:rPr>
            </w:pP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(246 )</w:t>
            </w:r>
          </w:p>
        </w:tc>
        <w:tc>
          <w:tcPr>
            <w:tcW w:w="16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1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20" w:type="dxa"/>
            <w:vAlign w:val="bottom"/>
          </w:tcPr>
          <w:p>
            <w:pPr>
              <w:spacing w:after="0"/>
              <w:rPr>
                <w:sz w:val="15"/>
                <w:szCs w:val="15"/>
                <w:color w:val="auto"/>
              </w:rPr>
            </w:pP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(598 )</w:t>
            </w:r>
          </w:p>
        </w:tc>
        <w:tc>
          <w:tcPr>
            <w:tcW w:w="160" w:type="dxa"/>
            <w:vAlign w:val="bottom"/>
          </w:tcPr>
          <w:p>
            <w:pPr>
              <w:spacing w:after="0"/>
              <w:rPr>
                <w:sz w:val="15"/>
                <w:szCs w:val="15"/>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(548 )</w:t>
            </w:r>
          </w:p>
        </w:tc>
      </w:tr>
      <w:tr>
        <w:trPr>
          <w:trHeight w:val="175"/>
        </w:trPr>
        <w:tc>
          <w:tcPr>
            <w:tcW w:w="7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Management fees payable to affiliate</w:t>
            </w:r>
          </w:p>
        </w:tc>
        <w:tc>
          <w:tcPr>
            <w:tcW w:w="220" w:type="dxa"/>
            <w:vAlign w:val="bottom"/>
            <w:shd w:val="clear" w:color="auto" w:fill="CFF0FC"/>
          </w:tcPr>
          <w:p>
            <w:pPr>
              <w:spacing w:after="0"/>
              <w:rPr>
                <w:sz w:val="15"/>
                <w:szCs w:val="15"/>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shd w:val="clear" w:color="auto" w:fill="CFF0FC"/>
          </w:tcPr>
          <w:p>
            <w:pPr>
              <w:spacing w:after="0"/>
              <w:rPr>
                <w:sz w:val="15"/>
                <w:szCs w:val="15"/>
                <w:color w:val="auto"/>
              </w:rPr>
            </w:pPr>
          </w:p>
        </w:tc>
      </w:tr>
      <w:tr>
        <w:trPr>
          <w:trHeight w:val="176"/>
        </w:trPr>
        <w:tc>
          <w:tcPr>
            <w:tcW w:w="71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Incentive fees on net investment income payable to affiliate</w:t>
            </w:r>
          </w:p>
        </w:tc>
        <w:tc>
          <w:tcPr>
            <w:tcW w:w="2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tcPr>
          <w:p>
            <w:pPr>
              <w:spacing w:after="0"/>
              <w:rPr>
                <w:sz w:val="15"/>
                <w:szCs w:val="15"/>
                <w:color w:val="auto"/>
              </w:rPr>
            </w:pPr>
          </w:p>
        </w:tc>
      </w:tr>
      <w:tr>
        <w:trPr>
          <w:trHeight w:val="176"/>
        </w:trPr>
        <w:tc>
          <w:tcPr>
            <w:tcW w:w="7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Incentive fees on net capital gains accrued to affiliate</w:t>
            </w:r>
          </w:p>
        </w:tc>
        <w:tc>
          <w:tcPr>
            <w:tcW w:w="220" w:type="dxa"/>
            <w:vAlign w:val="bottom"/>
            <w:shd w:val="clear" w:color="auto" w:fill="CFF0FC"/>
          </w:tcPr>
          <w:p>
            <w:pPr>
              <w:spacing w:after="0"/>
              <w:rPr>
                <w:sz w:val="15"/>
                <w:szCs w:val="15"/>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3,127</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100" w:type="dxa"/>
            <w:vAlign w:val="bottom"/>
            <w:shd w:val="clear" w:color="auto" w:fill="CFF0FC"/>
          </w:tcPr>
          <w:p>
            <w:pPr>
              <w:spacing w:after="0"/>
              <w:rPr>
                <w:sz w:val="15"/>
                <w:szCs w:val="15"/>
                <w:color w:val="auto"/>
              </w:rPr>
            </w:pPr>
          </w:p>
        </w:tc>
      </w:tr>
      <w:tr>
        <w:trPr>
          <w:trHeight w:val="175"/>
        </w:trPr>
        <w:tc>
          <w:tcPr>
            <w:tcW w:w="71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payables to affiliates</w:t>
            </w:r>
          </w:p>
        </w:tc>
        <w:tc>
          <w:tcPr>
            <w:tcW w:w="220" w:type="dxa"/>
            <w:vAlign w:val="bottom"/>
          </w:tcPr>
          <w:p>
            <w:pPr>
              <w:spacing w:after="0"/>
              <w:rPr>
                <w:sz w:val="15"/>
                <w:szCs w:val="15"/>
                <w:color w:val="auto"/>
              </w:rPr>
            </w:pP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(480 )</w:t>
            </w:r>
          </w:p>
        </w:tc>
        <w:tc>
          <w:tcPr>
            <w:tcW w:w="160" w:type="dxa"/>
            <w:vAlign w:val="bottom"/>
          </w:tcPr>
          <w:p>
            <w:pPr>
              <w:spacing w:after="0"/>
              <w:rPr>
                <w:sz w:val="15"/>
                <w:szCs w:val="15"/>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(2,507 )</w:t>
            </w:r>
          </w:p>
        </w:tc>
      </w:tr>
      <w:tr>
        <w:trPr>
          <w:trHeight w:val="175"/>
        </w:trPr>
        <w:tc>
          <w:tcPr>
            <w:tcW w:w="7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shd w:val="clear" w:color="auto" w:fill="CFF0FC"/>
          </w:tcPr>
          <w:p>
            <w:pPr>
              <w:spacing w:after="0"/>
              <w:rPr>
                <w:sz w:val="15"/>
                <w:szCs w:val="15"/>
                <w:color w:val="auto"/>
              </w:rPr>
            </w:pP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(3,379 )</w:t>
            </w: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6,034</w:t>
            </w:r>
          </w:p>
        </w:tc>
        <w:tc>
          <w:tcPr>
            <w:tcW w:w="100" w:type="dxa"/>
            <w:vAlign w:val="bottom"/>
            <w:shd w:val="clear" w:color="auto" w:fill="CFF0FC"/>
          </w:tcPr>
          <w:p>
            <w:pPr>
              <w:spacing w:after="0"/>
              <w:rPr>
                <w:sz w:val="15"/>
                <w:szCs w:val="15"/>
                <w:color w:val="auto"/>
              </w:rPr>
            </w:pPr>
          </w:p>
        </w:tc>
      </w:tr>
      <w:tr>
        <w:trPr>
          <w:trHeight w:val="20"/>
        </w:trPr>
        <w:tc>
          <w:tcPr>
            <w:tcW w:w="7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1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220" w:type="dxa"/>
            <w:vAlign w:val="bottom"/>
          </w:tcPr>
          <w:p>
            <w:pPr>
              <w:spacing w:after="0"/>
              <w:rPr>
                <w:sz w:val="14"/>
                <w:szCs w:val="14"/>
                <w:color w:val="auto"/>
              </w:rPr>
            </w:pP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(1,096,850 )</w:t>
            </w:r>
          </w:p>
        </w:tc>
        <w:tc>
          <w:tcPr>
            <w:tcW w:w="160" w:type="dxa"/>
            <w:vAlign w:val="bottom"/>
          </w:tcPr>
          <w:p>
            <w:pPr>
              <w:spacing w:after="0"/>
              <w:rPr>
                <w:sz w:val="14"/>
                <w:szCs w:val="14"/>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(417,208 )</w:t>
            </w:r>
          </w:p>
        </w:tc>
      </w:tr>
      <w:tr>
        <w:trPr>
          <w:trHeight w:val="169"/>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0" w:type="dxa"/>
            <w:vAlign w:val="bottom"/>
            <w:tcBorders>
              <w:top w:val="single" w:sz="8" w:color="auto"/>
            </w:tcBorders>
            <w:shd w:val="clear" w:color="auto" w:fill="CFF0FC"/>
          </w:tcPr>
          <w:p>
            <w:pPr>
              <w:spacing w:after="0"/>
              <w:rPr>
                <w:sz w:val="14"/>
                <w:szCs w:val="14"/>
                <w:color w:val="auto"/>
              </w:rPr>
            </w:pPr>
          </w:p>
        </w:tc>
        <w:tc>
          <w:tcPr>
            <w:tcW w:w="17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6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Borrowings on debt</w:t>
            </w:r>
          </w:p>
        </w:tc>
        <w:tc>
          <w:tcPr>
            <w:tcW w:w="2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1,690,700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800,607</w:t>
            </w:r>
          </w:p>
        </w:tc>
        <w:tc>
          <w:tcPr>
            <w:tcW w:w="100" w:type="dxa"/>
            <w:vAlign w:val="bottom"/>
          </w:tcPr>
          <w:p>
            <w:pPr>
              <w:spacing w:after="0"/>
              <w:rPr>
                <w:sz w:val="15"/>
                <w:szCs w:val="15"/>
                <w:color w:val="auto"/>
              </w:rPr>
            </w:pPr>
          </w:p>
        </w:tc>
      </w:tr>
      <w:tr>
        <w:trPr>
          <w:trHeight w:val="175"/>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Repayments on debt</w:t>
            </w:r>
          </w:p>
        </w:tc>
        <w:tc>
          <w:tcPr>
            <w:tcW w:w="220" w:type="dxa"/>
            <w:vAlign w:val="bottom"/>
            <w:shd w:val="clear" w:color="auto" w:fill="CFF0FC"/>
          </w:tcPr>
          <w:p>
            <w:pPr>
              <w:spacing w:after="0"/>
              <w:rPr>
                <w:sz w:val="15"/>
                <w:szCs w:val="15"/>
                <w:color w:val="auto"/>
              </w:rPr>
            </w:pP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(1,005,600 )</w:t>
            </w:r>
          </w:p>
        </w:tc>
        <w:tc>
          <w:tcPr>
            <w:tcW w:w="16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(548,000 )</w:t>
            </w:r>
          </w:p>
        </w:tc>
      </w:tr>
      <w:tr>
        <w:trPr>
          <w:trHeight w:val="175"/>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financing costs</w:t>
            </w:r>
          </w:p>
        </w:tc>
        <w:tc>
          <w:tcPr>
            <w:tcW w:w="220" w:type="dxa"/>
            <w:vAlign w:val="bottom"/>
          </w:tcPr>
          <w:p>
            <w:pPr>
              <w:spacing w:after="0"/>
              <w:rPr>
                <w:sz w:val="15"/>
                <w:szCs w:val="15"/>
                <w:color w:val="auto"/>
              </w:rPr>
            </w:pP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(11,445 )</w:t>
            </w:r>
          </w:p>
        </w:tc>
        <w:tc>
          <w:tcPr>
            <w:tcW w:w="160" w:type="dxa"/>
            <w:vAlign w:val="bottom"/>
          </w:tcPr>
          <w:p>
            <w:pPr>
              <w:spacing w:after="0"/>
              <w:rPr>
                <w:sz w:val="15"/>
                <w:szCs w:val="15"/>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(8,331 )</w:t>
            </w:r>
          </w:p>
        </w:tc>
      </w:tr>
      <w:tr>
        <w:trPr>
          <w:trHeight w:val="175"/>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Dividends paid to shareholders</w:t>
            </w:r>
          </w:p>
        </w:tc>
        <w:tc>
          <w:tcPr>
            <w:tcW w:w="220" w:type="dxa"/>
            <w:vAlign w:val="bottom"/>
            <w:shd w:val="clear" w:color="auto" w:fill="CFF0FC"/>
          </w:tcPr>
          <w:p>
            <w:pPr>
              <w:spacing w:after="0"/>
              <w:rPr>
                <w:sz w:val="15"/>
                <w:szCs w:val="15"/>
                <w:color w:val="auto"/>
              </w:rPr>
            </w:pP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(21,808 )</w:t>
            </w:r>
          </w:p>
        </w:tc>
        <w:tc>
          <w:tcPr>
            <w:tcW w:w="16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calls</w:t>
            </w:r>
          </w:p>
        </w:tc>
        <w:tc>
          <w:tcPr>
            <w:tcW w:w="2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499,736</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Pr>
          <w:p>
            <w:pPr>
              <w:spacing w:after="0"/>
              <w:rPr>
                <w:sz w:val="15"/>
                <w:szCs w:val="15"/>
                <w:color w:val="auto"/>
              </w:rPr>
            </w:pPr>
          </w:p>
        </w:tc>
      </w:tr>
      <w:tr>
        <w:trPr>
          <w:trHeight w:val="169"/>
        </w:trPr>
        <w:tc>
          <w:tcPr>
            <w:tcW w:w="71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220" w:type="dxa"/>
            <w:vAlign w:val="bottom"/>
            <w:tcBorders>
              <w:bottom w:val="single" w:sz="8" w:color="auto"/>
            </w:tcBorders>
            <w:shd w:val="clear" w:color="auto" w:fill="CFF0FC"/>
          </w:tcPr>
          <w:p>
            <w:pPr>
              <w:spacing w:after="0"/>
              <w:rPr>
                <w:sz w:val="14"/>
                <w:szCs w:val="14"/>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1,151,583</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494,276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1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22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54,733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77,068</w:t>
            </w:r>
          </w:p>
        </w:tc>
        <w:tc>
          <w:tcPr>
            <w:tcW w:w="100" w:type="dxa"/>
            <w:vAlign w:val="bottom"/>
          </w:tcPr>
          <w:p>
            <w:pPr>
              <w:spacing w:after="0"/>
              <w:rPr>
                <w:sz w:val="14"/>
                <w:szCs w:val="14"/>
                <w:color w:val="auto"/>
              </w:rPr>
            </w:pPr>
          </w:p>
        </w:tc>
      </w:tr>
      <w:tr>
        <w:trPr>
          <w:trHeight w:val="175"/>
        </w:trPr>
        <w:tc>
          <w:tcPr>
            <w:tcW w:w="7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20" w:type="dxa"/>
            <w:vAlign w:val="bottom"/>
            <w:tcBorders>
              <w:bottom w:val="single" w:sz="8" w:color="auto"/>
            </w:tcBorders>
            <w:shd w:val="clear" w:color="auto" w:fill="CFF0FC"/>
          </w:tcPr>
          <w:p>
            <w:pPr>
              <w:spacing w:after="0"/>
              <w:rPr>
                <w:sz w:val="15"/>
                <w:szCs w:val="15"/>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8,813</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274,612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1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63,546</w:t>
            </w:r>
          </w:p>
        </w:tc>
        <w:tc>
          <w:tcPr>
            <w:tcW w:w="22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351,680</w:t>
            </w:r>
          </w:p>
        </w:tc>
        <w:tc>
          <w:tcPr>
            <w:tcW w:w="100" w:type="dxa"/>
            <w:vAlign w:val="bottom"/>
          </w:tcPr>
          <w:p>
            <w:pPr>
              <w:spacing w:after="0"/>
              <w:rPr>
                <w:sz w:val="14"/>
                <w:szCs w:val="14"/>
                <w:color w:val="auto"/>
              </w:rPr>
            </w:pPr>
          </w:p>
        </w:tc>
      </w:tr>
      <w:tr>
        <w:trPr>
          <w:trHeight w:val="20"/>
        </w:trPr>
        <w:tc>
          <w:tcPr>
            <w:tcW w:w="7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1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Supplemental Information:</w:t>
            </w:r>
          </w:p>
        </w:tc>
        <w:tc>
          <w:tcPr>
            <w:tcW w:w="22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71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Interest paid during the period</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35,455</w:t>
            </w:r>
          </w:p>
        </w:tc>
        <w:tc>
          <w:tcPr>
            <w:tcW w:w="2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2,633</w:t>
            </w:r>
          </w:p>
        </w:tc>
        <w:tc>
          <w:tcPr>
            <w:tcW w:w="100" w:type="dxa"/>
            <w:vAlign w:val="bottom"/>
          </w:tcPr>
          <w:p>
            <w:pPr>
              <w:spacing w:after="0"/>
              <w:rPr>
                <w:sz w:val="15"/>
                <w:szCs w:val="15"/>
                <w:color w:val="auto"/>
              </w:rPr>
            </w:pPr>
          </w:p>
        </w:tc>
      </w:tr>
      <w:tr>
        <w:trPr>
          <w:trHeight w:val="175"/>
        </w:trPr>
        <w:tc>
          <w:tcPr>
            <w:tcW w:w="7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Excise and other taxes paid during the period</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3,485</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shd w:val="clear" w:color="auto" w:fill="CFF0FC"/>
          </w:tcPr>
          <w:p>
            <w:pPr>
              <w:spacing w:after="0"/>
              <w:rPr>
                <w:sz w:val="15"/>
                <w:szCs w:val="15"/>
                <w:color w:val="auto"/>
              </w:rPr>
            </w:pPr>
          </w:p>
        </w:tc>
      </w:tr>
      <w:tr>
        <w:trPr>
          <w:trHeight w:val="175"/>
        </w:trPr>
        <w:tc>
          <w:tcPr>
            <w:tcW w:w="71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Dividends declared during the period</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56,027</w:t>
            </w:r>
          </w:p>
        </w:tc>
        <w:tc>
          <w:tcPr>
            <w:tcW w:w="2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12,610</w:t>
            </w:r>
          </w:p>
        </w:tc>
        <w:tc>
          <w:tcPr>
            <w:tcW w:w="100" w:type="dxa"/>
            <w:vAlign w:val="bottom"/>
          </w:tcPr>
          <w:p>
            <w:pPr>
              <w:spacing w:after="0"/>
              <w:rPr>
                <w:sz w:val="15"/>
                <w:szCs w:val="15"/>
                <w:color w:val="auto"/>
              </w:rPr>
            </w:pPr>
          </w:p>
        </w:tc>
      </w:tr>
      <w:tr>
        <w:trPr>
          <w:trHeight w:val="175"/>
        </w:trPr>
        <w:tc>
          <w:tcPr>
            <w:tcW w:w="7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Financing Activities:</w:t>
            </w: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Reinvestment of dividends during the period</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22,062</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-2073910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-1156970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-925195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unless otherwise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119"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Sixth Street Lending Partners (the “Company”) is a Delaware statutory trust formed on April 5, 2022 (“Inception”). The Company was formed primarily to lend to, and selectively invest in, upper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Lending Partners Advisers, LLC (the “Adviser”). On May 12, 2022, the Company formed a wholly-owned subsidiary, Sixth Street LP Holding, LLC, a Delaware limited liability company. On May 12, 2022, the Company formed a wholly-owned subsidiary, SSLP Lending, LLC, a Delaware limited liability company. On December 8, 2022, the Company formed a wholly-owned subsidiary, Sixth Street LP Holding II, LLC, a Delaware limited liability company. On December 21, 2023, the Company formed a wholly-owned subsidiary, Sixth Street Lending Partners Sub, LLC, a Cayman Islands limited liability company. Sixth Street LP Holding, LLC has legally dissolved as of December 31, 2023.</w:t>
      </w:r>
    </w:p>
    <w:p>
      <w:pPr>
        <w:spacing w:after="0" w:line="188" w:lineRule="exact"/>
        <w:rPr>
          <w:sz w:val="20"/>
          <w:szCs w:val="20"/>
          <w:color w:val="auto"/>
        </w:rPr>
      </w:pPr>
    </w:p>
    <w:p>
      <w:pPr>
        <w:ind w:firstLine="255"/>
        <w:spacing w:after="0" w:line="274" w:lineRule="auto"/>
        <w:rPr>
          <w:sz w:val="20"/>
          <w:szCs w:val="20"/>
          <w:color w:val="auto"/>
        </w:rPr>
      </w:pPr>
      <w:r>
        <w:rPr>
          <w:rFonts w:ascii="Times New Roman" w:cs="Times New Roman" w:eastAsia="Times New Roman" w:hAnsi="Times New Roman"/>
          <w:sz w:val="17"/>
          <w:szCs w:val="17"/>
          <w:color w:val="auto"/>
        </w:rPr>
        <w:t>The Company is conducting a private offering (the “Private Offering”) of its Common Shares of beneficial interest (the “Common Shares”) to accredited investors, as defined in Regulation D under the Securities Act of 1933 (the “1933 Act”) in reliance on exemptions from the registration requirements of the 1933 Act. Common Shares will be offered for subscription continuously throughout an initial closing period and may be offered from time to time thereafter. Each investor in the Private Offering will make a capital commitment (a “Capital Commitment”) to purchase Common Shares of the Company pursuant to a subscription agreement entered into with the Company. Investors will be required to fund drawdowns to purchase the Company’s Common Shares up to the amount of their respective Capital Commitments on an as-needed basis each time the Company delivers a notice to the investors.</w:t>
      </w:r>
    </w:p>
    <w:p>
      <w:pPr>
        <w:spacing w:after="0" w:line="173"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The Company completed its initial closing of Capital Commitments and commenced its loan origination and investment activities on August 31, 2022 (“Commencement of Operations”), the date of receipt of the initial drawdown from investors in the Private Offering.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200" w:firstLine="255"/>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83"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2023, which was filed with the Securities and Exchange Commission (“SEC”), on February 16, 2024.</w:t>
      </w:r>
    </w:p>
    <w:p>
      <w:pPr>
        <w:spacing w:after="0" w:line="183" w:lineRule="exact"/>
        <w:rPr>
          <w:sz w:val="20"/>
          <w:szCs w:val="20"/>
          <w:color w:val="auto"/>
        </w:rPr>
      </w:pPr>
    </w:p>
    <w:p>
      <w:pPr>
        <w:ind w:right="920" w:firstLine="255"/>
        <w:spacing w:after="0" w:line="282" w:lineRule="auto"/>
        <w:rPr>
          <w:sz w:val="20"/>
          <w:szCs w:val="20"/>
          <w:color w:val="auto"/>
        </w:rPr>
      </w:pPr>
      <w:r>
        <w:rPr>
          <w:rFonts w:ascii="Times New Roman" w:cs="Times New Roman" w:eastAsia="Times New Roman" w:hAnsi="Times New Roman"/>
          <w:sz w:val="18"/>
          <w:szCs w:val="18"/>
          <w:color w:val="auto"/>
        </w:rPr>
        <w:t xml:space="preserve">The Company is an investment company and, therefore, applies the specialized accounting and reporting guidance in Accounting Standards Codification (“ASC”) Topic 946, </w:t>
      </w:r>
      <w:r>
        <w:rPr>
          <w:rFonts w:ascii="Times New Roman" w:cs="Times New Roman" w:eastAsia="Times New Roman" w:hAnsi="Times New Roman"/>
          <w:sz w:val="18"/>
          <w:szCs w:val="18"/>
          <w:i w:val="1"/>
          <w:iCs w:val="1"/>
          <w:color w:val="auto"/>
        </w:rPr>
        <w:t>Financial Services – Investment Companies.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End</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fiscal year ends on December 31.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at Fair Value</w:t>
      </w:r>
    </w:p>
    <w:p>
      <w:pPr>
        <w:spacing w:after="0" w:line="11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83" w:lineRule="exact"/>
        <w:rPr>
          <w:sz w:val="20"/>
          <w:szCs w:val="20"/>
          <w:color w:val="auto"/>
        </w:rPr>
      </w:pPr>
    </w:p>
    <w:p>
      <w:pPr>
        <w:ind w:right="360" w:firstLine="255"/>
        <w:spacing w:after="0" w:line="258"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Trustees (the “Board”), based on, among other things, the input of the Adviser, the Company’s Audit Committee and independent third-party valuation firms engaged at the direction of the Board.</w:t>
      </w:r>
    </w:p>
    <w:p>
      <w:pPr>
        <w:spacing w:after="0" w:line="183"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80" w:hanging="257"/>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3" w:lineRule="exact"/>
        <w:rPr>
          <w:rFonts w:ascii="Times New Roman" w:cs="Times New Roman" w:eastAsia="Times New Roman" w:hAnsi="Times New Roman"/>
          <w:sz w:val="18"/>
          <w:szCs w:val="18"/>
          <w:color w:val="auto"/>
        </w:rPr>
      </w:pPr>
    </w:p>
    <w:p>
      <w:pPr>
        <w:ind w:left="520" w:right="420" w:hanging="257"/>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 upon valuation recommendations are presented to the Audit Committee.</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17" w:lineRule="exact"/>
        <w:rPr>
          <w:rFonts w:ascii="Times New Roman" w:cs="Times New Roman" w:eastAsia="Times New Roman" w:hAnsi="Times New Roman"/>
          <w:sz w:val="18"/>
          <w:szCs w:val="18"/>
          <w:color w:val="auto"/>
        </w:rPr>
      </w:pPr>
    </w:p>
    <w:p>
      <w:pPr>
        <w:ind w:left="520" w:right="100" w:hanging="257"/>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conducts this valuation process on a quarterly basis.</w:t>
      </w:r>
    </w:p>
    <w:p>
      <w:pPr>
        <w:spacing w:after="0" w:line="225"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The Board has engaged independent third-party valuation firms to perform certain limited procedures that the Board has identified and requested them to perform in connection with the valuation process. At March 31, 2024,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8" w:name="page19"/>
    <w:bookmarkEnd w:id="18"/>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 xml:space="preserve">The Company applies Financial Accounting Standards Board Accounting Standards Codification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79" w:lineRule="exact"/>
        <w:rPr>
          <w:sz w:val="20"/>
          <w:szCs w:val="20"/>
          <w:color w:val="auto"/>
        </w:rPr>
      </w:pPr>
    </w:p>
    <w:p>
      <w:pPr>
        <w:ind w:left="520" w:hanging="257"/>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the Company has the ability to access.</w:t>
      </w:r>
    </w:p>
    <w:p>
      <w:pPr>
        <w:spacing w:after="0" w:line="117" w:lineRule="exact"/>
        <w:rPr>
          <w:rFonts w:ascii="Times New Roman" w:cs="Times New Roman" w:eastAsia="Times New Roman" w:hAnsi="Times New Roman"/>
          <w:sz w:val="18"/>
          <w:szCs w:val="18"/>
          <w:color w:val="auto"/>
        </w:rPr>
      </w:pPr>
    </w:p>
    <w:p>
      <w:pPr>
        <w:ind w:left="520" w:right="600" w:hanging="257"/>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140" w:firstLine="255"/>
        <w:spacing w:after="0" w:line="254"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88"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87"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and Derivative Instruments</w:t>
      </w:r>
    </w:p>
    <w:p>
      <w:pPr>
        <w:spacing w:after="0" w:line="227"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The Company recognizes all derivative instruments as assets or liabilities at fair value in its consolidated financial statements, pursuant to ASC Topic 815 Derivatives and Hedging, further clarified by the FASB’s issuance of the Accounting Standards Update (“ASU”) No. 2017-12, Derivatives and Hedging,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spacing w:after="0" w:line="192" w:lineRule="exact"/>
        <w:rPr>
          <w:sz w:val="20"/>
          <w:szCs w:val="20"/>
          <w:color w:val="auto"/>
        </w:rPr>
      </w:pPr>
    </w:p>
    <w:p>
      <w:pPr>
        <w:ind w:right="180" w:firstLine="255"/>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 Derivatives, including the Company’s interest rate swaps, for which broker quotes are available are typically valued at those broker quotes.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Offsetting Assets and Liabilities</w:t>
      </w:r>
    </w:p>
    <w:p>
      <w:pPr>
        <w:spacing w:after="0" w:line="335"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Foreign currency amounts are translated into U.S. dollars on the following basis:</w:t>
      </w:r>
    </w:p>
    <w:p>
      <w:pPr>
        <w:spacing w:after="0" w:line="117" w:lineRule="exact"/>
        <w:rPr>
          <w:sz w:val="20"/>
          <w:szCs w:val="20"/>
          <w:color w:val="auto"/>
        </w:rPr>
      </w:pPr>
    </w:p>
    <w:p>
      <w:pPr>
        <w:ind w:left="520" w:right="580" w:hanging="257"/>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53" w:lineRule="exact"/>
        <w:rPr>
          <w:rFonts w:ascii="Times New Roman" w:cs="Times New Roman" w:eastAsia="Times New Roman" w:hAnsi="Times New Roman"/>
          <w:sz w:val="18"/>
          <w:szCs w:val="18"/>
          <w:color w:val="auto"/>
        </w:rPr>
      </w:pPr>
    </w:p>
    <w:p>
      <w:pPr>
        <w:ind w:left="520" w:hanging="257"/>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sales of investments, borrowings and repayments of such borrowings, income and expenses: at the rates of exchange prevailing on the respective dates of such transactions.</w:t>
      </w:r>
    </w:p>
    <w:p>
      <w:pPr>
        <w:spacing w:after="0" w:line="162"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Subscription Facility and Revolving Credit Facility (“Credit Facilities”)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89"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 and Offering Expenses</w:t>
      </w:r>
    </w:p>
    <w:p>
      <w:pPr>
        <w:spacing w:after="0" w:line="119" w:lineRule="exact"/>
        <w:rPr>
          <w:sz w:val="20"/>
          <w:szCs w:val="20"/>
          <w:color w:val="auto"/>
        </w:rPr>
      </w:pPr>
    </w:p>
    <w:p>
      <w:pPr>
        <w:jc w:val="both"/>
        <w:ind w:right="120" w:firstLine="255"/>
        <w:spacing w:after="0" w:line="266" w:lineRule="auto"/>
        <w:rPr>
          <w:sz w:val="20"/>
          <w:szCs w:val="20"/>
          <w:color w:val="auto"/>
        </w:rPr>
      </w:pPr>
      <w:r>
        <w:rPr>
          <w:rFonts w:ascii="Times New Roman" w:cs="Times New Roman" w:eastAsia="Times New Roman" w:hAnsi="Times New Roman"/>
          <w:sz w:val="18"/>
          <w:szCs w:val="18"/>
          <w:color w:val="auto"/>
        </w:rPr>
        <w:t>Organization and offering costs will be borne by the Company and have been advanced from the Adviser subject to recoupment. Costs associated with the organization of the Company have been expensed as incurred, subject to the limitation described below. These expenses consist primarily of legal fees and other costs of organizing the Company.</w:t>
      </w:r>
    </w:p>
    <w:p>
      <w:pPr>
        <w:spacing w:after="0" w:line="176" w:lineRule="exact"/>
        <w:rPr>
          <w:sz w:val="20"/>
          <w:szCs w:val="20"/>
          <w:color w:val="auto"/>
        </w:rPr>
      </w:pPr>
    </w:p>
    <w:p>
      <w:pPr>
        <w:jc w:val="both"/>
        <w:ind w:right="260" w:firstLine="255"/>
        <w:spacing w:after="0" w:line="266" w:lineRule="auto"/>
        <w:rPr>
          <w:sz w:val="20"/>
          <w:szCs w:val="20"/>
          <w:color w:val="auto"/>
        </w:rPr>
      </w:pPr>
      <w:r>
        <w:rPr>
          <w:rFonts w:ascii="Times New Roman" w:cs="Times New Roman" w:eastAsia="Times New Roman" w:hAnsi="Times New Roman"/>
          <w:sz w:val="18"/>
          <w:szCs w:val="18"/>
          <w:color w:val="auto"/>
        </w:rPr>
        <w:t>Costs associated with the offering of Common Shares of the Company will be capitalized as deferred offering expenses on the Consolidated Balance Sheet and amortized over a twelve-month period from incurrence. These expenses consist primarily of legal fees and other costs incurred in connection with the Company’s private offering of its Common Shares.</w:t>
      </w:r>
    </w:p>
    <w:p>
      <w:pPr>
        <w:spacing w:after="0" w:line="176"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The Company will not bear more than an amount equal to 0.10% of the aggregate Commitments of the Company for organization and offering expenses in connection with the offering of Common Shares. If actual organization and offering costs incurred exceed 0.10% of the Company’s total Capital Commitments, the Adviser or its affiliates will bear the excess costs. To the extent that the Company’s Capital Commitments later increase, the Adviser or its affiliates may be reimbursed for past payments of excess organization and offering costs made on the Company’s behalf, provided that the total organization and offering costs borne by the Company do not exceed 0.10% of total Capital Commitments and provided further that the Adviser or its affiliates may not be reimbursed for payment of excess organization and offering expenses that were incurred more than three years prior to the proposed reimbursement.</w:t>
      </w:r>
    </w:p>
    <w:p>
      <w:pPr>
        <w:spacing w:after="0" w:line="189" w:lineRule="exact"/>
        <w:rPr>
          <w:sz w:val="20"/>
          <w:szCs w:val="20"/>
          <w:color w:val="auto"/>
        </w:rPr>
      </w:pPr>
    </w:p>
    <w:p>
      <w:pPr>
        <w:jc w:val="both"/>
        <w:ind w:right="200" w:firstLine="255"/>
        <w:spacing w:after="0" w:line="266" w:lineRule="auto"/>
        <w:rPr>
          <w:sz w:val="20"/>
          <w:szCs w:val="20"/>
          <w:color w:val="auto"/>
        </w:rPr>
      </w:pPr>
      <w:r>
        <w:rPr>
          <w:rFonts w:ascii="Times New Roman" w:cs="Times New Roman" w:eastAsia="Times New Roman" w:hAnsi="Times New Roman"/>
          <w:sz w:val="18"/>
          <w:szCs w:val="18"/>
          <w:color w:val="auto"/>
        </w:rPr>
        <w:t>As of March 31, 2024 and 2023, there were no expenses borne by the Adviser subject to future recoupment. Any sales load, platform fees, servicing fees or similar fees or expenses charged directly to an investor in an offering by a placement agent or similar party will not be considered organization or offering expenses of the Company for purposes of the Company’s cap on organization and offering expenses.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19" w:lineRule="exact"/>
        <w:rPr>
          <w:sz w:val="20"/>
          <w:szCs w:val="20"/>
          <w:color w:val="auto"/>
        </w:rPr>
      </w:pPr>
    </w:p>
    <w:p>
      <w:pPr>
        <w:ind w:right="220" w:firstLine="255"/>
        <w:spacing w:after="0" w:line="266" w:lineRule="auto"/>
        <w:rPr>
          <w:sz w:val="20"/>
          <w:szCs w:val="20"/>
          <w:color w:val="auto"/>
        </w:rPr>
      </w:pPr>
      <w:r>
        <w:rPr>
          <w:rFonts w:ascii="Times New Roman" w:cs="Times New Roman" w:eastAsia="Times New Roman" w:hAnsi="Times New Roman"/>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 Recognition</w:t>
      </w:r>
    </w:p>
    <w:p>
      <w:pPr>
        <w:spacing w:after="0" w:line="119"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76"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62"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7"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receive fees for services provided to portfolio companies by the Adviser. The services that the Adviser provides vary by investment, but may include syndication, structuring, arranger, diligence fees, or other service-based fees and fees for providing managerial assistance to our portfolio companies and are recognized as revenue when earned.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The Company’s earnings per share (“EPS”) amounts have been computed based on the weighted-average number of Common Shares outstanding for the period. Basic EPS is computed by dividing net increase (decrease) in net assets resulting from operations by the weighted average number of Common Shares outstanding during the period. Diluted EPS is computed by dividing net increase (decrease) in net assets resulting from operations by the weighted average number of Common Shares assuming all potential shares had been issued and the additional Common Shares were dilutive. Diluted EPS reflects the potential dilution, using the if-converted method for convertible debt, which could occur if all potentially dilutive securities were exercised.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Reimbursement of Transaction-Related Expenses</w:t>
      </w:r>
    </w:p>
    <w:p>
      <w:pPr>
        <w:spacing w:after="0" w:line="119"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80"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Including Excise Taxes</w:t>
      </w:r>
    </w:p>
    <w:p>
      <w:pPr>
        <w:spacing w:after="0" w:line="119"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shareholders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shareholders, which generally relieves the Company from corporate-level U.S. federal income taxes.</w:t>
      </w:r>
    </w:p>
    <w:p>
      <w:pPr>
        <w:spacing w:after="0" w:line="183"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and may be adjusted at a later date based on factors including, but not limited to, on-going analyses of tax laws, regulations and interpretations thereof.</w:t>
      </w:r>
    </w:p>
    <w:p>
      <w:pPr>
        <w:spacing w:after="0" w:line="225"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three months ended March 31, 2024 and 2023, the Company recorded a net expense of $2.2 million and $0.3 million, respectively, for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excise tax and other taxes.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to Common Shareholders</w:t>
      </w:r>
    </w:p>
    <w:p>
      <w:pPr>
        <w:spacing w:after="0" w:line="119" w:lineRule="exact"/>
        <w:rPr>
          <w:sz w:val="20"/>
          <w:szCs w:val="20"/>
          <w:color w:val="auto"/>
        </w:rPr>
      </w:pPr>
    </w:p>
    <w:p>
      <w:pPr>
        <w:ind w:right="240" w:firstLine="255"/>
        <w:spacing w:after="0" w:line="266" w:lineRule="auto"/>
        <w:rPr>
          <w:sz w:val="20"/>
          <w:szCs w:val="20"/>
          <w:color w:val="auto"/>
        </w:rPr>
      </w:pPr>
      <w:r>
        <w:rPr>
          <w:rFonts w:ascii="Times New Roman" w:cs="Times New Roman" w:eastAsia="Times New Roman" w:hAnsi="Times New Roman"/>
          <w:sz w:val="18"/>
          <w:szCs w:val="18"/>
          <w:color w:val="auto"/>
        </w:rPr>
        <w:t>Dividends to common shareholders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76"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The Company has adopted a dividend reinvestment plan that provides for reinvestment of any dividends declared in cash on behalf of shareholders, unless a shareholder elects to receive cash. As a result, if the Board authorizes and declares a cash dividend, then the shareholders who have not “opted out” of the dividend reinvestment plan will have their cash dividends automatically reinvested in additional shares of the Company’s Common Shares, rather than receiving the cash dividend. The Company expects to use newly issued shares to satisfy the dividend reinvestment plan. See Note 11 for further information related to dividends.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Agreements and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 Agreement</w:t>
      </w:r>
    </w:p>
    <w:p>
      <w:pPr>
        <w:spacing w:after="0" w:line="119"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On June 28, 2022,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79"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On November 2, 2023, the Board renewed the Administration Agreement. Unless earlier terminated as described below, the Administration Agreement will remain in effect until November 2, 2024, and may be extended subject to required approvals. The Administration Agreement may be terminated by either party without penalty on 60 days’ written notice to the other party.</w:t>
      </w:r>
    </w:p>
    <w:p>
      <w:pPr>
        <w:spacing w:after="0" w:line="68" w:lineRule="exact"/>
        <w:rPr>
          <w:sz w:val="20"/>
          <w:szCs w:val="20"/>
          <w:color w:val="auto"/>
        </w:rPr>
      </w:pPr>
    </w:p>
    <w:p>
      <w:pPr>
        <w:ind w:right="60" w:firstLine="255"/>
        <w:spacing w:after="0" w:line="253" w:lineRule="auto"/>
        <w:rPr>
          <w:sz w:val="20"/>
          <w:szCs w:val="20"/>
          <w:color w:val="auto"/>
        </w:rPr>
      </w:pPr>
      <w:r>
        <w:rPr>
          <w:rFonts w:ascii="Times New Roman" w:cs="Times New Roman" w:eastAsia="Times New Roman" w:hAnsi="Times New Roman"/>
          <w:sz w:val="18"/>
          <w:szCs w:val="18"/>
          <w:color w:val="auto"/>
        </w:rPr>
        <w:t>No person who is an officer, trustee or employee of the Adviser or its affiliates and who serves as a trustee of the Company receives any compensation from the Company for his or her services as a trustee.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Trustees who are not affiliated with the Adviser receive compensation for their services and reimbursement of expenses incurred to attend meetings.</w:t>
      </w:r>
    </w:p>
    <w:p>
      <w:pPr>
        <w:spacing w:after="0" w:line="190"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has incurred $1.0 million and $0.5 million, respectively, for administrative services payable to the Adviser under the terms of the Administration Agreement, which is included in other general and administrative expenses in the Consolidated Statements of Operations.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Investment Advisory Agreement</w:t>
      </w:r>
    </w:p>
    <w:p>
      <w:pPr>
        <w:spacing w:after="0" w:line="11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On June 28, 2022, the Company entered into the Investment Advisory Agreement with the Adviser.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a base management fee (the “Management Fee”) and may also pay an incentive fee (the “Incentive Fee”).</w:t>
      </w:r>
    </w:p>
    <w:p>
      <w:pPr>
        <w:spacing w:after="0" w:line="75" w:lineRule="exact"/>
        <w:rPr>
          <w:sz w:val="20"/>
          <w:szCs w:val="20"/>
          <w:color w:val="auto"/>
        </w:rPr>
      </w:pPr>
    </w:p>
    <w:p>
      <w:pPr>
        <w:jc w:val="both"/>
        <w:ind w:right="60" w:firstLine="255"/>
        <w:spacing w:after="0" w:line="266" w:lineRule="auto"/>
        <w:rPr>
          <w:sz w:val="20"/>
          <w:szCs w:val="20"/>
          <w:color w:val="auto"/>
        </w:rPr>
      </w:pPr>
      <w:r>
        <w:rPr>
          <w:rFonts w:ascii="Times New Roman" w:cs="Times New Roman" w:eastAsia="Times New Roman" w:hAnsi="Times New Roman"/>
          <w:sz w:val="18"/>
          <w:szCs w:val="18"/>
          <w:color w:val="auto"/>
        </w:rPr>
        <w:t>On November 2, 2023, the Board renewed the Investment Advisory Agreement. Unless earlier terminated as described below, the Investment Advisory Agreement will remain in effect until November 2, 2024, and may be extended subject to required approvals. The Investment Advisory Agreement may be terminated by either party without penalty on 60 days’ written notice to the other party.</w:t>
      </w:r>
    </w:p>
    <w:p>
      <w:pPr>
        <w:spacing w:after="0" w:line="176"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The Management Fee shall be calculated at an annual rate of 1.25% of the Company’s gross assets, payable quarterly in arrears. The Management Fee will be calculated based on the average value of the Company’s gross assets at the end of the two most recently completed calendar quarters, and appropriately adjusted for any share issuances or repurchases during the current calendar quarter. Management Fees for any partial month or quarter will be appropriately prorated.</w:t>
      </w:r>
    </w:p>
    <w:p>
      <w:pPr>
        <w:spacing w:after="0" w:line="180" w:lineRule="exact"/>
        <w:rPr>
          <w:sz w:val="20"/>
          <w:szCs w:val="20"/>
          <w:color w:val="auto"/>
        </w:rPr>
      </w:pPr>
    </w:p>
    <w:p>
      <w:pPr>
        <w:ind w:right="220" w:firstLine="255"/>
        <w:spacing w:after="0" w:line="282" w:lineRule="auto"/>
        <w:rPr>
          <w:sz w:val="20"/>
          <w:szCs w:val="20"/>
          <w:color w:val="auto"/>
        </w:rPr>
      </w:pPr>
      <w:r>
        <w:rPr>
          <w:rFonts w:ascii="Times New Roman" w:cs="Times New Roman" w:eastAsia="Times New Roman" w:hAnsi="Times New Roman"/>
          <w:sz w:val="18"/>
          <w:szCs w:val="18"/>
          <w:color w:val="auto"/>
        </w:rPr>
        <w:t>For the three months ended three months ended March 31, 2024 and 2023, Management Fees (gross of waivers) were $11.2 million and $3.9 million, respectively.</w:t>
      </w:r>
    </w:p>
    <w:p>
      <w:pPr>
        <w:spacing w:after="0" w:line="162"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Prior to any Exchange Listing that may occur, the Adviser will waive its right to receive Management Fees in excess of the sum of 1.00% of the Company’s average aggregate drawn capital (including capital drawn to pay Company expenses) as of the end of the two most recently completed calendar quarters, appropriately adjusted for any share issuances or repurchases during the relevant calendar quarter. The fee waiver will terminate if and when the Company consummates an Exchange Listing. For the three months ended March 31, 2024 and 2023, Management Fees of $6.8 million and $2.5 million, respectively, have been waived.</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17" w:lineRule="exact"/>
        <w:rPr>
          <w:sz w:val="20"/>
          <w:szCs w:val="20"/>
          <w:color w:val="auto"/>
        </w:rPr>
      </w:pPr>
    </w:p>
    <w:p>
      <w:pPr>
        <w:ind w:left="520" w:right="80" w:hanging="257"/>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equals 100% of the excess of pre-Incentive Fee net investment income in excess of a 1.5% quarterly hurdle rate, until the Adviser has received 12.5% (17.5% subsequent to an Exchange Listing) of total net investment income for that quarter, and 12.5% (17.5% subsequent to an Exchange Listing) of all remaining pre-Incentive Fee net investment income for that quarter.</w:t>
      </w:r>
    </w:p>
    <w:p>
      <w:pPr>
        <w:spacing w:after="0" w:line="67" w:lineRule="exact"/>
        <w:rPr>
          <w:rFonts w:ascii="Times New Roman" w:cs="Times New Roman" w:eastAsia="Times New Roman" w:hAnsi="Times New Roman"/>
          <w:sz w:val="18"/>
          <w:szCs w:val="18"/>
          <w:color w:val="auto"/>
        </w:rPr>
      </w:pPr>
    </w:p>
    <w:p>
      <w:pPr>
        <w:ind w:left="52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shares, but excluding the Incentive Fee). Pre-Incentive Fee net investment income includes, in the case of investments with a deferred interest feature (such as original issue discount, debt instruments with pay-in-kind interest and zero coupon securities), accrued income that the Company has not yet received in cash. Pre-Incentive Fee net investment income does not include any realized capital gains, realized capital losses or unrealized capital appreciation or depreciation.</w:t>
      </w:r>
    </w:p>
    <w:p>
      <w:pPr>
        <w:spacing w:after="0" w:line="80" w:lineRule="exact"/>
        <w:rPr>
          <w:rFonts w:ascii="Times New Roman" w:cs="Times New Roman" w:eastAsia="Times New Roman" w:hAnsi="Times New Roman"/>
          <w:sz w:val="18"/>
          <w:szCs w:val="18"/>
          <w:color w:val="auto"/>
        </w:rPr>
      </w:pPr>
    </w:p>
    <w:p>
      <w:pPr>
        <w:ind w:left="520" w:right="120" w:hanging="257"/>
        <w:spacing w:after="0" w:line="253"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prior to an Exchange Listing, equal 12.5% of cumulative realized capital gains from the inception of the Company to the end of such fiscal year, less the aggregate amount of any previously paid capital gain Incentive Fee for prior periods (the “Capital Gains Fee”). Following an Exchange Listing, the Capital Gains Fee will equal a weighted percentage of the Company’s realized capital gains, if any, on a cumulative basis as between the inception of the Company to an Exchange Listing and from such Exchange Listing to the end of such fiscal year. The weighted percentage is intended to ensure that for each fiscal year following an Exchange Listing, the portion of the Company’s realized capital gains that accrued prior to an Exchange Listing will be subject to an Incentive Fee rate of</w:t>
      </w:r>
    </w:p>
    <w:p>
      <w:pPr>
        <w:spacing w:after="0" w:line="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12.5% and the portion of the Company’s realized capital gains that accrued following an Exchange Listing will be subject to an Incentive Fee rate of</w:t>
      </w:r>
    </w:p>
    <w:p>
      <w:pPr>
        <w:spacing w:after="0" w:line="20"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w:t>
      </w:r>
    </w:p>
    <w:p>
      <w:pPr>
        <w:spacing w:after="0" w:line="207" w:lineRule="exact"/>
        <w:rPr>
          <w:sz w:val="20"/>
          <w:szCs w:val="20"/>
          <w:color w:val="auto"/>
        </w:rPr>
      </w:pPr>
    </w:p>
    <w:p>
      <w:pPr>
        <w:ind w:right="420" w:firstLine="255"/>
        <w:spacing w:after="0" w:line="282" w:lineRule="auto"/>
        <w:rPr>
          <w:sz w:val="20"/>
          <w:szCs w:val="20"/>
          <w:color w:val="auto"/>
        </w:rPr>
      </w:pPr>
      <w:r>
        <w:rPr>
          <w:rFonts w:ascii="Times New Roman" w:cs="Times New Roman" w:eastAsia="Times New Roman" w:hAnsi="Times New Roman"/>
          <w:sz w:val="18"/>
          <w:szCs w:val="18"/>
          <w:color w:val="auto"/>
        </w:rPr>
        <w:t>For purposes of determining whether pre-Incentive Fee net investment income exceeds the hurdle rate, pre-Incentive Fee net investment income is expressed as a rate of return on the average daily hurdle calculation value throughout the immediately preceding calendar quarter.</w:t>
      </w:r>
    </w:p>
    <w:p>
      <w:pPr>
        <w:spacing w:after="0" w:line="162"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w:t>
      </w:r>
    </w:p>
    <w:p>
      <w:pPr>
        <w:spacing w:after="0" w:line="162" w:lineRule="exact"/>
        <w:rPr>
          <w:sz w:val="20"/>
          <w:szCs w:val="20"/>
          <w:color w:val="auto"/>
        </w:rPr>
      </w:pPr>
    </w:p>
    <w:p>
      <w:pPr>
        <w:ind w:right="520" w:firstLine="255"/>
        <w:spacing w:after="0" w:line="282" w:lineRule="auto"/>
        <w:rPr>
          <w:sz w:val="20"/>
          <w:szCs w:val="20"/>
          <w:color w:val="auto"/>
        </w:rPr>
      </w:pPr>
      <w:r>
        <w:rPr>
          <w:rFonts w:ascii="Times New Roman" w:cs="Times New Roman" w:eastAsia="Times New Roman" w:hAnsi="Times New Roman"/>
          <w:sz w:val="18"/>
          <w:szCs w:val="18"/>
          <w:color w:val="auto"/>
        </w:rPr>
        <w:t>An “Exchange Listing” is a quotation or listing of the Company’s securities on a national securities exchange (including through an initial public offering) or a sale of all or substantially all of our assets to, or a merger or other liquidity transaction with, an entity 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which the Company’s shareholders receive shares of a publicly-traded company which continues to be managed by the Adviser or an affiliate thereof.</w:t>
      </w:r>
    </w:p>
    <w:p>
      <w:pPr>
        <w:spacing w:after="0" w:line="225"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Incentive Fees on net investment income were $10.8 million and $2.4 million, respectively. For the three months ended March 31, 2024 and 2023 Incentive Fees on Capital Gains were $3.1 million and $1.4 million,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Support Agreement</w:t>
      </w:r>
    </w:p>
    <w:p>
      <w:pPr>
        <w:spacing w:after="0" w:line="119"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On June 28, 2022, the Company entered into an expense support and conditional reimbursement agreement (the “Expense Support Agreement”) with the Adviser. The Expense Support Agreement provides that, at such times as the Adviser determines, the Adviser may pay certain expenses of the Company, provided that no portion of the payment will be used to pay any interest (each an “Expense Payment”). Such Expense Payment will be made in any combination of cash or other immediately available funds no later than forty-five days after a written commitment from the Adviser to pay such expense, and/or by an offset against amounts due from us to the Adviser or its affiliates. Following any calendar quarter in which Available Operating Funds (as defined in the Expense Support Agreement) exceed the cumulative distributions accrued to the Company’s shareholders based on distributions declared with respect to record dates occurring in such calendar quarter (such amount referred to as the “Excess Operating Funds”), the Company shall pay such Excess Operating Funds, or a portion thereof (each, a “Reimbursement Payment”), to the Adviser until such time as all Expense Payments made by the Adviser to us within three years prior to the last business day of such calendar quarter have been reimbursed. The amount of the Reimbursement Payment for any calendar quarter shall equal the lesser of (i) the Excess Operating Funds in such quarter and (ii) the aggregate amount of all Expense Payments made by the Adviser to us within three years prior to the last business day of such calendar quarter that have not been previously reimbursed by us to the Adviser. The Adviser may waive its right to receive all or a portion of any Reimbursement Payment in any particular calendar quarter, so that such Reimbursement Payment may be reimbursable in a future calendar quarter.</w:t>
      </w:r>
    </w:p>
    <w:p>
      <w:pPr>
        <w:spacing w:after="0" w:line="187" w:lineRule="exact"/>
        <w:rPr>
          <w:sz w:val="20"/>
          <w:szCs w:val="20"/>
          <w:color w:val="auto"/>
        </w:rPr>
      </w:pPr>
    </w:p>
    <w:p>
      <w:pPr>
        <w:ind w:right="220" w:firstLine="255"/>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Adviser had not provided any written commitments for Expense Payments. The Company has not made any Reimbursement Payments to the Adviser. The Company may or may not reimburse remaining expenses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at Fair Value</w:t>
      </w:r>
    </w:p>
    <w:p>
      <w:pPr>
        <w:spacing w:after="0" w:line="121"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Investments at fair value consisted of the following at March 31, 2024 and December 31,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7"/>
              </w:rPr>
              <w:t xml:space="preserve">Amortized Cost </w:t>
            </w:r>
            <w:r>
              <w:rPr>
                <w:rFonts w:ascii="Times New Roman" w:cs="Times New Roman" w:eastAsia="Times New Roman" w:hAnsi="Times New Roman"/>
                <w:sz w:val="19"/>
                <w:szCs w:val="19"/>
                <w:b w:val="1"/>
                <w:bCs w:val="1"/>
                <w:color w:val="auto"/>
                <w:w w:val="97"/>
                <w:vertAlign w:val="superscript"/>
              </w:rPr>
              <w:t>(1)</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3,910,177</w:t>
            </w:r>
          </w:p>
        </w:tc>
        <w:tc>
          <w:tcPr>
            <w:tcW w:w="38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3,981,621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71,444</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88,117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89,086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108,501</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112,464</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90,910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94,393</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3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5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4,197,705</w:t>
            </w:r>
          </w:p>
        </w:tc>
        <w:tc>
          <w:tcPr>
            <w:tcW w:w="220" w:type="dxa"/>
            <w:vAlign w:val="bottom"/>
            <w:tcBorders>
              <w:bottom w:val="single" w:sz="8" w:color="CFF0FC"/>
            </w:tcBorders>
            <w:gridSpan w:val="2"/>
            <w:shd w:val="clear" w:color="auto" w:fill="CFF0FC"/>
          </w:tcPr>
          <w:p>
            <w:pPr>
              <w:spacing w:after="0"/>
              <w:rPr>
                <w:sz w:val="24"/>
                <w:szCs w:val="24"/>
                <w:color w:val="auto"/>
              </w:rPr>
            </w:pPr>
          </w:p>
        </w:tc>
        <w:tc>
          <w:tcPr>
            <w:tcW w:w="16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4,277,564</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79,859</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11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 xml:space="preserve">Amortized Cost </w:t>
            </w:r>
            <w:r>
              <w:rPr>
                <w:rFonts w:ascii="Times New Roman" w:cs="Times New Roman" w:eastAsia="Times New Roman" w:hAnsi="Times New Roman"/>
                <w:sz w:val="19"/>
                <w:szCs w:val="19"/>
                <w:b w:val="1"/>
                <w:bCs w:val="1"/>
                <w:color w:val="auto"/>
                <w:w w:val="99"/>
                <w:vertAlign w:val="superscript"/>
              </w:rPr>
              <w:t>(1)</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2,792,928</w:t>
            </w:r>
          </w:p>
        </w:tc>
        <w:tc>
          <w:tcPr>
            <w:tcW w:w="3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2,850,885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57,957</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77,895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104,352</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106,524</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62,651</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62,651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3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3,037,826</w:t>
            </w:r>
          </w:p>
        </w:tc>
        <w:tc>
          <w:tcPr>
            <w:tcW w:w="3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3,099,151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61,325</w:t>
            </w:r>
          </w:p>
        </w:tc>
        <w:tc>
          <w:tcPr>
            <w:tcW w:w="80" w:type="dxa"/>
            <w:vAlign w:val="bottom"/>
            <w:shd w:val="clear" w:color="auto" w:fill="CFF0FC"/>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1"/>
        </w:trPr>
        <w:tc>
          <w:tcPr>
            <w:tcW w:w="1140" w:type="dxa"/>
            <w:vAlign w:val="bottom"/>
          </w:tcPr>
          <w:p>
            <w:pPr>
              <w:spacing w:after="0"/>
              <w:rPr>
                <w:sz w:val="24"/>
                <w:szCs w:val="24"/>
                <w:color w:val="auto"/>
              </w:rPr>
            </w:pPr>
          </w:p>
        </w:tc>
        <w:tc>
          <w:tcPr>
            <w:tcW w:w="3260" w:type="dxa"/>
            <w:vAlign w:val="bottom"/>
            <w:tcBorders>
              <w:top w:val="single" w:sz="8" w:color="CFF0FC"/>
            </w:tcBorders>
          </w:tcPr>
          <w:p>
            <w:pPr>
              <w:spacing w:after="0"/>
              <w:rPr>
                <w:sz w:val="24"/>
                <w:szCs w:val="24"/>
                <w:color w:val="auto"/>
              </w:rPr>
            </w:pPr>
          </w:p>
        </w:tc>
        <w:tc>
          <w:tcPr>
            <w:tcW w:w="1540" w:type="dxa"/>
            <w:vAlign w:val="bottom"/>
            <w:tcBorders>
              <w:top w:val="single" w:sz="8" w:color="CFF0FC"/>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-2236470</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-2219325</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-2236470</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-2219325</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-2236470</wp:posOffset>
            </wp:positionV>
            <wp:extent cx="514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-2219325</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-959485</wp:posOffset>
            </wp:positionV>
            <wp:extent cx="603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-942340</wp:posOffset>
            </wp:positionV>
            <wp:extent cx="603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-959485</wp:posOffset>
            </wp:positionV>
            <wp:extent cx="514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-942340</wp:posOffset>
            </wp:positionV>
            <wp:extent cx="514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-959485</wp:posOffset>
            </wp:positionV>
            <wp:extent cx="514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-942340</wp:posOffset>
            </wp:positionV>
            <wp:extent cx="514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4" w:name="page25"/>
    <w:bookmarkEnd w:id="24"/>
    <w:p>
      <w:pPr>
        <w:ind w:left="520" w:right="12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or premiums, as applicable, on debt investments using the effective interest method.</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industry composition of investments at fair value at March 31, 2024 and December 31, 2023:</w:t>
      </w:r>
    </w:p>
    <w:p>
      <w:pPr>
        <w:spacing w:after="0" w:line="232" w:lineRule="exact"/>
        <w:rPr>
          <w:sz w:val="20"/>
          <w:szCs w:val="20"/>
          <w:color w:val="auto"/>
        </w:rPr>
      </w:pPr>
    </w:p>
    <w:tbl>
      <w:tblPr>
        <w:tblLayout w:type="fixed"/>
        <w:tblInd w:w="102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15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gridSpan w:val="2"/>
          </w:tcPr>
          <w:p>
            <w:pPr>
              <w:spacing w:after="0"/>
              <w:rPr>
                <w:sz w:val="16"/>
                <w:szCs w:val="16"/>
                <w:color w:val="auto"/>
              </w:rPr>
            </w:pPr>
          </w:p>
        </w:tc>
      </w:tr>
      <w:tr>
        <w:trPr>
          <w:trHeight w:val="228"/>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9.1 %</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8"/>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Services</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18.9 %</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25.4 %</w:t>
            </w: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Chemicals</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0.6 %</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3.6 %</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Services</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13.4 %</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18.3 %</w:t>
            </w: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Hotel, Gaming and Leisure</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5.8 %</w:t>
            </w:r>
          </w:p>
        </w:tc>
        <w:tc>
          <w:tcPr>
            <w:tcW w:w="1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Human Resource Support Services</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6.3 %</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Internet Services</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6.4 %</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12.9 %</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Gas and Consumable Fuels</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5.4 %</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and Consumer Products</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8.3 %</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52"/>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0"/>
        </w:trPr>
        <w:tc>
          <w:tcPr>
            <w:tcW w:w="596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9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-2502535</wp:posOffset>
            </wp:positionV>
            <wp:extent cx="5846445"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846445"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-2193925</wp:posOffset>
            </wp:positionV>
            <wp:extent cx="5846445"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846445"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-1885315</wp:posOffset>
            </wp:positionV>
            <wp:extent cx="5846445"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846445"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-1576705</wp:posOffset>
            </wp:positionV>
            <wp:extent cx="5846445"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846445"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-1268095</wp:posOffset>
            </wp:positionV>
            <wp:extent cx="5846445"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46445"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-959485</wp:posOffset>
            </wp:positionV>
            <wp:extent cx="5846445"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46445"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-650875</wp:posOffset>
            </wp:positionV>
            <wp:extent cx="5846445"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846445" cy="15430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-187960</wp:posOffset>
            </wp:positionV>
            <wp:extent cx="60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-187960</wp:posOffset>
            </wp:positionV>
            <wp:extent cx="514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geographic composition of investments at fair value at March 31, 2024 and December 31,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Midwest</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23.2 %</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Northeast</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21.6 %</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South</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10.9 %</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West</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31.0 %</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1.7 %</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68"/>
        </w:trPr>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92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Finland </w:t>
            </w:r>
            <w:r>
              <w:rPr>
                <w:rFonts w:ascii="Times New Roman" w:cs="Times New Roman" w:eastAsia="Times New Roman" w:hAnsi="Times New Roman"/>
                <w:sz w:val="24"/>
                <w:szCs w:val="24"/>
                <w:color w:val="auto"/>
                <w:vertAlign w:val="superscript"/>
              </w:rPr>
              <w:t>(1)</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Luxembourg</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Norway</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4.2 %</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0.2 %</w:t>
            </w:r>
          </w:p>
        </w:tc>
        <w:tc>
          <w:tcPr>
            <w:tcW w:w="1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6.9 %</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9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920" w:type="dxa"/>
            <w:vAlign w:val="bottom"/>
            <w:vMerge w:val="continue"/>
          </w:tcPr>
          <w:p>
            <w:pPr>
              <w:spacing w:after="0"/>
              <w:rPr>
                <w:sz w:val="20"/>
                <w:szCs w:val="20"/>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5"/>
              </w:rPr>
              <w:t>(1)</w:t>
            </w:r>
          </w:p>
        </w:tc>
        <w:tc>
          <w:tcPr>
            <w:tcW w:w="6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Value rounds to less than 0.1%</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60" w:type="dxa"/>
            <w:vAlign w:val="bottom"/>
            <w:vMerge w:val="continue"/>
          </w:tcPr>
          <w:p>
            <w:pPr>
              <w:spacing w:after="0"/>
              <w:rPr>
                <w:sz w:val="24"/>
                <w:szCs w:val="24"/>
                <w:color w:val="auto"/>
              </w:rPr>
            </w:pPr>
          </w:p>
        </w:tc>
        <w:tc>
          <w:tcPr>
            <w:tcW w:w="658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-2202815</wp:posOffset>
            </wp:positionV>
            <wp:extent cx="5846445"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46445"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-1893570</wp:posOffset>
            </wp:positionV>
            <wp:extent cx="5846445"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846445"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-1585595</wp:posOffset>
            </wp:positionV>
            <wp:extent cx="5846445"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846445"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-1276985</wp:posOffset>
            </wp:positionV>
            <wp:extent cx="5846445" cy="154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846445"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-967740</wp:posOffset>
            </wp:positionV>
            <wp:extent cx="5846445" cy="1543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846445"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-659765</wp:posOffset>
            </wp:positionV>
            <wp:extent cx="5846445" cy="1625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46445" cy="16256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19" w:lineRule="exact"/>
        <w:rPr>
          <w:sz w:val="20"/>
          <w:szCs w:val="20"/>
          <w:color w:val="auto"/>
        </w:rPr>
      </w:pPr>
    </w:p>
    <w:p>
      <w:pPr>
        <w:ind w:right="180" w:firstLine="255"/>
        <w:spacing w:after="0" w:line="266" w:lineRule="auto"/>
        <w:rPr>
          <w:sz w:val="20"/>
          <w:szCs w:val="20"/>
          <w:color w:val="auto"/>
        </w:rPr>
      </w:pPr>
      <w:r>
        <w:rPr>
          <w:rFonts w:ascii="Times New Roman" w:cs="Times New Roman" w:eastAsia="Times New Roman" w:hAnsi="Times New Roman"/>
          <w:sz w:val="18"/>
          <w:szCs w:val="18"/>
          <w:color w:val="auto"/>
        </w:rPr>
        <w:t>The Company enters into interest rate swap transactions from time to time to hedge fixed rate debt obligations and certain fixed rate debt investments. The Company’s interest rate swaps are all with one counterparty and are centrally cleared through a registered commodities exchange. Refer to the Consolidated Schedule of Investments for additional disclosure regarding these interest rate swaps.</w:t>
      </w:r>
    </w:p>
    <w:p>
      <w:pPr>
        <w:spacing w:after="0" w:line="176" w:lineRule="exact"/>
        <w:rPr>
          <w:sz w:val="20"/>
          <w:szCs w:val="20"/>
          <w:color w:val="auto"/>
        </w:rPr>
      </w:pPr>
    </w:p>
    <w:p>
      <w:pPr>
        <w:ind w:right="44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amounts paid and received on the Company’s interest rate swap transactions, excluding upfront fees, for the three months ended March 31, 2024. The Company had no interest rate swaps for the three months ended March 31, 2023.</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09"/>
        </w:trPr>
        <w:tc>
          <w:tcPr>
            <w:tcW w:w="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Paid</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6"/>
        </w:trPr>
        <w:tc>
          <w:tcPr>
            <w:tcW w:w="340" w:type="dxa"/>
            <w:vAlign w:val="bottom"/>
          </w:tcPr>
          <w:p>
            <w:pPr>
              <w:spacing w:after="0"/>
              <w:rPr>
                <w:sz w:val="20"/>
                <w:szCs w:val="20"/>
                <w:color w:val="auto"/>
              </w:rPr>
            </w:pPr>
          </w:p>
        </w:tc>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3/11/2029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(1,826 )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68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(309 )</w:t>
            </w:r>
          </w:p>
        </w:tc>
        <w:tc>
          <w:tcPr>
            <w:tcW w:w="340" w:type="dxa"/>
            <w:vAlign w:val="bottom"/>
          </w:tcPr>
          <w:p>
            <w:pPr>
              <w:spacing w:after="0"/>
              <w:rPr>
                <w:sz w:val="20"/>
                <w:szCs w:val="20"/>
                <w:color w:val="auto"/>
              </w:rPr>
            </w:pPr>
          </w:p>
        </w:tc>
      </w:tr>
      <w:tr>
        <w:trPr>
          <w:trHeight w:val="232"/>
        </w:trPr>
        <w:tc>
          <w:tcPr>
            <w:tcW w:w="340" w:type="dxa"/>
            <w:vAlign w:val="bottom"/>
          </w:tcPr>
          <w:p>
            <w:pPr>
              <w:spacing w:after="0"/>
              <w:rPr>
                <w:sz w:val="20"/>
                <w:szCs w:val="20"/>
                <w:color w:val="auto"/>
              </w:rPr>
            </w:pPr>
          </w:p>
        </w:tc>
        <w:tc>
          <w:tcPr>
            <w:tcW w:w="24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633"/>
        </w:trPr>
        <w:tc>
          <w:tcPr>
            <w:tcW w:w="3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763"/>
        </w:trPr>
        <w:tc>
          <w:tcPr>
            <w:tcW w:w="3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3" w:right="339" w:bottom="366" w:gutter="0" w:footer="0" w:header="0"/>
        </w:sectPr>
      </w:pPr>
    </w:p>
    <w:bookmarkStart w:id="25" w:name="page26"/>
    <w:bookmarkEnd w:id="25"/>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the Company recognized $(0.9) million in unrealized losses on interest rate swaps designated as hedging instruments in the Consolidated Statements of Operations. For the three months ended March 31, 2024, this amount is offset by a decrease of $(0.9) million change in the carrying value of the 2029 Notes.</w:t>
      </w:r>
    </w:p>
    <w:p>
      <w:pPr>
        <w:spacing w:after="0" w:line="68" w:lineRule="exact"/>
        <w:rPr>
          <w:sz w:val="20"/>
          <w:szCs w:val="20"/>
          <w:color w:val="auto"/>
        </w:rPr>
      </w:pPr>
    </w:p>
    <w:p>
      <w:pPr>
        <w:ind w:right="300" w:firstLine="255"/>
        <w:spacing w:after="0" w:line="282" w:lineRule="auto"/>
        <w:rPr>
          <w:sz w:val="20"/>
          <w:szCs w:val="20"/>
          <w:color w:val="auto"/>
        </w:rPr>
      </w:pPr>
      <w:r>
        <w:rPr>
          <w:rFonts w:ascii="Times New Roman" w:cs="Times New Roman" w:eastAsia="Times New Roman" w:hAnsi="Times New Roman"/>
          <w:sz w:val="18"/>
          <w:szCs w:val="18"/>
          <w:color w:val="auto"/>
        </w:rPr>
        <w:t>As of March 31, 2024, the swap transaction had a fair value of $(0.9) million which is netted against cash collateral on the Company’s Consolidated Balance Sheet.</w:t>
      </w:r>
    </w:p>
    <w:p>
      <w:pPr>
        <w:spacing w:after="0" w:line="54"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The Company is required under the terms of its derivatives agreements to pledge assets as collateral to secure its obligations underlying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75"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As of March 31, 2024, $23.1 million of cash is pledged as collateral under the Company’s derivative agreements and is included in restricted cash as a component of cash and cash equivalents on the Company’s Consolidated Balance Sheet.</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three months ended March 31, 2023, the Company did not enter into any interest rate swap transactions.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may enter into other derivative instruments and incur other exposures with the same or other counterparties in the future.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present fair value measurements of investments as of March 31, 2024 and December 31, 2023:</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3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Hierarchy at March 31, 2024</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3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4"/>
                <w:szCs w:val="14"/>
                <w:color w:val="auto"/>
              </w:rPr>
            </w:pPr>
          </w:p>
        </w:tc>
        <w:tc>
          <w:tcPr>
            <w:tcW w:w="8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r>
      <w:tr>
        <w:trPr>
          <w:trHeight w:val="23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left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2,123</w:t>
            </w:r>
          </w:p>
        </w:tc>
        <w:tc>
          <w:tcPr>
            <w:tcW w:w="220" w:type="dxa"/>
            <w:vAlign w:val="bottom"/>
            <w:tcBorders>
              <w:left w:val="single" w:sz="8" w:color="CFF0FC"/>
            </w:tcBorders>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3,979,498</w:t>
            </w: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$ 3,981,621</w:t>
            </w:r>
          </w:p>
        </w:tc>
        <w:tc>
          <w:tcPr>
            <w:tcW w:w="80" w:type="dxa"/>
            <w:vAlign w:val="bottom"/>
            <w:shd w:val="clear" w:color="auto" w:fill="CFF0FC"/>
          </w:tcPr>
          <w:p>
            <w:pPr>
              <w:spacing w:after="0"/>
              <w:rPr>
                <w:sz w:val="20"/>
                <w:szCs w:val="20"/>
                <w:color w:val="auto"/>
              </w:rPr>
            </w:pPr>
          </w:p>
        </w:tc>
      </w:tr>
      <w:tr>
        <w:trPr>
          <w:trHeight w:val="23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89,086</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89,086</w:t>
            </w:r>
          </w:p>
        </w:tc>
        <w:tc>
          <w:tcPr>
            <w:tcW w:w="80" w:type="dxa"/>
            <w:vAlign w:val="bottom"/>
          </w:tcPr>
          <w:p>
            <w:pPr>
              <w:spacing w:after="0"/>
              <w:rPr>
                <w:sz w:val="20"/>
                <w:szCs w:val="20"/>
                <w:color w:val="auto"/>
              </w:rPr>
            </w:pPr>
          </w:p>
        </w:tc>
      </w:tr>
      <w:tr>
        <w:trPr>
          <w:trHeight w:val="247"/>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lef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1,383</w:t>
            </w:r>
          </w:p>
        </w:tc>
        <w:tc>
          <w:tcPr>
            <w:tcW w:w="220" w:type="dxa"/>
            <w:vAlign w:val="bottom"/>
            <w:tcBorders>
              <w:lef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111,081</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112,464</w:t>
            </w:r>
          </w:p>
        </w:tc>
        <w:tc>
          <w:tcPr>
            <w:tcW w:w="80" w:type="dxa"/>
            <w:vAlign w:val="bottom"/>
            <w:shd w:val="clear" w:color="auto" w:fill="CFF0FC"/>
          </w:tcPr>
          <w:p>
            <w:pPr>
              <w:spacing w:after="0"/>
              <w:rPr>
                <w:sz w:val="21"/>
                <w:szCs w:val="21"/>
                <w:color w:val="auto"/>
              </w:rPr>
            </w:pPr>
          </w:p>
        </w:tc>
      </w:tr>
      <w:tr>
        <w:trPr>
          <w:trHeight w:val="23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94,393</w:t>
            </w:r>
          </w:p>
        </w:tc>
        <w:tc>
          <w:tcPr>
            <w:tcW w:w="1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94,393</w:t>
            </w:r>
          </w:p>
        </w:tc>
        <w:tc>
          <w:tcPr>
            <w:tcW w:w="80" w:type="dxa"/>
            <w:vAlign w:val="bottom"/>
          </w:tcPr>
          <w:p>
            <w:pPr>
              <w:spacing w:after="0"/>
              <w:rPr>
                <w:sz w:val="20"/>
                <w:szCs w:val="20"/>
                <w:color w:val="auto"/>
              </w:rPr>
            </w:pPr>
          </w:p>
        </w:tc>
      </w:tr>
      <w:tr>
        <w:trPr>
          <w:trHeight w:val="241"/>
        </w:trPr>
        <w:tc>
          <w:tcPr>
            <w:tcW w:w="3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left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3,506</w:t>
            </w:r>
          </w:p>
        </w:tc>
        <w:tc>
          <w:tcPr>
            <w:tcW w:w="220" w:type="dxa"/>
            <w:vAlign w:val="bottom"/>
            <w:tcBorders>
              <w:left w:val="single" w:sz="8" w:color="CFF0FC"/>
            </w:tcBorders>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4,274,058</w:t>
            </w: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$ 4,277,564</w:t>
            </w:r>
          </w:p>
        </w:tc>
        <w:tc>
          <w:tcPr>
            <w:tcW w:w="80" w:type="dxa"/>
            <w:vAlign w:val="bottom"/>
            <w:shd w:val="clear" w:color="auto" w:fill="CFF0FC"/>
          </w:tcPr>
          <w:p>
            <w:pPr>
              <w:spacing w:after="0"/>
              <w:rPr>
                <w:sz w:val="20"/>
                <w:szCs w:val="20"/>
                <w:color w:val="auto"/>
              </w:rPr>
            </w:pPr>
          </w:p>
        </w:tc>
      </w:tr>
      <w:tr>
        <w:trPr>
          <w:trHeight w:val="23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(878 )</w:t>
            </w:r>
          </w:p>
        </w:tc>
        <w:tc>
          <w:tcPr>
            <w:tcW w:w="1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(878 )</w:t>
            </w:r>
          </w:p>
        </w:tc>
      </w:tr>
      <w:tr>
        <w:trPr>
          <w:trHeight w:val="20"/>
        </w:trPr>
        <w:tc>
          <w:tcPr>
            <w:tcW w:w="3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9"/>
        </w:trPr>
        <w:tc>
          <w:tcPr>
            <w:tcW w:w="3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2"/>
                <w:szCs w:val="22"/>
                <w:color w:val="auto"/>
              </w:rPr>
            </w:pPr>
          </w:p>
        </w:tc>
        <w:tc>
          <w:tcPr>
            <w:tcW w:w="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left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2,628</w:t>
            </w:r>
          </w:p>
        </w:tc>
        <w:tc>
          <w:tcPr>
            <w:tcW w:w="220" w:type="dxa"/>
            <w:vAlign w:val="bottom"/>
            <w:tcBorders>
              <w:left w:val="single" w:sz="8" w:color="CFF0FC"/>
            </w:tcBorders>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4,274,058</w:t>
            </w:r>
          </w:p>
        </w:tc>
        <w:tc>
          <w:tcPr>
            <w:tcW w:w="1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$ 4,276,686</w:t>
            </w:r>
          </w:p>
        </w:tc>
        <w:tc>
          <w:tcPr>
            <w:tcW w:w="80" w:type="dxa"/>
            <w:vAlign w:val="bottom"/>
            <w:shd w:val="clear" w:color="auto" w:fill="CFF0FC"/>
          </w:tcPr>
          <w:p>
            <w:pPr>
              <w:spacing w:after="0"/>
              <w:rPr>
                <w:sz w:val="22"/>
                <w:szCs w:val="22"/>
                <w:color w:val="auto"/>
              </w:rPr>
            </w:pP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374"/>
        </w:trPr>
        <w:tc>
          <w:tcPr>
            <w:tcW w:w="3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1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Fair Value Hierarchy at December 31, 2023</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3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r>
      <w:tr>
        <w:trPr>
          <w:trHeight w:val="237"/>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spacing w:after="0"/>
              <w:rPr>
                <w:sz w:val="20"/>
                <w:szCs w:val="20"/>
                <w:color w:val="auto"/>
              </w:rPr>
            </w:pPr>
          </w:p>
        </w:tc>
        <w:tc>
          <w:tcPr>
            <w:tcW w:w="6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lef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60" w:type="dxa"/>
            <w:vAlign w:val="bottom"/>
            <w:shd w:val="clear" w:color="auto" w:fill="CFF0FC"/>
          </w:tcPr>
          <w:p>
            <w:pPr>
              <w:spacing w:after="0"/>
              <w:rPr>
                <w:sz w:val="20"/>
                <w:szCs w:val="20"/>
                <w:color w:val="auto"/>
              </w:rPr>
            </w:pPr>
          </w:p>
        </w:tc>
        <w:tc>
          <w:tcPr>
            <w:tcW w:w="2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2,848,805</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2,850,885</w:t>
            </w:r>
          </w:p>
        </w:tc>
        <w:tc>
          <w:tcPr>
            <w:tcW w:w="80" w:type="dxa"/>
            <w:vAlign w:val="bottom"/>
            <w:shd w:val="clear" w:color="auto" w:fill="CFF0FC"/>
          </w:tcPr>
          <w:p>
            <w:pPr>
              <w:spacing w:after="0"/>
              <w:rPr>
                <w:sz w:val="20"/>
                <w:szCs w:val="20"/>
                <w:color w:val="auto"/>
              </w:rPr>
            </w:pPr>
          </w:p>
        </w:tc>
      </w:tr>
      <w:tr>
        <w:trPr>
          <w:trHeight w:val="23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79,091</w:t>
            </w:r>
          </w:p>
        </w:tc>
        <w:tc>
          <w:tcPr>
            <w:tcW w:w="80" w:type="dxa"/>
            <w:vAlign w:val="bottom"/>
          </w:tcPr>
          <w:p>
            <w:pPr>
              <w:spacing w:after="0"/>
              <w:rPr>
                <w:sz w:val="20"/>
                <w:szCs w:val="20"/>
                <w:color w:val="auto"/>
              </w:rPr>
            </w:pPr>
          </w:p>
        </w:tc>
      </w:tr>
      <w:tr>
        <w:trPr>
          <w:trHeight w:val="247"/>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tcBorders>
              <w:lef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60" w:type="dxa"/>
            <w:vAlign w:val="bottom"/>
            <w:shd w:val="clear" w:color="auto" w:fill="CFF0FC"/>
          </w:tcPr>
          <w:p>
            <w:pPr>
              <w:spacing w:after="0"/>
              <w:rPr>
                <w:sz w:val="21"/>
                <w:szCs w:val="21"/>
                <w:color w:val="auto"/>
              </w:rPr>
            </w:pPr>
          </w:p>
        </w:tc>
        <w:tc>
          <w:tcPr>
            <w:tcW w:w="220" w:type="dxa"/>
            <w:vAlign w:val="bottom"/>
            <w:tcBorders>
              <w:lef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105,918</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106,524</w:t>
            </w:r>
          </w:p>
        </w:tc>
        <w:tc>
          <w:tcPr>
            <w:tcW w:w="80" w:type="dxa"/>
            <w:vAlign w:val="bottom"/>
            <w:shd w:val="clear" w:color="auto" w:fill="CFF0FC"/>
          </w:tcPr>
          <w:p>
            <w:pPr>
              <w:spacing w:after="0"/>
              <w:rPr>
                <w:sz w:val="21"/>
                <w:szCs w:val="21"/>
                <w:color w:val="auto"/>
              </w:rPr>
            </w:pPr>
          </w:p>
        </w:tc>
      </w:tr>
      <w:tr>
        <w:trPr>
          <w:trHeight w:val="23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62,651</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62,651</w:t>
            </w:r>
          </w:p>
        </w:tc>
        <w:tc>
          <w:tcPr>
            <w:tcW w:w="80" w:type="dxa"/>
            <w:vAlign w:val="bottom"/>
          </w:tcPr>
          <w:p>
            <w:pPr>
              <w:spacing w:after="0"/>
              <w:rPr>
                <w:sz w:val="20"/>
                <w:szCs w:val="20"/>
                <w:color w:val="auto"/>
              </w:rPr>
            </w:pPr>
          </w:p>
        </w:tc>
      </w:tr>
      <w:tr>
        <w:trPr>
          <w:trHeight w:val="259"/>
        </w:trPr>
        <w:tc>
          <w:tcPr>
            <w:tcW w:w="3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spacing w:after="0"/>
              <w:rPr>
                <w:sz w:val="22"/>
                <w:szCs w:val="22"/>
                <w:color w:val="auto"/>
              </w:rPr>
            </w:pPr>
          </w:p>
        </w:tc>
        <w:tc>
          <w:tcPr>
            <w:tcW w:w="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lef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60" w:type="dxa"/>
            <w:vAlign w:val="bottom"/>
            <w:shd w:val="clear" w:color="auto" w:fill="CFF0FC"/>
          </w:tcPr>
          <w:p>
            <w:pPr>
              <w:spacing w:after="0"/>
              <w:rPr>
                <w:sz w:val="22"/>
                <w:szCs w:val="22"/>
                <w:color w:val="auto"/>
              </w:rPr>
            </w:pPr>
          </w:p>
        </w:tc>
        <w:tc>
          <w:tcPr>
            <w:tcW w:w="2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3,096,465</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3,099,151</w:t>
            </w:r>
          </w:p>
        </w:tc>
        <w:tc>
          <w:tcPr>
            <w:tcW w:w="80" w:type="dxa"/>
            <w:vAlign w:val="bottom"/>
            <w:shd w:val="clear" w:color="auto" w:fill="CFF0FC"/>
          </w:tcPr>
          <w:p>
            <w:pPr>
              <w:spacing w:after="0"/>
              <w:rPr>
                <w:sz w:val="22"/>
                <w:szCs w:val="22"/>
                <w:color w:val="auto"/>
              </w:rPr>
            </w:pP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-1207770</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-1190625</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-1207770</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-1190625</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-1207770</wp:posOffset>
            </wp:positionV>
            <wp:extent cx="51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-1190625</wp:posOffset>
            </wp:positionV>
            <wp:extent cx="514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-1207770</wp:posOffset>
            </wp:positionV>
            <wp:extent cx="514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-1190625</wp:posOffset>
            </wp:positionV>
            <wp:extent cx="514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514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14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w:t>
      </w:r>
    </w:p>
    <w:p>
      <w:pPr>
        <w:spacing w:after="0" w:line="117"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changes in the fair value of investments for which Level 3 inputs were used to determine the fair value as of and for the three months ended March 31, 2024:</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6" w:name="page27"/>
    <w:bookmarkEnd w:id="26"/>
    <w:tbl>
      <w:tblPr>
        <w:tblLayout w:type="fixed"/>
        <w:tblInd w:w="800" w:type="dxa"/>
        <w:tblCellMar>
          <w:top w:w="0" w:type="dxa"/>
          <w:left w:w="0" w:type="dxa"/>
          <w:bottom w:w="0" w:type="dxa"/>
          <w:right w:w="0" w:type="dxa"/>
        </w:tblCellMar>
      </w:tblPr>
      <w:tr>
        <w:trPr>
          <w:trHeight w:val="176"/>
        </w:trPr>
        <w:tc>
          <w:tcPr>
            <w:tcW w:w="3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gridSpan w:val="8"/>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First-lien</w:t>
            </w:r>
          </w:p>
        </w:tc>
        <w:tc>
          <w:tcPr>
            <w:tcW w:w="100" w:type="dxa"/>
            <w:vAlign w:val="bottom"/>
          </w:tcPr>
          <w:p>
            <w:pPr>
              <w:spacing w:after="0"/>
              <w:rPr>
                <w:sz w:val="11"/>
                <w:szCs w:val="11"/>
                <w:color w:val="auto"/>
              </w:rPr>
            </w:pPr>
          </w:p>
        </w:tc>
        <w:tc>
          <w:tcPr>
            <w:tcW w:w="9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Second-lien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3"/>
              <w:spacing w:after="0" w:line="131" w:lineRule="exact"/>
              <w:rPr>
                <w:sz w:val="20"/>
                <w:szCs w:val="20"/>
                <w:color w:val="auto"/>
              </w:rPr>
            </w:pPr>
            <w:r>
              <w:rPr>
                <w:rFonts w:ascii="Times New Roman" w:cs="Times New Roman" w:eastAsia="Times New Roman" w:hAnsi="Times New Roman"/>
                <w:sz w:val="14"/>
                <w:szCs w:val="14"/>
                <w:b w:val="1"/>
                <w:bCs w:val="1"/>
                <w:color w:val="auto"/>
              </w:rPr>
              <w:t>Mezzanine</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73"/>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0" w:type="dxa"/>
            <w:vAlign w:val="bottom"/>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2,848,805</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79,091</w:t>
            </w:r>
          </w:p>
        </w:tc>
        <w:tc>
          <w:tcPr>
            <w:tcW w:w="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105,918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62,651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3,096,465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or originations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1,259,806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1,298,086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Repayments / redemptions</w:t>
            </w: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(11,023 )</w:t>
            </w:r>
          </w:p>
        </w:tc>
        <w:tc>
          <w:tcPr>
            <w:tcW w:w="1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(11,023 )</w:t>
            </w:r>
          </w:p>
        </w:tc>
        <w:tc>
          <w:tcPr>
            <w:tcW w:w="0" w:type="dxa"/>
            <w:vAlign w:val="bottom"/>
          </w:tcPr>
          <w:p>
            <w:pPr>
              <w:spacing w:after="0"/>
              <w:rPr>
                <w:sz w:val="1"/>
                <w:szCs w:val="1"/>
                <w:color w:val="auto"/>
              </w:rPr>
            </w:pPr>
          </w:p>
        </w:tc>
      </w:tr>
      <w:tr>
        <w:trPr>
          <w:trHeight w:val="23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proceeds</w:t>
            </w: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(140,558 )</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(140,558 )</w:t>
            </w:r>
          </w:p>
        </w:tc>
        <w:tc>
          <w:tcPr>
            <w:tcW w:w="0" w:type="dxa"/>
            <w:vAlign w:val="bottom"/>
          </w:tcPr>
          <w:p>
            <w:pPr>
              <w:spacing w:after="0"/>
              <w:rPr>
                <w:sz w:val="1"/>
                <w:szCs w:val="1"/>
                <w:color w:val="auto"/>
              </w:rPr>
            </w:pPr>
          </w:p>
        </w:tc>
      </w:tr>
      <w:tr>
        <w:trPr>
          <w:trHeight w:val="247"/>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Paid-in-kind interest</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realized gains (losses)</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Transfers within Level 3</w:t>
            </w: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3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3,979,498</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89,086</w:t>
            </w:r>
          </w:p>
        </w:tc>
        <w:tc>
          <w:tcPr>
            <w:tcW w:w="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111,081</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94,393</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4,274,058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-25400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-8255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-25400</wp:posOffset>
            </wp:positionV>
            <wp:extent cx="596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-8255</wp:posOffset>
            </wp:positionV>
            <wp:extent cx="596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603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-25400</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603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-25400</wp:posOffset>
            </wp:positionV>
            <wp:extent cx="596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-8255</wp:posOffset>
            </wp:positionV>
            <wp:extent cx="596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right="240" w:firstLine="3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fair value of investments for which Level 3 inputs were used to determine the fair value as of and for the three months ended March 31, 2023:</w:t>
      </w: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176"/>
        </w:trPr>
        <w:tc>
          <w:tcPr>
            <w:tcW w:w="5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20" w:type="dxa"/>
            <w:vAlign w:val="bottom"/>
            <w:gridSpan w:val="6"/>
          </w:tcPr>
          <w:p>
            <w:pPr>
              <w:jc w:val="center"/>
              <w:ind w:left="774"/>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First-lien debt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jc w:val="center"/>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220" w:type="dxa"/>
            <w:vAlign w:val="bottom"/>
          </w:tcPr>
          <w:p>
            <w:pPr>
              <w:spacing w:after="0"/>
              <w:rPr>
                <w:sz w:val="12"/>
                <w:szCs w:val="12"/>
                <w:color w:val="auto"/>
              </w:rPr>
            </w:pPr>
          </w:p>
        </w:tc>
        <w:tc>
          <w:tcPr>
            <w:tcW w:w="8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800,995</w:t>
            </w:r>
          </w:p>
        </w:tc>
        <w:tc>
          <w:tcPr>
            <w:tcW w:w="16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808,801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or originations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436,123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Repayments / redemptions</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(6,286 )</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(6,286 )</w:t>
            </w:r>
          </w:p>
        </w:tc>
        <w:tc>
          <w:tcPr>
            <w:tcW w:w="0" w:type="dxa"/>
            <w:vAlign w:val="bottom"/>
          </w:tcPr>
          <w:p>
            <w:pPr>
              <w:spacing w:after="0"/>
              <w:rPr>
                <w:sz w:val="1"/>
                <w:szCs w:val="1"/>
                <w:color w:val="auto"/>
              </w:rPr>
            </w:pP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Paid-in-kind interest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13,761</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gains (losses)</w:t>
            </w:r>
          </w:p>
        </w:tc>
        <w:tc>
          <w:tcPr>
            <w:tcW w:w="18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within Level 3</w:t>
            </w:r>
          </w:p>
        </w:tc>
        <w:tc>
          <w:tcPr>
            <w:tcW w:w="18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1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1,246,008</w:t>
            </w:r>
          </w:p>
        </w:tc>
        <w:tc>
          <w:tcPr>
            <w:tcW w:w="16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16,444</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1,262,452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-187960</wp:posOffset>
            </wp:positionV>
            <wp:extent cx="603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-187960</wp:posOffset>
            </wp:positionV>
            <wp:extent cx="6032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-187960</wp:posOffset>
            </wp:positionV>
            <wp:extent cx="596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with respect to the net change in unrealized gains or losses on investments for which Level 3 inputs were used in determining fair value that are still held by the Company at March 31, 2024 and 2023:</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120" w:type="dxa"/>
            <w:vAlign w:val="bottom"/>
          </w:tcPr>
          <w:p>
            <w:pPr>
              <w:spacing w:after="0"/>
              <w:rPr>
                <w:sz w:val="15"/>
                <w:szCs w:val="15"/>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84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 or (Losses)</w:t>
            </w:r>
          </w:p>
        </w:tc>
        <w:tc>
          <w:tcPr>
            <w:tcW w:w="120" w:type="dxa"/>
            <w:vAlign w:val="bottom"/>
          </w:tcPr>
          <w:p>
            <w:pPr>
              <w:spacing w:after="0"/>
              <w:rPr>
                <w:sz w:val="15"/>
                <w:szCs w:val="15"/>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 or (Losses)</w:t>
            </w:r>
          </w:p>
        </w:tc>
        <w:tc>
          <w:tcPr>
            <w:tcW w:w="84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0" w:type="dxa"/>
            <w:vAlign w:val="bottom"/>
          </w:tcPr>
          <w:p>
            <w:pPr>
              <w:spacing w:after="0"/>
              <w:rPr>
                <w:sz w:val="15"/>
                <w:szCs w:val="15"/>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40" w:type="dxa"/>
            <w:vAlign w:val="bottom"/>
          </w:tcPr>
          <w:p>
            <w:pPr>
              <w:spacing w:after="0"/>
              <w:rPr>
                <w:sz w:val="15"/>
                <w:szCs w:val="15"/>
                <w:color w:val="auto"/>
              </w:rPr>
            </w:pPr>
          </w:p>
        </w:tc>
      </w:tr>
      <w:tr>
        <w:trPr>
          <w:trHeight w:val="176"/>
        </w:trPr>
        <w:tc>
          <w:tcPr>
            <w:tcW w:w="8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 2024 on</w:t>
            </w:r>
          </w:p>
        </w:tc>
        <w:tc>
          <w:tcPr>
            <w:tcW w:w="120" w:type="dxa"/>
            <w:vAlign w:val="bottom"/>
          </w:tcPr>
          <w:p>
            <w:pPr>
              <w:spacing w:after="0"/>
              <w:rPr>
                <w:sz w:val="15"/>
                <w:szCs w:val="15"/>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2023 on</w:t>
            </w:r>
          </w:p>
        </w:tc>
        <w:tc>
          <w:tcPr>
            <w:tcW w:w="84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Investments Held at</w:t>
            </w:r>
          </w:p>
        </w:tc>
        <w:tc>
          <w:tcPr>
            <w:tcW w:w="120" w:type="dxa"/>
            <w:vAlign w:val="bottom"/>
          </w:tcPr>
          <w:p>
            <w:pPr>
              <w:spacing w:after="0"/>
              <w:rPr>
                <w:sz w:val="15"/>
                <w:szCs w:val="15"/>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Investments Held at</w:t>
            </w:r>
          </w:p>
        </w:tc>
        <w:tc>
          <w:tcPr>
            <w:tcW w:w="840" w:type="dxa"/>
            <w:vAlign w:val="bottom"/>
          </w:tcPr>
          <w:p>
            <w:pPr>
              <w:spacing w:after="0"/>
              <w:rPr>
                <w:sz w:val="15"/>
                <w:szCs w:val="15"/>
                <w:color w:val="auto"/>
              </w:rPr>
            </w:pPr>
          </w:p>
        </w:tc>
      </w:tr>
      <w:tr>
        <w:trPr>
          <w:trHeight w:val="187"/>
        </w:trPr>
        <w:tc>
          <w:tcPr>
            <w:tcW w:w="8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6"/>
        </w:trPr>
        <w:tc>
          <w:tcPr>
            <w:tcW w:w="860" w:type="dxa"/>
            <w:vAlign w:val="bottom"/>
          </w:tcPr>
          <w:p>
            <w:pPr>
              <w:spacing w:after="0"/>
              <w:rPr>
                <w:sz w:val="20"/>
                <w:szCs w:val="20"/>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13,761</w:t>
            </w:r>
          </w:p>
        </w:tc>
        <w:tc>
          <w:tcPr>
            <w:tcW w:w="100" w:type="dxa"/>
            <w:vAlign w:val="bottom"/>
            <w:shd w:val="clear" w:color="auto" w:fill="CFF0FC"/>
          </w:tcPr>
          <w:p>
            <w:pPr>
              <w:spacing w:after="0"/>
              <w:rPr>
                <w:sz w:val="20"/>
                <w:szCs w:val="20"/>
                <w:color w:val="auto"/>
              </w:rPr>
            </w:pPr>
          </w:p>
        </w:tc>
        <w:tc>
          <w:tcPr>
            <w:tcW w:w="840" w:type="dxa"/>
            <w:vAlign w:val="bottom"/>
          </w:tcPr>
          <w:p>
            <w:pPr>
              <w:spacing w:after="0"/>
              <w:rPr>
                <w:sz w:val="20"/>
                <w:szCs w:val="20"/>
                <w:color w:val="auto"/>
              </w:rPr>
            </w:pPr>
          </w:p>
        </w:tc>
      </w:tr>
      <w:tr>
        <w:trPr>
          <w:trHeight w:val="239"/>
        </w:trPr>
        <w:tc>
          <w:tcPr>
            <w:tcW w:w="86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(227 )</w:t>
            </w:r>
          </w:p>
        </w:tc>
        <w:tc>
          <w:tcPr>
            <w:tcW w:w="120" w:type="dxa"/>
            <w:vAlign w:val="bottom"/>
          </w:tcPr>
          <w:p>
            <w:pPr>
              <w:spacing w:after="0"/>
              <w:rPr>
                <w:sz w:val="20"/>
                <w:szCs w:val="20"/>
                <w:color w:val="auto"/>
              </w:rPr>
            </w:pP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r>
      <w:tr>
        <w:trPr>
          <w:trHeight w:val="247"/>
        </w:trPr>
        <w:tc>
          <w:tcPr>
            <w:tcW w:w="860" w:type="dxa"/>
            <w:vAlign w:val="bottom"/>
          </w:tcPr>
          <w:p>
            <w:pPr>
              <w:spacing w:after="0"/>
              <w:rPr>
                <w:sz w:val="21"/>
                <w:szCs w:val="21"/>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7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1"/>
                <w:szCs w:val="21"/>
                <w:color w:val="auto"/>
              </w:rPr>
            </w:pPr>
          </w:p>
        </w:tc>
      </w:tr>
      <w:tr>
        <w:trPr>
          <w:trHeight w:val="239"/>
        </w:trPr>
        <w:tc>
          <w:tcPr>
            <w:tcW w:w="86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8"/>
        </w:trPr>
        <w:tc>
          <w:tcPr>
            <w:tcW w:w="860" w:type="dxa"/>
            <w:vAlign w:val="bottom"/>
          </w:tcPr>
          <w:p>
            <w:pPr>
              <w:spacing w:after="0"/>
              <w:rPr>
                <w:sz w:val="24"/>
                <w:szCs w:val="24"/>
                <w:color w:val="auto"/>
              </w:rPr>
            </w:pPr>
          </w:p>
        </w:tc>
        <w:tc>
          <w:tcPr>
            <w:tcW w:w="3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18,893</w:t>
            </w:r>
          </w:p>
        </w:tc>
        <w:tc>
          <w:tcPr>
            <w:tcW w:w="24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13,761</w:t>
            </w:r>
          </w:p>
        </w:tc>
        <w:tc>
          <w:tcPr>
            <w:tcW w:w="100" w:type="dxa"/>
            <w:vAlign w:val="bottom"/>
            <w:shd w:val="clear" w:color="auto" w:fill="CFF0FC"/>
          </w:tcPr>
          <w:p>
            <w:pPr>
              <w:spacing w:after="0"/>
              <w:rPr>
                <w:sz w:val="24"/>
                <w:szCs w:val="24"/>
                <w:color w:val="auto"/>
              </w:rPr>
            </w:pPr>
          </w:p>
        </w:tc>
        <w:tc>
          <w:tcPr>
            <w:tcW w:w="840" w:type="dxa"/>
            <w:vAlign w:val="bottom"/>
          </w:tcPr>
          <w:p>
            <w:pPr>
              <w:spacing w:after="0"/>
              <w:rPr>
                <w:sz w:val="24"/>
                <w:szCs w:val="24"/>
                <w:color w:val="auto"/>
              </w:rPr>
            </w:pPr>
          </w:p>
        </w:tc>
      </w:tr>
      <w:tr>
        <w:trPr>
          <w:trHeight w:val="631"/>
        </w:trPr>
        <w:tc>
          <w:tcPr>
            <w:tcW w:w="860" w:type="dxa"/>
            <w:vAlign w:val="bottom"/>
          </w:tcPr>
          <w:p>
            <w:pPr>
              <w:spacing w:after="0"/>
              <w:rPr>
                <w:sz w:val="24"/>
                <w:szCs w:val="24"/>
                <w:color w:val="auto"/>
              </w:rPr>
            </w:pPr>
          </w:p>
        </w:tc>
        <w:tc>
          <w:tcPr>
            <w:tcW w:w="3400" w:type="dxa"/>
            <w:vAlign w:val="bottom"/>
            <w:tcBorders>
              <w:top w:val="single" w:sz="8" w:color="CFF0FC"/>
            </w:tcBorders>
          </w:tcPr>
          <w:p>
            <w:pPr>
              <w:spacing w:after="0"/>
              <w:rPr>
                <w:sz w:val="24"/>
                <w:szCs w:val="24"/>
                <w:color w:val="auto"/>
              </w:rPr>
            </w:pPr>
          </w:p>
        </w:tc>
        <w:tc>
          <w:tcPr>
            <w:tcW w:w="1720" w:type="dxa"/>
            <w:vAlign w:val="bottom"/>
            <w:tcBorders>
              <w:top w:val="single" w:sz="8" w:color="CFF0FC"/>
            </w:tcBorders>
          </w:tcPr>
          <w:p>
            <w:pPr>
              <w:jc w:val="right"/>
              <w:ind w:right="17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40" w:type="dxa"/>
            <w:vAlign w:val="bottom"/>
          </w:tcPr>
          <w:p>
            <w:pPr>
              <w:spacing w:after="0"/>
              <w:rPr>
                <w:sz w:val="24"/>
                <w:szCs w:val="24"/>
                <w:color w:val="auto"/>
              </w:rPr>
            </w:pPr>
          </w:p>
        </w:tc>
      </w:tr>
      <w:tr>
        <w:trPr>
          <w:trHeight w:val="763"/>
        </w:trPr>
        <w:tc>
          <w:tcPr>
            <w:tcW w:w="8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-933450</wp:posOffset>
            </wp:positionV>
            <wp:extent cx="596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-916305</wp:posOffset>
            </wp:positionV>
            <wp:extent cx="596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-933450</wp:posOffset>
            </wp:positionV>
            <wp:extent cx="603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-916305</wp:posOffset>
            </wp:positionV>
            <wp:extent cx="603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27" w:name="page28"/>
    <w:bookmarkEnd w:id="27"/>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fair value of Level 3 Investments at fair value and the significant unobservable inputs used in the valuations as of March 31, 2024 and December 31, 2023. The tables are not intended to be all-inclusive, but instead capture the significant unobservable inputs relevant to the Company’s determination of fair values.</w:t>
      </w:r>
    </w:p>
    <w:p>
      <w:pPr>
        <w:spacing w:after="0" w:line="183" w:lineRule="exact"/>
        <w:rPr>
          <w:sz w:val="20"/>
          <w:szCs w:val="20"/>
          <w:color w:val="auto"/>
        </w:rPr>
      </w:pPr>
    </w:p>
    <w:tbl>
      <w:tblPr>
        <w:tblLayout w:type="fixed"/>
        <w:tblInd w:w="420" w:type="dxa"/>
        <w:tblCellMar>
          <w:top w:w="0" w:type="dxa"/>
          <w:left w:w="0" w:type="dxa"/>
          <w:bottom w:w="0" w:type="dxa"/>
          <w:right w:w="0" w:type="dxa"/>
        </w:tblCellMar>
      </w:tblPr>
      <w:tr>
        <w:trPr>
          <w:trHeight w:val="187"/>
        </w:trPr>
        <w:tc>
          <w:tcPr>
            <w:tcW w:w="24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00" w:type="dxa"/>
            <w:vAlign w:val="bottom"/>
          </w:tcPr>
          <w:p>
            <w:pPr>
              <w:spacing w:after="0"/>
              <w:rPr>
                <w:sz w:val="11"/>
                <w:szCs w:val="11"/>
                <w:color w:val="auto"/>
              </w:rPr>
            </w:pPr>
          </w:p>
        </w:tc>
        <w:tc>
          <w:tcPr>
            <w:tcW w:w="16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1"/>
                <w:szCs w:val="11"/>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20" w:type="dxa"/>
            <w:vAlign w:val="bottom"/>
          </w:tcPr>
          <w:p>
            <w:pPr>
              <w:spacing w:after="0"/>
              <w:rPr>
                <w:sz w:val="11"/>
                <w:szCs w:val="11"/>
                <w:color w:val="auto"/>
              </w:rPr>
            </w:pPr>
          </w:p>
        </w:tc>
        <w:tc>
          <w:tcPr>
            <w:tcW w:w="14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Impact to Valuation</w:t>
            </w: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an</w:t>
            </w: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6"/>
                <w:szCs w:val="16"/>
                <w:color w:val="auto"/>
              </w:rPr>
            </w:pPr>
          </w:p>
        </w:tc>
        <w:tc>
          <w:tcPr>
            <w:tcW w:w="15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00" w:type="dxa"/>
            <w:vAlign w:val="bottom"/>
          </w:tcPr>
          <w:p>
            <w:pPr>
              <w:spacing w:after="0"/>
              <w:rPr>
                <w:sz w:val="16"/>
                <w:szCs w:val="16"/>
                <w:color w:val="auto"/>
              </w:rPr>
            </w:pPr>
          </w:p>
        </w:tc>
        <w:tc>
          <w:tcPr>
            <w:tcW w:w="16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Average)</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to Input</w:t>
            </w:r>
          </w:p>
        </w:tc>
        <w:tc>
          <w:tcPr>
            <w:tcW w:w="0" w:type="dxa"/>
            <w:vAlign w:val="bottom"/>
          </w:tcPr>
          <w:p>
            <w:pPr>
              <w:spacing w:after="0"/>
              <w:rPr>
                <w:sz w:val="1"/>
                <w:szCs w:val="1"/>
                <w:color w:val="auto"/>
              </w:rPr>
            </w:pPr>
          </w:p>
        </w:tc>
      </w:tr>
      <w:tr>
        <w:trPr>
          <w:trHeight w:val="223"/>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3,979,498</w:t>
            </w: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Income approach </w:t>
            </w:r>
            <w:r>
              <w:rPr>
                <w:rFonts w:ascii="Times New Roman" w:cs="Times New Roman" w:eastAsia="Times New Roman" w:hAnsi="Times New Roman"/>
                <w:sz w:val="21"/>
                <w:szCs w:val="21"/>
                <w:color w:val="auto"/>
                <w:vertAlign w:val="superscript"/>
              </w:rPr>
              <w:t>(1)</w:t>
            </w:r>
          </w:p>
        </w:tc>
        <w:tc>
          <w:tcPr>
            <w:tcW w:w="10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20" w:type="dxa"/>
            <w:vAlign w:val="bottom"/>
            <w:shd w:val="clear" w:color="auto" w:fill="CFF0FC"/>
          </w:tcPr>
          <w:p>
            <w:pPr>
              <w:spacing w:after="0"/>
              <w:rPr>
                <w:sz w:val="19"/>
                <w:szCs w:val="19"/>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9.4% — 17.3% (12.5%)</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20"/>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89,086</w:t>
            </w:r>
          </w:p>
        </w:tc>
        <w:tc>
          <w:tcPr>
            <w:tcW w:w="220" w:type="dxa"/>
            <w:vAlign w:val="bottom"/>
          </w:tcPr>
          <w:p>
            <w:pPr>
              <w:spacing w:after="0"/>
              <w:rPr>
                <w:sz w:val="19"/>
                <w:szCs w:val="19"/>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approach</w:t>
            </w:r>
          </w:p>
        </w:tc>
        <w:tc>
          <w:tcPr>
            <w:tcW w:w="10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17.5% — 22.0% (21.5%)</w:t>
            </w:r>
          </w:p>
        </w:tc>
        <w:tc>
          <w:tcPr>
            <w:tcW w:w="120" w:type="dxa"/>
            <w:vAlign w:val="bottom"/>
          </w:tcPr>
          <w:p>
            <w:pPr>
              <w:spacing w:after="0"/>
              <w:rPr>
                <w:sz w:val="19"/>
                <w:szCs w:val="19"/>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39"/>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111,081</w:t>
            </w:r>
          </w:p>
        </w:tc>
        <w:tc>
          <w:tcPr>
            <w:tcW w:w="220" w:type="dxa"/>
            <w:vAlign w:val="bottom"/>
            <w:shd w:val="clear" w:color="auto" w:fill="CFF0FC"/>
          </w:tcPr>
          <w:p>
            <w:pPr>
              <w:spacing w:after="0"/>
              <w:rPr>
                <w:sz w:val="20"/>
                <w:szCs w:val="20"/>
                <w:color w:val="auto"/>
              </w:rPr>
            </w:pPr>
          </w:p>
        </w:tc>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approach</w:t>
            </w:r>
          </w:p>
        </w:tc>
        <w:tc>
          <w:tcPr>
            <w:tcW w:w="10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20" w:type="dxa"/>
            <w:vAlign w:val="bottom"/>
            <w:shd w:val="clear" w:color="auto" w:fill="CFF0FC"/>
          </w:tcPr>
          <w:p>
            <w:pPr>
              <w:spacing w:after="0"/>
              <w:rPr>
                <w:sz w:val="20"/>
                <w:szCs w:val="20"/>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13.7% — 13.7% (13.7%)</w:t>
            </w: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4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94,393</w:t>
            </w:r>
          </w:p>
        </w:tc>
        <w:tc>
          <w:tcPr>
            <w:tcW w:w="220" w:type="dxa"/>
            <w:vAlign w:val="bottom"/>
          </w:tcPr>
          <w:p>
            <w:pPr>
              <w:spacing w:after="0"/>
              <w:rPr>
                <w:sz w:val="21"/>
                <w:szCs w:val="21"/>
                <w:color w:val="auto"/>
              </w:rPr>
            </w:pPr>
          </w:p>
        </w:tc>
        <w:tc>
          <w:tcPr>
            <w:tcW w:w="1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 xml:space="preserve">Market Multiple </w:t>
            </w:r>
            <w:r>
              <w:rPr>
                <w:rFonts w:ascii="Times New Roman" w:cs="Times New Roman" w:eastAsia="Times New Roman" w:hAnsi="Times New Roman"/>
                <w:sz w:val="21"/>
                <w:szCs w:val="21"/>
                <w:color w:val="auto"/>
                <w:vertAlign w:val="superscript"/>
              </w:rPr>
              <w:t>(2)</w:t>
            </w:r>
          </w:p>
        </w:tc>
        <w:tc>
          <w:tcPr>
            <w:tcW w:w="100" w:type="dxa"/>
            <w:vAlign w:val="bottom"/>
          </w:tcPr>
          <w:p>
            <w:pPr>
              <w:spacing w:after="0"/>
              <w:rPr>
                <w:sz w:val="21"/>
                <w:szCs w:val="21"/>
                <w:color w:val="auto"/>
              </w:rPr>
            </w:pP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Comparable multiple</w:t>
            </w:r>
          </w:p>
        </w:tc>
        <w:tc>
          <w:tcPr>
            <w:tcW w:w="120" w:type="dxa"/>
            <w:vAlign w:val="bottom"/>
          </w:tcPr>
          <w:p>
            <w:pPr>
              <w:spacing w:after="0"/>
              <w:rPr>
                <w:sz w:val="21"/>
                <w:szCs w:val="21"/>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2.6x — 20.0x (10.3x)</w:t>
            </w:r>
          </w:p>
        </w:tc>
        <w:tc>
          <w:tcPr>
            <w:tcW w:w="120" w:type="dxa"/>
            <w:vAlign w:val="bottom"/>
          </w:tcPr>
          <w:p>
            <w:pPr>
              <w:spacing w:after="0"/>
              <w:rPr>
                <w:sz w:val="21"/>
                <w:szCs w:val="21"/>
                <w:color w:val="auto"/>
              </w:rPr>
            </w:pPr>
          </w:p>
        </w:tc>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Increase</w:t>
            </w:r>
          </w:p>
        </w:tc>
        <w:tc>
          <w:tcPr>
            <w:tcW w:w="0" w:type="dxa"/>
            <w:vAlign w:val="bottom"/>
          </w:tcPr>
          <w:p>
            <w:pPr>
              <w:spacing w:after="0"/>
              <w:rPr>
                <w:sz w:val="1"/>
                <w:szCs w:val="1"/>
                <w:color w:val="auto"/>
              </w:rPr>
            </w:pPr>
          </w:p>
        </w:tc>
      </w:tr>
      <w:tr>
        <w:trPr>
          <w:trHeight w:val="257"/>
        </w:trPr>
        <w:tc>
          <w:tcPr>
            <w:tcW w:w="24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4,274,058</w:t>
            </w:r>
          </w:p>
        </w:tc>
        <w:tc>
          <w:tcPr>
            <w:tcW w:w="220" w:type="dxa"/>
            <w:vAlign w:val="bottom"/>
            <w:tcBorders>
              <w:bottom w:val="single" w:sz="8" w:color="CFF0FC"/>
            </w:tcBorders>
            <w:shd w:val="clear" w:color="auto" w:fill="CFF0FC"/>
          </w:tcPr>
          <w:p>
            <w:pPr>
              <w:spacing w:after="0"/>
              <w:rPr>
                <w:sz w:val="22"/>
                <w:szCs w:val="22"/>
                <w:color w:val="auto"/>
              </w:rPr>
            </w:pPr>
          </w:p>
        </w:tc>
        <w:tc>
          <w:tcPr>
            <w:tcW w:w="15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6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7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-25400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-8255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$73.9 million of first-lien debt investments valued using an asset waterfall.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$7.2 million of equity investments valued using a Black-Scholes model.</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87"/>
        </w:trPr>
        <w:tc>
          <w:tcPr>
            <w:tcW w:w="2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20" w:type="dxa"/>
            <w:vAlign w:val="bottom"/>
          </w:tcPr>
          <w:p>
            <w:pPr>
              <w:spacing w:after="0"/>
              <w:rPr>
                <w:sz w:val="11"/>
                <w:szCs w:val="11"/>
                <w:color w:val="auto"/>
              </w:rPr>
            </w:pPr>
          </w:p>
        </w:tc>
        <w:tc>
          <w:tcPr>
            <w:tcW w:w="17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00" w:type="dxa"/>
            <w:vAlign w:val="bottom"/>
          </w:tcPr>
          <w:p>
            <w:pPr>
              <w:spacing w:after="0"/>
              <w:rPr>
                <w:sz w:val="11"/>
                <w:szCs w:val="11"/>
                <w:color w:val="auto"/>
              </w:rPr>
            </w:pPr>
          </w:p>
        </w:tc>
        <w:tc>
          <w:tcPr>
            <w:tcW w:w="15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Impact to Valuation</w:t>
            </w:r>
          </w:p>
        </w:tc>
        <w:tc>
          <w:tcPr>
            <w:tcW w:w="0" w:type="dxa"/>
            <w:vAlign w:val="bottom"/>
          </w:tcPr>
          <w:p>
            <w:pPr>
              <w:spacing w:after="0"/>
              <w:rPr>
                <w:sz w:val="1"/>
                <w:szCs w:val="1"/>
                <w:color w:val="auto"/>
              </w:rPr>
            </w:pPr>
          </w:p>
        </w:tc>
      </w:tr>
      <w:tr>
        <w:trPr>
          <w:trHeight w:val="176"/>
        </w:trPr>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an</w:t>
            </w:r>
          </w:p>
        </w:tc>
        <w:tc>
          <w:tcPr>
            <w:tcW w:w="0" w:type="dxa"/>
            <w:vAlign w:val="bottom"/>
          </w:tcPr>
          <w:p>
            <w:pPr>
              <w:spacing w:after="0"/>
              <w:rPr>
                <w:sz w:val="1"/>
                <w:szCs w:val="1"/>
                <w:color w:val="auto"/>
              </w:rPr>
            </w:pPr>
          </w:p>
        </w:tc>
      </w:tr>
      <w:tr>
        <w:trPr>
          <w:trHeight w:val="187"/>
        </w:trPr>
        <w:tc>
          <w:tcPr>
            <w:tcW w:w="2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6"/>
                <w:szCs w:val="16"/>
                <w:color w:val="auto"/>
              </w:rPr>
            </w:pPr>
          </w:p>
        </w:tc>
        <w:tc>
          <w:tcPr>
            <w:tcW w:w="15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20" w:type="dxa"/>
            <w:vAlign w:val="bottom"/>
          </w:tcPr>
          <w:p>
            <w:pPr>
              <w:spacing w:after="0"/>
              <w:rPr>
                <w:sz w:val="16"/>
                <w:szCs w:val="16"/>
                <w:color w:val="auto"/>
              </w:rPr>
            </w:pPr>
          </w:p>
        </w:tc>
        <w:tc>
          <w:tcPr>
            <w:tcW w:w="17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0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Average)</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to Input</w:t>
            </w:r>
          </w:p>
        </w:tc>
        <w:tc>
          <w:tcPr>
            <w:tcW w:w="0" w:type="dxa"/>
            <w:vAlign w:val="bottom"/>
          </w:tcPr>
          <w:p>
            <w:pPr>
              <w:spacing w:after="0"/>
              <w:rPr>
                <w:sz w:val="1"/>
                <w:szCs w:val="1"/>
                <w:color w:val="auto"/>
              </w:rPr>
            </w:pPr>
          </w:p>
        </w:tc>
      </w:tr>
      <w:tr>
        <w:trPr>
          <w:trHeight w:val="223"/>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2,848,805</w:t>
            </w: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line="223" w:lineRule="exact"/>
              <w:rPr>
                <w:sz w:val="20"/>
                <w:szCs w:val="20"/>
                <w:color w:val="auto"/>
              </w:rPr>
            </w:pPr>
            <w:r>
              <w:rPr>
                <w:rFonts w:ascii="Times New Roman" w:cs="Times New Roman" w:eastAsia="Times New Roman" w:hAnsi="Times New Roman"/>
                <w:sz w:val="16"/>
                <w:szCs w:val="16"/>
                <w:color w:val="auto"/>
              </w:rPr>
              <w:t xml:space="preserve">Income approach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8.7% — 16.4% (12.8%)</w:t>
            </w: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79,091</w:t>
            </w:r>
          </w:p>
        </w:tc>
        <w:tc>
          <w:tcPr>
            <w:tcW w:w="2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Income approach</w:t>
            </w:r>
          </w:p>
        </w:tc>
        <w:tc>
          <w:tcPr>
            <w:tcW w:w="12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0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21.7% — 21.7% (21.7%)</w:t>
            </w:r>
          </w:p>
        </w:tc>
        <w:tc>
          <w:tcPr>
            <w:tcW w:w="10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39"/>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105,918</w:t>
            </w:r>
          </w:p>
        </w:tc>
        <w:tc>
          <w:tcPr>
            <w:tcW w:w="22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approach</w:t>
            </w:r>
          </w:p>
        </w:tc>
        <w:tc>
          <w:tcPr>
            <w:tcW w:w="12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00" w:type="dxa"/>
            <w:vAlign w:val="bottom"/>
            <w:shd w:val="clear" w:color="auto" w:fill="CFF0FC"/>
          </w:tcPr>
          <w:p>
            <w:pPr>
              <w:spacing w:after="0"/>
              <w:rPr>
                <w:sz w:val="20"/>
                <w:szCs w:val="20"/>
                <w:color w:val="auto"/>
              </w:rPr>
            </w:pPr>
          </w:p>
        </w:tc>
        <w:tc>
          <w:tcPr>
            <w:tcW w:w="1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15.0% — 15.0% (15.0%)</w:t>
            </w:r>
          </w:p>
        </w:tc>
        <w:tc>
          <w:tcPr>
            <w:tcW w:w="10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62,651</w:t>
            </w:r>
          </w:p>
        </w:tc>
        <w:tc>
          <w:tcPr>
            <w:tcW w:w="220" w:type="dxa"/>
            <w:vAlign w:val="bottom"/>
          </w:tcPr>
          <w:p>
            <w:pPr>
              <w:spacing w:after="0"/>
              <w:rPr>
                <w:sz w:val="21"/>
                <w:szCs w:val="21"/>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 xml:space="preserve">Market Multiple </w:t>
            </w:r>
            <w:r>
              <w:rPr>
                <w:rFonts w:ascii="Times New Roman" w:cs="Times New Roman" w:eastAsia="Times New Roman" w:hAnsi="Times New Roman"/>
                <w:sz w:val="21"/>
                <w:szCs w:val="21"/>
                <w:color w:val="auto"/>
                <w:vertAlign w:val="superscript"/>
              </w:rPr>
              <w:t>(2)</w:t>
            </w:r>
          </w:p>
        </w:tc>
        <w:tc>
          <w:tcPr>
            <w:tcW w:w="120" w:type="dxa"/>
            <w:vAlign w:val="bottom"/>
          </w:tcPr>
          <w:p>
            <w:pPr>
              <w:spacing w:after="0"/>
              <w:rPr>
                <w:sz w:val="21"/>
                <w:szCs w:val="21"/>
                <w:color w:val="auto"/>
              </w:rPr>
            </w:pP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Comparable multiple</w:t>
            </w:r>
          </w:p>
        </w:tc>
        <w:tc>
          <w:tcPr>
            <w:tcW w:w="100" w:type="dxa"/>
            <w:vAlign w:val="bottom"/>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2.6x — 16.1x (10.2x)</w:t>
            </w:r>
          </w:p>
        </w:tc>
        <w:tc>
          <w:tcPr>
            <w:tcW w:w="100" w:type="dxa"/>
            <w:vAlign w:val="bottom"/>
          </w:tcPr>
          <w:p>
            <w:pPr>
              <w:spacing w:after="0"/>
              <w:rPr>
                <w:sz w:val="21"/>
                <w:szCs w:val="21"/>
                <w:color w:val="auto"/>
              </w:rPr>
            </w:pP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Increase</w:t>
            </w:r>
          </w:p>
        </w:tc>
        <w:tc>
          <w:tcPr>
            <w:tcW w:w="0" w:type="dxa"/>
            <w:vAlign w:val="bottom"/>
          </w:tcPr>
          <w:p>
            <w:pPr>
              <w:spacing w:after="0"/>
              <w:rPr>
                <w:sz w:val="1"/>
                <w:szCs w:val="1"/>
                <w:color w:val="auto"/>
              </w:rPr>
            </w:pPr>
          </w:p>
        </w:tc>
      </w:tr>
      <w:tr>
        <w:trPr>
          <w:trHeight w:val="257"/>
        </w:trPr>
        <w:tc>
          <w:tcPr>
            <w:tcW w:w="23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3,096,465</w:t>
            </w:r>
          </w:p>
        </w:tc>
        <w:tc>
          <w:tcPr>
            <w:tcW w:w="220" w:type="dxa"/>
            <w:vAlign w:val="bottom"/>
            <w:tcBorders>
              <w:bottom w:val="single" w:sz="8" w:color="CFF0FC"/>
            </w:tcBorders>
            <w:shd w:val="clear" w:color="auto" w:fill="CFF0FC"/>
          </w:tcPr>
          <w:p>
            <w:pPr>
              <w:spacing w:after="0"/>
              <w:rPr>
                <w:sz w:val="22"/>
                <w:szCs w:val="22"/>
                <w:color w:val="auto"/>
              </w:rPr>
            </w:pPr>
          </w:p>
        </w:tc>
        <w:tc>
          <w:tcPr>
            <w:tcW w:w="15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7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7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5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-24765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$77.9 million of first-lien debt investments valued using an asset waterfall.</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$4.6 million of equity investments valued using a Black-Scholes model and $19.2 million of equity investments which, due to the proximity of the transactions relative to the measurement dates, we valued using the cost of the investments.</w:t>
      </w:r>
    </w:p>
    <w:p>
      <w:pPr>
        <w:spacing w:after="0" w:line="162" w:lineRule="exact"/>
        <w:rPr>
          <w:sz w:val="20"/>
          <w:szCs w:val="20"/>
          <w:color w:val="auto"/>
        </w:rPr>
      </w:pPr>
    </w:p>
    <w:p>
      <w:pPr>
        <w:ind w:right="220" w:firstLine="255"/>
        <w:spacing w:after="0" w:line="258" w:lineRule="auto"/>
        <w:rPr>
          <w:sz w:val="20"/>
          <w:szCs w:val="20"/>
          <w:color w:val="auto"/>
        </w:rPr>
      </w:pPr>
      <w:r>
        <w:rPr>
          <w:rFonts w:ascii="Times New Roman" w:cs="Times New Roman" w:eastAsia="Times New Roman" w:hAnsi="Times New Roman"/>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3" w:lineRule="exact"/>
        <w:rPr>
          <w:sz w:val="20"/>
          <w:szCs w:val="20"/>
          <w:color w:val="auto"/>
        </w:rPr>
      </w:pPr>
    </w:p>
    <w:p>
      <w:pPr>
        <w:ind w:right="180" w:firstLine="255"/>
        <w:spacing w:after="0" w:line="256" w:lineRule="auto"/>
        <w:rPr>
          <w:sz w:val="20"/>
          <w:szCs w:val="20"/>
          <w:color w:val="auto"/>
        </w:rPr>
      </w:pPr>
      <w:r>
        <w:rPr>
          <w:rFonts w:ascii="Times New Roman" w:cs="Times New Roman" w:eastAsia="Times New Roman" w:hAnsi="Times New Roman"/>
          <w:sz w:val="18"/>
          <w:szCs w:val="18"/>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w:t>
      </w:r>
    </w:p>
    <w:p>
      <w:pPr>
        <w:spacing w:after="0" w:line="117"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The fair value of the Company’s Credit Facilities, which are categorized as Level 3 within the fair value hierarchy, as of March 31, 2024 and December 31, 2023, approximates their carrying value as the outstanding balance is callable at carrying value.</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presents the fair value of the Company’s 2029 Notes, as of March 31, 2024 and December 31, 2023.</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28" w:name="page29"/>
    <w:bookmarkEnd w:id="28"/>
    <w:tbl>
      <w:tblPr>
        <w:tblLayout w:type="fixed"/>
        <w:tblInd w:w="2160" w:type="dxa"/>
        <w:tblCellMar>
          <w:top w:w="0" w:type="dxa"/>
          <w:left w:w="0" w:type="dxa"/>
          <w:bottom w:w="0" w:type="dxa"/>
          <w:right w:w="0" w:type="dxa"/>
        </w:tblCellMar>
      </w:tblPr>
      <w:tr>
        <w:trPr>
          <w:trHeight w:val="187"/>
        </w:trPr>
        <w:tc>
          <w:tcPr>
            <w:tcW w:w="1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6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ind w:right="201"/>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9"/>
                <w:szCs w:val="19"/>
                <w:b w:val="1"/>
                <w:bCs w:val="1"/>
                <w:color w:val="auto"/>
                <w:vertAlign w:val="superscript"/>
              </w:rPr>
              <w:t>(1)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101"/>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87"/>
        </w:trPr>
        <w:tc>
          <w:tcPr>
            <w:tcW w:w="1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 Notes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597,880</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9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Pr>
          <w:p>
            <w:pPr>
              <w:spacing w:after="0"/>
              <w:rPr>
                <w:sz w:val="20"/>
                <w:szCs w:val="20"/>
                <w:color w:val="auto"/>
              </w:rPr>
            </w:pPr>
          </w:p>
        </w:tc>
        <w:tc>
          <w:tcPr>
            <w:tcW w:w="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597,880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-187960</wp:posOffset>
            </wp:positionV>
            <wp:extent cx="514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-187960</wp:posOffset>
            </wp:positionV>
            <wp:extent cx="431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-187960</wp:posOffset>
            </wp:positionV>
            <wp:extent cx="431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-187960</wp:posOffset>
            </wp:positionV>
            <wp:extent cx="431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is based on broker quotes received by the Company and is categorized as Level 2 within the fair value hierarchy.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Financial Assets and Liabilities</w:t>
      </w:r>
    </w:p>
    <w:p>
      <w:pPr>
        <w:spacing w:after="0" w:line="117" w:lineRule="exact"/>
        <w:rPr>
          <w:sz w:val="20"/>
          <w:szCs w:val="20"/>
          <w:color w:val="auto"/>
        </w:rPr>
      </w:pPr>
    </w:p>
    <w:p>
      <w:pPr>
        <w:ind w:right="820" w:firstLine="255"/>
        <w:spacing w:after="0" w:line="282" w:lineRule="auto"/>
        <w:rPr>
          <w:sz w:val="20"/>
          <w:szCs w:val="20"/>
          <w:color w:val="auto"/>
        </w:rPr>
      </w:pPr>
      <w:r>
        <w:rPr>
          <w:rFonts w:ascii="Times New Roman" w:cs="Times New Roman" w:eastAsia="Times New Roman" w:hAnsi="Times New Roman"/>
          <w:sz w:val="18"/>
          <w:szCs w:val="18"/>
          <w:color w:val="auto"/>
        </w:rPr>
        <w:t>Under the fair value hierarchy, cash and cash equivalents are classified as Level 1 while the Company’s other assets and liabilities, other than investments at fair value and Credit Facilities, are classified as Level 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Facility</w:t>
      </w:r>
    </w:p>
    <w:p>
      <w:pPr>
        <w:spacing w:after="0" w:line="119"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On September 1, 2022 (the “Subscription Facility Closing Date”), the Company entered into a revolving credit agreement (the “Subscription Facility”) with Wells Fargo Bank, National Association, as administrative agent (the “Administrative Agent”), letter of credit issuer, lead arranger, as a lender and aggregate commitments under the facility were $400 million.</w:t>
      </w:r>
    </w:p>
    <w:p>
      <w:pPr>
        <w:spacing w:after="0" w:line="176"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Pursuant to an amendment to the Subscription Facility dated as of December 21, 2022 (the “Subscription Facility First Amendment”), the aggregate commitments under the Subscription Facility were upsized to $700 million. Pursuant to lender joinder agreements dated January 18, 2023 and January 27, 2023, the aggregate commitments under the Subscription Facility were upsized to $800 million and $850 million, respectively. Pursuant to lender joinder agreements dated March 28, 2023, the aggregate commitments under the Subscription Facility were upsized to $1.3 billion. Pursuant to a lender joinder agreement dated April 27, 2023, the aggregate commitments under the Subscription Facility were upsized to $1.35 billion. Pursuant to a lender joinder agreement dated December 1, 2023, the aggregate commitments under the Subscription Facility were upsized to $1.5 billion (the “Maximum Commitment”).</w:t>
      </w:r>
    </w:p>
    <w:p>
      <w:pPr>
        <w:spacing w:after="0" w:line="189"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The Subscription Facility will mature upon the earliest of: (i) August 30, 2024 (the “Subscription Facility Stated Maturity”); (ii) the date upon which the Administrative Agent declares the obligations under the Subscription Facility due and payable after the occurrence of an event of default; (iii) forty-five</w:t>
      </w:r>
    </w:p>
    <w:p>
      <w:pPr>
        <w:ind w:right="400" w:firstLine="8"/>
        <w:spacing w:after="0" w:line="255" w:lineRule="auto"/>
        <w:tabs>
          <w:tab w:leader="none" w:pos="3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date on which the Company’s ability to call capital commitments for purposes of repaying the obligations under the Subscription Facility is terminated; and (iv) the date the Company terminates the commitments pursuant to the Subscription Facility. At the Company’s option, the Subscription Facility Stated Maturity Date may be extended by up to 364 days, subject to satisfaction of customary conditions.</w:t>
      </w:r>
    </w:p>
    <w:p>
      <w:pPr>
        <w:spacing w:after="0" w:line="186"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Borrowings under the Subscription Facility bear interest, at our election at the time of drawdown, at a rate per annum equal to (i) in the case of loans denominated in dollars, at our option (a) an adjusted Daily Simple SOFR rate plus 1.95%, (b) an adjusted Term SOFR rate for the applicable interest period plus 1.95% and (c) in the case of reference rate loans, 0.95%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1.95% or (iii) in the case of loans denominated in sterling, the adjusted SONIA rate plus 1.95%. SOFR loans are subject to a credit spread adjustment ranging from 0.10% to 0.25% and SONIA loans are subject to a credit spread adjustment of 0.0326%. Loans denominated in dollars may be converted from one rate applicable to dollar denominated loans to another at any time at our election, subject to certain conditions. The Company also will pay an unused commitment fee of 0.25% per annum on the unused commitments.</w:t>
      </w:r>
    </w:p>
    <w:p>
      <w:pPr>
        <w:spacing w:after="0" w:line="192"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The Company may borrow amounts in U.S. dollars or certain other permitted currencies. As of March 31, 2024, the Company had outstanding debt denominated in British pounds (GBP) of 10.3 million and Euros (EUR) of 10.3 million on its Subscription Facility, included in the outstanding principal amount in the table below. As of December 31, 2023, the Company had outstanding debt denominated in British pounds (GBP) of 10.3 million, and Euros (EUR) of 13.4 million on its Subscription Facility, included in the outstanding principal amount in the table below.</w:t>
      </w:r>
    </w:p>
    <w:p>
      <w:pPr>
        <w:spacing w:after="0" w:line="180" w:lineRule="exact"/>
        <w:rPr>
          <w:sz w:val="20"/>
          <w:szCs w:val="20"/>
          <w:color w:val="auto"/>
        </w:rPr>
      </w:pPr>
    </w:p>
    <w:p>
      <w:pPr>
        <w:ind w:right="180" w:firstLine="255"/>
        <w:spacing w:after="0" w:line="266" w:lineRule="auto"/>
        <w:rPr>
          <w:sz w:val="20"/>
          <w:szCs w:val="20"/>
          <w:color w:val="auto"/>
        </w:rPr>
      </w:pPr>
      <w:r>
        <w:rPr>
          <w:rFonts w:ascii="Times New Roman" w:cs="Times New Roman" w:eastAsia="Times New Roman" w:hAnsi="Times New Roman"/>
          <w:sz w:val="18"/>
          <w:szCs w:val="18"/>
          <w:color w:val="auto"/>
        </w:rPr>
        <w:t>The Subscription Facility also provides for the issuance of letters of credit up to an aggregate amount of 10% of the Maximum Commitment. As of March 31, 2024 and December 31, 2023, the Company had no outstanding letters of credit issued through the Subscription Facility. The amount available for borrowing under the Subscription Facility is reduced by any letters of credit issued through the Subscription Facility.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29" w:name="page30"/>
    <w:bookmarkEnd w:id="29"/>
    <w:p>
      <w:pPr>
        <w:ind w:right="480" w:firstLine="255"/>
        <w:spacing w:after="0" w:line="282" w:lineRule="auto"/>
        <w:rPr>
          <w:sz w:val="20"/>
          <w:szCs w:val="20"/>
          <w:color w:val="auto"/>
        </w:rPr>
      </w:pPr>
      <w:r>
        <w:rPr>
          <w:rFonts w:ascii="Times New Roman" w:cs="Times New Roman" w:eastAsia="Times New Roman" w:hAnsi="Times New Roman"/>
          <w:sz w:val="18"/>
          <w:szCs w:val="18"/>
          <w:color w:val="auto"/>
        </w:rPr>
        <w:t>The Subscription Facility includes customary events of default, as well as customary covenants, including restrictions on certain distributions and financial covenants.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March 31, 2024 and December 31, 2023, the Company was in compliance with the terms of the Subscription Facility.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180" w:firstLine="255"/>
        <w:spacing w:after="0" w:line="266" w:lineRule="auto"/>
        <w:rPr>
          <w:sz w:val="20"/>
          <w:szCs w:val="20"/>
          <w:color w:val="auto"/>
        </w:rPr>
      </w:pPr>
      <w:r>
        <w:rPr>
          <w:rFonts w:ascii="Times New Roman" w:cs="Times New Roman" w:eastAsia="Times New Roman" w:hAnsi="Times New Roman"/>
          <w:sz w:val="18"/>
          <w:szCs w:val="18"/>
          <w:color w:val="auto"/>
        </w:rPr>
        <w:t>On January 19, 2023 (the “Revolving Credit Facility Closing Date”), the Company entered into a senior secured revolving credit agreement (the “Revolving Credit Facility”) with Truist Bank, as administrative agent, JPMorgan Chase Bank, N.A., Royal Bank of Canada, State Street Bank and Trust Company and Wells Fargo Bank, N.A., as joint lead arrangers, and certain other lenders.</w:t>
      </w:r>
    </w:p>
    <w:p>
      <w:pPr>
        <w:spacing w:after="0" w:line="176"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The aggregate commitments under the facility were $600 million and included an uncommitted accordion feature that allows the Company, under certain circumstances, to increase the size of the facility up to $1 billion. On February 28, 2023, the aggregate commitments under the facility were upsized to $700 million. On July 27, 2023, the aggregate commitments under the facility were upsized to $725 million. Pursuant to an amendment to the Revolving Credit Facility dated February 8, 2024 (the “Revolving Credit Facility First Amendment”), the aggregate commitments under the Revolving Credit Facility were upsized to $1.0 billion and the stated maturity date was extended to February 8, 2029. On April 8, 2024, the aggregate commitments under the facility were upsized to $1.2 billion. The facility includes an uncommitted accordion feature that allows the Company, under certain circumstances, to increase the size of the facility to up to $1.75 billion.</w:t>
      </w:r>
    </w:p>
    <w:p>
      <w:pPr>
        <w:spacing w:after="0" w:line="189"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Borrowings under the Revolving Credit Facility, including amounts drawn in respect of letters of credit, bear interest, at our election at the time of drawdown, at a rate per annum equal to (i) in the case of loans denominated in dollars, at our option (a) adjusted Term SOFR plus 1.75% or 2.00%, based on certain borrowing base conditions and (b) an alternative base rate plus 1.75% or 2.00%, based on certain borrowing base conditions, (ii) in the case of loans denominated in other permitted currencies at the relevant rate specified plus 1.75% or 2.00%, based on certain borrowing base conditions, plus in the case of amounts denominated in certain other permitted currencies, an adjustment. We also will pay an unused commitment fee of 0.375% per annum on the unused commitments.</w:t>
      </w:r>
    </w:p>
    <w:p>
      <w:pPr>
        <w:spacing w:after="0" w:line="187"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Revolving Credit Facility is guaranteed by Sixth Street LP Holding II, LLC and SSLP Lending,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76"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 In accordance with the terms of the Revolving Credit Agreement, the financial covenants require:</w:t>
      </w:r>
    </w:p>
    <w:p>
      <w:pPr>
        <w:spacing w:after="0" w:line="54"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1.5 to 1 on the last day of any fiscal quarter;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equity of at least $1.1 billion plus 25% of the net proceeds of the sale of equity interests after February 8, 2024; and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(the “Obligor Asset Coverage Ratio”).</w:t>
      </w:r>
    </w:p>
    <w:p>
      <w:pPr>
        <w:spacing w:after="0" w:line="176"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The Revolving Credit Facility also contains certain additional concentration limits in connection with the calculation of the borrowing base, based on the Obligor Asset Coverage Ratio.</w:t>
      </w:r>
    </w:p>
    <w:p>
      <w:pPr>
        <w:spacing w:after="0" w:line="162" w:lineRule="exact"/>
        <w:rPr>
          <w:sz w:val="20"/>
          <w:szCs w:val="20"/>
          <w:color w:val="auto"/>
        </w:rPr>
      </w:pPr>
    </w:p>
    <w:p>
      <w:pPr>
        <w:ind w:right="160" w:firstLine="255"/>
        <w:spacing w:after="0" w:line="258" w:lineRule="auto"/>
        <w:rPr>
          <w:sz w:val="20"/>
          <w:szCs w:val="20"/>
          <w:color w:val="auto"/>
        </w:rPr>
      </w:pPr>
      <w:r>
        <w:rPr>
          <w:rFonts w:ascii="Times New Roman" w:cs="Times New Roman" w:eastAsia="Times New Roman" w:hAnsi="Times New Roman"/>
          <w:sz w:val="18"/>
          <w:szCs w:val="18"/>
          <w:color w:val="auto"/>
        </w:rPr>
        <w:t>The Company may borrow amounts in U.S. dollars or certain other permitted currencies. As of March 31, 2024, the Company had outstanding debt denominated in British pounds (GBP) of 60.9 million, Euros (EUR) 81.5 million and Swedish Krona (SEK) 78.1 million on its Revolving Credit Facility, included in the outstanding principal amount in the table below. As of December 31, 2023, the Company had outstanding debt denominated in British pounds (GBP) of 68.7 million and Euros (EUR) 95.7 million on its Revolving Credit Facility, included in the outstanding principal amount in the table below.</w:t>
      </w:r>
    </w:p>
    <w:p>
      <w:pPr>
        <w:spacing w:after="0" w:line="183"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color w:val="auto"/>
        </w:rPr>
        <w:t>The Revolving Credit Facility also provides for the issuance of letters of credit up to an aggregate amount of $175 million. As of March 31, 2024, the Company had $5.5 million in outstanding letters of credit issued through the Revolving Credit Facility. As of December 31, 2023, the Company had $5.5 million in outstanding letters of credit issued through the Revolving Credit Facility. The amount available for borrowing under the Revolving Credit Facility is reduced by any letters of credit issued through the Revolving Credit Facility.</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Revolving Credit Facility includes customary events of default (with customary cure and notice provisions).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30" w:name="page31"/>
    <w:bookmarkEnd w:id="30"/>
    <w:p>
      <w:pPr>
        <w:ind w:left="260"/>
        <w:spacing w:after="0"/>
        <w:rPr>
          <w:sz w:val="20"/>
          <w:szCs w:val="20"/>
          <w:color w:val="auto"/>
        </w:rPr>
      </w:pPr>
      <w:r>
        <w:rPr>
          <w:rFonts w:ascii="Times New Roman" w:cs="Times New Roman" w:eastAsia="Times New Roman" w:hAnsi="Times New Roman"/>
          <w:sz w:val="18"/>
          <w:szCs w:val="18"/>
          <w:i w:val="1"/>
          <w:iCs w:val="1"/>
          <w:color w:val="auto"/>
        </w:rPr>
        <w:t>2029 Notes</w:t>
      </w:r>
    </w:p>
    <w:p>
      <w:pPr>
        <w:spacing w:after="0" w:line="227"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On March 4, 2024, the Company issued $600 million aggregate principal amount of unsecured notes that mature on March 11, 2029 (the “2029 Notes”). The principal amount of the 2029 Notes is payable at maturity. The 2029 Notes bear interest at a rate of 6.50% per year, payable semi-annually commencing on September 11, 2024, and may be redeemed in whole or in part at the Company’s option at any time at par plus a “make whole” premium. Total proceeds from the issuance of the 2029 Notes, net of underwriting discounts, offering costs and original issue discount, were $586.0 million. The Company used the net proceeds of the 2029 Notes to repay outstanding indebtedness under the Revolving Credit Facility and Subscription Facility.</w:t>
      </w:r>
    </w:p>
    <w:p>
      <w:pPr>
        <w:spacing w:after="0" w:line="183"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The Company entered into an interest rate swap to align the interest rates of its liabilities with the Company’s investment portfolio, which consists of predominately floating rate loans. The notional amount of the interest rate swap is $600 million, which matures on March 11, 2029, matching the maturity date of the 2029 Notes. As a result of the swap, the Company’s effective interest rate on the 2029 Notes is SOFR plus 2.51%.</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three months ended March 31, 2024, the components of interest expense related to the 2029 Notes are as follows.</w:t>
      </w:r>
    </w:p>
    <w:p>
      <w:pPr>
        <w:spacing w:after="0" w:line="394" w:lineRule="exact"/>
        <w:rPr>
          <w:sz w:val="20"/>
          <w:szCs w:val="20"/>
          <w:color w:val="auto"/>
        </w:rPr>
      </w:pPr>
    </w:p>
    <w:tbl>
      <w:tblPr>
        <w:tblLayout w:type="fixed"/>
        <w:tblInd w:w="1640" w:type="dxa"/>
        <w:tblCellMar>
          <w:top w:w="0" w:type="dxa"/>
          <w:left w:w="0" w:type="dxa"/>
          <w:bottom w:w="0" w:type="dxa"/>
          <w:right w:w="0" w:type="dxa"/>
        </w:tblCellMar>
      </w:tblPr>
      <w:tr>
        <w:trPr>
          <w:trHeight w:val="187"/>
        </w:trPr>
        <w:tc>
          <w:tcPr>
            <w:tcW w:w="5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6"/>
                <w:szCs w:val="16"/>
                <w:color w:val="auto"/>
              </w:rPr>
            </w:pPr>
          </w:p>
        </w:tc>
      </w:tr>
      <w:tr>
        <w:trPr>
          <w:trHeight w:val="223"/>
        </w:trPr>
        <w:tc>
          <w:tcPr>
            <w:tcW w:w="5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37"/>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60" w:type="dxa"/>
            <w:vAlign w:val="bottom"/>
            <w:shd w:val="clear" w:color="auto" w:fill="CFF0FC"/>
          </w:tcPr>
          <w:p>
            <w:pPr>
              <w:spacing w:after="0"/>
              <w:rPr>
                <w:sz w:val="20"/>
                <w:szCs w:val="20"/>
                <w:color w:val="auto"/>
              </w:rPr>
            </w:pPr>
          </w:p>
        </w:tc>
      </w:tr>
      <w:tr>
        <w:trPr>
          <w:trHeight w:val="23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32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spacing w:after="0"/>
              <w:rPr>
                <w:sz w:val="20"/>
                <w:szCs w:val="20"/>
                <w:color w:val="auto"/>
              </w:rPr>
            </w:pPr>
          </w:p>
        </w:tc>
      </w:tr>
      <w:tr>
        <w:trPr>
          <w:trHeight w:val="243"/>
        </w:trPr>
        <w:tc>
          <w:tcPr>
            <w:tcW w:w="5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tcBorders>
              <w:bottom w:val="single" w:sz="8" w:color="auto"/>
            </w:tcBorders>
            <w:shd w:val="clear" w:color="auto" w:fill="CFF0FC"/>
          </w:tcPr>
          <w:p>
            <w:pPr>
              <w:spacing w:after="0"/>
              <w:rPr>
                <w:sz w:val="21"/>
                <w:szCs w:val="21"/>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Borders>
              <w:bottom w:val="single" w:sz="8" w:color="CFF0FC"/>
            </w:tcBorders>
            <w:shd w:val="clear" w:color="auto" w:fill="CFF0FC"/>
          </w:tcPr>
          <w:p>
            <w:pPr>
              <w:spacing w:after="0"/>
              <w:rPr>
                <w:sz w:val="21"/>
                <w:szCs w:val="21"/>
                <w:color w:val="auto"/>
              </w:rPr>
            </w:pPr>
          </w:p>
        </w:tc>
      </w:tr>
      <w:tr>
        <w:trPr>
          <w:trHeight w:val="239"/>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60" w:type="dxa"/>
            <w:vAlign w:val="bottom"/>
          </w:tcPr>
          <w:p>
            <w:pPr>
              <w:spacing w:after="0"/>
              <w:rPr>
                <w:sz w:val="20"/>
                <w:szCs w:val="20"/>
                <w:color w:val="auto"/>
              </w:rPr>
            </w:pPr>
          </w:p>
        </w:tc>
      </w:tr>
      <w:tr>
        <w:trPr>
          <w:trHeight w:val="20"/>
        </w:trPr>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-187960</wp:posOffset>
            </wp:positionV>
            <wp:extent cx="431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ind w:right="140" w:firstLine="255"/>
        <w:spacing w:after="0" w:line="266" w:lineRule="auto"/>
        <w:rPr>
          <w:sz w:val="20"/>
          <w:szCs w:val="20"/>
          <w:color w:val="auto"/>
        </w:rPr>
      </w:pPr>
      <w:r>
        <w:rPr>
          <w:rFonts w:ascii="Times New Roman" w:cs="Times New Roman" w:eastAsia="Times New Roman" w:hAnsi="Times New Roman"/>
          <w:sz w:val="18"/>
          <w:szCs w:val="18"/>
          <w:color w:val="auto"/>
        </w:rPr>
        <w:t>Total interest expense in the table above does not include the effect of the interest rate swaps related to the 2029 Notes. During the three months ended March 31, 2024, the Company received $1.5 million and paid $1.8 million related to the settlements of its interest expense in the Company's Consolidated Statement of Operations. See Note 5 for further information about the Company's interest rate swap.</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March 31, 2024, the components of the carrying value of the 2029 Notes and the stated interest rate were as follows.</w:t>
      </w:r>
    </w:p>
    <w:p>
      <w:pPr>
        <w:spacing w:after="0" w:line="394" w:lineRule="exact"/>
        <w:rPr>
          <w:sz w:val="20"/>
          <w:szCs w:val="20"/>
          <w:color w:val="auto"/>
        </w:rPr>
      </w:pPr>
    </w:p>
    <w:tbl>
      <w:tblPr>
        <w:tblLayout w:type="fixed"/>
        <w:tblInd w:w="1540" w:type="dxa"/>
        <w:tblCellMar>
          <w:top w:w="0" w:type="dxa"/>
          <w:left w:w="0" w:type="dxa"/>
          <w:bottom w:w="0" w:type="dxa"/>
          <w:right w:w="0" w:type="dxa"/>
        </w:tblCellMar>
      </w:tblPr>
      <w:tr>
        <w:trPr>
          <w:trHeight w:val="187"/>
        </w:trPr>
        <w:tc>
          <w:tcPr>
            <w:tcW w:w="57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gridSpan w:val="2"/>
          </w:tcPr>
          <w:p>
            <w:pPr>
              <w:spacing w:after="0"/>
              <w:rPr>
                <w:sz w:val="16"/>
                <w:szCs w:val="16"/>
                <w:color w:val="auto"/>
              </w:rPr>
            </w:pPr>
          </w:p>
        </w:tc>
      </w:tr>
      <w:tr>
        <w:trPr>
          <w:trHeight w:val="223"/>
        </w:trPr>
        <w:tc>
          <w:tcPr>
            <w:tcW w:w="5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60" w:type="dxa"/>
            <w:vAlign w:val="bottom"/>
            <w:gridSpan w:val="3"/>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2029 Notes</w:t>
            </w:r>
          </w:p>
        </w:tc>
      </w:tr>
      <w:tr>
        <w:trPr>
          <w:trHeight w:val="237"/>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amount of debt</w:t>
            </w:r>
          </w:p>
        </w:tc>
        <w:tc>
          <w:tcPr>
            <w:tcW w:w="400" w:type="dxa"/>
            <w:vAlign w:val="bottom"/>
            <w:tcBorders>
              <w:top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discount, net of accretion</w:t>
            </w:r>
          </w:p>
        </w:tc>
        <w:tc>
          <w:tcPr>
            <w:tcW w:w="400" w:type="dxa"/>
            <w:vAlign w:val="bottom"/>
          </w:tcPr>
          <w:p>
            <w:pPr>
              <w:spacing w:after="0"/>
              <w:rPr>
                <w:sz w:val="20"/>
                <w:szCs w:val="20"/>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(6,316 )</w:t>
            </w:r>
          </w:p>
        </w:tc>
        <w:tc>
          <w:tcPr>
            <w:tcW w:w="80" w:type="dxa"/>
            <w:vAlign w:val="bottom"/>
          </w:tcPr>
          <w:p>
            <w:pPr>
              <w:spacing w:after="0"/>
              <w:rPr>
                <w:sz w:val="20"/>
                <w:szCs w:val="20"/>
                <w:color w:val="auto"/>
              </w:rPr>
            </w:pPr>
          </w:p>
        </w:tc>
      </w:tr>
      <w:tr>
        <w:trPr>
          <w:trHeight w:val="247"/>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400" w:type="dxa"/>
            <w:vAlign w:val="bottom"/>
            <w:shd w:val="clear" w:color="auto" w:fill="CFF0FC"/>
          </w:tcPr>
          <w:p>
            <w:pPr>
              <w:spacing w:after="0"/>
              <w:rPr>
                <w:sz w:val="21"/>
                <w:szCs w:val="21"/>
                <w:color w:val="auto"/>
              </w:rPr>
            </w:pP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(7,505 )</w:t>
            </w:r>
          </w:p>
        </w:tc>
        <w:tc>
          <w:tcPr>
            <w:tcW w:w="80" w:type="dxa"/>
            <w:vAlign w:val="bottom"/>
          </w:tcPr>
          <w:p>
            <w:pPr>
              <w:spacing w:after="0"/>
              <w:rPr>
                <w:sz w:val="21"/>
                <w:szCs w:val="21"/>
                <w:color w:val="auto"/>
              </w:rPr>
            </w:pPr>
          </w:p>
        </w:tc>
      </w:tr>
      <w:tr>
        <w:trPr>
          <w:trHeight w:val="243"/>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an effective hedge</w:t>
            </w:r>
          </w:p>
        </w:tc>
        <w:tc>
          <w:tcPr>
            <w:tcW w:w="400" w:type="dxa"/>
            <w:vAlign w:val="bottom"/>
          </w:tcPr>
          <w:p>
            <w:pPr>
              <w:spacing w:after="0"/>
              <w:rPr>
                <w:sz w:val="21"/>
                <w:szCs w:val="21"/>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(878 )</w:t>
            </w:r>
          </w:p>
        </w:tc>
        <w:tc>
          <w:tcPr>
            <w:tcW w:w="80" w:type="dxa"/>
            <w:vAlign w:val="bottom"/>
          </w:tcPr>
          <w:p>
            <w:pPr>
              <w:spacing w:after="0"/>
              <w:rPr>
                <w:sz w:val="21"/>
                <w:szCs w:val="21"/>
                <w:color w:val="auto"/>
              </w:rPr>
            </w:pPr>
          </w:p>
        </w:tc>
      </w:tr>
      <w:tr>
        <w:trPr>
          <w:trHeight w:val="277"/>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Carrying value of debt</w:t>
            </w:r>
          </w:p>
        </w:tc>
        <w:tc>
          <w:tcPr>
            <w:tcW w:w="400" w:type="dxa"/>
            <w:vAlign w:val="bottom"/>
            <w:tcBorders>
              <w:top w:val="single" w:sz="8" w:color="auto"/>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585,301</w:t>
            </w:r>
          </w:p>
        </w:tc>
        <w:tc>
          <w:tcPr>
            <w:tcW w:w="80" w:type="dxa"/>
            <w:vAlign w:val="bottom"/>
            <w:tcBorders>
              <w:bottom w:val="single" w:sz="8" w:color="CFF0FC"/>
            </w:tcBorders>
            <w:shd w:val="clear" w:color="auto" w:fill="CFF0FC"/>
          </w:tcPr>
          <w:p>
            <w:pPr>
              <w:spacing w:after="0"/>
              <w:rPr>
                <w:sz w:val="24"/>
                <w:szCs w:val="24"/>
                <w:color w:val="auto"/>
              </w:rPr>
            </w:pPr>
          </w:p>
        </w:tc>
        <w:tc>
          <w:tcPr>
            <w:tcW w:w="80" w:type="dxa"/>
            <w:vAlign w:val="bottom"/>
          </w:tcPr>
          <w:p>
            <w:pPr>
              <w:spacing w:after="0"/>
              <w:rPr>
                <w:sz w:val="24"/>
                <w:szCs w:val="24"/>
                <w:color w:val="auto"/>
              </w:rPr>
            </w:pPr>
          </w:p>
        </w:tc>
      </w:tr>
      <w:tr>
        <w:trPr>
          <w:trHeight w:val="215"/>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Stated interest rate</w:t>
            </w:r>
          </w:p>
        </w:tc>
        <w:tc>
          <w:tcPr>
            <w:tcW w:w="400" w:type="dxa"/>
            <w:vAlign w:val="bottom"/>
          </w:tcPr>
          <w:p>
            <w:pPr>
              <w:spacing w:after="0"/>
              <w:rPr>
                <w:sz w:val="18"/>
                <w:szCs w:val="18"/>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-173990</wp:posOffset>
            </wp:positionV>
            <wp:extent cx="514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-156845</wp:posOffset>
            </wp:positionV>
            <wp:extent cx="514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6" w:lineRule="exact"/>
        <w:rPr>
          <w:sz w:val="20"/>
          <w:szCs w:val="20"/>
          <w:color w:val="auto"/>
        </w:rPr>
      </w:pPr>
    </w:p>
    <w:p>
      <w:pPr>
        <w:ind w:right="340" w:firstLine="255"/>
        <w:spacing w:after="0" w:line="282" w:lineRule="auto"/>
        <w:rPr>
          <w:sz w:val="20"/>
          <w:szCs w:val="20"/>
          <w:color w:val="auto"/>
        </w:rPr>
      </w:pPr>
      <w:r>
        <w:rPr>
          <w:rFonts w:ascii="Times New Roman" w:cs="Times New Roman" w:eastAsia="Times New Roman" w:hAnsi="Times New Roman"/>
          <w:sz w:val="18"/>
          <w:szCs w:val="18"/>
          <w:color w:val="auto"/>
        </w:rPr>
        <w:t>The stated interest rate in the table above does not include the effect of the interest rate swaps. As of March 31, 2024, the Company's swap-adjusted interest rate on the 2029 Notes was SOFR plus 2.51%.</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March 31, 2024, the Company was in compliance with the terms of the indentures governing the 2029 Notes.</w:t>
      </w:r>
    </w:p>
    <w:p>
      <w:pPr>
        <w:spacing w:after="0" w:line="225" w:lineRule="exact"/>
        <w:rPr>
          <w:sz w:val="20"/>
          <w:szCs w:val="20"/>
          <w:color w:val="auto"/>
        </w:rPr>
      </w:pPr>
    </w:p>
    <w:p>
      <w:pPr>
        <w:ind w:right="240" w:firstLine="255"/>
        <w:spacing w:after="0" w:line="266" w:lineRule="auto"/>
        <w:rPr>
          <w:sz w:val="20"/>
          <w:szCs w:val="20"/>
          <w:color w:val="auto"/>
        </w:rPr>
      </w:pPr>
      <w:r>
        <w:rPr>
          <w:rFonts w:ascii="Times New Roman" w:cs="Times New Roman" w:eastAsia="Times New Roman" w:hAnsi="Times New Roman"/>
          <w:sz w:val="18"/>
          <w:szCs w:val="18"/>
          <w:color w:val="auto"/>
        </w:rPr>
        <w:t>In accordance with the 1940 Act, with certain limitations, the Company is allowed to borrow amounts such that its asset coverage, as defined in the 1940 Act, is at least 150% after such borrowing. As of March 31, 2024 and December 31, 2023, the Company's asset coverage was 223.4% and 245.6%, respectively.</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Debt obligations consisted of the following as of March 31, 2024 and December 31,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9"/>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9"/>
              <w:spacing w:after="0" w:line="146"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6"/>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Available </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21"/>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Facility</w:t>
            </w: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538,635</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961,365</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536,316</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797,235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197,265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789,290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 Notes</w:t>
            </w:r>
          </w:p>
        </w:tc>
        <w:tc>
          <w:tcPr>
            <w:tcW w:w="17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585,301</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1,935,870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1,158,630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1,910,907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5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-1096645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-1096645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-1096645</wp:posOffset>
            </wp:positionV>
            <wp:extent cx="596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-1096645</wp:posOffset>
            </wp:positionV>
            <wp:extent cx="603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4" w:right="339" w:bottom="784" w:gutter="0" w:footer="0" w:header="0"/>
        </w:sectPr>
      </w:pPr>
    </w:p>
    <w:bookmarkStart w:id="31" w:name="page32"/>
    <w:bookmarkEnd w:id="31"/>
    <w:p>
      <w:pPr>
        <w:ind w:left="520" w:right="680" w:hanging="512"/>
        <w:spacing w:after="0" w:line="261"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Subscription Facility, Revolving Credit Facility, outstanding letters of credit issued and asset coverage requirements.</w:t>
      </w:r>
    </w:p>
    <w:p>
      <w:pPr>
        <w:ind w:left="520" w:right="420" w:hanging="512"/>
        <w:spacing w:after="0" w:line="250"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Subscription Facility, Revolving Credit Facility and the 2029 Notes are presented net of the combination of deferred financing costs and original issue discounts totaling $2.3 million, $7.9 million, and $13.8 million respectively.</w:t>
      </w:r>
    </w:p>
    <w:p>
      <w:pPr>
        <w:ind w:left="520" w:right="20" w:hanging="512"/>
        <w:spacing w:after="0" w:line="260"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2029 Notes is presented inclusive of an incremental $(0.9) million, which represents an adjustment in the carrying value of the 2029 Notes, resulting from a hedge accounting relationship.</w:t>
      </w:r>
    </w:p>
    <w:p>
      <w:pPr>
        <w:spacing w:after="0" w:line="188" w:lineRule="exact"/>
        <w:rPr>
          <w:sz w:val="20"/>
          <w:szCs w:val="20"/>
          <w:color w:val="auto"/>
        </w:rPr>
      </w:pPr>
    </w:p>
    <w:tbl>
      <w:tblPr>
        <w:tblLayout w:type="fixed"/>
        <w:tblInd w:w="42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6"/>
        </w:trPr>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37"/>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Available </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7"/>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9"/>
                <w:szCs w:val="19"/>
                <w:b w:val="1"/>
                <w:bCs w:val="1"/>
                <w:color w:val="auto"/>
                <w:vertAlign w:val="superscript"/>
              </w:rPr>
              <w:t>(2)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Facility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1,054,733</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445,267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1,051,033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725,000</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193,282</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526,218</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5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2,225,000</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1,248,015</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971,485</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1,239,862</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596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596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-24765</wp:posOffset>
            </wp:positionV>
            <wp:extent cx="596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-7620</wp:posOffset>
            </wp:positionV>
            <wp:extent cx="596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51" w:lineRule="exact"/>
        <w:rPr>
          <w:sz w:val="20"/>
          <w:szCs w:val="20"/>
          <w:color w:val="auto"/>
        </w:rPr>
      </w:pPr>
    </w:p>
    <w:p>
      <w:pPr>
        <w:ind w:left="520" w:right="140" w:hanging="512"/>
        <w:spacing w:after="0" w:line="261"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Subscription Facility, the Revolving Credit Facility and asset coverage requirements.</w:t>
      </w:r>
    </w:p>
    <w:p>
      <w:pPr>
        <w:ind w:left="520" w:hanging="512"/>
        <w:spacing w:after="0" w:line="260"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Subscription Facility and the Revolving Credit Facility are presented net deferred financing costs of $3.7 million and $4.5 million.</w:t>
      </w:r>
    </w:p>
    <w:p>
      <w:pPr>
        <w:spacing w:after="0" w:line="2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three months ended March 31, 2024 and 2023, the components of interest expense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40" w:type="dxa"/>
            <w:vAlign w:val="bottom"/>
            <w:gridSpan w:val="6"/>
          </w:tcPr>
          <w:p>
            <w:pPr>
              <w:jc w:val="right"/>
              <w:ind w:right="1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7"/>
        </w:trPr>
        <w:tc>
          <w:tcPr>
            <w:tcW w:w="4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480" w:type="dxa"/>
            <w:vAlign w:val="bottom"/>
            <w:gridSpan w:val="2"/>
          </w:tcPr>
          <w:p>
            <w:pPr>
              <w:spacing w:after="0"/>
              <w:rPr>
                <w:sz w:val="16"/>
                <w:szCs w:val="16"/>
                <w:color w:val="auto"/>
              </w:rPr>
            </w:pPr>
          </w:p>
        </w:tc>
      </w:tr>
      <w:tr>
        <w:trPr>
          <w:trHeight w:val="237"/>
        </w:trPr>
        <w:tc>
          <w:tcPr>
            <w:tcW w:w="420" w:type="dxa"/>
            <w:vAlign w:val="bottom"/>
          </w:tcPr>
          <w:p>
            <w:pPr>
              <w:spacing w:after="0"/>
              <w:rPr>
                <w:sz w:val="20"/>
                <w:szCs w:val="20"/>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32,242</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7,407</w:t>
            </w:r>
          </w:p>
        </w:tc>
        <w:tc>
          <w:tcPr>
            <w:tcW w:w="80" w:type="dxa"/>
            <w:vAlign w:val="bottom"/>
            <w:shd w:val="clear" w:color="auto" w:fill="CFF0FC"/>
          </w:tcPr>
          <w:p>
            <w:pPr>
              <w:spacing w:after="0"/>
              <w:rPr>
                <w:sz w:val="20"/>
                <w:szCs w:val="20"/>
                <w:color w:val="auto"/>
              </w:rPr>
            </w:pPr>
          </w:p>
        </w:tc>
        <w:tc>
          <w:tcPr>
            <w:tcW w:w="400" w:type="dxa"/>
            <w:vAlign w:val="bottom"/>
          </w:tcPr>
          <w:p>
            <w:pPr>
              <w:spacing w:after="0"/>
              <w:rPr>
                <w:sz w:val="20"/>
                <w:szCs w:val="20"/>
                <w:color w:val="auto"/>
              </w:rPr>
            </w:pPr>
          </w:p>
        </w:tc>
      </w:tr>
      <w:tr>
        <w:trPr>
          <w:trHeight w:val="239"/>
        </w:trPr>
        <w:tc>
          <w:tcPr>
            <w:tcW w:w="4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Commitment fees</w:t>
            </w:r>
          </w:p>
        </w:tc>
        <w:tc>
          <w:tcPr>
            <w:tcW w:w="2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47"/>
        </w:trPr>
        <w:tc>
          <w:tcPr>
            <w:tcW w:w="420" w:type="dxa"/>
            <w:vAlign w:val="bottom"/>
          </w:tcPr>
          <w:p>
            <w:pPr>
              <w:spacing w:after="0"/>
              <w:rPr>
                <w:sz w:val="21"/>
                <w:szCs w:val="21"/>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80" w:type="dxa"/>
            <w:vAlign w:val="bottom"/>
            <w:shd w:val="clear" w:color="auto" w:fill="CFF0FC"/>
          </w:tcPr>
          <w:p>
            <w:pPr>
              <w:spacing w:after="0"/>
              <w:rPr>
                <w:sz w:val="21"/>
                <w:szCs w:val="21"/>
                <w:color w:val="auto"/>
              </w:rPr>
            </w:pPr>
          </w:p>
        </w:tc>
        <w:tc>
          <w:tcPr>
            <w:tcW w:w="400" w:type="dxa"/>
            <w:vAlign w:val="bottom"/>
          </w:tcPr>
          <w:p>
            <w:pPr>
              <w:spacing w:after="0"/>
              <w:rPr>
                <w:sz w:val="21"/>
                <w:szCs w:val="21"/>
                <w:color w:val="auto"/>
              </w:rPr>
            </w:pPr>
          </w:p>
        </w:tc>
      </w:tr>
      <w:tr>
        <w:trPr>
          <w:trHeight w:val="234"/>
        </w:trPr>
        <w:tc>
          <w:tcPr>
            <w:tcW w:w="4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2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r>
      <w:tr>
        <w:trPr>
          <w:trHeight w:val="247"/>
        </w:trPr>
        <w:tc>
          <w:tcPr>
            <w:tcW w:w="420" w:type="dxa"/>
            <w:vAlign w:val="bottom"/>
          </w:tcPr>
          <w:p>
            <w:pPr>
              <w:spacing w:after="0"/>
              <w:rPr>
                <w:sz w:val="21"/>
                <w:szCs w:val="21"/>
                <w:color w:val="auto"/>
              </w:rPr>
            </w:pPr>
          </w:p>
        </w:tc>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Swap settlement</w:t>
            </w:r>
          </w:p>
        </w:tc>
        <w:tc>
          <w:tcPr>
            <w:tcW w:w="27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400" w:type="dxa"/>
            <w:vAlign w:val="bottom"/>
          </w:tcPr>
          <w:p>
            <w:pPr>
              <w:spacing w:after="0"/>
              <w:rPr>
                <w:sz w:val="21"/>
                <w:szCs w:val="21"/>
                <w:color w:val="auto"/>
              </w:rPr>
            </w:pPr>
          </w:p>
        </w:tc>
      </w:tr>
      <w:tr>
        <w:trPr>
          <w:trHeight w:val="238"/>
        </w:trPr>
        <w:tc>
          <w:tcPr>
            <w:tcW w:w="420" w:type="dxa"/>
            <w:vAlign w:val="bottom"/>
          </w:tcPr>
          <w:p>
            <w:pPr>
              <w:spacing w:after="0"/>
              <w:rPr>
                <w:sz w:val="20"/>
                <w:szCs w:val="20"/>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35,078</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6"/>
        </w:trPr>
        <w:tc>
          <w:tcPr>
            <w:tcW w:w="4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debt outstanding (in millions)</w:t>
            </w:r>
          </w:p>
        </w:tc>
        <w:tc>
          <w:tcPr>
            <w:tcW w:w="2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80" w:type="dxa"/>
            <w:vAlign w:val="bottom"/>
            <w:shd w:val="clear" w:color="auto" w:fill="CFF0FC"/>
          </w:tcPr>
          <w:p>
            <w:pPr>
              <w:spacing w:after="0"/>
              <w:rPr>
                <w:sz w:val="19"/>
                <w:szCs w:val="19"/>
                <w:color w:val="auto"/>
              </w:rPr>
            </w:pPr>
          </w:p>
        </w:tc>
        <w:tc>
          <w:tcPr>
            <w:tcW w:w="400" w:type="dxa"/>
            <w:vAlign w:val="bottom"/>
          </w:tcPr>
          <w:p>
            <w:pPr>
              <w:spacing w:after="0"/>
              <w:rPr>
                <w:sz w:val="19"/>
                <w:szCs w:val="19"/>
                <w:color w:val="auto"/>
              </w:rPr>
            </w:pPr>
          </w:p>
        </w:tc>
      </w:tr>
      <w:tr>
        <w:trPr>
          <w:trHeight w:val="234"/>
        </w:trPr>
        <w:tc>
          <w:tcPr>
            <w:tcW w:w="4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2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7.3 %</w:t>
            </w:r>
          </w:p>
        </w:tc>
        <w:tc>
          <w:tcPr>
            <w:tcW w:w="200" w:type="dxa"/>
            <w:vAlign w:val="bottom"/>
          </w:tcPr>
          <w:p>
            <w:pPr>
              <w:spacing w:after="0"/>
              <w:rPr>
                <w:sz w:val="20"/>
                <w:szCs w:val="20"/>
                <w:color w:val="auto"/>
              </w:rPr>
            </w:pPr>
          </w:p>
        </w:tc>
        <w:tc>
          <w:tcPr>
            <w:tcW w:w="18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6.7 %</w:t>
            </w:r>
          </w:p>
        </w:tc>
      </w:tr>
      <w:tr>
        <w:trPr>
          <w:trHeight w:val="657"/>
        </w:trPr>
        <w:tc>
          <w:tcPr>
            <w:tcW w:w="4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7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63"/>
        </w:trPr>
        <w:tc>
          <w:tcPr>
            <w:tcW w:w="42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-1405255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-1405255</wp:posOffset>
            </wp:positionV>
            <wp:extent cx="596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Company Commitments</w:t>
      </w:r>
    </w:p>
    <w:p>
      <w:pPr>
        <w:spacing w:after="0" w:line="11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March 31, 2024 and December 31, 2023, the Company had the following commitments to fund investments in current portfolio companies:</w:t>
      </w:r>
    </w:p>
    <w:p>
      <w:pPr>
        <w:spacing w:after="0" w:line="286" w:lineRule="exact"/>
        <w:rPr>
          <w:sz w:val="20"/>
          <w:szCs w:val="20"/>
          <w:color w:val="auto"/>
        </w:rPr>
      </w:pPr>
    </w:p>
    <w:tbl>
      <w:tblPr>
        <w:tblLayout w:type="fixed"/>
        <w:tblInd w:w="1020" w:type="dxa"/>
        <w:tblCellMar>
          <w:top w:w="0" w:type="dxa"/>
          <w:left w:w="0" w:type="dxa"/>
          <w:bottom w:w="0" w:type="dxa"/>
          <w:right w:w="0" w:type="dxa"/>
        </w:tblCellMar>
      </w:tblPr>
      <w:tr>
        <w:trPr>
          <w:trHeight w:val="187"/>
        </w:trPr>
        <w:tc>
          <w:tcPr>
            <w:tcW w:w="5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r>
      <w:tr>
        <w:trPr>
          <w:trHeight w:val="23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Alaska Bidco Oy - Delayed Draw &amp; Revolver</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4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FF0FC"/>
          </w:tcPr>
          <w:p>
            <w:pPr>
              <w:spacing w:after="0"/>
              <w:rPr>
                <w:sz w:val="20"/>
                <w:szCs w:val="20"/>
                <w:color w:val="auto"/>
              </w:rPr>
            </w:pPr>
          </w:p>
        </w:tc>
      </w:tr>
      <w:tr>
        <w:trPr>
          <w:trHeight w:val="23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Aptean, Inc. - Delayed Draw &amp; Revolver</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Arrow Buyer, Inc. - Delayed Draw</w:t>
            </w: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28,125</w:t>
            </w:r>
          </w:p>
        </w:tc>
        <w:tc>
          <w:tcPr>
            <w:tcW w:w="80" w:type="dxa"/>
            <w:vAlign w:val="bottom"/>
            <w:shd w:val="clear" w:color="auto" w:fill="CFF0FC"/>
          </w:tcPr>
          <w:p>
            <w:pPr>
              <w:spacing w:after="0"/>
              <w:rPr>
                <w:sz w:val="21"/>
                <w:szCs w:val="21"/>
                <w:color w:val="auto"/>
              </w:rPr>
            </w:pPr>
          </w:p>
        </w:tc>
      </w:tr>
      <w:tr>
        <w:trPr>
          <w:trHeight w:val="23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Artisan Bidco, Inc. - Revolver</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21,283</w:t>
            </w:r>
          </w:p>
        </w:tc>
        <w:tc>
          <w:tcPr>
            <w:tcW w:w="80" w:type="dxa"/>
            <w:vAlign w:val="bottom"/>
          </w:tcPr>
          <w:p>
            <w:pPr>
              <w:spacing w:after="0"/>
              <w:rPr>
                <w:sz w:val="20"/>
                <w:szCs w:val="20"/>
                <w:color w:val="auto"/>
              </w:rPr>
            </w:pPr>
          </w:p>
        </w:tc>
      </w:tr>
      <w:tr>
        <w:trPr>
          <w:trHeight w:val="24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Avalara, Inc. - Revolver</w:t>
            </w: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80" w:type="dxa"/>
            <w:vAlign w:val="bottom"/>
            <w:shd w:val="clear" w:color="auto" w:fill="CFF0FC"/>
          </w:tcPr>
          <w:p>
            <w:pPr>
              <w:spacing w:after="0"/>
              <w:rPr>
                <w:sz w:val="21"/>
                <w:szCs w:val="21"/>
                <w:color w:val="auto"/>
              </w:rPr>
            </w:pPr>
          </w:p>
        </w:tc>
      </w:tr>
      <w:tr>
        <w:trPr>
          <w:trHeight w:val="23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Azurite Intermediate Holdings, Inc - Delayed Draw, Revolver &amp; Equity</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Babylon Finco Limited - Delayed Draw</w:t>
            </w: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Banyan Software Holdings, LLC - Delayed Draw</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20,073</w:t>
            </w:r>
          </w:p>
        </w:tc>
        <w:tc>
          <w:tcPr>
            <w:tcW w:w="80" w:type="dxa"/>
            <w:vAlign w:val="bottom"/>
          </w:tcPr>
          <w:p>
            <w:pPr>
              <w:spacing w:after="0"/>
              <w:rPr>
                <w:sz w:val="20"/>
                <w:szCs w:val="20"/>
                <w:color w:val="auto"/>
              </w:rPr>
            </w:pPr>
          </w:p>
        </w:tc>
      </w:tr>
      <w:tr>
        <w:trPr>
          <w:trHeight w:val="24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BCTO Bluebill Buyer, Inc. - Delayed Draw</w:t>
            </w: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80" w:type="dxa"/>
            <w:vAlign w:val="bottom"/>
            <w:shd w:val="clear" w:color="auto" w:fill="CFF0FC"/>
          </w:tcPr>
          <w:p>
            <w:pPr>
              <w:spacing w:after="0"/>
              <w:rPr>
                <w:sz w:val="21"/>
                <w:szCs w:val="21"/>
                <w:color w:val="auto"/>
              </w:rPr>
            </w:pPr>
          </w:p>
        </w:tc>
      </w:tr>
      <w:tr>
        <w:trPr>
          <w:trHeight w:val="23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 Nevis Midco Limited - Delayed Draw</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BTRS Holdings, Inc. - Delayed Draw &amp; Revolver</w:t>
            </w: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16,689</w:t>
            </w:r>
          </w:p>
        </w:tc>
        <w:tc>
          <w:tcPr>
            <w:tcW w:w="80" w:type="dxa"/>
            <w:vAlign w:val="bottom"/>
            <w:shd w:val="clear" w:color="auto" w:fill="CFF0FC"/>
          </w:tcPr>
          <w:p>
            <w:pPr>
              <w:spacing w:after="0"/>
              <w:rPr>
                <w:sz w:val="21"/>
                <w:szCs w:val="21"/>
                <w:color w:val="auto"/>
              </w:rPr>
            </w:pPr>
          </w:p>
        </w:tc>
      </w:tr>
      <w:tr>
        <w:trPr>
          <w:trHeight w:val="23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Coupa Holdings, LLC - Delayed Draw &amp; Revolver</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20,427</w:t>
            </w:r>
          </w:p>
        </w:tc>
        <w:tc>
          <w:tcPr>
            <w:tcW w:w="80" w:type="dxa"/>
            <w:vAlign w:val="bottom"/>
          </w:tcPr>
          <w:p>
            <w:pPr>
              <w:spacing w:after="0"/>
              <w:rPr>
                <w:sz w:val="20"/>
                <w:szCs w:val="20"/>
                <w:color w:val="auto"/>
              </w:rPr>
            </w:pPr>
          </w:p>
        </w:tc>
      </w:tr>
      <w:tr>
        <w:trPr>
          <w:trHeight w:val="24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Crewline Buyer, Inc. - Revolver &amp; Equity</w:t>
            </w: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16,295</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20,809</w:t>
            </w:r>
          </w:p>
        </w:tc>
        <w:tc>
          <w:tcPr>
            <w:tcW w:w="80" w:type="dxa"/>
            <w:vAlign w:val="bottom"/>
            <w:shd w:val="clear" w:color="auto" w:fill="CFF0FC"/>
          </w:tcPr>
          <w:p>
            <w:pPr>
              <w:spacing w:after="0"/>
              <w:rPr>
                <w:sz w:val="21"/>
                <w:szCs w:val="21"/>
                <w:color w:val="auto"/>
              </w:rPr>
            </w:pPr>
          </w:p>
        </w:tc>
      </w:tr>
      <w:tr>
        <w:trPr>
          <w:trHeight w:val="23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 Parent, Inc. - Revolver</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80" w:type="dxa"/>
            <w:vAlign w:val="bottom"/>
          </w:tcPr>
          <w:p>
            <w:pPr>
              <w:spacing w:after="0"/>
              <w:rPr>
                <w:sz w:val="20"/>
                <w:szCs w:val="20"/>
                <w:color w:val="auto"/>
              </w:rPr>
            </w:pPr>
          </w:p>
        </w:tc>
      </w:tr>
      <w:tr>
        <w:trPr>
          <w:trHeight w:val="24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Edge Bidco B.V. - Delayed Draw &amp; Revolver</w:t>
            </w: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80" w:type="dxa"/>
            <w:vAlign w:val="bottom"/>
            <w:shd w:val="clear" w:color="auto" w:fill="CFF0FC"/>
          </w:tcPr>
          <w:p>
            <w:pPr>
              <w:spacing w:after="0"/>
              <w:rPr>
                <w:sz w:val="21"/>
                <w:szCs w:val="21"/>
                <w:color w:val="auto"/>
              </w:rPr>
            </w:pPr>
          </w:p>
        </w:tc>
      </w:tr>
      <w:tr>
        <w:trPr>
          <w:trHeight w:val="23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Erling Lux Bidco SARL - Delayed Draw &amp; Revolver</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80" w:type="dxa"/>
            <w:vAlign w:val="bottom"/>
          </w:tcPr>
          <w:p>
            <w:pPr>
              <w:spacing w:after="0"/>
              <w:rPr>
                <w:sz w:val="20"/>
                <w:szCs w:val="20"/>
                <w:color w:val="auto"/>
              </w:rPr>
            </w:pPr>
          </w:p>
        </w:tc>
      </w:tr>
      <w:tr>
        <w:trPr>
          <w:trHeight w:val="24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Fullsteam Operations, LLC - Delayed Draw &amp; Revolver</w:t>
            </w: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67,336</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31,239</w:t>
            </w:r>
          </w:p>
        </w:tc>
        <w:tc>
          <w:tcPr>
            <w:tcW w:w="80" w:type="dxa"/>
            <w:vAlign w:val="bottom"/>
            <w:shd w:val="clear" w:color="auto" w:fill="CFF0FC"/>
          </w:tcPr>
          <w:p>
            <w:pPr>
              <w:spacing w:after="0"/>
              <w:rPr>
                <w:sz w:val="21"/>
                <w:szCs w:val="21"/>
                <w:color w:val="auto"/>
              </w:rPr>
            </w:pPr>
          </w:p>
        </w:tc>
      </w:tr>
      <w:tr>
        <w:trPr>
          <w:trHeight w:val="23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Galileo Parent Inc - Revolver</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15,817</w:t>
            </w:r>
          </w:p>
        </w:tc>
        <w:tc>
          <w:tcPr>
            <w:tcW w:w="80" w:type="dxa"/>
            <w:vAlign w:val="bottom"/>
          </w:tcPr>
          <w:p>
            <w:pPr>
              <w:spacing w:after="0"/>
              <w:rPr>
                <w:sz w:val="20"/>
                <w:szCs w:val="20"/>
                <w:color w:val="auto"/>
              </w:rPr>
            </w:pPr>
          </w:p>
        </w:tc>
      </w:tr>
      <w:tr>
        <w:trPr>
          <w:trHeight w:val="24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Heritage Environmental Services, Inc. - Revolver</w:t>
            </w: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21,219</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Hippo XPA Bidco AB - Delayed Draw &amp; Revolver</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Hirevue, Inc. - Revolver</w:t>
            </w: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11,290</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14,113</w:t>
            </w:r>
          </w:p>
        </w:tc>
        <w:tc>
          <w:tcPr>
            <w:tcW w:w="80" w:type="dxa"/>
            <w:vAlign w:val="bottom"/>
            <w:shd w:val="clear" w:color="auto" w:fill="CFF0FC"/>
          </w:tcPr>
          <w:p>
            <w:pPr>
              <w:spacing w:after="0"/>
              <w:rPr>
                <w:sz w:val="21"/>
                <w:szCs w:val="21"/>
                <w:color w:val="auto"/>
              </w:rPr>
            </w:pPr>
          </w:p>
        </w:tc>
      </w:tr>
      <w:tr>
        <w:trPr>
          <w:trHeight w:val="23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Hornetsecurity Holding GmbH - Delayed Draw &amp; Revolver</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80" w:type="dxa"/>
            <w:vAlign w:val="bottom"/>
          </w:tcPr>
          <w:p>
            <w:pPr>
              <w:spacing w:after="0"/>
              <w:rPr>
                <w:sz w:val="20"/>
                <w:szCs w:val="20"/>
                <w:color w:val="auto"/>
              </w:rPr>
            </w:pPr>
          </w:p>
        </w:tc>
      </w:tr>
      <w:tr>
        <w:trPr>
          <w:trHeight w:val="24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Kangaroo Bidco AS - Delayed Draw</w:t>
            </w: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53,817</w:t>
            </w:r>
          </w:p>
        </w:tc>
        <w:tc>
          <w:tcPr>
            <w:tcW w:w="80" w:type="dxa"/>
            <w:vAlign w:val="bottom"/>
            <w:shd w:val="clear" w:color="auto" w:fill="CFF0FC"/>
          </w:tcPr>
          <w:p>
            <w:pPr>
              <w:spacing w:after="0"/>
              <w:rPr>
                <w:sz w:val="21"/>
                <w:szCs w:val="21"/>
                <w:color w:val="auto"/>
              </w:rPr>
            </w:pPr>
          </w:p>
        </w:tc>
      </w:tr>
      <w:tr>
        <w:trPr>
          <w:trHeight w:val="23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Laramie Energy, LLC - Delayed Draw</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27,439</w:t>
            </w:r>
          </w:p>
        </w:tc>
        <w:tc>
          <w:tcPr>
            <w:tcW w:w="80" w:type="dxa"/>
            <w:vAlign w:val="bottom"/>
          </w:tcPr>
          <w:p>
            <w:pPr>
              <w:spacing w:after="0"/>
              <w:rPr>
                <w:sz w:val="20"/>
                <w:szCs w:val="20"/>
                <w:color w:val="auto"/>
              </w:rPr>
            </w:pPr>
          </w:p>
        </w:tc>
      </w:tr>
      <w:tr>
        <w:trPr>
          <w:trHeight w:val="24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OutSystems Luxco SARL - Delayed Draw</w:t>
            </w: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80" w:type="dxa"/>
            <w:vAlign w:val="bottom"/>
            <w:shd w:val="clear" w:color="auto" w:fill="CFF0FC"/>
          </w:tcPr>
          <w:p>
            <w:pPr>
              <w:spacing w:after="0"/>
              <w:rPr>
                <w:sz w:val="21"/>
                <w:szCs w:val="21"/>
                <w:color w:val="auto"/>
              </w:rPr>
            </w:pPr>
          </w:p>
        </w:tc>
      </w:tr>
      <w:tr>
        <w:trPr>
          <w:trHeight w:val="23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PDI TA Holdings, Inc. - Delayed Draw &amp; Revolver</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Ping Identity Holding Corp. - Revolver</w:t>
            </w: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80" w:type="dxa"/>
            <w:vAlign w:val="bottom"/>
            <w:shd w:val="clear" w:color="auto" w:fill="CFF0FC"/>
          </w:tcPr>
          <w:p>
            <w:pPr>
              <w:spacing w:after="0"/>
              <w:rPr>
                <w:sz w:val="21"/>
                <w:szCs w:val="21"/>
                <w:color w:val="auto"/>
              </w:rPr>
            </w:pPr>
          </w:p>
        </w:tc>
      </w:tr>
      <w:tr>
        <w:trPr>
          <w:trHeight w:val="23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Rapid Data GmbH Unternehmensberatung - Delayed Draw &amp; Revolver</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80" w:type="dxa"/>
            <w:vAlign w:val="bottom"/>
          </w:tcPr>
          <w:p>
            <w:pPr>
              <w:spacing w:after="0"/>
              <w:rPr>
                <w:sz w:val="20"/>
                <w:szCs w:val="20"/>
                <w:color w:val="auto"/>
              </w:rPr>
            </w:pPr>
          </w:p>
        </w:tc>
      </w:tr>
      <w:tr>
        <w:trPr>
          <w:trHeight w:val="24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SkyLark UK DebtCo Limited - Delayed Draw</w:t>
            </w: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24,293</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28,192</w:t>
            </w:r>
          </w:p>
        </w:tc>
        <w:tc>
          <w:tcPr>
            <w:tcW w:w="80" w:type="dxa"/>
            <w:vAlign w:val="bottom"/>
            <w:shd w:val="clear" w:color="auto" w:fill="CFF0FC"/>
          </w:tcPr>
          <w:p>
            <w:pPr>
              <w:spacing w:after="0"/>
              <w:rPr>
                <w:sz w:val="21"/>
                <w:szCs w:val="21"/>
                <w:color w:val="auto"/>
              </w:rPr>
            </w:pPr>
          </w:p>
        </w:tc>
      </w:tr>
      <w:tr>
        <w:trPr>
          <w:trHeight w:val="23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SL Buyer Corp - Delayed Draw</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80" w:type="dxa"/>
            <w:vAlign w:val="bottom"/>
          </w:tcPr>
          <w:p>
            <w:pPr>
              <w:spacing w:after="0"/>
              <w:rPr>
                <w:sz w:val="20"/>
                <w:szCs w:val="20"/>
                <w:color w:val="auto"/>
              </w:rPr>
            </w:pPr>
          </w:p>
        </w:tc>
      </w:tr>
      <w:tr>
        <w:trPr>
          <w:trHeight w:val="24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Truck-Lite Co., LLC - Delayed Draw &amp; Revolver</w:t>
            </w: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68,780</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Wrangler TopCo, LLC - Revolver</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80" w:type="dxa"/>
            <w:vAlign w:val="bottom"/>
          </w:tcPr>
          <w:p>
            <w:pPr>
              <w:spacing w:after="0"/>
              <w:rPr>
                <w:sz w:val="21"/>
                <w:szCs w:val="21"/>
                <w:color w:val="auto"/>
              </w:rPr>
            </w:pPr>
          </w:p>
        </w:tc>
      </w:tr>
      <w:tr>
        <w:trPr>
          <w:trHeight w:val="276"/>
        </w:trPr>
        <w:tc>
          <w:tcPr>
            <w:tcW w:w="5720" w:type="dxa"/>
            <w:vAlign w:val="bottom"/>
            <w:tcBorders>
              <w:bottom w:val="single" w:sz="8" w:color="CFF0FC"/>
            </w:tcBorders>
            <w:shd w:val="clear" w:color="auto" w:fill="CFF0FC"/>
          </w:tcPr>
          <w:p>
            <w:pPr>
              <w:ind w:left="200"/>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Total Portfolio Company Commitments </w:t>
            </w:r>
            <w:r>
              <w:rPr>
                <w:rFonts w:ascii="Times New Roman" w:cs="Times New Roman" w:eastAsia="Times New Roman" w:hAnsi="Times New Roman"/>
                <w:sz w:val="24"/>
                <w:szCs w:val="24"/>
                <w:b w:val="1"/>
                <w:bCs w:val="1"/>
                <w:color w:val="auto"/>
                <w:vertAlign w:val="superscript"/>
              </w:rPr>
              <w:t>(1)(2)</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895,444</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358,502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-24765</wp:posOffset>
            </wp:positionV>
            <wp:extent cx="5143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5143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-24765</wp:posOffset>
            </wp:positionV>
            <wp:extent cx="514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-8255</wp:posOffset>
            </wp:positionV>
            <wp:extent cx="5143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45" w:lineRule="exact"/>
        <w:rPr>
          <w:sz w:val="20"/>
          <w:szCs w:val="20"/>
          <w:color w:val="auto"/>
        </w:rPr>
      </w:pPr>
    </w:p>
    <w:p>
      <w:pPr>
        <w:ind w:left="520" w:right="320" w:hanging="512"/>
        <w:spacing w:after="0" w:line="260"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2" w:lineRule="exact"/>
        <w:rPr>
          <w:rFonts w:ascii="Times New Roman" w:cs="Times New Roman" w:eastAsia="Times New Roman" w:hAnsi="Times New Roman"/>
          <w:sz w:val="18"/>
          <w:szCs w:val="18"/>
          <w:color w:val="auto"/>
        </w:rPr>
      </w:pPr>
    </w:p>
    <w:p>
      <w:pPr>
        <w:ind w:left="520" w:right="54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estimate of the fair value of the current investments in these portfolio companies includes an analysis of the fair value of any unfunded commitments.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 did not have any unfunded commitments to fund investments to new borrowers that were not current portfolio companies as of such date.</w:t>
      </w:r>
    </w:p>
    <w:p>
      <w:pPr>
        <w:spacing w:after="0" w:line="162"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a party to certain legal proceedings incidental to the normal course of its business. As of March 31, 2024 and December 31, 2023, management is not aware of any material pending or threatened litigation that would require accounting recognition or financial statement disclosure.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Assets</w:t>
      </w:r>
    </w:p>
    <w:p>
      <w:pPr>
        <w:spacing w:after="0" w:line="121"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In connection with its formation, the Company has the authority to issue an unlimited number of Common Shares of beneficial interest at $0.001 per share par value. On June 24, 2022, our Adviser purchased $30 thousand of Common Shares of the Company at a price of $25.00 per Common Share as our initial capital. These Common Shares were issued and sold in reliance upon Section 4(a)(2) of the Securities Act, which provides an exemption from the registration requirements of the Securities Act.</w:t>
      </w:r>
    </w:p>
    <w:p>
      <w:pPr>
        <w:spacing w:after="0" w:line="180"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The Company has entered into subscription agreements (the “Subscription Agreements”) with investors providing for the private placement of the Company’s Common Shares. Under the terms of the Subscription Agreements, investors are required to fund drawdowns to purchase the Company’s Common Shares up to the amount of their respective Capital Commitment on an as-needed basis each time the Company delivers a drawdown notice to its investors. As of March 31, 2024, the Company had received Capital Commitments totaling $7.4 billion ($5.2 billion remaining undrawn). As of December 31, 2023 the Company had received Capital Commitments totaling $7.4 billion ($5.7 billion remaining undrawn).</w:t>
      </w:r>
    </w:p>
    <w:p>
      <w:pPr>
        <w:spacing w:after="0" w:line="183"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The Company has a dividend reinvestment plan, whereby the Company may issue Common Shares in order to satisfy dividend reinvestment requests. The number of Common Shares to be issued to a shareholder is determined by dividing the total dollar amount of the cash dividend or distribution payable to a shareholder by the price per share of the Company’s Common Shares at the close of the payment date of a distribution. However, if the price per share on the payment date of a cash dividend or distribution exceeds the most recently computed net asset value per share, the Company will issue shares at the greater of (i) the most recently computed net asset value per share and (ii) 95% of the current price per share (or such lesser discount to the current price per share that still exceeds the most recently computed net asset value per share).</w:t>
      </w:r>
    </w:p>
    <w:p>
      <w:pPr>
        <w:spacing w:after="0" w:line="187"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Pursuant to the Company’s dividend reinvestment plan, the following table summarizes the Common Shares issued to shareholders who have not opted out of the Company’s dividend reinvestment plan for the three months ended March 31, 2024. All shares issued to shareholders in the tables below are newly issued shares. As of March 31, 2023, there were no Common Shares issued to shareholders who have not opted out of the Company's dividend reinvestment plan.</w:t>
      </w:r>
    </w:p>
    <w:p>
      <w:pPr>
        <w:spacing w:after="0" w:line="187" w:lineRule="exact"/>
        <w:rPr>
          <w:sz w:val="20"/>
          <w:szCs w:val="20"/>
          <w:color w:val="auto"/>
        </w:rPr>
      </w:pPr>
    </w:p>
    <w:tbl>
      <w:tblPr>
        <w:tblLayout w:type="fixed"/>
        <w:tblInd w:w="1200" w:type="dxa"/>
        <w:tblCellMar>
          <w:top w:w="0" w:type="dxa"/>
          <w:left w:w="0" w:type="dxa"/>
          <w:bottom w:w="0" w:type="dxa"/>
          <w:right w:w="0" w:type="dxa"/>
        </w:tblCellMar>
      </w:tblPr>
      <w:tr>
        <w:trPr>
          <w:trHeight w:val="175"/>
        </w:trPr>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20" w:type="dxa"/>
            <w:vAlign w:val="bottom"/>
            <w:gridSpan w:val="3"/>
          </w:tcPr>
          <w:p>
            <w:pPr>
              <w:jc w:val="center"/>
              <w:ind w:left="1482"/>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7"/>
        </w:trPr>
        <w:tc>
          <w:tcPr>
            <w:tcW w:w="3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404"/>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58"/>
        </w:trPr>
        <w:tc>
          <w:tcPr>
            <w:tcW w:w="3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7"/>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20" w:type="dxa"/>
            <w:vAlign w:val="bottom"/>
          </w:tcPr>
          <w:p>
            <w:pPr>
              <w:spacing w:after="0"/>
              <w:rPr>
                <w:sz w:val="16"/>
                <w:szCs w:val="16"/>
                <w:color w:val="auto"/>
              </w:rPr>
            </w:pPr>
          </w:p>
        </w:tc>
        <w:tc>
          <w:tcPr>
            <w:tcW w:w="19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80" w:type="dxa"/>
            <w:vAlign w:val="bottom"/>
          </w:tcPr>
          <w:p>
            <w:pPr>
              <w:spacing w:after="0"/>
              <w:rPr>
                <w:sz w:val="16"/>
                <w:szCs w:val="16"/>
                <w:color w:val="auto"/>
              </w:rPr>
            </w:pPr>
          </w:p>
        </w:tc>
      </w:tr>
      <w:tr>
        <w:trPr>
          <w:trHeight w:val="237"/>
        </w:trPr>
        <w:tc>
          <w:tcPr>
            <w:tcW w:w="3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29, 2023</w:t>
            </w:r>
          </w:p>
        </w:tc>
        <w:tc>
          <w:tcPr>
            <w:tcW w:w="19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shd w:val="clear" w:color="auto" w:fill="CFF0FC"/>
          </w:tcPr>
          <w:p>
            <w:pPr>
              <w:spacing w:after="0"/>
              <w:rPr>
                <w:sz w:val="20"/>
                <w:szCs w:val="20"/>
                <w:color w:val="auto"/>
              </w:rPr>
            </w:pPr>
          </w:p>
        </w:tc>
        <w:tc>
          <w:tcPr>
            <w:tcW w:w="1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9"/>
              </w:rPr>
              <w:t>February 21, 2024</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795,040</w:t>
            </w:r>
          </w:p>
        </w:tc>
        <w:tc>
          <w:tcPr>
            <w:tcW w:w="80" w:type="dxa"/>
            <w:vAlign w:val="bottom"/>
            <w:shd w:val="clear" w:color="auto" w:fill="CFF0FC"/>
          </w:tcPr>
          <w:p>
            <w:pPr>
              <w:spacing w:after="0"/>
              <w:rPr>
                <w:sz w:val="20"/>
                <w:szCs w:val="20"/>
                <w:color w:val="auto"/>
              </w:rPr>
            </w:pPr>
          </w:p>
        </w:tc>
      </w:tr>
      <w:tr>
        <w:trPr>
          <w:trHeight w:val="232"/>
        </w:trPr>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Common Shares Issued</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795,040</w:t>
            </w:r>
          </w:p>
        </w:tc>
        <w:tc>
          <w:tcPr>
            <w:tcW w:w="80" w:type="dxa"/>
            <w:vAlign w:val="bottom"/>
          </w:tcPr>
          <w:p>
            <w:pPr>
              <w:spacing w:after="0"/>
              <w:rPr>
                <w:sz w:val="20"/>
                <w:szCs w:val="20"/>
                <w:color w:val="auto"/>
              </w:rPr>
            </w:pPr>
          </w:p>
        </w:tc>
      </w:tr>
      <w:tr>
        <w:trPr>
          <w:trHeight w:val="20"/>
        </w:trPr>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Common Shares issued and proceeds received related to the Company’s capital drawdowns delivered pursuant to the Subscription Agreements for the three months ended March 31, 2024 and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 Share Issuance Date</w:t>
            </w: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 Common Shares</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Proceeds Received</w:t>
            </w:r>
          </w:p>
        </w:tc>
        <w:tc>
          <w:tcPr>
            <w:tcW w:w="80" w:type="dxa"/>
            <w:vAlign w:val="bottom"/>
            <w:vMerge w:val="restart"/>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4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260" w:type="dxa"/>
            <w:vAlign w:val="bottom"/>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6, 2024</w:t>
            </w:r>
          </w:p>
        </w:tc>
        <w:tc>
          <w:tcPr>
            <w:tcW w:w="384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12,174,753</w:t>
            </w: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349,736</w:t>
            </w:r>
          </w:p>
        </w:tc>
        <w:tc>
          <w:tcPr>
            <w:tcW w:w="80" w:type="dxa"/>
            <w:vAlign w:val="bottom"/>
            <w:tcBorders>
              <w:right w:val="single" w:sz="8" w:color="CFF0FC"/>
            </w:tcBorders>
            <w:shd w:val="clear" w:color="auto" w:fill="CFF0FC"/>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March 26, 2024</w:t>
            </w:r>
          </w:p>
        </w:tc>
        <w:tc>
          <w:tcPr>
            <w:tcW w:w="3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5,174,155</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40" w:type="dxa"/>
            <w:vAlign w:val="bottom"/>
            <w:tcBorders>
              <w:top w:val="single" w:sz="8" w:color="CFF0FC"/>
              <w:bottom w:val="single" w:sz="8" w:color="CFF0FC"/>
            </w:tcBorders>
            <w:shd w:val="clear" w:color="auto" w:fill="CFF0FC"/>
          </w:tcPr>
          <w:p>
            <w:pPr>
              <w:spacing w:after="0"/>
              <w:rPr>
                <w:sz w:val="24"/>
                <w:szCs w:val="24"/>
                <w:color w:val="auto"/>
              </w:rPr>
            </w:pPr>
          </w:p>
        </w:tc>
        <w:tc>
          <w:tcPr>
            <w:tcW w:w="1660" w:type="dxa"/>
            <w:vAlign w:val="bottom"/>
            <w:tcBorders>
              <w:top w:val="single" w:sz="8" w:color="CFF0FC"/>
              <w:bottom w:val="single" w:sz="8" w:color="CFF0FC"/>
            </w:tcBorders>
            <w:gridSpan w:val="2"/>
            <w:shd w:val="clear" w:color="auto" w:fill="CFF0FC"/>
          </w:tcPr>
          <w:p>
            <w:pPr>
              <w:spacing w:after="0"/>
              <w:rPr>
                <w:sz w:val="24"/>
                <w:szCs w:val="24"/>
                <w:color w:val="auto"/>
              </w:rPr>
            </w:pP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20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17,348,908</w:t>
            </w:r>
          </w:p>
        </w:tc>
        <w:tc>
          <w:tcPr>
            <w:tcW w:w="40" w:type="dxa"/>
            <w:vAlign w:val="bottom"/>
            <w:tcBorders>
              <w:top w:val="single" w:sz="8" w:color="CFF0FC"/>
              <w:bottom w:val="single" w:sz="8" w:color="CFF0FC"/>
            </w:tcBorders>
            <w:shd w:val="clear" w:color="auto" w:fill="CFF0FC"/>
          </w:tcPr>
          <w:p>
            <w:pPr>
              <w:spacing w:after="0"/>
              <w:rPr>
                <w:sz w:val="24"/>
                <w:szCs w:val="24"/>
                <w:color w:val="auto"/>
              </w:rPr>
            </w:pPr>
          </w:p>
        </w:tc>
        <w:tc>
          <w:tcPr>
            <w:tcW w:w="220" w:type="dxa"/>
            <w:vAlign w:val="bottom"/>
            <w:tcBorders>
              <w:top w:val="single" w:sz="8" w:color="CFF0FC"/>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499,736</w:t>
            </w:r>
          </w:p>
        </w:tc>
        <w:tc>
          <w:tcPr>
            <w:tcW w:w="80" w:type="dxa"/>
            <w:vAlign w:val="bottom"/>
            <w:tcBorders>
              <w:top w:val="single" w:sz="8" w:color="CFF0FC"/>
              <w:bottom w:val="single" w:sz="8" w:color="CFF0FC"/>
              <w:right w:val="single" w:sz="8" w:color="CFF0FC"/>
            </w:tcBorders>
            <w:shd w:val="clear" w:color="auto" w:fill="CFF0FC"/>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60" w:type="dxa"/>
            <w:vAlign w:val="bottom"/>
          </w:tcPr>
          <w:p>
            <w:pPr>
              <w:spacing w:after="0"/>
              <w:rPr>
                <w:sz w:val="24"/>
                <w:szCs w:val="24"/>
                <w:color w:val="auto"/>
              </w:rPr>
            </w:pPr>
          </w:p>
        </w:tc>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 Share Issuance Date</w:t>
            </w: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 Common Shares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Proceeds Received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3300" w:type="dxa"/>
            <w:vAlign w:val="bottom"/>
            <w:tcBorders>
              <w:bottom w:val="single" w:sz="8" w:color="auto"/>
            </w:tcBorders>
            <w:gridSpan w:val="2"/>
            <w:vMerge w:val="continue"/>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Borders>
              <w:bottom w:val="single" w:sz="8" w:color="auto"/>
            </w:tcBorders>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60" w:type="dxa"/>
            <w:vAlign w:val="bottom"/>
          </w:tcPr>
          <w:p>
            <w:pPr>
              <w:spacing w:after="0"/>
              <w:rPr>
                <w:sz w:val="20"/>
                <w:szCs w:val="20"/>
                <w:color w:val="auto"/>
              </w:rPr>
            </w:pPr>
          </w:p>
        </w:tc>
        <w:tc>
          <w:tcPr>
            <w:tcW w:w="3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21, 2023</w:t>
            </w:r>
          </w:p>
        </w:tc>
        <w:tc>
          <w:tcPr>
            <w:tcW w:w="388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9,643,813</w:t>
            </w:r>
          </w:p>
        </w:tc>
        <w:tc>
          <w:tcPr>
            <w:tcW w:w="2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250,000</w:t>
            </w:r>
          </w:p>
        </w:tc>
        <w:tc>
          <w:tcPr>
            <w:tcW w:w="900" w:type="dxa"/>
            <w:vAlign w:val="bottom"/>
            <w:tcBorders>
              <w:left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800" w:type="dxa"/>
            <w:vAlign w:val="bottom"/>
            <w:gridSpan w:val="4"/>
          </w:tcPr>
          <w:p>
            <w:pPr>
              <w:spacing w:after="0"/>
              <w:rPr>
                <w:sz w:val="20"/>
                <w:szCs w:val="20"/>
                <w:color w:val="auto"/>
              </w:rPr>
            </w:pPr>
          </w:p>
        </w:tc>
        <w:tc>
          <w:tcPr>
            <w:tcW w:w="20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9,643,813</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250,000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-1628140</wp:posOffset>
            </wp:positionV>
            <wp:extent cx="6032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-1610995</wp:posOffset>
            </wp:positionV>
            <wp:extent cx="603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-1790700</wp:posOffset>
            </wp:positionV>
            <wp:extent cx="6032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-1628140</wp:posOffset>
            </wp:positionV>
            <wp:extent cx="5143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-1610995</wp:posOffset>
            </wp:positionV>
            <wp:extent cx="5143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-1790700</wp:posOffset>
            </wp:positionV>
            <wp:extent cx="5143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34" w:name="page35"/>
    <w:bookmarkEnd w:id="34"/>
    <w:p>
      <w:pPr>
        <w:spacing w:after="0" w:line="1" w:lineRule="exact"/>
        <w:rPr>
          <w:sz w:val="20"/>
          <w:szCs w:val="20"/>
          <w:color w:val="auto"/>
        </w:rPr>
      </w:pPr>
    </w:p>
    <w:p>
      <w:pPr>
        <w:ind w:left="280" w:hanging="272"/>
        <w:spacing w:after="0"/>
        <w:tabs>
          <w:tab w:leader="none" w:pos="2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set forth the computation of basic and diluted earnings per common share:</w:t>
      </w:r>
    </w:p>
    <w:p>
      <w:pPr>
        <w:spacing w:after="0" w:line="200" w:lineRule="exact"/>
        <w:rPr>
          <w:sz w:val="20"/>
          <w:szCs w:val="20"/>
          <w:color w:val="auto"/>
        </w:rPr>
      </w:pP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900" w:type="dxa"/>
            <w:vAlign w:val="bottom"/>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26"/>
        </w:trPr>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37"/>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share—basic and diluted</w:t>
            </w:r>
          </w:p>
        </w:tc>
        <w:tc>
          <w:tcPr>
            <w:tcW w:w="280" w:type="dxa"/>
            <w:vAlign w:val="bottom"/>
            <w:tcBorders>
              <w:top w:val="single" w:sz="8" w:color="auto"/>
            </w:tcBorders>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80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net assets resulting from operations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97,725</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outstanding—basic and</w:t>
            </w:r>
          </w:p>
        </w:tc>
        <w:tc>
          <w:tcPr>
            <w:tcW w:w="280" w:type="dxa"/>
            <w:vAlign w:val="bottom"/>
            <w:shd w:val="clear" w:color="auto" w:fill="CFF0FC"/>
          </w:tcPr>
          <w:p>
            <w:pPr>
              <w:spacing w:after="0"/>
              <w:rPr>
                <w:sz w:val="18"/>
                <w:szCs w:val="18"/>
                <w:color w:val="auto"/>
              </w:rPr>
            </w:pPr>
          </w:p>
        </w:tc>
        <w:tc>
          <w:tcPr>
            <w:tcW w:w="1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69,647,897</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23,060,716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80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(losses) per common share—basic and 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-187960</wp:posOffset>
            </wp:positionV>
            <wp:extent cx="514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121"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dividends declared during the three months ended March 31, 2024 and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80" w:type="dxa"/>
            <w:vAlign w:val="bottom"/>
          </w:tcPr>
          <w:p>
            <w:pPr>
              <w:jc w:val="center"/>
              <w:ind w:right="76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jc w:val="center"/>
              <w:ind w:right="764"/>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20" w:type="dxa"/>
            <w:vAlign w:val="bottom"/>
            <w:vMerge w:val="continue"/>
          </w:tcPr>
          <w:p>
            <w:pPr>
              <w:spacing w:after="0"/>
              <w:rPr>
                <w:sz w:val="14"/>
                <w:szCs w:val="14"/>
                <w:color w:val="auto"/>
              </w:rPr>
            </w:pPr>
          </w:p>
        </w:tc>
        <w:tc>
          <w:tcPr>
            <w:tcW w:w="26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0" w:type="dxa"/>
            <w:vAlign w:val="bottom"/>
          </w:tcPr>
          <w:p>
            <w:pPr>
              <w:spacing w:after="0"/>
              <w:rPr>
                <w:sz w:val="14"/>
                <w:szCs w:val="14"/>
                <w:color w:val="auto"/>
              </w:rPr>
            </w:pPr>
          </w:p>
        </w:tc>
        <w:tc>
          <w:tcPr>
            <w:tcW w:w="27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Dividend 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29, 2024</w:t>
            </w:r>
          </w:p>
        </w:tc>
        <w:tc>
          <w:tcPr>
            <w:tcW w:w="2620" w:type="dxa"/>
            <w:vAlign w:val="bottom"/>
            <w:shd w:val="clear" w:color="auto" w:fill="CFF0FC"/>
          </w:tcPr>
          <w:p>
            <w:pPr>
              <w:ind w:left="1460"/>
              <w:spacing w:after="0"/>
              <w:rPr>
                <w:sz w:val="20"/>
                <w:szCs w:val="20"/>
                <w:color w:val="auto"/>
              </w:rPr>
            </w:pPr>
            <w:r>
              <w:rPr>
                <w:rFonts w:ascii="Times New Roman" w:cs="Times New Roman" w:eastAsia="Times New Roman" w:hAnsi="Times New Roman"/>
                <w:sz w:val="18"/>
                <w:szCs w:val="18"/>
                <w:color w:val="auto"/>
                <w:w w:val="99"/>
              </w:rPr>
              <w:t>March 31, 2024</w:t>
            </w:r>
          </w:p>
        </w:tc>
        <w:tc>
          <w:tcPr>
            <w:tcW w:w="160" w:type="dxa"/>
            <w:vAlign w:val="bottom"/>
            <w:shd w:val="clear" w:color="auto" w:fill="CFF0FC"/>
          </w:tcPr>
          <w:p>
            <w:pPr>
              <w:spacing w:after="0"/>
              <w:rPr>
                <w:sz w:val="20"/>
                <w:szCs w:val="20"/>
                <w:color w:val="auto"/>
              </w:rPr>
            </w:pPr>
          </w:p>
        </w:tc>
        <w:tc>
          <w:tcPr>
            <w:tcW w:w="2780" w:type="dxa"/>
            <w:vAlign w:val="bottom"/>
            <w:shd w:val="clear" w:color="auto" w:fill="CFF0FC"/>
          </w:tcPr>
          <w:p>
            <w:pPr>
              <w:ind w:left="1840"/>
              <w:spacing w:after="0"/>
              <w:rPr>
                <w:sz w:val="20"/>
                <w:szCs w:val="20"/>
                <w:color w:val="auto"/>
              </w:rPr>
            </w:pPr>
            <w:r>
              <w:rPr>
                <w:rFonts w:ascii="Times New Roman" w:cs="Times New Roman" w:eastAsia="Times New Roman" w:hAnsi="Times New Roman"/>
                <w:sz w:val="18"/>
                <w:szCs w:val="18"/>
                <w:color w:val="auto"/>
              </w:rPr>
              <w:t>May 6, 2024</w:t>
            </w:r>
          </w:p>
        </w:tc>
        <w:tc>
          <w:tcPr>
            <w:tcW w:w="3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80" w:type="dxa"/>
            <w:vAlign w:val="bottom"/>
            <w:vMerge w:val="restart"/>
          </w:tcPr>
          <w:p>
            <w:pPr>
              <w:jc w:val="center"/>
              <w:ind w:right="76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36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jc w:val="center"/>
              <w:ind w:right="764"/>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20" w:type="dxa"/>
            <w:vAlign w:val="bottom"/>
            <w:vMerge w:val="continue"/>
          </w:tcPr>
          <w:p>
            <w:pPr>
              <w:spacing w:after="0"/>
              <w:rPr>
                <w:sz w:val="14"/>
                <w:szCs w:val="14"/>
                <w:color w:val="auto"/>
              </w:rPr>
            </w:pPr>
          </w:p>
        </w:tc>
        <w:tc>
          <w:tcPr>
            <w:tcW w:w="26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0" w:type="dxa"/>
            <w:vAlign w:val="bottom"/>
          </w:tcPr>
          <w:p>
            <w:pPr>
              <w:spacing w:after="0"/>
              <w:rPr>
                <w:sz w:val="14"/>
                <w:szCs w:val="14"/>
                <w:color w:val="auto"/>
              </w:rPr>
            </w:pPr>
          </w:p>
        </w:tc>
        <w:tc>
          <w:tcPr>
            <w:tcW w:w="27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Dividend 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2620" w:type="dxa"/>
            <w:vAlign w:val="bottom"/>
            <w:shd w:val="clear" w:color="auto" w:fill="CFF0FC"/>
          </w:tcPr>
          <w:p>
            <w:pPr>
              <w:ind w:left="1460"/>
              <w:spacing w:after="0"/>
              <w:rPr>
                <w:sz w:val="20"/>
                <w:szCs w:val="20"/>
                <w:color w:val="auto"/>
              </w:rPr>
            </w:pPr>
            <w:r>
              <w:rPr>
                <w:rFonts w:ascii="Times New Roman" w:cs="Times New Roman" w:eastAsia="Times New Roman" w:hAnsi="Times New Roman"/>
                <w:sz w:val="18"/>
                <w:szCs w:val="18"/>
                <w:color w:val="auto"/>
                <w:w w:val="99"/>
              </w:rPr>
              <w:t>March 31, 2023</w:t>
            </w:r>
          </w:p>
        </w:tc>
        <w:tc>
          <w:tcPr>
            <w:tcW w:w="160" w:type="dxa"/>
            <w:vAlign w:val="bottom"/>
            <w:shd w:val="clear" w:color="auto" w:fill="CFF0FC"/>
          </w:tcPr>
          <w:p>
            <w:pPr>
              <w:spacing w:after="0"/>
              <w:rPr>
                <w:sz w:val="20"/>
                <w:szCs w:val="20"/>
                <w:color w:val="auto"/>
              </w:rPr>
            </w:pPr>
          </w:p>
        </w:tc>
        <w:tc>
          <w:tcPr>
            <w:tcW w:w="2780" w:type="dxa"/>
            <w:vAlign w:val="bottom"/>
            <w:shd w:val="clear" w:color="auto" w:fill="CFF0FC"/>
          </w:tcPr>
          <w:p>
            <w:pPr>
              <w:ind w:left="1840"/>
              <w:spacing w:after="0"/>
              <w:rPr>
                <w:sz w:val="20"/>
                <w:szCs w:val="20"/>
                <w:color w:val="auto"/>
              </w:rPr>
            </w:pPr>
            <w:r>
              <w:rPr>
                <w:rFonts w:ascii="Times New Roman" w:cs="Times New Roman" w:eastAsia="Times New Roman" w:hAnsi="Times New Roman"/>
                <w:sz w:val="18"/>
                <w:szCs w:val="18"/>
                <w:color w:val="auto"/>
              </w:rPr>
              <w:t>May 9, 2023</w:t>
            </w:r>
          </w:p>
        </w:tc>
        <w:tc>
          <w:tcPr>
            <w:tcW w:w="3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-1315085</wp:posOffset>
            </wp:positionV>
            <wp:extent cx="93980" cy="1543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93980" cy="154305"/>
                    </a:xfrm>
                    <a:prstGeom prst="rect">
                      <a:avLst/>
                    </a:prstGeom>
                    <a:noFill/>
                  </pic:spPr>
                </pic:pic>
              </a:graphicData>
            </a:graphic>
          </wp:anchor>
        </w:drawing>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dividends declared during the three months ended March 31, 2024 and 2023 were derived from net investment income, determined on a tax basis.</w:t>
      </w:r>
    </w:p>
    <w:p>
      <w:pPr>
        <w:spacing w:after="0" w:line="225"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With respect to distributions, the Company has adopted an “opt out” dividend reinvestment plan for shareholders. As a result, in the event of a declared cash distribution or other distribution, each shareholder that has not “opted out” of the dividend reinvestment plan will have their dividends or distributions automatically reinvested in additional Common Shares rather than receiving cash distributions. Shareholders who receive distributions in the form of Common Shares will be subject to the same U.S. federal, state and local tax consequences as if they received cash distributions.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12. Financial Highlights</w:t>
      </w:r>
    </w:p>
    <w:p>
      <w:pPr>
        <w:spacing w:after="0" w:line="121"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The following per share data and ratios have been derived from information provided in the Consolidated Financial Statements. The following are the financial highlights for one share of Common Shares outstanding for the three months ended March 31, 2024 and 2023:</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89"/>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80" w:type="dxa"/>
            <w:vAlign w:val="bottom"/>
            <w:gridSpan w:val="6"/>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7"/>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5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37"/>
        </w:trPr>
        <w:tc>
          <w:tcPr>
            <w:tcW w:w="5460" w:type="dxa"/>
            <w:vAlign w:val="bottom"/>
            <w:shd w:val="clear" w:color="auto" w:fill="CFF0FC"/>
          </w:tcPr>
          <w:p>
            <w:pPr>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Per Share Data </w:t>
            </w:r>
            <w:r>
              <w:rPr>
                <w:rFonts w:ascii="Times New Roman" w:cs="Times New Roman" w:eastAsia="Times New Roman" w:hAnsi="Times New Roman"/>
                <w:sz w:val="24"/>
                <w:szCs w:val="24"/>
                <w:b w:val="1"/>
                <w:bCs w:val="1"/>
                <w:color w:val="auto"/>
                <w:vertAlign w:val="superscript"/>
              </w:rPr>
              <w:t>(4)</w:t>
            </w:r>
          </w:p>
        </w:tc>
        <w:tc>
          <w:tcPr>
            <w:tcW w:w="22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beginning of period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26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4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54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Net investment income </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1"/>
        </w:trPr>
        <w:tc>
          <w:tcPr>
            <w:tcW w:w="54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realized and unrealized</w:t>
            </w: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tcPr>
          <w:p>
            <w:pPr>
              <w:spacing w:after="0"/>
              <w:rPr>
                <w:sz w:val="16"/>
                <w:szCs w:val="16"/>
                <w:color w:val="auto"/>
              </w:rPr>
            </w:pPr>
          </w:p>
        </w:tc>
      </w:tr>
      <w:tr>
        <w:trPr>
          <w:trHeight w:val="254"/>
        </w:trPr>
        <w:tc>
          <w:tcPr>
            <w:tcW w:w="5460" w:type="dxa"/>
            <w:vAlign w:val="bottom"/>
            <w:tcBorders>
              <w:bottom w:val="single" w:sz="8" w:color="CFF0FC"/>
            </w:tcBorders>
            <w:shd w:val="clear" w:color="auto" w:fill="CFF0FC"/>
          </w:tcPr>
          <w:p>
            <w:pPr>
              <w:ind w:left="140"/>
              <w:spacing w:after="0" w:line="255" w:lineRule="exact"/>
              <w:rPr>
                <w:sz w:val="20"/>
                <w:szCs w:val="20"/>
                <w:color w:val="auto"/>
              </w:rPr>
            </w:pPr>
            <w:r>
              <w:rPr>
                <w:rFonts w:ascii="Times New Roman" w:cs="Times New Roman" w:eastAsia="Times New Roman" w:hAnsi="Times New Roman"/>
                <w:sz w:val="18"/>
                <w:szCs w:val="18"/>
                <w:color w:val="auto"/>
              </w:rPr>
              <w:t xml:space="preserve">gain (loss) </w:t>
            </w:r>
            <w:r>
              <w:rPr>
                <w:rFonts w:ascii="Times New Roman" w:cs="Times New Roman" w:eastAsia="Times New Roman" w:hAnsi="Times New Roman"/>
                <w:sz w:val="24"/>
                <w:szCs w:val="24"/>
                <w:color w:val="auto"/>
                <w:vertAlign w:val="superscript"/>
              </w:rPr>
              <w:t>(1)</w:t>
            </w:r>
          </w:p>
        </w:tc>
        <w:tc>
          <w:tcPr>
            <w:tcW w:w="22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80" w:type="dxa"/>
            <w:vAlign w:val="bottom"/>
            <w:tcBorders>
              <w:bottom w:val="single" w:sz="8" w:color="CFF0FC"/>
            </w:tcBorders>
            <w:shd w:val="clear" w:color="auto" w:fill="CFF0FC"/>
          </w:tcPr>
          <w:p>
            <w:pPr>
              <w:spacing w:after="0"/>
              <w:rPr>
                <w:sz w:val="22"/>
                <w:szCs w:val="22"/>
                <w:color w:val="auto"/>
              </w:rPr>
            </w:pPr>
          </w:p>
        </w:tc>
        <w:tc>
          <w:tcPr>
            <w:tcW w:w="80" w:type="dxa"/>
            <w:vAlign w:val="bottom"/>
          </w:tcPr>
          <w:p>
            <w:pPr>
              <w:spacing w:after="0"/>
              <w:rPr>
                <w:sz w:val="22"/>
                <w:szCs w:val="22"/>
                <w:color w:val="auto"/>
              </w:rPr>
            </w:pPr>
          </w:p>
        </w:tc>
      </w:tr>
      <w:tr>
        <w:trPr>
          <w:trHeight w:val="232"/>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from operations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460" w:type="dxa"/>
            <w:vAlign w:val="bottom"/>
            <w:shd w:val="clear" w:color="auto" w:fill="CFF0FC"/>
          </w:tcPr>
          <w:p>
            <w:pPr>
              <w:spacing w:after="0" w:line="248" w:lineRule="exact"/>
              <w:rPr>
                <w:sz w:val="20"/>
                <w:szCs w:val="20"/>
                <w:color w:val="auto"/>
              </w:rPr>
            </w:pPr>
            <w:r>
              <w:rPr>
                <w:rFonts w:ascii="Times New Roman" w:cs="Times New Roman" w:eastAsia="Times New Roman" w:hAnsi="Times New Roman"/>
                <w:sz w:val="18"/>
                <w:szCs w:val="18"/>
                <w:color w:val="auto"/>
              </w:rPr>
              <w:t xml:space="preserve">Net Common Share Issuance </w:t>
            </w:r>
            <w:r>
              <w:rPr>
                <w:rFonts w:ascii="Times New Roman" w:cs="Times New Roman" w:eastAsia="Times New Roman" w:hAnsi="Times New Roman"/>
                <w:sz w:val="24"/>
                <w:szCs w:val="24"/>
                <w:color w:val="auto"/>
                <w:vertAlign w:val="superscript"/>
              </w:rPr>
              <w:t>(3)</w:t>
            </w:r>
          </w:p>
        </w:tc>
        <w:tc>
          <w:tcPr>
            <w:tcW w:w="2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(0.01 )</w:t>
            </w:r>
          </w:p>
        </w:tc>
        <w:tc>
          <w:tcPr>
            <w:tcW w:w="2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(0.04 )</w:t>
            </w:r>
          </w:p>
        </w:tc>
        <w:tc>
          <w:tcPr>
            <w:tcW w:w="80" w:type="dxa"/>
            <w:vAlign w:val="bottom"/>
          </w:tcPr>
          <w:p>
            <w:pPr>
              <w:spacing w:after="0"/>
              <w:rPr>
                <w:sz w:val="21"/>
                <w:szCs w:val="21"/>
                <w:color w:val="auto"/>
              </w:rPr>
            </w:pPr>
          </w:p>
        </w:tc>
      </w:tr>
      <w:tr>
        <w:trPr>
          <w:trHeight w:val="23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22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(0.67 )</w:t>
            </w:r>
          </w:p>
        </w:tc>
        <w:tc>
          <w:tcPr>
            <w:tcW w:w="20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(0.40 )</w:t>
            </w:r>
          </w:p>
        </w:tc>
        <w:tc>
          <w:tcPr>
            <w:tcW w:w="80" w:type="dxa"/>
            <w:vAlign w:val="bottom"/>
          </w:tcPr>
          <w:p>
            <w:pPr>
              <w:spacing w:after="0"/>
              <w:rPr>
                <w:sz w:val="20"/>
                <w:szCs w:val="20"/>
                <w:color w:val="auto"/>
              </w:rPr>
            </w:pPr>
          </w:p>
        </w:tc>
      </w:tr>
      <w:tr>
        <w:trPr>
          <w:trHeight w:val="237"/>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increase (decrease) in net assets</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80" w:type="dxa"/>
            <w:vAlign w:val="bottom"/>
            <w:tcBorders>
              <w:bottom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 Value,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260" w:type="dxa"/>
            <w:vAlign w:val="bottom"/>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9"/>
        </w:trPr>
        <w:tc>
          <w:tcPr>
            <w:tcW w:w="5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Total return based on net asset</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8"/>
        </w:trPr>
        <w:tc>
          <w:tcPr>
            <w:tcW w:w="5460" w:type="dxa"/>
            <w:vAlign w:val="bottom"/>
          </w:tcPr>
          <w:p>
            <w:pPr>
              <w:ind w:left="140"/>
              <w:spacing w:after="0" w:line="267" w:lineRule="exact"/>
              <w:rPr>
                <w:sz w:val="20"/>
                <w:szCs w:val="20"/>
                <w:color w:val="auto"/>
              </w:rPr>
            </w:pPr>
            <w:r>
              <w:rPr>
                <w:rFonts w:ascii="Times New Roman" w:cs="Times New Roman" w:eastAsia="Times New Roman" w:hAnsi="Times New Roman"/>
                <w:sz w:val="18"/>
                <w:szCs w:val="18"/>
                <w:color w:val="auto"/>
              </w:rPr>
              <w:t xml:space="preserve">value </w:t>
            </w:r>
            <w:r>
              <w:rPr>
                <w:rFonts w:ascii="Times New Roman" w:cs="Times New Roman" w:eastAsia="Times New Roman" w:hAnsi="Times New Roman"/>
                <w:sz w:val="24"/>
                <w:szCs w:val="24"/>
                <w:color w:val="auto"/>
                <w:vertAlign w:val="superscript"/>
              </w:rPr>
              <w:t>(2)</w:t>
            </w:r>
          </w:p>
        </w:tc>
        <w:tc>
          <w:tcPr>
            <w:tcW w:w="220" w:type="dxa"/>
            <w:vAlign w:val="bottom"/>
          </w:tcPr>
          <w:p>
            <w:pPr>
              <w:spacing w:after="0"/>
              <w:rPr>
                <w:sz w:val="23"/>
                <w:szCs w:val="23"/>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5.07 %</w:t>
            </w:r>
          </w:p>
        </w:tc>
        <w:tc>
          <w:tcPr>
            <w:tcW w:w="200" w:type="dxa"/>
            <w:vAlign w:val="bottom"/>
          </w:tcPr>
          <w:p>
            <w:pPr>
              <w:spacing w:after="0"/>
              <w:rPr>
                <w:sz w:val="23"/>
                <w:szCs w:val="23"/>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4.76 %</w:t>
            </w:r>
          </w:p>
        </w:tc>
      </w:tr>
      <w:tr>
        <w:trPr>
          <w:trHeight w:val="23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end of period</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83,622,723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31,525,841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Ratios / Supplemental Data</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11"/>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Ratio of gross expenses to average</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assets without management fee waiver</w:t>
            </w:r>
          </w:p>
        </w:tc>
        <w:tc>
          <w:tcPr>
            <w:tcW w:w="22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12.44 %</w:t>
            </w:r>
          </w:p>
        </w:tc>
        <w:tc>
          <w:tcPr>
            <w:tcW w:w="20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10.84 %</w:t>
            </w:r>
          </w:p>
        </w:tc>
      </w:tr>
      <w:tr>
        <w:trPr>
          <w:trHeight w:val="225"/>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Ratio of net expenses to average</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assets with management waiver</w:t>
            </w:r>
          </w:p>
        </w:tc>
        <w:tc>
          <w:tcPr>
            <w:tcW w:w="22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11.15 %</w:t>
            </w:r>
          </w:p>
        </w:tc>
        <w:tc>
          <w:tcPr>
            <w:tcW w:w="20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9.36 %</w:t>
            </w:r>
          </w:p>
        </w:tc>
      </w:tr>
      <w:tr>
        <w:trPr>
          <w:trHeight w:val="225"/>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Ratio of net investment income</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 average net assets without management waiver</w:t>
            </w:r>
          </w:p>
        </w:tc>
        <w:tc>
          <w:tcPr>
            <w:tcW w:w="22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12.57 %</w:t>
            </w:r>
          </w:p>
        </w:tc>
        <w:tc>
          <w:tcPr>
            <w:tcW w:w="20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7.42 %</w:t>
            </w:r>
          </w:p>
        </w:tc>
      </w:tr>
      <w:tr>
        <w:trPr>
          <w:trHeight w:val="225"/>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Ratio of net investment income</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 average net assets with management fee waiver</w:t>
            </w:r>
          </w:p>
        </w:tc>
        <w:tc>
          <w:tcPr>
            <w:tcW w:w="22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13.86 %</w:t>
            </w:r>
          </w:p>
        </w:tc>
        <w:tc>
          <w:tcPr>
            <w:tcW w:w="20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8.90 %</w:t>
            </w:r>
          </w:p>
        </w:tc>
      </w:tr>
      <w:tr>
        <w:trPr>
          <w:trHeight w:val="25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Portfolio turnover</w:t>
            </w:r>
          </w:p>
        </w:tc>
        <w:tc>
          <w:tcPr>
            <w:tcW w:w="22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16.44 %</w:t>
            </w:r>
          </w:p>
        </w:tc>
        <w:tc>
          <w:tcPr>
            <w:tcW w:w="20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2.43 %</w:t>
            </w:r>
          </w:p>
        </w:tc>
      </w:tr>
      <w:tr>
        <w:trPr>
          <w:trHeight w:val="24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end of period</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2,380,563</w:t>
            </w:r>
          </w:p>
        </w:tc>
        <w:tc>
          <w:tcPr>
            <w:tcW w:w="26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812,319</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-2082165</wp:posOffset>
            </wp:positionV>
            <wp:extent cx="5700395" cy="291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700395" cy="29146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-1191260</wp:posOffset>
            </wp:positionV>
            <wp:extent cx="5700395" cy="2914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700395" cy="29146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-608330</wp:posOffset>
            </wp:positionV>
            <wp:extent cx="5700395" cy="2914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700395" cy="29146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-2887980</wp:posOffset>
            </wp:positionV>
            <wp:extent cx="603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-2887980</wp:posOffset>
            </wp:positionV>
            <wp:extent cx="514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-2253615</wp:posOffset>
            </wp:positionV>
            <wp:extent cx="603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-2253615</wp:posOffset>
            </wp:positionV>
            <wp:extent cx="514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weighted average Common Shares outstanding during the period.</w:t>
      </w:r>
    </w:p>
    <w:p>
      <w:pPr>
        <w:spacing w:after="0" w:line="27" w:lineRule="exact"/>
        <w:rPr>
          <w:rFonts w:ascii="Times New Roman" w:cs="Times New Roman" w:eastAsia="Times New Roman" w:hAnsi="Times New Roman"/>
          <w:sz w:val="18"/>
          <w:szCs w:val="18"/>
          <w:color w:val="auto"/>
        </w:rPr>
      </w:pPr>
    </w:p>
    <w:p>
      <w:pPr>
        <w:ind w:left="520" w:right="280" w:hanging="512"/>
        <w:spacing w:after="0" w:line="250"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net asset value is calculated as the change in net asset value per share during the period plus declared dividends, assuming reinvestment of dividends, divided by the beginning net asset value per share.</w:t>
      </w:r>
    </w:p>
    <w:p>
      <w:pPr>
        <w:ind w:left="520" w:hanging="512"/>
        <w:spacing w:after="0" w:line="250"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at this caption is the balancing amount derived from share issuances. The amount shown for share issuance will fluctuate due to the timing of share issuances and the weighting of average shares over the period.</w:t>
      </w: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21"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10-Q or would be required to be recognized in the Consolidated Financial Statements as of and for the three months ended March 31, 2024.</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3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60" w:firstLine="255"/>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set forth on page 3 of this Quarterly Report on Form 10-Q.</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Sixth Street Lending Partners is a Delaware statutory trust formed on April 5, 2022. The Adviser is our external manager. We have three wholly owned subsidiaries, SSLP Lending, LLC, a Delaware limited liability company, which holds a California finance lender and broker license, Sixth Street LP Holding, LLC, Sixth Street LP Holding II, LLC and Sixth Street Lending Partners Sub, LLC in which we may hold certain investments. Sixth Street LP Holding, LLC has legally dissolved as of December 31, 2023.</w:t>
      </w:r>
    </w:p>
    <w:p>
      <w:pPr>
        <w:spacing w:after="0" w:line="180" w:lineRule="exact"/>
        <w:rPr>
          <w:sz w:val="20"/>
          <w:szCs w:val="20"/>
          <w:color w:val="auto"/>
        </w:rPr>
      </w:pPr>
    </w:p>
    <w:p>
      <w:pPr>
        <w:ind w:right="260" w:firstLine="255"/>
        <w:spacing w:after="0" w:line="282" w:lineRule="auto"/>
        <w:rPr>
          <w:sz w:val="20"/>
          <w:szCs w:val="20"/>
          <w:color w:val="auto"/>
        </w:rPr>
      </w:pPr>
      <w:r>
        <w:rPr>
          <w:rFonts w:ascii="Times New Roman" w:cs="Times New Roman" w:eastAsia="Times New Roman" w:hAnsi="Times New Roman"/>
          <w:sz w:val="18"/>
          <w:szCs w:val="18"/>
          <w:color w:val="auto"/>
        </w:rPr>
        <w:t>We have elected to be regulated as a BDC under the 1940 Act and have elected to be treated as a RIC under the Code. As a result, we are required to comply with various statutory and regulatory requirements, such as:</w:t>
      </w:r>
    </w:p>
    <w:p>
      <w:pPr>
        <w:spacing w:after="0" w:line="54" w:lineRule="exact"/>
        <w:rPr>
          <w:sz w:val="20"/>
          <w:szCs w:val="20"/>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invest at least 70% of our assets in “qualifying assets”;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income limitations;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diversification requirements; and</w:t>
      </w:r>
    </w:p>
    <w:p>
      <w:pPr>
        <w:spacing w:after="0" w:line="117" w:lineRule="exact"/>
        <w:rPr>
          <w:rFonts w:ascii="Times New Roman" w:cs="Times New Roman" w:eastAsia="Times New Roman" w:hAnsi="Times New Roman"/>
          <w:sz w:val="18"/>
          <w:szCs w:val="18"/>
          <w:color w:val="auto"/>
        </w:rPr>
      </w:pPr>
    </w:p>
    <w:p>
      <w:pPr>
        <w:ind w:left="520" w:right="340" w:hanging="257"/>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distribute (or be treated as distributing) in each taxable year at least 90% of our investment company taxable income and tax-exempt interest for that taxable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Framework</w:t>
      </w:r>
    </w:p>
    <w:p>
      <w:pPr>
        <w:spacing w:after="0" w:line="121"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 which are expected returns that are adjusted based on the levels of risk associated with the investments. Since we began our investment activities in August 2022, through March 31, 2024, we have originated approximately $12.3 billion aggregate principal amount of investments and retained approximately $4.4 billion aggregate principal amount of these investments on our balance sheet prior to any subsequent exits and repayments. We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w:t>
      </w:r>
    </w:p>
    <w:p>
      <w:pPr>
        <w:spacing w:after="0" w:line="187"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By “upper middle-market companies,” we mean companies that have annual EBITDA, which we believe is a useful proxy for cash flow, of greater than $75 million, although we may invest in smaller companies on occasion. “EBITDA” means a company’s earnings before interest, tax, depreciation and amortization. As of March 31, 2024, our portfolio companies had a weighted average annual revenue of $593.0 million and weighted average annual EBITDA of $201.0 million.</w:t>
      </w:r>
    </w:p>
    <w:p>
      <w:pPr>
        <w:spacing w:after="0" w:line="180"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3"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We seek to create a portfolio over time that includes primarily senior secured investments by investing approximately $125 million to $300 million of capital, on average, across our core positions of upper middle-market companies.</w:t>
      </w:r>
    </w:p>
    <w:p>
      <w:pPr>
        <w:spacing w:after="0" w:line="162" w:lineRule="exact"/>
        <w:rPr>
          <w:sz w:val="20"/>
          <w:szCs w:val="20"/>
          <w:color w:val="auto"/>
        </w:rPr>
      </w:pPr>
    </w:p>
    <w:p>
      <w:pPr>
        <w:jc w:val="both"/>
        <w:ind w:right="120" w:firstLine="255"/>
        <w:spacing w:after="0" w:line="266" w:lineRule="auto"/>
        <w:rPr>
          <w:sz w:val="20"/>
          <w:szCs w:val="20"/>
          <w:color w:val="auto"/>
        </w:rPr>
      </w:pPr>
      <w:r>
        <w:rPr>
          <w:rFonts w:ascii="Times New Roman" w:cs="Times New Roman" w:eastAsia="Times New Roman" w:hAnsi="Times New Roman"/>
          <w:sz w:val="18"/>
          <w:szCs w:val="18"/>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37" w:name="page38"/>
    <w:bookmarkEnd w:id="37"/>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 As of March 31, 2024, the largest single investment based on fair value represented 7.7% of our total investment portfolio.</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March 31, 2024, the average investment size in each of our portfolio companies was approximately $95.1 million based on fair value.</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Through our Adviser, we consider potential investments utilizing a four-tiered investment framework and against our existing portfolio as a whole:</w:t>
      </w:r>
    </w:p>
    <w:p>
      <w:pPr>
        <w:spacing w:after="0" w:line="223"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Business and sector selection. </w:t>
      </w:r>
      <w:r>
        <w:rPr>
          <w:rFonts w:ascii="Times New Roman" w:cs="Times New Roman" w:eastAsia="Times New Roman" w:hAnsi="Times New Roman"/>
          <w:sz w:val="18"/>
          <w:szCs w:val="18"/>
          <w:color w:val="auto"/>
        </w:rPr>
        <w:t>We focus on companies with enterprise values above $750 million. When reviewing potential investments, we will seek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invest in businesses with high marginal cash flow, recurring revenue streams and where we believe credit quality will improve over time. We will look for portfolio companies that we think have a sustainable competitive advantage in growing industries or distressed situations. We will also seek companies where our investment will have a low loan-to-value ratio. We currently do not limit our focus to any specific industry and we may invest in larger or smaller companies.</w:t>
      </w:r>
    </w:p>
    <w:p>
      <w:pPr>
        <w:spacing w:after="0" w:line="185"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March 31, 2024, the largest industry represented 18.9% of our total investment portfolio based on fair value.</w:t>
      </w:r>
    </w:p>
    <w:p>
      <w:pPr>
        <w:spacing w:after="0" w:line="223" w:lineRule="exact"/>
        <w:rPr>
          <w:sz w:val="20"/>
          <w:szCs w:val="20"/>
          <w:color w:val="auto"/>
        </w:rPr>
      </w:pPr>
    </w:p>
    <w:p>
      <w:pPr>
        <w:ind w:right="140" w:firstLine="25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Investment Structuring. </w:t>
      </w:r>
      <w:r>
        <w:rPr>
          <w:rFonts w:ascii="Times New Roman" w:cs="Times New Roman" w:eastAsia="Times New Roman" w:hAnsi="Times New Roman"/>
          <w:sz w:val="18"/>
          <w:szCs w:val="18"/>
          <w:color w:val="auto"/>
        </w:rPr>
        <w:t>We focus on investing at the top of the capital structure and protecting that position. As of March 31, 2024,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95.2% of our portfolio was invested in secured debt, including 93.1%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seven years after origination. For the three months ended March 31, 2024, the weighted average term on new debt investment commitments in new portfolio companies was 5.6 years.</w:t>
      </w:r>
    </w:p>
    <w:p>
      <w:pPr>
        <w:spacing w:after="0" w:line="183" w:lineRule="exact"/>
        <w:rPr>
          <w:sz w:val="20"/>
          <w:szCs w:val="20"/>
          <w:color w:val="auto"/>
        </w:rPr>
      </w:pPr>
    </w:p>
    <w:p>
      <w:pPr>
        <w:jc w:val="both"/>
        <w:ind w:right="60" w:firstLine="25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Deal Dynamics. </w:t>
      </w:r>
      <w:r>
        <w:rPr>
          <w:rFonts w:ascii="Times New Roman" w:cs="Times New Roman" w:eastAsia="Times New Roman" w:hAnsi="Times New Roman"/>
          <w:sz w:val="18"/>
          <w:szCs w:val="18"/>
          <w:color w:val="auto"/>
        </w:rPr>
        <w:t>We focus on, among other deal dynamics, direct origination of investments, where we identify and lead the investment transaction.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173" w:lineRule="exact"/>
        <w:rPr>
          <w:sz w:val="20"/>
          <w:szCs w:val="20"/>
          <w:color w:val="auto"/>
        </w:rPr>
      </w:pPr>
    </w:p>
    <w:p>
      <w:pPr>
        <w:ind w:right="60" w:firstLine="255"/>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Risk Mitigation. </w:t>
      </w:r>
      <w:r>
        <w:rPr>
          <w:rFonts w:ascii="Times New Roman" w:cs="Times New Roman" w:eastAsia="Times New Roman" w:hAnsi="Times New Roman"/>
          <w:sz w:val="17"/>
          <w:szCs w:val="17"/>
          <w:color w:val="auto"/>
        </w:rPr>
        <w:t>We seek to mitigate non-credit-related risk on our returns in several ways, including call protection provisions to protect future interest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As of March 31, 2024, we had call protection on 96.4% of our debt investments based on fair value, with weighted average call prices of 106.6% for the first year, 102.7% for the second year and 100.9% for the third year, in each case from the date of the initial investment. As of March 31, 2024,</w:t>
      </w:r>
    </w:p>
    <w:p>
      <w:pPr>
        <w:spacing w:after="0" w:line="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99.7% of our debt investments based on fair value bore interest at floating rates, with 100% of these subject to interest rate floors, which we believe helps act as a portfolio-wide hedge against inflation.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our Adviser and Sixth Street</w:t>
      </w:r>
    </w:p>
    <w:p>
      <w:pPr>
        <w:spacing w:after="0" w:line="121"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87"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Sixth Street is a global investment business with over $77 billion of assets under management as of March 31, 2024. Sixth Street’s direct lending platforms include Sixth Street Specialty Lending and Sixth Street Lending Partners, which are aimed at U.S. upper middle-market loan originations,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38" w:name="page39"/>
    <w:bookmarkEnd w:id="38"/>
    <w:p>
      <w:pPr>
        <w:ind w:right="220"/>
        <w:spacing w:after="0" w:line="266" w:lineRule="auto"/>
        <w:rPr>
          <w:sz w:val="20"/>
          <w:szCs w:val="20"/>
          <w:color w:val="auto"/>
        </w:rPr>
      </w:pPr>
      <w:r>
        <w:rPr>
          <w:rFonts w:ascii="Times New Roman" w:cs="Times New Roman" w:eastAsia="Times New Roman" w:hAnsi="Times New Roman"/>
          <w:sz w:val="18"/>
          <w:szCs w:val="18"/>
          <w:color w:val="auto"/>
        </w:rPr>
        <w:t>across industries, geographies, capital structures and asset classes. Sixth Street has extensive experience with highly complex, global public and private investments executed through primary originations, secondary market purchases and restructurings, and has a team of over 600 investment and operating professionals. As of March 31, 2024, 67 of these personnel are dedicated to direct lending, including 53 investment professionals.</w:t>
      </w:r>
    </w:p>
    <w:p>
      <w:pPr>
        <w:spacing w:after="0" w:line="176"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87" w:lineRule="exact"/>
        <w:rPr>
          <w:sz w:val="20"/>
          <w:szCs w:val="20"/>
          <w:color w:val="auto"/>
        </w:rPr>
      </w:pPr>
    </w:p>
    <w:p>
      <w:pPr>
        <w:jc w:val="both"/>
        <w:ind w:right="120" w:firstLine="255"/>
        <w:spacing w:after="0" w:line="261" w:lineRule="auto"/>
        <w:rPr>
          <w:sz w:val="20"/>
          <w:szCs w:val="20"/>
          <w:color w:val="auto"/>
        </w:rPr>
      </w:pPr>
      <w:r>
        <w:rPr>
          <w:rFonts w:ascii="Times New Roman" w:cs="Times New Roman" w:eastAsia="Times New Roman" w:hAnsi="Times New Roman"/>
          <w:sz w:val="18"/>
          <w:szCs w:val="18"/>
          <w:color w:val="auto"/>
        </w:rPr>
        <w:t>On August 3, 2022, we, the Adviser and certain of our affiliates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w:t>
      </w:r>
    </w:p>
    <w:p>
      <w:pPr>
        <w:spacing w:after="0" w:line="180"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76" w:lineRule="exact"/>
        <w:rPr>
          <w:sz w:val="20"/>
          <w:szCs w:val="20"/>
          <w:color w:val="auto"/>
        </w:rPr>
      </w:pPr>
    </w:p>
    <w:p>
      <w:pPr>
        <w:ind w:right="340" w:firstLine="255"/>
        <w:spacing w:after="0" w:line="261" w:lineRule="auto"/>
        <w:rPr>
          <w:sz w:val="20"/>
          <w:szCs w:val="20"/>
          <w:color w:val="auto"/>
        </w:rPr>
      </w:pPr>
      <w:r>
        <w:rPr>
          <w:rFonts w:ascii="Times New Roman" w:cs="Times New Roman" w:eastAsia="Times New Roman" w:hAnsi="Times New Roman"/>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focus primarily on the direct origination of loans to upper middle-market companies domiciled in the United States.</w:t>
      </w:r>
    </w:p>
    <w:p>
      <w:pPr>
        <w:spacing w:after="0" w:line="225"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76" w:lineRule="exact"/>
        <w:rPr>
          <w:sz w:val="20"/>
          <w:szCs w:val="20"/>
          <w:color w:val="auto"/>
        </w:rPr>
      </w:pPr>
    </w:p>
    <w:p>
      <w:pPr>
        <w:ind w:right="280" w:firstLine="255"/>
        <w:spacing w:after="0" w:line="282" w:lineRule="auto"/>
        <w:rPr>
          <w:sz w:val="20"/>
          <w:szCs w:val="20"/>
          <w:color w:val="auto"/>
        </w:rPr>
      </w:pPr>
      <w:r>
        <w:rPr>
          <w:rFonts w:ascii="Times New Roman" w:cs="Times New Roman" w:eastAsia="Times New Roman" w:hAnsi="Times New Roman"/>
          <w:sz w:val="18"/>
          <w:szCs w:val="18"/>
          <w:color w:val="auto"/>
        </w:rPr>
        <w:t>In addition, as part of our risk strategy on investments, we may reduce certain levels of investments through partial sales or syndication to additional investors.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March 31, 2024, 99.7% of these investments based on fair value bore interest at a floating rate, with 100% of these subject to interest rate floors. Interest on debt investments is generally payable monthly or quarterly. Some of our investments provide for deferred interest payments or PIK interest. For the three months ended March 31, 2024, 4.4% of our total investment income was comprised of PIK interest. For the three months ended March 31, 2023, 0.1% of our total investment income was comprised of PIK interest.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9" w:name="page40"/>
    <w:bookmarkEnd w:id="39"/>
    <w:p>
      <w:pPr>
        <w:ind w:right="80" w:firstLine="255"/>
        <w:spacing w:after="0" w:line="255" w:lineRule="auto"/>
        <w:rPr>
          <w:sz w:val="20"/>
          <w:szCs w:val="20"/>
          <w:color w:val="auto"/>
        </w:rPr>
      </w:pPr>
      <w:r>
        <w:rPr>
          <w:rFonts w:ascii="Times New Roman" w:cs="Times New Roman" w:eastAsia="Times New Roman" w:hAnsi="Times New Roman"/>
          <w:sz w:val="18"/>
          <w:szCs w:val="18"/>
          <w:color w:val="auto"/>
        </w:rPr>
        <w:t>Changes in our net investment income are primarily driven by the spread between the payments we receive from our investments in our portfolio companies against our cost of funding and fees related to portfolio activity, rather than by changes in interest rates. Our investment portfolio primarily consists of floating rate loans, and our Credit Facilities,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 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8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In addition to interest income, our net investment income may also be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83"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183"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Dividend income on common equity investments is recorded on the record date for private portfolio companies or on the ex-dividend date for publicly traded portfolio companies.</w:t>
      </w:r>
    </w:p>
    <w:p>
      <w:pPr>
        <w:spacing w:after="0" w:line="162" w:lineRule="exact"/>
        <w:rPr>
          <w:sz w:val="20"/>
          <w:szCs w:val="20"/>
          <w:color w:val="auto"/>
        </w:rPr>
      </w:pPr>
    </w:p>
    <w:p>
      <w:pPr>
        <w:ind w:right="260" w:firstLine="255"/>
        <w:spacing w:after="0" w:line="261" w:lineRule="auto"/>
        <w:rPr>
          <w:sz w:val="20"/>
          <w:szCs w:val="20"/>
          <w:color w:val="auto"/>
        </w:rPr>
      </w:pPr>
      <w:r>
        <w:rPr>
          <w:rFonts w:ascii="Times New Roman" w:cs="Times New Roman" w:eastAsia="Times New Roman" w:hAnsi="Times New Roman"/>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68" w:lineRule="exact"/>
        <w:rPr>
          <w:sz w:val="20"/>
          <w:szCs w:val="20"/>
          <w:color w:val="auto"/>
        </w:rPr>
      </w:pPr>
    </w:p>
    <w:p>
      <w:pPr>
        <w:jc w:val="both"/>
        <w:ind w:left="520" w:right="460" w:hanging="257"/>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and offering expenses related to the Company’s initial private offering of Common Shares (up to an aggregate of 0.10% of total capital commitments to the Company, it being understood and agreed that the Adviser shall bear all such organizational and offering expenses related to the Company’s initial private offering of Common Shares in excess of such amount);</w:t>
      </w:r>
    </w:p>
    <w:p>
      <w:pPr>
        <w:spacing w:after="0" w:line="6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17" w:lineRule="exact"/>
        <w:rPr>
          <w:rFonts w:ascii="Times New Roman" w:cs="Times New Roman" w:eastAsia="Times New Roman" w:hAnsi="Times New Roman"/>
          <w:sz w:val="18"/>
          <w:szCs w:val="18"/>
          <w:color w:val="auto"/>
        </w:rPr>
      </w:pPr>
    </w:p>
    <w:p>
      <w:pPr>
        <w:ind w:left="520" w:right="300" w:hanging="257"/>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6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Shares and other securities, including registration and listing fees;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Common Shares;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w:t>
      </w:r>
    </w:p>
    <w:p>
      <w:pPr>
        <w:spacing w:after="0" w:line="117" w:lineRule="exact"/>
        <w:rPr>
          <w:rFonts w:ascii="Times New Roman" w:cs="Times New Roman" w:eastAsia="Times New Roman" w:hAnsi="Times New Roman"/>
          <w:sz w:val="18"/>
          <w:szCs w:val="18"/>
          <w:color w:val="auto"/>
        </w:rPr>
      </w:pPr>
    </w:p>
    <w:p>
      <w:pPr>
        <w:ind w:left="520" w:right="60" w:hanging="257"/>
        <w:spacing w:after="0" w:line="258"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provide operational and administrative services to us pursuant to the Administration Agreement (based on the percentage of time those individuals devote, on an estimated basis, to our business and affairs);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0" w:name="page41"/>
    <w:bookmarkEnd w:id="40"/>
    <w:p>
      <w:pPr>
        <w:ind w:left="520" w:hanging="257"/>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Trustees fees and expenses;</w:t>
      </w:r>
    </w:p>
    <w:p>
      <w:pPr>
        <w:spacing w:after="0" w:line="117" w:lineRule="exact"/>
        <w:rPr>
          <w:rFonts w:ascii="Times New Roman" w:cs="Times New Roman" w:eastAsia="Times New Roman" w:hAnsi="Times New Roman"/>
          <w:sz w:val="18"/>
          <w:szCs w:val="18"/>
          <w:color w:val="auto"/>
        </w:rPr>
      </w:pPr>
    </w:p>
    <w:p>
      <w:pPr>
        <w:ind w:left="520" w:right="120" w:hanging="257"/>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our shareholders (including printing and mailing costs), the costs of any shareholders’ meetings and the compensation of investor relations personnel responsible for the preparation of the foregoing and related matters;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trustees and officers/errors and omissions liability insurance, and any other insurance premiums;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w:t>
      </w:r>
    </w:p>
    <w:p>
      <w:pPr>
        <w:spacing w:after="0" w:line="121"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Trends</w:t>
      </w:r>
    </w:p>
    <w:p>
      <w:pPr>
        <w:spacing w:after="0" w:line="121"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spacing w:after="0" w:line="17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Subsequent to the global financial crisis, the implementation of regulatory changes such as Basel III requirements, Leverage Lending Guidance, and the Volcker Rule, tightened risk appetites and reduced the capacity of traditional lenders to serve middle-market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80" w:lineRule="exact"/>
        <w:rPr>
          <w:sz w:val="20"/>
          <w:szCs w:val="20"/>
          <w:color w:val="auto"/>
        </w:rPr>
      </w:pPr>
    </w:p>
    <w:p>
      <w:pPr>
        <w:jc w:val="both"/>
        <w:ind w:right="180" w:firstLine="255"/>
        <w:spacing w:after="0" w:line="261" w:lineRule="auto"/>
        <w:rPr>
          <w:sz w:val="20"/>
          <w:szCs w:val="20"/>
          <w:color w:val="auto"/>
        </w:rPr>
      </w:pPr>
      <w:r>
        <w:rPr>
          <w:rFonts w:ascii="Times New Roman" w:cs="Times New Roman" w:eastAsia="Times New Roman" w:hAnsi="Times New Roman"/>
          <w:sz w:val="18"/>
          <w:szCs w:val="18"/>
          <w:color w:val="auto"/>
        </w:rPr>
        <w:t>This market dynamic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w:t>
      </w:r>
    </w:p>
    <w:p>
      <w:pPr>
        <w:spacing w:after="0" w:line="180"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121" w:lineRule="exact"/>
        <w:rPr>
          <w:sz w:val="20"/>
          <w:szCs w:val="20"/>
          <w:color w:val="auto"/>
        </w:rPr>
      </w:pPr>
    </w:p>
    <w:p>
      <w:pPr>
        <w:ind w:right="280" w:firstLine="255"/>
        <w:spacing w:after="0" w:line="266" w:lineRule="auto"/>
        <w:rPr>
          <w:sz w:val="20"/>
          <w:szCs w:val="20"/>
          <w:color w:val="auto"/>
        </w:rPr>
      </w:pPr>
      <w:r>
        <w:rPr>
          <w:rFonts w:ascii="Times New Roman" w:cs="Times New Roman" w:eastAsia="Times New Roman" w:hAnsi="Times New Roman"/>
          <w:sz w:val="18"/>
          <w:szCs w:val="18"/>
          <w:color w:val="auto"/>
        </w:rPr>
        <w:t>As of March 31, 2024, our portfolio based on fair value consisted of 93.1% first-lien debt investments, 2.1% second-lien debt investments, 2.6% mezzanine investments and 2.2% equity and other investments. As of December 31, 2023, our portfolio based on fair value consisted of 92.0% first-lien debt investments, 2.6% second-lien debt investments, 3.4% mezzanine investments and 2.0% equity and other investments.</w:t>
      </w:r>
    </w:p>
    <w:p>
      <w:pPr>
        <w:spacing w:after="0" w:line="68" w:lineRule="exact"/>
        <w:rPr>
          <w:sz w:val="20"/>
          <w:szCs w:val="20"/>
          <w:color w:val="auto"/>
        </w:rPr>
      </w:pPr>
    </w:p>
    <w:p>
      <w:pPr>
        <w:ind w:right="180" w:firstLine="255"/>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our weighted average total yield of debt and income-producing securities at fair value (which includes interest income and amortization of fees and discounts) was 12.9% and 13.4% respectively, and our weighted average total yield of debt and income-producing securities at amortized cost (which includes interest income and amortization of fees and discounts) was 13.2% and 13.7%, respectively.</w:t>
      </w:r>
    </w:p>
    <w:p>
      <w:pPr>
        <w:spacing w:after="0" w:line="68" w:lineRule="exact"/>
        <w:rPr>
          <w:sz w:val="20"/>
          <w:szCs w:val="20"/>
          <w:color w:val="auto"/>
        </w:rPr>
      </w:pPr>
    </w:p>
    <w:p>
      <w:pPr>
        <w:ind w:right="460" w:firstLine="255"/>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we had investments in 45 and 37 portfolio companies, respectively, with an aggregate fair value of $4,277.6 million and $3,099.2 million.</w:t>
      </w:r>
    </w:p>
    <w:p>
      <w:pPr>
        <w:spacing w:after="0" w:line="54"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the principal amount of new investments funded was $1,247.8 million in nine new portfolio companies and two existing portfolio companies. For this period, we had $147.0 million aggregate principal amount in exits, sales and repayments.</w:t>
      </w:r>
    </w:p>
    <w:p>
      <w:pPr>
        <w:spacing w:after="0" w:line="54"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the principal amount of new investments funded was $430.2 million in six new portfolio companies. There were no exits or repayments.</w:t>
      </w:r>
    </w:p>
    <w:p>
      <w:pPr>
        <w:spacing w:after="0" w:line="54" w:lineRule="exact"/>
        <w:rPr>
          <w:sz w:val="20"/>
          <w:szCs w:val="20"/>
          <w:color w:val="auto"/>
        </w:rPr>
      </w:pPr>
    </w:p>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Our investment activity for the three months ended March 31, 2024 and 2023, is presented below (information presented herein is at par value unless otherwise indicated).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60" w:type="dxa"/>
            <w:vAlign w:val="bottom"/>
            <w:gridSpan w:val="6"/>
          </w:tcPr>
          <w:p>
            <w:pPr>
              <w:jc w:val="right"/>
              <w:ind w:right="2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9"/>
        </w:trPr>
        <w:tc>
          <w:tcPr>
            <w:tcW w:w="120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5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260" w:type="dxa"/>
            <w:vAlign w:val="bottom"/>
            <w:gridSpan w:val="2"/>
          </w:tcPr>
          <w:p>
            <w:pPr>
              <w:spacing w:after="0"/>
              <w:rPr>
                <w:sz w:val="14"/>
                <w:szCs w:val="14"/>
                <w:color w:val="auto"/>
              </w:rPr>
            </w:pPr>
          </w:p>
        </w:tc>
      </w:tr>
      <w:tr>
        <w:trPr>
          <w:trHeight w:val="236"/>
        </w:trPr>
        <w:tc>
          <w:tcPr>
            <w:tcW w:w="1200" w:type="dxa"/>
            <w:vAlign w:val="bottom"/>
          </w:tcPr>
          <w:p>
            <w:pPr>
              <w:spacing w:after="0"/>
              <w:rPr>
                <w:sz w:val="20"/>
                <w:szCs w:val="20"/>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15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80" w:type="dxa"/>
            <w:vAlign w:val="bottom"/>
          </w:tcPr>
          <w:p>
            <w:pPr>
              <w:spacing w:after="0"/>
              <w:rPr>
                <w:sz w:val="20"/>
                <w:szCs w:val="20"/>
                <w:color w:val="auto"/>
              </w:rPr>
            </w:pPr>
          </w:p>
        </w:tc>
      </w:tr>
      <w:tr>
        <w:trPr>
          <w:trHeight w:val="243"/>
        </w:trPr>
        <w:tc>
          <w:tcPr>
            <w:tcW w:w="1200" w:type="dxa"/>
            <w:vAlign w:val="bottom"/>
          </w:tcPr>
          <w:p>
            <w:pPr>
              <w:spacing w:after="0"/>
              <w:rPr>
                <w:sz w:val="21"/>
                <w:szCs w:val="21"/>
                <w:color w:val="auto"/>
              </w:rPr>
            </w:pPr>
          </w:p>
        </w:tc>
        <w:tc>
          <w:tcPr>
            <w:tcW w:w="404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Gross originations </w:t>
            </w:r>
            <w:r>
              <w:rPr>
                <w:rFonts w:ascii="Times New Roman" w:cs="Times New Roman" w:eastAsia="Times New Roman" w:hAnsi="Times New Roman"/>
                <w:sz w:val="24"/>
                <w:szCs w:val="24"/>
                <w:color w:val="auto"/>
                <w:vertAlign w:val="superscript"/>
              </w:rPr>
              <w:t>(1)</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5,087.5</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4040" w:type="dxa"/>
            <w:vAlign w:val="bottom"/>
            <w:tcBorders>
              <w:bottom w:val="single" w:sz="8" w:color="CFF0FC"/>
            </w:tcBorders>
            <w:shd w:val="clear" w:color="auto" w:fill="CFF0FC"/>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Less: Syndications/sell downs </w:t>
            </w:r>
            <w:r>
              <w:rPr>
                <w:rFonts w:ascii="Times New Roman" w:cs="Times New Roman" w:eastAsia="Times New Roman" w:hAnsi="Times New Roman"/>
                <w:sz w:val="24"/>
                <w:szCs w:val="24"/>
                <w:color w:val="auto"/>
                <w:vertAlign w:val="superscript"/>
              </w:rPr>
              <w:t>(1)</w:t>
            </w:r>
          </w:p>
        </w:tc>
        <w:tc>
          <w:tcPr>
            <w:tcW w:w="15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3,185.8</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80" w:type="dxa"/>
            <w:vAlign w:val="bottom"/>
            <w:tcBorders>
              <w:bottom w:val="single" w:sz="8" w:color="CFF0FC"/>
            </w:tcBorders>
            <w:shd w:val="clear" w:color="auto" w:fill="CFF0FC"/>
          </w:tcPr>
          <w:p>
            <w:pPr>
              <w:spacing w:after="0"/>
              <w:rPr>
                <w:sz w:val="21"/>
                <w:szCs w:val="21"/>
                <w:color w:val="auto"/>
              </w:rPr>
            </w:pPr>
          </w:p>
        </w:tc>
        <w:tc>
          <w:tcPr>
            <w:tcW w:w="1180" w:type="dxa"/>
            <w:vAlign w:val="bottom"/>
          </w:tcPr>
          <w:p>
            <w:pPr>
              <w:spacing w:after="0"/>
              <w:rPr>
                <w:sz w:val="21"/>
                <w:szCs w:val="21"/>
                <w:color w:val="auto"/>
              </w:rPr>
            </w:pPr>
          </w:p>
        </w:tc>
      </w:tr>
      <w:tr>
        <w:trPr>
          <w:trHeight w:val="232"/>
        </w:trPr>
        <w:tc>
          <w:tcPr>
            <w:tcW w:w="1200" w:type="dxa"/>
            <w:vAlign w:val="bottom"/>
          </w:tcPr>
          <w:p>
            <w:pPr>
              <w:spacing w:after="0"/>
              <w:rPr>
                <w:sz w:val="20"/>
                <w:szCs w:val="20"/>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1,901.7</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7"/>
        </w:trPr>
        <w:tc>
          <w:tcPr>
            <w:tcW w:w="1200" w:type="dxa"/>
            <w:vAlign w:val="bottom"/>
          </w:tcPr>
          <w:p>
            <w:pPr>
              <w:spacing w:after="0"/>
              <w:rPr>
                <w:sz w:val="21"/>
                <w:szCs w:val="21"/>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15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80" w:type="dxa"/>
            <w:vAlign w:val="bottom"/>
          </w:tcPr>
          <w:p>
            <w:pPr>
              <w:spacing w:after="0"/>
              <w:rPr>
                <w:sz w:val="21"/>
                <w:szCs w:val="21"/>
                <w:color w:val="auto"/>
              </w:rPr>
            </w:pPr>
          </w:p>
        </w:tc>
      </w:tr>
      <w:tr>
        <w:trPr>
          <w:trHeight w:val="234"/>
        </w:trPr>
        <w:tc>
          <w:tcPr>
            <w:tcW w:w="1200" w:type="dxa"/>
            <w:vAlign w:val="bottom"/>
          </w:tcPr>
          <w:p>
            <w:pPr>
              <w:spacing w:after="0"/>
              <w:rPr>
                <w:sz w:val="20"/>
                <w:szCs w:val="20"/>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First-lien</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1,208.1</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2"/>
        </w:trPr>
        <w:tc>
          <w:tcPr>
            <w:tcW w:w="1200" w:type="dxa"/>
            <w:vAlign w:val="bottom"/>
          </w:tcPr>
          <w:p>
            <w:pPr>
              <w:spacing w:after="0"/>
              <w:rPr>
                <w:sz w:val="21"/>
                <w:szCs w:val="21"/>
                <w:color w:val="auto"/>
              </w:rPr>
            </w:pPr>
          </w:p>
        </w:tc>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Second-lien</w:t>
            </w:r>
          </w:p>
        </w:tc>
        <w:tc>
          <w:tcPr>
            <w:tcW w:w="15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1"/>
                <w:szCs w:val="21"/>
                <w:color w:val="auto"/>
              </w:rPr>
            </w:pPr>
          </w:p>
        </w:tc>
      </w:tr>
      <w:tr>
        <w:trPr>
          <w:trHeight w:val="239"/>
        </w:trPr>
        <w:tc>
          <w:tcPr>
            <w:tcW w:w="1200" w:type="dxa"/>
            <w:vAlign w:val="bottom"/>
          </w:tcPr>
          <w:p>
            <w:pPr>
              <w:spacing w:after="0"/>
              <w:rPr>
                <w:sz w:val="20"/>
                <w:szCs w:val="20"/>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Mezzanine</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0"/>
                <w:szCs w:val="20"/>
                <w:color w:val="auto"/>
              </w:rPr>
            </w:pPr>
          </w:p>
        </w:tc>
      </w:tr>
      <w:tr>
        <w:trPr>
          <w:trHeight w:val="243"/>
        </w:trPr>
        <w:tc>
          <w:tcPr>
            <w:tcW w:w="1200" w:type="dxa"/>
            <w:vAlign w:val="bottom"/>
          </w:tcPr>
          <w:p>
            <w:pPr>
              <w:spacing w:after="0"/>
              <w:rPr>
                <w:sz w:val="21"/>
                <w:szCs w:val="21"/>
                <w:color w:val="auto"/>
              </w:rPr>
            </w:pPr>
          </w:p>
        </w:tc>
        <w:tc>
          <w:tcPr>
            <w:tcW w:w="4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Equity and other</w:t>
            </w:r>
          </w:p>
        </w:tc>
        <w:tc>
          <w:tcPr>
            <w:tcW w:w="15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Borders>
              <w:bottom w:val="single" w:sz="8" w:color="CFF0FC"/>
            </w:tcBorders>
            <w:shd w:val="clear" w:color="auto" w:fill="CFF0FC"/>
          </w:tcPr>
          <w:p>
            <w:pPr>
              <w:spacing w:after="0"/>
              <w:rPr>
                <w:sz w:val="21"/>
                <w:szCs w:val="21"/>
                <w:color w:val="auto"/>
              </w:rPr>
            </w:pPr>
          </w:p>
        </w:tc>
        <w:tc>
          <w:tcPr>
            <w:tcW w:w="1180" w:type="dxa"/>
            <w:vAlign w:val="bottom"/>
          </w:tcPr>
          <w:p>
            <w:pPr>
              <w:spacing w:after="0"/>
              <w:rPr>
                <w:sz w:val="21"/>
                <w:szCs w:val="21"/>
                <w:color w:val="auto"/>
              </w:rPr>
            </w:pPr>
          </w:p>
        </w:tc>
      </w:tr>
      <w:tr>
        <w:trPr>
          <w:trHeight w:val="237"/>
        </w:trPr>
        <w:tc>
          <w:tcPr>
            <w:tcW w:w="1200" w:type="dxa"/>
            <w:vAlign w:val="bottom"/>
          </w:tcPr>
          <w:p>
            <w:pPr>
              <w:spacing w:after="0"/>
              <w:rPr>
                <w:sz w:val="20"/>
                <w:szCs w:val="20"/>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1,247.8</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7"/>
        </w:trPr>
        <w:tc>
          <w:tcPr>
            <w:tcW w:w="1200" w:type="dxa"/>
            <w:vAlign w:val="bottom"/>
          </w:tcPr>
          <w:p>
            <w:pPr>
              <w:spacing w:after="0"/>
              <w:rPr>
                <w:sz w:val="21"/>
                <w:szCs w:val="21"/>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15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80" w:type="dxa"/>
            <w:vAlign w:val="bottom"/>
          </w:tcPr>
          <w:p>
            <w:pPr>
              <w:spacing w:after="0"/>
              <w:rPr>
                <w:sz w:val="21"/>
                <w:szCs w:val="21"/>
                <w:color w:val="auto"/>
              </w:rPr>
            </w:pPr>
          </w:p>
        </w:tc>
      </w:tr>
      <w:tr>
        <w:trPr>
          <w:trHeight w:val="234"/>
        </w:trPr>
        <w:tc>
          <w:tcPr>
            <w:tcW w:w="1200" w:type="dxa"/>
            <w:vAlign w:val="bottom"/>
          </w:tcPr>
          <w:p>
            <w:pPr>
              <w:spacing w:after="0"/>
              <w:rPr>
                <w:sz w:val="20"/>
                <w:szCs w:val="20"/>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First-lien</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0"/>
                <w:szCs w:val="20"/>
                <w:color w:val="auto"/>
              </w:rPr>
            </w:pPr>
          </w:p>
        </w:tc>
      </w:tr>
      <w:tr>
        <w:trPr>
          <w:trHeight w:val="252"/>
        </w:trPr>
        <w:tc>
          <w:tcPr>
            <w:tcW w:w="1200" w:type="dxa"/>
            <w:vAlign w:val="bottom"/>
          </w:tcPr>
          <w:p>
            <w:pPr>
              <w:spacing w:after="0"/>
              <w:rPr>
                <w:sz w:val="21"/>
                <w:szCs w:val="21"/>
                <w:color w:val="auto"/>
              </w:rPr>
            </w:pPr>
          </w:p>
        </w:tc>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Second-lien</w:t>
            </w:r>
          </w:p>
        </w:tc>
        <w:tc>
          <w:tcPr>
            <w:tcW w:w="15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1"/>
                <w:szCs w:val="21"/>
                <w:color w:val="auto"/>
              </w:rPr>
            </w:pPr>
          </w:p>
        </w:tc>
      </w:tr>
      <w:tr>
        <w:trPr>
          <w:trHeight w:val="234"/>
        </w:trPr>
        <w:tc>
          <w:tcPr>
            <w:tcW w:w="1200" w:type="dxa"/>
            <w:vAlign w:val="bottom"/>
          </w:tcPr>
          <w:p>
            <w:pPr>
              <w:spacing w:after="0"/>
              <w:rPr>
                <w:sz w:val="20"/>
                <w:szCs w:val="20"/>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Mezzanine</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0"/>
                <w:szCs w:val="20"/>
                <w:color w:val="auto"/>
              </w:rPr>
            </w:pPr>
          </w:p>
        </w:tc>
      </w:tr>
      <w:tr>
        <w:trPr>
          <w:trHeight w:val="247"/>
        </w:trPr>
        <w:tc>
          <w:tcPr>
            <w:tcW w:w="1200" w:type="dxa"/>
            <w:vAlign w:val="bottom"/>
          </w:tcPr>
          <w:p>
            <w:pPr>
              <w:spacing w:after="0"/>
              <w:rPr>
                <w:sz w:val="21"/>
                <w:szCs w:val="21"/>
                <w:color w:val="auto"/>
              </w:rPr>
            </w:pPr>
          </w:p>
        </w:tc>
        <w:tc>
          <w:tcPr>
            <w:tcW w:w="4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Equity and other</w:t>
            </w:r>
          </w:p>
        </w:tc>
        <w:tc>
          <w:tcPr>
            <w:tcW w:w="15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180" w:type="dxa"/>
            <w:vAlign w:val="bottom"/>
          </w:tcPr>
          <w:p>
            <w:pPr>
              <w:spacing w:after="0"/>
              <w:rPr>
                <w:sz w:val="21"/>
                <w:szCs w:val="21"/>
                <w:color w:val="auto"/>
              </w:rPr>
            </w:pPr>
          </w:p>
        </w:tc>
      </w:tr>
      <w:tr>
        <w:trPr>
          <w:trHeight w:val="236"/>
        </w:trPr>
        <w:tc>
          <w:tcPr>
            <w:tcW w:w="1200" w:type="dxa"/>
            <w:vAlign w:val="bottom"/>
          </w:tcPr>
          <w:p>
            <w:pPr>
              <w:spacing w:after="0"/>
              <w:rPr>
                <w:sz w:val="20"/>
                <w:szCs w:val="20"/>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0"/>
                <w:szCs w:val="20"/>
                <w:color w:val="auto"/>
              </w:rPr>
            </w:pPr>
          </w:p>
        </w:tc>
      </w:tr>
      <w:tr>
        <w:trPr>
          <w:trHeight w:val="211"/>
        </w:trPr>
        <w:tc>
          <w:tcPr>
            <w:tcW w:w="120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Number of new investment commitments in</w:t>
            </w:r>
          </w:p>
        </w:tc>
        <w:tc>
          <w:tcPr>
            <w:tcW w:w="1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r>
      <w:tr>
        <w:trPr>
          <w:trHeight w:val="252"/>
        </w:trPr>
        <w:tc>
          <w:tcPr>
            <w:tcW w:w="1200" w:type="dxa"/>
            <w:vAlign w:val="bottom"/>
          </w:tcPr>
          <w:p>
            <w:pPr>
              <w:spacing w:after="0"/>
              <w:rPr>
                <w:sz w:val="21"/>
                <w:szCs w:val="21"/>
                <w:color w:val="auto"/>
              </w:rPr>
            </w:pPr>
          </w:p>
        </w:tc>
        <w:tc>
          <w:tcPr>
            <w:tcW w:w="4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15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21"/>
                <w:szCs w:val="21"/>
                <w:color w:val="auto"/>
              </w:rPr>
            </w:pPr>
          </w:p>
        </w:tc>
        <w:tc>
          <w:tcPr>
            <w:tcW w:w="1180" w:type="dxa"/>
            <w:vAlign w:val="bottom"/>
          </w:tcPr>
          <w:p>
            <w:pPr>
              <w:spacing w:after="0"/>
              <w:rPr>
                <w:sz w:val="21"/>
                <w:szCs w:val="21"/>
                <w:color w:val="auto"/>
              </w:rPr>
            </w:pPr>
          </w:p>
        </w:tc>
      </w:tr>
      <w:tr>
        <w:trPr>
          <w:trHeight w:val="207"/>
        </w:trPr>
        <w:tc>
          <w:tcPr>
            <w:tcW w:w="12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new investment commitment amount in</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5"/>
        </w:trPr>
        <w:tc>
          <w:tcPr>
            <w:tcW w:w="1200" w:type="dxa"/>
            <w:vAlign w:val="bottom"/>
          </w:tcPr>
          <w:p>
            <w:pPr>
              <w:spacing w:after="0"/>
              <w:rPr>
                <w:sz w:val="21"/>
                <w:szCs w:val="21"/>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14"/>
        </w:trPr>
        <w:tc>
          <w:tcPr>
            <w:tcW w:w="120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term for new investment</w:t>
            </w:r>
          </w:p>
        </w:tc>
        <w:tc>
          <w:tcPr>
            <w:tcW w:w="1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4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commitments in new portfolio companies</w:t>
            </w:r>
          </w:p>
        </w:tc>
        <w:tc>
          <w:tcPr>
            <w:tcW w:w="1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r>
      <w:tr>
        <w:trPr>
          <w:trHeight w:val="252"/>
        </w:trPr>
        <w:tc>
          <w:tcPr>
            <w:tcW w:w="1200" w:type="dxa"/>
            <w:vAlign w:val="bottom"/>
          </w:tcPr>
          <w:p>
            <w:pPr>
              <w:spacing w:after="0"/>
              <w:rPr>
                <w:sz w:val="21"/>
                <w:szCs w:val="21"/>
                <w:color w:val="auto"/>
              </w:rPr>
            </w:pPr>
          </w:p>
        </w:tc>
        <w:tc>
          <w:tcPr>
            <w:tcW w:w="4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15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FF0FC"/>
          </w:tcPr>
          <w:p>
            <w:pPr>
              <w:spacing w:after="0"/>
              <w:rPr>
                <w:sz w:val="21"/>
                <w:szCs w:val="21"/>
                <w:color w:val="auto"/>
              </w:rPr>
            </w:pPr>
          </w:p>
        </w:tc>
        <w:tc>
          <w:tcPr>
            <w:tcW w:w="1180" w:type="dxa"/>
            <w:vAlign w:val="bottom"/>
          </w:tcPr>
          <w:p>
            <w:pPr>
              <w:spacing w:after="0"/>
              <w:rPr>
                <w:sz w:val="21"/>
                <w:szCs w:val="21"/>
                <w:color w:val="auto"/>
              </w:rPr>
            </w:pPr>
          </w:p>
        </w:tc>
      </w:tr>
      <w:tr>
        <w:trPr>
          <w:trHeight w:val="207"/>
        </w:trPr>
        <w:tc>
          <w:tcPr>
            <w:tcW w:w="12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8"/>
        </w:trPr>
        <w:tc>
          <w:tcPr>
            <w:tcW w:w="1200" w:type="dxa"/>
            <w:vAlign w:val="bottom"/>
          </w:tcPr>
          <w:p>
            <w:pPr>
              <w:spacing w:after="0"/>
              <w:rPr>
                <w:sz w:val="20"/>
                <w:szCs w:val="20"/>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at floating rates</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99.3 %</w:t>
            </w:r>
          </w:p>
        </w:tc>
        <w:tc>
          <w:tcPr>
            <w:tcW w:w="160" w:type="dxa"/>
            <w:vAlign w:val="bottom"/>
          </w:tcPr>
          <w:p>
            <w:pPr>
              <w:spacing w:after="0"/>
              <w:rPr>
                <w:sz w:val="20"/>
                <w:szCs w:val="20"/>
                <w:color w:val="auto"/>
              </w:rPr>
            </w:pPr>
          </w:p>
        </w:tc>
        <w:tc>
          <w:tcPr>
            <w:tcW w:w="250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rPr>
              <w:t>100.0 %</w:t>
            </w:r>
          </w:p>
        </w:tc>
      </w:tr>
      <w:tr>
        <w:trPr>
          <w:trHeight w:val="221"/>
        </w:trPr>
        <w:tc>
          <w:tcPr>
            <w:tcW w:w="120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 of new</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8"/>
        </w:trPr>
        <w:tc>
          <w:tcPr>
            <w:tcW w:w="1200" w:type="dxa"/>
            <w:vAlign w:val="bottom"/>
          </w:tcPr>
          <w:p>
            <w:pPr>
              <w:spacing w:after="0"/>
              <w:rPr>
                <w:sz w:val="20"/>
                <w:szCs w:val="20"/>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 commitments</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11.6 %</w:t>
            </w:r>
          </w:p>
        </w:tc>
        <w:tc>
          <w:tcPr>
            <w:tcW w:w="160" w:type="dxa"/>
            <w:vAlign w:val="bottom"/>
          </w:tcPr>
          <w:p>
            <w:pPr>
              <w:spacing w:after="0"/>
              <w:rPr>
                <w:sz w:val="20"/>
                <w:szCs w:val="20"/>
                <w:color w:val="auto"/>
              </w:rPr>
            </w:pPr>
          </w:p>
        </w:tc>
        <w:tc>
          <w:tcPr>
            <w:tcW w:w="250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rPr>
              <w:t>12.4 %</w:t>
            </w:r>
          </w:p>
        </w:tc>
      </w:tr>
      <w:tr>
        <w:trPr>
          <w:trHeight w:val="221"/>
        </w:trPr>
        <w:tc>
          <w:tcPr>
            <w:tcW w:w="120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spread over reference rate of</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5"/>
        </w:trPr>
        <w:tc>
          <w:tcPr>
            <w:tcW w:w="1200" w:type="dxa"/>
            <w:vAlign w:val="bottom"/>
          </w:tcPr>
          <w:p>
            <w:pPr>
              <w:spacing w:after="0"/>
              <w:rPr>
                <w:sz w:val="21"/>
                <w:szCs w:val="21"/>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new floating rate investment commitments</w:t>
            </w: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6.3 %</w:t>
            </w:r>
          </w:p>
        </w:tc>
        <w:tc>
          <w:tcPr>
            <w:tcW w:w="160" w:type="dxa"/>
            <w:vAlign w:val="bottom"/>
          </w:tcPr>
          <w:p>
            <w:pPr>
              <w:spacing w:after="0"/>
              <w:rPr>
                <w:sz w:val="21"/>
                <w:szCs w:val="21"/>
                <w:color w:val="auto"/>
              </w:rPr>
            </w:pPr>
          </w:p>
        </w:tc>
        <w:tc>
          <w:tcPr>
            <w:tcW w:w="250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rPr>
              <w:t>7.5 %</w:t>
            </w:r>
          </w:p>
        </w:tc>
      </w:tr>
      <w:tr>
        <w:trPr>
          <w:trHeight w:val="214"/>
        </w:trPr>
        <w:tc>
          <w:tcPr>
            <w:tcW w:w="120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 on investments</w:t>
            </w:r>
          </w:p>
        </w:tc>
        <w:tc>
          <w:tcPr>
            <w:tcW w:w="1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r>
      <w:tr>
        <w:trPr>
          <w:trHeight w:val="252"/>
        </w:trPr>
        <w:tc>
          <w:tcPr>
            <w:tcW w:w="1200" w:type="dxa"/>
            <w:vAlign w:val="bottom"/>
          </w:tcPr>
          <w:p>
            <w:pPr>
              <w:spacing w:after="0"/>
              <w:rPr>
                <w:sz w:val="21"/>
                <w:szCs w:val="21"/>
                <w:color w:val="auto"/>
              </w:rPr>
            </w:pPr>
          </w:p>
        </w:tc>
        <w:tc>
          <w:tcPr>
            <w:tcW w:w="4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fully sold or paid down</w:t>
            </w:r>
          </w:p>
        </w:tc>
        <w:tc>
          <w:tcPr>
            <w:tcW w:w="15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10.5 %</w:t>
            </w: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tcPr>
          <w:p>
            <w:pPr>
              <w:spacing w:after="0"/>
              <w:rPr>
                <w:sz w:val="21"/>
                <w:szCs w:val="21"/>
                <w:color w:val="auto"/>
              </w:rPr>
            </w:pPr>
          </w:p>
        </w:tc>
      </w:tr>
      <w:tr>
        <w:trPr>
          <w:trHeight w:val="648"/>
        </w:trPr>
        <w:tc>
          <w:tcPr>
            <w:tcW w:w="12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5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763"/>
        </w:trPr>
        <w:tc>
          <w:tcPr>
            <w:tcW w:w="120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-1782445</wp:posOffset>
            </wp:positionV>
            <wp:extent cx="5631815" cy="291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631815" cy="29146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-5116830</wp:posOffset>
            </wp:positionV>
            <wp:extent cx="596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-5116830</wp:posOffset>
            </wp:positionV>
            <wp:extent cx="514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-4182745</wp:posOffset>
            </wp:positionV>
            <wp:extent cx="596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-4182745</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-3248025</wp:posOffset>
            </wp:positionV>
            <wp:extent cx="596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-3248025</wp:posOffset>
            </wp:positionV>
            <wp:extent cx="514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2" w:name="page43"/>
    <w:bookmarkEnd w:id="42"/>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affiliates of Sixth Street.</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March 31, 2024 and December 31, 2023, our investments consisted of the following:</w:t>
      </w:r>
    </w:p>
    <w:p>
      <w:pPr>
        <w:spacing w:after="0" w:line="232" w:lineRule="exact"/>
        <w:rPr>
          <w:sz w:val="20"/>
          <w:szCs w:val="20"/>
          <w:color w:val="auto"/>
        </w:rPr>
      </w:pPr>
    </w:p>
    <w:tbl>
      <w:tblPr>
        <w:tblLayout w:type="fixed"/>
        <w:tblInd w:w="1080" w:type="dxa"/>
        <w:tblCellMar>
          <w:top w:w="0" w:type="dxa"/>
          <w:left w:w="0" w:type="dxa"/>
          <w:bottom w:w="0" w:type="dxa"/>
          <w:right w:w="0" w:type="dxa"/>
        </w:tblCellMar>
      </w:tblPr>
      <w:tr>
        <w:trPr>
          <w:trHeight w:val="187"/>
        </w:trPr>
        <w:tc>
          <w:tcPr>
            <w:tcW w:w="3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2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4"/>
                <w:szCs w:val="14"/>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4"/>
                <w:szCs w:val="14"/>
                <w:color w:val="auto"/>
              </w:rPr>
            </w:pPr>
          </w:p>
        </w:tc>
      </w:tr>
      <w:tr>
        <w:trPr>
          <w:trHeight w:val="237"/>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3,910.2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3,981.6</w:t>
            </w:r>
          </w:p>
        </w:tc>
        <w:tc>
          <w:tcPr>
            <w:tcW w:w="5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2,792.9</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2,850.9</w:t>
            </w:r>
          </w:p>
        </w:tc>
        <w:tc>
          <w:tcPr>
            <w:tcW w:w="80" w:type="dxa"/>
            <w:vAlign w:val="bottom"/>
            <w:shd w:val="clear" w:color="auto" w:fill="CFF0FC"/>
          </w:tcPr>
          <w:p>
            <w:pPr>
              <w:spacing w:after="0"/>
              <w:rPr>
                <w:sz w:val="20"/>
                <w:szCs w:val="20"/>
                <w:color w:val="auto"/>
              </w:rPr>
            </w:pPr>
          </w:p>
        </w:tc>
      </w:tr>
      <w:tr>
        <w:trPr>
          <w:trHeight w:val="23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Pr>
          <w:p>
            <w:pPr>
              <w:spacing w:after="0"/>
              <w:rPr>
                <w:sz w:val="20"/>
                <w:szCs w:val="20"/>
                <w:color w:val="auto"/>
              </w:rPr>
            </w:pPr>
          </w:p>
        </w:tc>
      </w:tr>
      <w:tr>
        <w:trPr>
          <w:trHeight w:val="247"/>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3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80" w:type="dxa"/>
            <w:vAlign w:val="bottom"/>
            <w:shd w:val="clear" w:color="auto" w:fill="CFF0FC"/>
          </w:tcPr>
          <w:p>
            <w:pPr>
              <w:spacing w:after="0"/>
              <w:rPr>
                <w:sz w:val="21"/>
                <w:szCs w:val="21"/>
                <w:color w:val="auto"/>
              </w:rPr>
            </w:pPr>
          </w:p>
        </w:tc>
      </w:tr>
      <w:tr>
        <w:trPr>
          <w:trHeight w:val="23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80" w:type="dxa"/>
            <w:vAlign w:val="bottom"/>
          </w:tcPr>
          <w:p>
            <w:pPr>
              <w:spacing w:after="0"/>
              <w:rPr>
                <w:sz w:val="20"/>
                <w:szCs w:val="20"/>
                <w:color w:val="auto"/>
              </w:rPr>
            </w:pPr>
          </w:p>
        </w:tc>
      </w:tr>
      <w:tr>
        <w:trPr>
          <w:trHeight w:val="259"/>
        </w:trPr>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4,197.7</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4,277.6</w:t>
            </w: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3,037.8</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3,099.2</w:t>
            </w:r>
          </w:p>
        </w:tc>
        <w:tc>
          <w:tcPr>
            <w:tcW w:w="80" w:type="dxa"/>
            <w:vAlign w:val="bottom"/>
            <w:shd w:val="clear" w:color="auto" w:fill="CFF0FC"/>
          </w:tcPr>
          <w:p>
            <w:pPr>
              <w:spacing w:after="0"/>
              <w:rPr>
                <w:sz w:val="22"/>
                <w:szCs w:val="22"/>
                <w:color w:val="auto"/>
              </w:rPr>
            </w:pP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-24765</wp:posOffset>
            </wp:positionV>
            <wp:extent cx="603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603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603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03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514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514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514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514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have no non-accrual investments as of March 31, 2024 or December 31, 2023.</w:t>
      </w:r>
    </w:p>
    <w:p>
      <w:pPr>
        <w:spacing w:after="0" w:line="225"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The weighted average yields and interest rates of our performing debt investments at fair value as of March 31, 2024 and December 31, 2023 were as follows: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13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r>
      <w:tr>
        <w:trPr>
          <w:trHeight w:val="171"/>
        </w:trPr>
        <w:tc>
          <w:tcPr>
            <w:tcW w:w="656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Weighted average total yield of debt and income</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81"/>
        </w:trPr>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producing securities </w:t>
            </w:r>
            <w:r>
              <w:rPr>
                <w:rFonts w:ascii="Times New Roman" w:cs="Times New Roman" w:eastAsia="Times New Roman" w:hAnsi="Times New Roman"/>
                <w:sz w:val="24"/>
                <w:szCs w:val="24"/>
                <w:color w:val="auto"/>
                <w:vertAlign w:val="superscript"/>
              </w:rPr>
              <w:t>(1)</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12.9 %</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13.4 %</w:t>
            </w:r>
          </w:p>
        </w:tc>
      </w:tr>
      <w:tr>
        <w:trPr>
          <w:trHeight w:val="211"/>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interest rate of debt and income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producing securities</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12.5 %</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25"/>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spread over reference rate of all</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floating rate investments</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7.2 %</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-864870</wp:posOffset>
            </wp:positionV>
            <wp:extent cx="5700395" cy="291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700395" cy="29146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-281940</wp:posOffset>
            </wp:positionV>
            <wp:extent cx="5700395" cy="291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700395" cy="291465"/>
                    </a:xfrm>
                    <a:prstGeom prst="rect">
                      <a:avLst/>
                    </a:prstGeom>
                    <a:noFill/>
                  </pic:spPr>
                </pic:pic>
              </a:graphicData>
            </a:graphic>
          </wp:anchor>
        </w:drawing>
      </w:r>
    </w:p>
    <w:p>
      <w:pPr>
        <w:spacing w:after="0" w:line="259"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total portfolio yield at fair value was 12.6% at March 31, 2024 and 13.2% at December 31, 2023.</w:t>
      </w:r>
    </w:p>
    <w:p>
      <w:pPr>
        <w:spacing w:after="0" w:line="225" w:lineRule="exact"/>
        <w:rPr>
          <w:sz w:val="20"/>
          <w:szCs w:val="20"/>
          <w:color w:val="auto"/>
        </w:rPr>
      </w:pPr>
    </w:p>
    <w:p>
      <w:pPr>
        <w:jc w:val="both"/>
        <w:ind w:right="100" w:firstLine="255"/>
        <w:spacing w:after="0" w:line="266" w:lineRule="auto"/>
        <w:rPr>
          <w:sz w:val="20"/>
          <w:szCs w:val="20"/>
          <w:color w:val="auto"/>
        </w:rPr>
      </w:pPr>
      <w:r>
        <w:rPr>
          <w:rFonts w:ascii="Times New Roman" w:cs="Times New Roman" w:eastAsia="Times New Roman" w:hAnsi="Times New Roman"/>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68" w:lineRule="exact"/>
        <w:rPr>
          <w:sz w:val="20"/>
          <w:szCs w:val="20"/>
          <w:color w:val="auto"/>
        </w:rPr>
      </w:pPr>
    </w:p>
    <w:p>
      <w:pPr>
        <w:ind w:left="520" w:hanging="257"/>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success of the portfolio company in adhering to its business plan and compliance with covenants;</w:t>
      </w:r>
    </w:p>
    <w:p>
      <w:pPr>
        <w:spacing w:after="0" w:line="117" w:lineRule="exact"/>
        <w:rPr>
          <w:rFonts w:ascii="Times New Roman" w:cs="Times New Roman" w:eastAsia="Times New Roman" w:hAnsi="Times New Roman"/>
          <w:sz w:val="18"/>
          <w:szCs w:val="18"/>
          <w:color w:val="auto"/>
        </w:rPr>
      </w:pPr>
    </w:p>
    <w:p>
      <w:pPr>
        <w:ind w:left="520" w:right="20" w:hanging="257"/>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and, if appropriate, the financial or strategic sponsor, to discuss financial position, requirements and accomplishments;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other companies in the industry;</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and participation in, board meetings;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jc w:val="both"/>
        <w:ind w:left="520" w:right="600" w:hanging="257"/>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67" w:lineRule="exact"/>
        <w:rPr>
          <w:rFonts w:ascii="Times New Roman" w:cs="Times New Roman" w:eastAsia="Times New Roman" w:hAnsi="Times New Roman"/>
          <w:sz w:val="18"/>
          <w:szCs w:val="18"/>
          <w:color w:val="auto"/>
        </w:rPr>
      </w:pPr>
    </w:p>
    <w:p>
      <w:pPr>
        <w:ind w:left="520" w:right="80" w:hanging="257"/>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67" w:lineRule="exact"/>
        <w:rPr>
          <w:rFonts w:ascii="Times New Roman" w:cs="Times New Roman" w:eastAsia="Times New Roman" w:hAnsi="Times New Roman"/>
          <w:sz w:val="18"/>
          <w:szCs w:val="18"/>
          <w:color w:val="auto"/>
        </w:rPr>
      </w:pPr>
    </w:p>
    <w:p>
      <w:pPr>
        <w:ind w:left="520" w:right="140" w:hanging="257"/>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9" w:right="379" w:bottom="1440" w:gutter="0" w:footer="0" w:header="0"/>
        </w:sectPr>
      </w:pPr>
    </w:p>
    <w:bookmarkStart w:id="43" w:name="page44"/>
    <w:bookmarkEnd w:id="43"/>
    <w:p>
      <w:pPr>
        <w:ind w:left="520" w:hanging="257"/>
        <w:spacing w:after="0" w:line="25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79" w:lineRule="exact"/>
        <w:rPr>
          <w:rFonts w:ascii="Times New Roman" w:cs="Times New Roman" w:eastAsia="Times New Roman" w:hAnsi="Times New Roman"/>
          <w:sz w:val="18"/>
          <w:szCs w:val="18"/>
          <w:color w:val="auto"/>
        </w:rPr>
      </w:pPr>
    </w:p>
    <w:p>
      <w:pPr>
        <w:ind w:left="520" w:right="200" w:hanging="257"/>
        <w:spacing w:after="0" w:line="261"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80"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The following table shows the distribution of our investments on the 1 to 5 investment performance rating scale at fair value as of March 31, 2024 and December 31, 2023. Investment performance ratings are accurate only as of those dates and may change due to subsequent developments relating to a portfolio company’s business or financial condition, market conditions or developments, and other factors.</w:t>
      </w:r>
    </w:p>
    <w:p>
      <w:pPr>
        <w:spacing w:after="0" w:line="183"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1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380" w:type="dxa"/>
            <w:vAlign w:val="bottom"/>
            <w:gridSpan w:val="5"/>
          </w:tcPr>
          <w:p>
            <w:pPr>
              <w:jc w:val="right"/>
              <w:ind w:right="14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85"/>
        </w:trPr>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460" w:type="dxa"/>
            <w:vAlign w:val="bottom"/>
            <w:tcBorders>
              <w:top w:val="single" w:sz="8" w:color="auto"/>
            </w:tcBorders>
            <w:gridSpan w:val="4"/>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Investments at</w:t>
            </w:r>
          </w:p>
        </w:tc>
        <w:tc>
          <w:tcPr>
            <w:tcW w:w="9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tcBorders>
              <w:top w:val="single" w:sz="8" w:color="auto"/>
            </w:tcBorders>
            <w:gridSpan w:val="2"/>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Investments at</w:t>
            </w:r>
          </w:p>
        </w:tc>
        <w:tc>
          <w:tcPr>
            <w:tcW w:w="24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76"/>
        </w:trPr>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220" w:type="dxa"/>
            <w:vAlign w:val="bottom"/>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gridSpan w:val="2"/>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5"/>
                <w:szCs w:val="15"/>
                <w:color w:val="auto"/>
              </w:rPr>
            </w:pPr>
          </w:p>
        </w:tc>
        <w:tc>
          <w:tcPr>
            <w:tcW w:w="196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87"/>
        </w:trPr>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Rating</w:t>
            </w:r>
          </w:p>
        </w:tc>
        <w:tc>
          <w:tcPr>
            <w:tcW w:w="200" w:type="dxa"/>
            <w:vAlign w:val="bottom"/>
          </w:tcPr>
          <w:p>
            <w:pPr>
              <w:spacing w:after="0"/>
              <w:rPr>
                <w:sz w:val="16"/>
                <w:szCs w:val="16"/>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4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8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160" w:type="dxa"/>
            <w:vAlign w:val="bottom"/>
            <w:gridSpan w:val="2"/>
          </w:tcPr>
          <w:p>
            <w:pPr>
              <w:spacing w:after="0"/>
              <w:rPr>
                <w:sz w:val="16"/>
                <w:szCs w:val="16"/>
                <w:color w:val="auto"/>
              </w:rPr>
            </w:pPr>
          </w:p>
        </w:tc>
      </w:tr>
      <w:tr>
        <w:trPr>
          <w:trHeight w:val="228"/>
        </w:trPr>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00" w:type="dxa"/>
            <w:vAlign w:val="bottom"/>
          </w:tcPr>
          <w:p>
            <w:pPr>
              <w:spacing w:after="0"/>
              <w:rPr>
                <w:sz w:val="19"/>
                <w:szCs w:val="19"/>
                <w:color w:val="auto"/>
              </w:rPr>
            </w:pPr>
          </w:p>
        </w:tc>
        <w:tc>
          <w:tcPr>
            <w:tcW w:w="1220" w:type="dxa"/>
            <w:vAlign w:val="bottom"/>
          </w:tcPr>
          <w:p>
            <w:pPr>
              <w:jc w:val="right"/>
              <w:ind w:right="104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4,056.3</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60" w:type="dxa"/>
            <w:vAlign w:val="bottom"/>
            <w:gridSpan w:val="3"/>
          </w:tcPr>
          <w:p>
            <w:pPr>
              <w:jc w:val="right"/>
              <w:ind w:right="428"/>
              <w:spacing w:after="0"/>
              <w:rPr>
                <w:sz w:val="20"/>
                <w:szCs w:val="20"/>
                <w:color w:val="auto"/>
              </w:rPr>
            </w:pPr>
            <w:r>
              <w:rPr>
                <w:rFonts w:ascii="Times New Roman" w:cs="Times New Roman" w:eastAsia="Times New Roman" w:hAnsi="Times New Roman"/>
                <w:sz w:val="18"/>
                <w:szCs w:val="18"/>
                <w:color w:val="auto"/>
              </w:rPr>
              <w:t>94.8 %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2,875.8</w:t>
            </w: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92.8 %</w:t>
            </w:r>
          </w:p>
        </w:tc>
      </w:tr>
      <w:tr>
        <w:trPr>
          <w:trHeight w:val="245"/>
        </w:trPr>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7"/>
        </w:trPr>
        <w:tc>
          <w:tcPr>
            <w:tcW w:w="19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1"/>
        </w:trPr>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c>
          <w:tcPr>
            <w:tcW w:w="1220" w:type="dxa"/>
            <w:vAlign w:val="bottom"/>
          </w:tcPr>
          <w:p>
            <w:pPr>
              <w:jc w:val="right"/>
              <w:ind w:right="104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4,277.6</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0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3,099.2</w:t>
            </w: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-959485</wp:posOffset>
            </wp:positionV>
            <wp:extent cx="6489065" cy="1543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489065" cy="15430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-187960</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-187960</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-187960</wp:posOffset>
            </wp:positionV>
            <wp:extent cx="6032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-187960</wp:posOffset>
            </wp:positionV>
            <wp:extent cx="6032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results for the three months ended March 31, 2024 and 2023,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6"/>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131.6</w:t>
            </w:r>
          </w:p>
        </w:tc>
        <w:tc>
          <w:tcPr>
            <w:tcW w:w="920" w:type="dxa"/>
            <w:vAlign w:val="bottom"/>
            <w:gridSpan w:val="4"/>
            <w:shd w:val="clear" w:color="auto" w:fill="CFF0FC"/>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Less: Net expenses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56.7</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investment income before income taxes</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74.9</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Income taxes, including excise taxes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72.7</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1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Net realized gains (losses) </w:t>
            </w:r>
            <w:r>
              <w:rPr>
                <w:rFonts w:ascii="Times New Roman" w:cs="Times New Roman" w:eastAsia="Times New Roman" w:hAnsi="Times New Roman"/>
                <w:sz w:val="24"/>
                <w:szCs w:val="24"/>
                <w:color w:val="auto"/>
                <w:vertAlign w:val="superscript"/>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16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Net change in unrealized gains (losses) </w:t>
            </w:r>
            <w:r>
              <w:rPr>
                <w:rFonts w:ascii="Times New Roman" w:cs="Times New Roman" w:eastAsia="Times New Roman" w:hAnsi="Times New Roman"/>
                <w:sz w:val="24"/>
                <w:szCs w:val="24"/>
                <w:color w:val="auto"/>
                <w:vertAlign w:val="superscript"/>
              </w:rPr>
              <w:t>(1)</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22.7</w:t>
            </w:r>
          </w:p>
        </w:tc>
        <w:tc>
          <w:tcPr>
            <w:tcW w:w="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increase (decrease) in net assets resulting from operations</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97.7</w:t>
            </w:r>
          </w:p>
        </w:tc>
        <w:tc>
          <w:tcPr>
            <w:tcW w:w="920" w:type="dxa"/>
            <w:vAlign w:val="bottom"/>
            <w:gridSpan w:val="4"/>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w:t>
            </w:r>
          </w:p>
        </w:tc>
        <w:tc>
          <w:tcPr>
            <w:tcW w:w="6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Includes foreign exchange hedging activity.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60" w:type="dxa"/>
            <w:vAlign w:val="bottom"/>
            <w:vMerge w:val="continue"/>
          </w:tcPr>
          <w:p>
            <w:pPr>
              <w:spacing w:after="0"/>
              <w:rPr>
                <w:sz w:val="24"/>
                <w:szCs w:val="24"/>
                <w:color w:val="auto"/>
              </w:rPr>
            </w:pPr>
          </w:p>
        </w:tc>
        <w:tc>
          <w:tcPr>
            <w:tcW w:w="69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6"/>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from investments</w:t>
            </w:r>
          </w:p>
        </w:tc>
        <w:tc>
          <w:tcPr>
            <w:tcW w:w="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40" w:type="dxa"/>
            <w:vAlign w:val="bottom"/>
            <w:shd w:val="clear" w:color="auto" w:fill="CFF0FC"/>
          </w:tcPr>
          <w:p>
            <w:pPr>
              <w:spacing w:after="0"/>
              <w:rPr>
                <w:sz w:val="20"/>
                <w:szCs w:val="20"/>
                <w:color w:val="auto"/>
              </w:rPr>
            </w:pPr>
          </w:p>
        </w:tc>
        <w:tc>
          <w:tcPr>
            <w:tcW w:w="920" w:type="dxa"/>
            <w:vAlign w:val="bottom"/>
            <w:gridSpan w:val="4"/>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Arranger Fees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40" w:type="dxa"/>
            <w:vAlign w:val="bottom"/>
          </w:tcPr>
          <w:p>
            <w:pPr>
              <w:spacing w:after="0"/>
              <w:rPr>
                <w:sz w:val="20"/>
                <w:szCs w:val="20"/>
                <w:color w:val="auto"/>
              </w:rPr>
            </w:pPr>
          </w:p>
        </w:tc>
        <w:tc>
          <w:tcPr>
            <w:tcW w:w="920" w:type="dxa"/>
            <w:vAlign w:val="bottom"/>
            <w:gridSpan w:val="4"/>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-1824990</wp:posOffset>
            </wp:positionV>
            <wp:extent cx="6032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-1824990</wp:posOffset>
            </wp:positionV>
            <wp:extent cx="5143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-187960</wp:posOffset>
            </wp:positionV>
            <wp:extent cx="5143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Interest from investments, which includes amortization of upfront fees and prepayment fees, increased from $30.6 million for the three months ended March 31, 2023 to $119.7 million for the three months ended March 31, 2024. The increase in interest from</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0" w:right="419" w:bottom="1440" w:gutter="0" w:footer="0" w:header="0"/>
        </w:sectPr>
      </w:pPr>
    </w:p>
    <w:bookmarkStart w:id="44" w:name="page45"/>
    <w:bookmarkEnd w:id="44"/>
    <w:p>
      <w:pPr>
        <w:ind w:right="260"/>
        <w:spacing w:after="0" w:line="266" w:lineRule="auto"/>
        <w:rPr>
          <w:sz w:val="20"/>
          <w:szCs w:val="20"/>
          <w:color w:val="auto"/>
        </w:rPr>
      </w:pPr>
      <w:r>
        <w:rPr>
          <w:rFonts w:ascii="Times New Roman" w:cs="Times New Roman" w:eastAsia="Times New Roman" w:hAnsi="Times New Roman"/>
          <w:sz w:val="18"/>
          <w:szCs w:val="18"/>
          <w:color w:val="auto"/>
        </w:rPr>
        <w:t>investments was primarily the result of growth in our investment portfolio. Arranger Fee income increased from $0.0 million for the three months ended March 31, 2023 to $10.0 million for the three months ended March 31, 2024. Other income increased from less than $0.4 million for the three months ended March 31, 2023 to $1.9 million three months ended March 31, 2024, primarily due to increased unfunded commitment fees.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expenses for the three months ended March 31, 2024 and 2023, were as follows: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6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7"/>
        </w:trPr>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80" w:type="dxa"/>
            <w:vAlign w:val="bottom"/>
          </w:tcPr>
          <w:p>
            <w:pPr>
              <w:spacing w:after="0"/>
              <w:rPr>
                <w:sz w:val="16"/>
                <w:szCs w:val="16"/>
                <w:color w:val="auto"/>
              </w:rPr>
            </w:pPr>
          </w:p>
        </w:tc>
      </w:tr>
      <w:tr>
        <w:trPr>
          <w:trHeight w:val="237"/>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FF0FC"/>
          </w:tcPr>
          <w:p>
            <w:pPr>
              <w:spacing w:after="0"/>
              <w:rPr>
                <w:sz w:val="20"/>
                <w:szCs w:val="20"/>
                <w:color w:val="auto"/>
              </w:rPr>
            </w:pPr>
          </w:p>
        </w:tc>
      </w:tr>
      <w:tr>
        <w:trPr>
          <w:trHeight w:val="23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(net of waivers)</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0"/>
                <w:szCs w:val="20"/>
                <w:color w:val="auto"/>
              </w:rPr>
            </w:pPr>
          </w:p>
        </w:tc>
      </w:tr>
      <w:tr>
        <w:trPr>
          <w:trHeight w:val="247"/>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fees related to pre-incentive net investment income</w:t>
            </w: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FF0FC"/>
          </w:tcPr>
          <w:p>
            <w:pPr>
              <w:spacing w:after="0"/>
              <w:rPr>
                <w:sz w:val="21"/>
                <w:szCs w:val="21"/>
                <w:color w:val="auto"/>
              </w:rPr>
            </w:pPr>
          </w:p>
        </w:tc>
      </w:tr>
      <w:tr>
        <w:trPr>
          <w:trHeight w:val="23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 related to realized/unrealized capital gains</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0"/>
                <w:szCs w:val="20"/>
                <w:color w:val="auto"/>
              </w:rPr>
            </w:pPr>
          </w:p>
        </w:tc>
      </w:tr>
      <w:tr>
        <w:trPr>
          <w:trHeight w:val="247"/>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Organizational and offering expense</w:t>
            </w: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FF0FC"/>
          </w:tcPr>
          <w:p>
            <w:pPr>
              <w:spacing w:after="0"/>
              <w:rPr>
                <w:sz w:val="21"/>
                <w:szCs w:val="21"/>
                <w:color w:val="auto"/>
              </w:rPr>
            </w:pPr>
          </w:p>
        </w:tc>
      </w:tr>
      <w:tr>
        <w:trPr>
          <w:trHeight w:val="23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0"/>
                <w:szCs w:val="20"/>
                <w:color w:val="auto"/>
              </w:rPr>
            </w:pPr>
          </w:p>
        </w:tc>
      </w:tr>
      <w:tr>
        <w:trPr>
          <w:trHeight w:val="247"/>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Trustees fees</w:t>
            </w: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FF0FC"/>
          </w:tcPr>
          <w:p>
            <w:pPr>
              <w:spacing w:after="0"/>
              <w:rPr>
                <w:sz w:val="21"/>
                <w:szCs w:val="21"/>
                <w:color w:val="auto"/>
              </w:rPr>
            </w:pPr>
          </w:p>
        </w:tc>
      </w:tr>
      <w:tr>
        <w:trPr>
          <w:trHeight w:val="23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0"/>
                <w:szCs w:val="20"/>
                <w:color w:val="auto"/>
              </w:rPr>
            </w:pPr>
          </w:p>
        </w:tc>
      </w:tr>
      <w:tr>
        <w:trPr>
          <w:trHeight w:val="278"/>
        </w:trPr>
        <w:tc>
          <w:tcPr>
            <w:tcW w:w="6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-25400</wp:posOffset>
            </wp:positionV>
            <wp:extent cx="6032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603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119" w:lineRule="exact"/>
        <w:rPr>
          <w:sz w:val="20"/>
          <w:szCs w:val="20"/>
          <w:color w:val="auto"/>
        </w:rPr>
      </w:pPr>
    </w:p>
    <w:p>
      <w:pPr>
        <w:ind w:right="180" w:firstLine="255"/>
        <w:spacing w:after="0" w:line="266" w:lineRule="auto"/>
        <w:rPr>
          <w:sz w:val="20"/>
          <w:szCs w:val="20"/>
          <w:color w:val="auto"/>
        </w:rPr>
      </w:pPr>
      <w:r>
        <w:rPr>
          <w:rFonts w:ascii="Times New Roman" w:cs="Times New Roman" w:eastAsia="Times New Roman" w:hAnsi="Times New Roman"/>
          <w:sz w:val="18"/>
          <w:szCs w:val="18"/>
          <w:color w:val="auto"/>
        </w:rPr>
        <w:t>Interest expense, including other debt financing costs, increased from $8.9 million for the three months ended March 31, 2023 to $35.1 million for the three months ended March 31, 2024. This increase was primarily due to an increase in average debt outstanding from $0.4 billion for the three months ended March 31, 2023 to $1.8 billion for the three months ended March 31, 2024.</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Management Fees</w:t>
      </w:r>
    </w:p>
    <w:p>
      <w:pPr>
        <w:spacing w:after="0" w:line="119"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Management Fees (gross of waivers) increased from $3.9 million for the three months ended March 31, 2023 to $11.2 million for the three months ended March 31, 2024 due to an increase in average assets for the three months ended March 31, 2024 compared to the same period in 2023. Management Fees (net of waivers) increased from $1.4 million for the three months ended March 31, 2023 to $4.5 million for the three months ended March 31, 2024. The Adviser waived Management Fees of $6.8 million for the three months ended March 31, 2024. The Adviser waived Management Fees of $2.5 million for the three months ended March 31, 2023.</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Incentive Fees</w:t>
      </w:r>
    </w:p>
    <w:p>
      <w:pPr>
        <w:spacing w:after="0" w:line="119"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Incentive Fees related to pre-incentive net investment income increased from $2.4 million for the three months ended March 31, 2023 to $10.8 million three months ended March 31, 2024. The Adviser did not waive any Incentive Fees related to pre-Incentive Fee net investment income for the three months ended March 31, 2024 and 2023. For the three months ended March 31, 2024 and 2023, $3.1 million and $1.4 million were accrued related to Capital Gains Fees. As of March 31, 2024, these accrued Incentive Fees are not contractually payable to the Adviser.</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Organizational and Offering Expense</w:t>
      </w:r>
    </w:p>
    <w:p>
      <w:pPr>
        <w:spacing w:after="0" w:line="119"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Organizational and offering expenses increased from $0.1 million for the three months ended March 31, 2023 to $0.5 million for the three months ended March 31, 2024. We will not bear more than an amount equal to 0.10% of the aggregate capital commitments for organizational and offering expenses in connection with the offering of our Common Shares.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Professional Fees and Other General and Administrative Expenses</w:t>
      </w:r>
    </w:p>
    <w:p>
      <w:pPr>
        <w:spacing w:after="0" w:line="119" w:lineRule="exact"/>
        <w:rPr>
          <w:sz w:val="20"/>
          <w:szCs w:val="20"/>
          <w:color w:val="auto"/>
        </w:rPr>
      </w:pPr>
    </w:p>
    <w:p>
      <w:pPr>
        <w:ind w:right="220" w:firstLine="255"/>
        <w:spacing w:after="0" w:line="261" w:lineRule="auto"/>
        <w:rPr>
          <w:sz w:val="20"/>
          <w:szCs w:val="20"/>
          <w:color w:val="auto"/>
        </w:rPr>
      </w:pPr>
      <w:r>
        <w:rPr>
          <w:rFonts w:ascii="Times New Roman" w:cs="Times New Roman" w:eastAsia="Times New Roman" w:hAnsi="Times New Roman"/>
          <w:sz w:val="18"/>
          <w:szCs w:val="18"/>
          <w:color w:val="auto"/>
        </w:rPr>
        <w:t>Professional fees increased from $0.6 million for the three months ended March 31, 2023 to $1.2 million for the three months ended March 31, 2024. Trustees Fees increased from $0.1 million for the three months ended March 31, 2023 to $0.2 million for the three months ended March 31, 2024. Other general and administrative expenses increased from $0.7 million for the three months ended March 31, 2023 to $1.3 million for the three months ended March 31,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Including Excise Taxes</w:t>
      </w:r>
    </w:p>
    <w:p>
      <w:pPr>
        <w:spacing w:after="0" w:line="121" w:lineRule="exact"/>
        <w:rPr>
          <w:sz w:val="20"/>
          <w:szCs w:val="20"/>
          <w:color w:val="auto"/>
        </w:rPr>
      </w:pPr>
    </w:p>
    <w:p>
      <w:pPr>
        <w:ind w:right="180" w:firstLine="255"/>
        <w:spacing w:after="0" w:line="258" w:lineRule="auto"/>
        <w:rPr>
          <w:sz w:val="20"/>
          <w:szCs w:val="20"/>
          <w:color w:val="auto"/>
        </w:rPr>
      </w:pPr>
      <w:r>
        <w:rPr>
          <w:rFonts w:ascii="Times New Roman" w:cs="Times New Roman" w:eastAsia="Times New Roman" w:hAnsi="Times New Roman"/>
          <w:sz w:val="18"/>
          <w:szCs w:val="18"/>
          <w:color w:val="auto"/>
        </w:rPr>
        <w:t>We elected to be treated as a RIC under Subchapter M of the Code, and we operate in a manner so as to continue net realized to qualify for the tax treatment applicable to RICs. To qualify as a RIC, we must, among other things, distribute to our shareholders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shareholders, which generally relieve us from corporate-level U.S. federal income taxes.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5" w:name="page46"/>
    <w:bookmarkEnd w:id="45"/>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0"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we recorded a net expense of $2.2 million and $0.3 million, respectively, for U.S. federal excise tax and other taxes.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and Unrealized Gains and Losses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net realized and unrealized gains (losses) for the three months ended March 31, 2024 and 2023:</w:t>
      </w:r>
    </w:p>
    <w:p>
      <w:pPr>
        <w:spacing w:after="0" w:line="340" w:lineRule="exact"/>
        <w:rPr>
          <w:sz w:val="20"/>
          <w:szCs w:val="20"/>
          <w:color w:val="auto"/>
        </w:rPr>
      </w:pPr>
    </w:p>
    <w:tbl>
      <w:tblPr>
        <w:tblLayout w:type="fixed"/>
        <w:tblInd w:w="1020" w:type="dxa"/>
        <w:tblCellMar>
          <w:top w:w="0" w:type="dxa"/>
          <w:left w:w="0" w:type="dxa"/>
          <w:bottom w:w="0" w:type="dxa"/>
          <w:right w:w="0" w:type="dxa"/>
        </w:tblCellMar>
      </w:tblPr>
      <w:tr>
        <w:trPr>
          <w:trHeight w:val="175"/>
        </w:trPr>
        <w:tc>
          <w:tcPr>
            <w:tcW w:w="6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7"/>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80" w:type="dxa"/>
            <w:vAlign w:val="bottom"/>
          </w:tcPr>
          <w:p>
            <w:pPr>
              <w:spacing w:after="0"/>
              <w:rPr>
                <w:sz w:val="16"/>
                <w:szCs w:val="16"/>
                <w:color w:val="auto"/>
              </w:rPr>
            </w:pPr>
          </w:p>
        </w:tc>
      </w:tr>
      <w:tr>
        <w:trPr>
          <w:trHeight w:val="237"/>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realized gains (losses) on investments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gains (losses) on foreign currency investments</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realized gains (losses) on foreign currency transactions</w:t>
            </w:r>
          </w:p>
        </w:tc>
        <w:tc>
          <w:tcPr>
            <w:tcW w:w="1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(0.0 )</w:t>
            </w: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FF0FC"/>
          </w:tcPr>
          <w:p>
            <w:pPr>
              <w:spacing w:after="0"/>
              <w:rPr>
                <w:sz w:val="21"/>
                <w:szCs w:val="21"/>
                <w:color w:val="auto"/>
              </w:rPr>
            </w:pPr>
          </w:p>
        </w:tc>
      </w:tr>
      <w:tr>
        <w:trPr>
          <w:trHeight w:val="243"/>
        </w:trPr>
        <w:tc>
          <w:tcPr>
            <w:tcW w:w="62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Net realized gains (losses) on foreign currency borrowings </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(0.5 )</w:t>
            </w:r>
          </w:p>
        </w:tc>
        <w:tc>
          <w:tcPr>
            <w:tcW w:w="180" w:type="dxa"/>
            <w:vAlign w:val="bottom"/>
          </w:tcPr>
          <w:p>
            <w:pPr>
              <w:spacing w:after="0"/>
              <w:rPr>
                <w:sz w:val="21"/>
                <w:szCs w:val="21"/>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74"/>
        </w:trPr>
        <w:tc>
          <w:tcPr>
            <w:tcW w:w="6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Realized Gains (Losses)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FF0FC"/>
            </w:tcBorders>
            <w:shd w:val="clear" w:color="auto" w:fill="CFF0FC"/>
          </w:tcPr>
          <w:p>
            <w:pPr>
              <w:spacing w:after="0"/>
              <w:rPr>
                <w:sz w:val="23"/>
                <w:szCs w:val="23"/>
                <w:color w:val="auto"/>
              </w:rPr>
            </w:pPr>
          </w:p>
        </w:tc>
      </w:tr>
      <w:tr>
        <w:trPr>
          <w:trHeight w:val="226"/>
        </w:trPr>
        <w:tc>
          <w:tcPr>
            <w:tcW w:w="6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unrealized gains on investments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FF0FC"/>
          </w:tcPr>
          <w:p>
            <w:pPr>
              <w:spacing w:after="0"/>
              <w:rPr>
                <w:sz w:val="21"/>
                <w:szCs w:val="21"/>
                <w:color w:val="auto"/>
              </w:rPr>
            </w:pPr>
          </w:p>
        </w:tc>
      </w:tr>
      <w:tr>
        <w:trPr>
          <w:trHeight w:val="243"/>
        </w:trPr>
        <w:tc>
          <w:tcPr>
            <w:tcW w:w="62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Change in unrealized (losses) on investments </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(5.1 )</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21"/>
                <w:szCs w:val="21"/>
                <w:color w:val="auto"/>
              </w:rPr>
            </w:pPr>
          </w:p>
        </w:tc>
      </w:tr>
      <w:tr>
        <w:trPr>
          <w:trHeight w:val="201"/>
        </w:trPr>
        <w:tc>
          <w:tcPr>
            <w:tcW w:w="6220" w:type="dxa"/>
            <w:vAlign w:val="bottom"/>
            <w:shd w:val="clear" w:color="auto" w:fill="CFF0FC"/>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Net Change in Unrealized Gains (Losses) on</w:t>
            </w:r>
          </w:p>
        </w:tc>
        <w:tc>
          <w:tcPr>
            <w:tcW w:w="10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52"/>
        </w:trPr>
        <w:tc>
          <w:tcPr>
            <w:tcW w:w="6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FF0FC"/>
          </w:tcPr>
          <w:p>
            <w:pPr>
              <w:spacing w:after="0"/>
              <w:rPr>
                <w:sz w:val="21"/>
                <w:szCs w:val="21"/>
                <w:color w:val="auto"/>
              </w:rPr>
            </w:pPr>
          </w:p>
        </w:tc>
      </w:tr>
      <w:tr>
        <w:trPr>
          <w:trHeight w:val="243"/>
        </w:trPr>
        <w:tc>
          <w:tcPr>
            <w:tcW w:w="6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gains (losses) on foreign currency borrowings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43"/>
        </w:trPr>
        <w:tc>
          <w:tcPr>
            <w:tcW w:w="62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Unrealized gains (losses) on foreign currency cash </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220" w:type="dxa"/>
            <w:vAlign w:val="bottom"/>
            <w:shd w:val="clear" w:color="auto" w:fill="CFF0FC"/>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Net Change in Unrealized Gains (Losses) on Foreign</w:t>
            </w:r>
          </w:p>
        </w:tc>
        <w:tc>
          <w:tcPr>
            <w:tcW w:w="10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52"/>
        </w:trPr>
        <w:tc>
          <w:tcPr>
            <w:tcW w:w="6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Currency Transactions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43"/>
        </w:trPr>
        <w:tc>
          <w:tcPr>
            <w:tcW w:w="6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74"/>
        </w:trPr>
        <w:tc>
          <w:tcPr>
            <w:tcW w:w="6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Unrealized Gains (Losses)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-1893570</wp:posOffset>
            </wp:positionV>
            <wp:extent cx="596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-1877060</wp:posOffset>
            </wp:positionV>
            <wp:extent cx="596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-1893570</wp:posOffset>
            </wp:positionV>
            <wp:extent cx="514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-1877060</wp:posOffset>
            </wp:positionV>
            <wp:extent cx="5143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596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596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-24765</wp:posOffset>
            </wp:positionV>
            <wp:extent cx="514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-7620</wp:posOffset>
            </wp:positionV>
            <wp:extent cx="514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(1)</w:t>
        <w:tab/>
        <w:t>Amounts round to less than $0.1 million</w:t>
      </w:r>
    </w:p>
    <w:p>
      <w:pPr>
        <w:spacing w:after="0" w:line="225" w:lineRule="exact"/>
        <w:rPr>
          <w:sz w:val="20"/>
          <w:szCs w:val="20"/>
          <w:color w:val="auto"/>
        </w:rPr>
      </w:pPr>
    </w:p>
    <w:p>
      <w:pPr>
        <w:ind w:right="140" w:firstLine="255"/>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2024, we had net realized gains on investments of $2.3 million. For the three months ended March 31, 2023 we had no realized gains or losses on investments. For the three months ended March 31, 2024, we had net realized gains on foreign currency investments of $0.5 million. For the three months ended March 31, 2023, we had no net realized gains or losses on foreign currency investments. For the three months ended March 31, 2024, we had net realized losses of less than $0.1 million and for the three months ended March 31, 2023, we had net realized gains of $0.1 million on foreign currency transactions, primarily as a result of translating foreign currency related to our non-USD denominated investments. For the three months ended March 31, 2024, we had net realized losses of $(0.5) million and for the three months ended March 31, 2023, we had no realized gains or losses on foreign currency borrowings.</w:t>
      </w:r>
    </w:p>
    <w:p>
      <w:pPr>
        <w:spacing w:after="0" w:line="189"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we had $23.6 million in unrealized gains on 32 portfolio company investments, which was offset by $5.1 million in unrealized losses on 14 portfolio company investments. For the three months ended March 31, 2023, we had $13.7 million in unrealized gains on investments. Unrealized gains were driven by an increase in fair value, primarily due to tightening credit spreads, positive valuation adjustments, and unwind of prior period unrealized losses.</w:t>
      </w:r>
    </w:p>
    <w:p>
      <w:pPr>
        <w:spacing w:after="0" w:line="180" w:lineRule="exact"/>
        <w:rPr>
          <w:sz w:val="20"/>
          <w:szCs w:val="20"/>
          <w:color w:val="auto"/>
        </w:rPr>
      </w:pPr>
    </w:p>
    <w:p>
      <w:pPr>
        <w:ind w:right="200" w:firstLine="255"/>
        <w:spacing w:after="0" w:line="281" w:lineRule="auto"/>
        <w:rPr>
          <w:sz w:val="20"/>
          <w:szCs w:val="20"/>
          <w:color w:val="auto"/>
        </w:rPr>
      </w:pPr>
      <w:r>
        <w:rPr>
          <w:rFonts w:ascii="Times New Roman" w:cs="Times New Roman" w:eastAsia="Times New Roman" w:hAnsi="Times New Roman"/>
          <w:sz w:val="17"/>
          <w:szCs w:val="17"/>
          <w:color w:val="auto"/>
        </w:rPr>
        <w:t>For the three months ended March 31, 2024, we had $4.2 million in unrealized gains on foreign currency borrowings, primarily as a result of fluctuations in the GBP, EUR, and SEK exchange rates. For the three months ended March 31, 2023, we had $0.7 million in unrealized losses on foreign currency borrowings, primarily as a result of fluctuations in EUR and GBP. For the three months ended March 31, 2024, we had less than $0.1 million in unrealized losses on foreign currency cash. For the three months ended March 31, 2023, we had no unrealized gains or losses on foreign currency cash.</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Realized Gross Internal Rate of Return</w:t>
      </w:r>
    </w:p>
    <w:p>
      <w:pPr>
        <w:spacing w:after="0" w:line="229" w:lineRule="exact"/>
        <w:rPr>
          <w:sz w:val="20"/>
          <w:szCs w:val="20"/>
          <w:color w:val="auto"/>
        </w:rPr>
      </w:pPr>
    </w:p>
    <w:p>
      <w:pPr>
        <w:ind w:right="320" w:firstLine="255"/>
        <w:spacing w:after="0" w:line="282" w:lineRule="auto"/>
        <w:rPr>
          <w:sz w:val="20"/>
          <w:szCs w:val="20"/>
          <w:color w:val="auto"/>
        </w:rPr>
      </w:pPr>
      <w:r>
        <w:rPr>
          <w:rFonts w:ascii="Times New Roman" w:cs="Times New Roman" w:eastAsia="Times New Roman" w:hAnsi="Times New Roman"/>
          <w:sz w:val="18"/>
          <w:szCs w:val="18"/>
          <w:color w:val="auto"/>
        </w:rPr>
        <w:t>Since we began investing in 2022 through March 31, 2024, weighted by capital invested, our exited investments have generated an average realized gross internal rate of return to us of 20.2% (based on total capital invested of $3.4 million and total proceeds from</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6" w:name="page47"/>
    <w:bookmarkEnd w:id="46"/>
    <w:p>
      <w:pPr>
        <w:spacing w:after="0" w:line="282" w:lineRule="auto"/>
        <w:rPr>
          <w:sz w:val="20"/>
          <w:szCs w:val="20"/>
          <w:color w:val="auto"/>
        </w:rPr>
      </w:pPr>
      <w:r>
        <w:rPr>
          <w:rFonts w:ascii="Times New Roman" w:cs="Times New Roman" w:eastAsia="Times New Roman" w:hAnsi="Times New Roman"/>
          <w:sz w:val="18"/>
          <w:szCs w:val="18"/>
          <w:color w:val="auto"/>
        </w:rPr>
        <w:t>these exited investments of $4.1 million). One hundred percent of these exited investments resulted in a realized gross internal rate of return to us of 10% or greater.</w:t>
      </w:r>
    </w:p>
    <w:p>
      <w:pPr>
        <w:spacing w:after="0" w:line="162" w:lineRule="exact"/>
        <w:rPr>
          <w:sz w:val="20"/>
          <w:szCs w:val="20"/>
          <w:color w:val="auto"/>
        </w:rPr>
      </w:pPr>
    </w:p>
    <w:p>
      <w:pPr>
        <w:ind w:right="340" w:firstLine="255"/>
        <w:spacing w:after="0" w:line="266" w:lineRule="auto"/>
        <w:rPr>
          <w:sz w:val="20"/>
          <w:szCs w:val="20"/>
          <w:color w:val="auto"/>
        </w:rPr>
      </w:pPr>
      <w:r>
        <w:rPr>
          <w:rFonts w:ascii="Times New Roman" w:cs="Times New Roman" w:eastAsia="Times New Roman" w:hAnsi="Times New Roman"/>
          <w:sz w:val="18"/>
          <w:szCs w:val="18"/>
          <w:color w:val="auto"/>
        </w:rPr>
        <w:t>Gross IRR, with respect to an investment, is calculated based on the dates that we invested capital and dates we received distributions, regardless of when we made distributions to our shareholders. Initial investments are assumed to occur at time zero, and all cash flows are deemed to occur on the fifteenth of each month in which they occur.</w:t>
      </w:r>
    </w:p>
    <w:p>
      <w:pPr>
        <w:spacing w:after="0" w:line="176" w:lineRule="exact"/>
        <w:rPr>
          <w:sz w:val="20"/>
          <w:szCs w:val="20"/>
          <w:color w:val="auto"/>
        </w:rPr>
      </w:pPr>
    </w:p>
    <w:p>
      <w:pPr>
        <w:jc w:val="both"/>
        <w:ind w:right="160" w:firstLine="255"/>
        <w:spacing w:after="0" w:line="312" w:lineRule="auto"/>
        <w:rPr>
          <w:sz w:val="20"/>
          <w:szCs w:val="20"/>
          <w:color w:val="auto"/>
        </w:rPr>
      </w:pPr>
      <w:r>
        <w:rPr>
          <w:rFonts w:ascii="Times New Roman" w:cs="Times New Roman" w:eastAsia="Times New Roman" w:hAnsi="Times New Roman"/>
          <w:sz w:val="17"/>
          <w:szCs w:val="17"/>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shareholders, and would be lower if it did.</w:t>
      </w:r>
    </w:p>
    <w:p>
      <w:pPr>
        <w:spacing w:after="0" w:line="140"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Average gross IRR is the average of the gross IRR for each of our exited investments (each calculated as described above), weighted by the total capital invested for each of those investments.</w:t>
      </w:r>
    </w:p>
    <w:p>
      <w:pPr>
        <w:spacing w:after="0" w:line="162"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Average gross IRR on our exited investments reflects only invested and realized cash amounts as described above, and does not reflect any unrealized gains or losses in our portfolio.</w:t>
      </w:r>
    </w:p>
    <w:p>
      <w:pPr>
        <w:spacing w:after="0" w:line="162"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76"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76"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and Foreign Currency Hedging</w:t>
      </w:r>
    </w:p>
    <w:p>
      <w:pPr>
        <w:spacing w:after="0" w:line="121" w:lineRule="exact"/>
        <w:rPr>
          <w:sz w:val="20"/>
          <w:szCs w:val="20"/>
          <w:color w:val="auto"/>
        </w:rPr>
      </w:pPr>
    </w:p>
    <w:p>
      <w:pPr>
        <w:ind w:right="80" w:firstLine="255"/>
        <w:spacing w:after="0" w:line="254" w:lineRule="auto"/>
        <w:rPr>
          <w:sz w:val="20"/>
          <w:szCs w:val="20"/>
          <w:color w:val="auto"/>
        </w:rPr>
      </w:pPr>
      <w:r>
        <w:rPr>
          <w:rFonts w:ascii="Times New Roman" w:cs="Times New Roman" w:eastAsia="Times New Roman" w:hAnsi="Times New Roman"/>
          <w:sz w:val="18"/>
          <w:szCs w:val="18"/>
          <w:color w:val="auto"/>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 Our current approach to hedging the foreign currency exposure in our non-U.S. dollar denominated investments is primarily to borrow the par amount in local currency under our Credit Facilities to fund these investments. For the three months ended March 31, 2024 and 2023, we had $4.2 million of unrealized gains and $0.7 million of unrealized losses, respectively, on the translation of our non-U.S. dollar denominated debt into U.S. dollars; such amounts approximate the corresponding unrealized gains on the translation of our non-U.S. dollar denominated investments into U.S. dollars for the three months ended March 31, 2024. See our Consolidated Schedule of Investments for additional disclosure regarding the foreign currency amounts (in both par and fair value) of our non-U.S. dollar denominated investments.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21"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54" w:lineRule="exact"/>
        <w:rPr>
          <w:sz w:val="20"/>
          <w:szCs w:val="20"/>
          <w:color w:val="auto"/>
        </w:rPr>
      </w:pPr>
    </w:p>
    <w:p>
      <w:pPr>
        <w:ind w:left="520" w:hanging="257"/>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portfolio companies and other investments and to comply with certain portfolio diversification requirements;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operations (including paying our Adviser);</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repayment, and other financing costs;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to the holders of our shares.</w:t>
      </w:r>
    </w:p>
    <w:p>
      <w:pPr>
        <w:spacing w:after="0" w:line="225" w:lineRule="exact"/>
        <w:rPr>
          <w:sz w:val="20"/>
          <w:szCs w:val="20"/>
          <w:color w:val="auto"/>
        </w:rPr>
      </w:pPr>
    </w:p>
    <w:p>
      <w:pPr>
        <w:jc w:val="both"/>
        <w:ind w:right="240" w:firstLine="255"/>
        <w:spacing w:after="0" w:line="261" w:lineRule="auto"/>
        <w:rPr>
          <w:sz w:val="20"/>
          <w:szCs w:val="20"/>
          <w:color w:val="auto"/>
        </w:rPr>
      </w:pPr>
      <w:r>
        <w:rPr>
          <w:rFonts w:ascii="Times New Roman" w:cs="Times New Roman" w:eastAsia="Times New Roman" w:hAnsi="Times New Roman"/>
          <w:sz w:val="18"/>
          <w:szCs w:val="18"/>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7" w:name="page48"/>
    <w:bookmarkEnd w:id="47"/>
    <w:p>
      <w:pPr>
        <w:ind w:right="140"/>
        <w:spacing w:after="0" w:line="256" w:lineRule="auto"/>
        <w:rPr>
          <w:sz w:val="20"/>
          <w:szCs w:val="20"/>
          <w:color w:val="auto"/>
        </w:rPr>
      </w:pPr>
      <w:r>
        <w:rPr>
          <w:rFonts w:ascii="Times New Roman" w:cs="Times New Roman" w:eastAsia="Times New Roman" w:hAnsi="Times New Roman"/>
          <w:sz w:val="18"/>
          <w:szCs w:val="18"/>
          <w:color w:val="auto"/>
        </w:rPr>
        <w:t>incur borrowings, issue debt securities or issue preferred shares if immediately after the borrowing or issuance our ratio of total assets (less total liabilities other than indebtedness) to total indebtedness plus preferred shares, is at least 150%. For more information, see “</w:t>
      </w:r>
      <w:r>
        <w:rPr>
          <w:rFonts w:ascii="Times New Roman" w:cs="Times New Roman" w:eastAsia="Times New Roman" w:hAnsi="Times New Roman"/>
          <w:sz w:val="18"/>
          <w:szCs w:val="18"/>
          <w:i w:val="1"/>
          <w:iCs w:val="1"/>
          <w:color w:val="auto"/>
        </w:rPr>
        <w:t>Key Components of Our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—Leverage</w:t>
      </w:r>
      <w:r>
        <w:rPr>
          <w:rFonts w:ascii="Times New Roman" w:cs="Times New Roman" w:eastAsia="Times New Roman" w:hAnsi="Times New Roman"/>
          <w:sz w:val="18"/>
          <w:szCs w:val="18"/>
          <w:color w:val="auto"/>
        </w:rPr>
        <w:t>” above. As of March 31, 2024 and December 31, 2023, our asset coverage ratio was 223.4% and 245.6%, respectively.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87"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Cash and cash equivalents as of March 31, 2024 taken together with cash available under our Credit Facilities, and cash available from undrawn Capital Commitments, is expected to be sufficient for our investing activities and to conduct our operations in the near term. As of March 31, 2024, we had approximately $961.4 million and $197.2 million of availability on our Subscription Facility and Revolving Credit Facility, respectively, subject to asset coverage limitations.</w:t>
      </w:r>
    </w:p>
    <w:p>
      <w:pPr>
        <w:spacing w:after="0" w:line="180"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As of March 31, 2024, we had $63.5 million in cash and cash equivalents, including $23.1 million of restricted cash. For the three months ended March 31, 2024, cash used in operating activities was $1,096.9 million, primarily attributable to funding portfolio investments of $1,298.9 million and other net operating activities of $47.3 million which was offset by repayments and proceeds from investments of $151.6 million and an increase in net assets resulting from operations of $97.7. Cash provided by financing activities was $1,151.6 million during the period due to borrowings of $1,690.7 million and proceeds from the capital calls of $499.7 million, which were partially offset by paydowns on debt of $1,005.6 million and other financing activities of $33.2 million.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121"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total Common Shares issued and proceeds received related to the Company’s capital drawdowns delivered pursuant to the Subscription Agreements for the three months ended March 31, 2024 and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 Share Issuance Date</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3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Number of Common Shares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Proceeds Received ($ in</w:t>
            </w: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24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6, 2024</w:t>
            </w:r>
          </w:p>
        </w:tc>
        <w:tc>
          <w:tcPr>
            <w:tcW w:w="2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12,174,753</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80" w:type="dxa"/>
            <w:vAlign w:val="bottom"/>
            <w:tcBorders>
              <w:right w:val="single" w:sz="8" w:color="CFF0FC"/>
            </w:tcBorders>
            <w:shd w:val="clear" w:color="auto" w:fill="CFF0FC"/>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26, 2024</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5,174,155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80" w:type="dxa"/>
            <w:vAlign w:val="bottom"/>
            <w:tcBorders>
              <w:top w:val="single" w:sz="8" w:color="CFF0FC"/>
              <w:bottom w:val="single" w:sz="8" w:color="CFF0FC"/>
            </w:tcBorders>
            <w:shd w:val="clear" w:color="auto" w:fill="CFF0FC"/>
          </w:tcPr>
          <w:p>
            <w:pPr>
              <w:spacing w:after="0"/>
              <w:rPr>
                <w:sz w:val="24"/>
                <w:szCs w:val="24"/>
                <w:color w:val="auto"/>
              </w:rPr>
            </w:pPr>
          </w:p>
        </w:tc>
        <w:tc>
          <w:tcPr>
            <w:tcW w:w="20" w:type="dxa"/>
            <w:vAlign w:val="bottom"/>
            <w:tcBorders>
              <w:top w:val="single" w:sz="8" w:color="CFF0FC"/>
              <w:bottom w:val="single" w:sz="8" w:color="CFF0FC"/>
            </w:tcBorders>
            <w:shd w:val="clear" w:color="auto" w:fill="CFF0FC"/>
          </w:tcPr>
          <w:p>
            <w:pPr>
              <w:spacing w:after="0"/>
              <w:rPr>
                <w:sz w:val="24"/>
                <w:szCs w:val="24"/>
                <w:color w:val="auto"/>
              </w:rPr>
            </w:pP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40" w:type="dxa"/>
            <w:vAlign w:val="bottom"/>
            <w:tcBorders>
              <w:top w:val="single" w:sz="8" w:color="CFF0FC"/>
              <w:bottom w:val="single" w:sz="8" w:color="CFF0FC"/>
            </w:tcBorders>
            <w:shd w:val="clear" w:color="auto" w:fill="CFF0FC"/>
          </w:tcPr>
          <w:p>
            <w:pPr>
              <w:spacing w:after="0"/>
              <w:rPr>
                <w:sz w:val="24"/>
                <w:szCs w:val="24"/>
                <w:color w:val="auto"/>
              </w:rPr>
            </w:pPr>
          </w:p>
        </w:tc>
        <w:tc>
          <w:tcPr>
            <w:tcW w:w="2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17,348,908</w:t>
            </w:r>
          </w:p>
        </w:tc>
        <w:tc>
          <w:tcPr>
            <w:tcW w:w="60" w:type="dxa"/>
            <w:vAlign w:val="bottom"/>
            <w:tcBorders>
              <w:top w:val="single" w:sz="8" w:color="CFF0FC"/>
              <w:bottom w:val="single" w:sz="8" w:color="CFF0FC"/>
            </w:tcBorders>
            <w:shd w:val="clear" w:color="auto" w:fill="CFF0FC"/>
          </w:tcPr>
          <w:p>
            <w:pPr>
              <w:spacing w:after="0"/>
              <w:rPr>
                <w:sz w:val="24"/>
                <w:szCs w:val="24"/>
                <w:color w:val="auto"/>
              </w:rPr>
            </w:pPr>
          </w:p>
        </w:tc>
        <w:tc>
          <w:tcPr>
            <w:tcW w:w="180" w:type="dxa"/>
            <w:vAlign w:val="bottom"/>
            <w:tcBorders>
              <w:top w:val="single" w:sz="8" w:color="CFF0FC"/>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80" w:type="dxa"/>
            <w:vAlign w:val="bottom"/>
            <w:tcBorders>
              <w:top w:val="single" w:sz="8" w:color="CFF0FC"/>
              <w:bottom w:val="single" w:sz="8" w:color="CFF0FC"/>
              <w:right w:val="single" w:sz="8" w:color="CFF0FC"/>
            </w:tcBorders>
            <w:shd w:val="clear" w:color="auto" w:fill="CFF0FC"/>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360" w:type="dxa"/>
            <w:vAlign w:val="bottom"/>
          </w:tcPr>
          <w:p>
            <w:pPr>
              <w:spacing w:after="0"/>
              <w:rPr>
                <w:sz w:val="24"/>
                <w:szCs w:val="24"/>
                <w:color w:val="auto"/>
              </w:rPr>
            </w:pPr>
          </w:p>
        </w:tc>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Share Issuance Date</w:t>
            </w:r>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Common Shares Issued</w:t>
            </w:r>
          </w:p>
        </w:tc>
        <w:tc>
          <w:tcPr>
            <w:tcW w:w="18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Proceeds Received ($ in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360" w:type="dxa"/>
            <w:vAlign w:val="bottom"/>
          </w:tcPr>
          <w:p>
            <w:pPr>
              <w:spacing w:after="0"/>
              <w:rPr>
                <w:sz w:val="16"/>
                <w:szCs w:val="16"/>
                <w:color w:val="auto"/>
              </w:rPr>
            </w:pPr>
          </w:p>
        </w:tc>
        <w:tc>
          <w:tcPr>
            <w:tcW w:w="4040" w:type="dxa"/>
            <w:vAlign w:val="bottom"/>
            <w:tcBorders>
              <w:bottom w:val="single" w:sz="8" w:color="auto"/>
            </w:tcBorders>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Borders>
              <w:bottom w:val="single" w:sz="8" w:color="auto"/>
            </w:tcBorders>
            <w:gridSpan w:val="3"/>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360" w:type="dxa"/>
            <w:vAlign w:val="bottom"/>
          </w:tcPr>
          <w:p>
            <w:pPr>
              <w:spacing w:after="0"/>
              <w:rPr>
                <w:sz w:val="20"/>
                <w:szCs w:val="20"/>
                <w:color w:val="auto"/>
              </w:rPr>
            </w:pPr>
          </w:p>
        </w:tc>
        <w:tc>
          <w:tcPr>
            <w:tcW w:w="40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21, 2023</w:t>
            </w:r>
          </w:p>
        </w:tc>
        <w:tc>
          <w:tcPr>
            <w:tcW w:w="23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9,643,813</w:t>
            </w:r>
          </w:p>
        </w:tc>
        <w:tc>
          <w:tcPr>
            <w:tcW w:w="18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250.0</w:t>
            </w:r>
          </w:p>
        </w:tc>
        <w:tc>
          <w:tcPr>
            <w:tcW w:w="1400" w:type="dxa"/>
            <w:vAlign w:val="bottom"/>
            <w:tcBorders>
              <w:left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9,643,813</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1"/>
        </w:trPr>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3"/>
          </w:tcPr>
          <w:p>
            <w:pPr>
              <w:jc w:val="right"/>
              <w:ind w:right="1862"/>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-1833880</wp:posOffset>
            </wp:positionV>
            <wp:extent cx="5143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-1816735</wp:posOffset>
            </wp:positionV>
            <wp:extent cx="514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-1996440</wp:posOffset>
            </wp:positionV>
            <wp:extent cx="514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-1833880</wp:posOffset>
            </wp:positionV>
            <wp:extent cx="5143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-1816735</wp:posOffset>
            </wp:positionV>
            <wp:extent cx="514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-1996440</wp:posOffset>
            </wp:positionV>
            <wp:extent cx="514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8" w:name="page49"/>
    <w:bookmarkEnd w:id="48"/>
    <w:p>
      <w:pPr>
        <w:ind w:right="240" w:firstLine="255"/>
        <w:spacing w:after="0" w:line="258" w:lineRule="auto"/>
        <w:rPr>
          <w:sz w:val="20"/>
          <w:szCs w:val="20"/>
          <w:color w:val="auto"/>
        </w:rPr>
      </w:pPr>
      <w:r>
        <w:rPr>
          <w:rFonts w:ascii="Times New Roman" w:cs="Times New Roman" w:eastAsia="Times New Roman" w:hAnsi="Times New Roman"/>
          <w:sz w:val="18"/>
          <w:szCs w:val="18"/>
          <w:color w:val="auto"/>
        </w:rPr>
        <w:t>We have entered into subscription agreements (the “Subscription Agreements”) with investors providing for the private placement of our Common Shares. Under the terms of the Subscription Agreements, investors are required to fund drawdowns to purchase our Common Shares up to the amount of their respective Capital Commitment on an as-needed basis each time we deliver a drawdown notice to our investors. As of March 31, 2024, we had received Capital Commitments totaling $7.4 billion ($5.2 billion remaining undrawn). As of December 31, 2023 we had received Capital Commitments totaling $7.4 billion ($5.7 billion remaining undrawn).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Facility</w:t>
      </w:r>
    </w:p>
    <w:p>
      <w:pPr>
        <w:spacing w:after="0" w:line="119"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On September 1, 2022 (the “Subscription Facility Closing Date”), we entered into a revolving credit agreement (the “Subscription Facility”) with Wells Fargo Bank, National Association, as administrative agent (the “Administrative Agent”), letter of credit issuer, lead arranger, as a lender and aggregate commitments under the facility were $400 million.</w:t>
      </w:r>
    </w:p>
    <w:p>
      <w:pPr>
        <w:spacing w:after="0" w:line="176"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Pursuant to an amendment to the Subscription Facility dated as of December 21, 2022 (the “Subscription Facility First Amendment”), the aggregate commitments under the Subscription Facility were upsized to $700 million. Pursuant to lender joinder agreements dated January 18, 2023 and January 27, 2023, the aggregate commitments under the Subscription Facility were upsized to $800 million and $850 million, respectively. Pursuant to lender joinder agreements dated March 28, 2023, the aggregate commitments under the Subscription Facility were upsized to $1.3 billion. Pursuant to a lender joinder agreement dated April 27, 2023, the aggregate commitments under the Subscription Facility were upsized to $1.35 billion. Pursuant to a lender joinder agreement dated December 1, 2023, the aggregate commitments under the Subscription Facility were upsized to $1.5 billion (the “Maximum Commitment”).</w:t>
      </w:r>
    </w:p>
    <w:p>
      <w:pPr>
        <w:spacing w:after="0" w:line="189"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The Subscription Facility will mature upon the earliest of: (i) August 30, 2024 (the “Subscription Facility Stated Maturity”); (ii) the date upon which the Administrative Agent declares the obligations under the Subscription Facility due and payable after the occurrence of an event of default; (iii) forty-five</w:t>
      </w:r>
    </w:p>
    <w:p>
      <w:pPr>
        <w:ind w:right="400" w:firstLine="8"/>
        <w:spacing w:after="0" w:line="255" w:lineRule="auto"/>
        <w:tabs>
          <w:tab w:leader="none" w:pos="3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date on which the Company’s ability to call capital commitments for purposes of repaying the obligations under the Subscription Facility is terminated; and (iv) the date the Company terminates the commitments pursuant to the Subscription Facility. At the Company’s option, the Subscription Facility Stated Maturity Date may be extended by up to 364 days, subject to satisfaction of customary conditions.</w:t>
      </w:r>
    </w:p>
    <w:p>
      <w:pPr>
        <w:spacing w:after="0" w:line="186"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Borrowings under the Subscription Facility bear interest, at our election at the time of drawdown, at a rate per annum equal to (i) in the case of loans denominated in dollars, at our option (a) an adjusted Daily Simple SOFR rate plus 1.95%, (b) an adjusted Term SOFR rate for the applicable interest period plus 1.95% and (c) in the case of reference rate loans, 0.95%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1.95% or (iii) in the case of loans denominated in sterling, the adjusted SONIA rate plus 1.95%. SOFR loans are subject to a credit spread adjustment ranging from 0.10% to 0.25% and SONIA loans are subject to a credit spread adjustment of 0.0326%. Loans denominated in dollars may be converted from one rate applicable to dollar denominated loans to another at any time at our election, subject to certain conditions. The Company also will pay an unused commitment fee of 0.25% per annum on the unused commitments.</w:t>
      </w:r>
    </w:p>
    <w:p>
      <w:pPr>
        <w:spacing w:after="0" w:line="192" w:lineRule="exact"/>
        <w:rPr>
          <w:sz w:val="20"/>
          <w:szCs w:val="20"/>
          <w:color w:val="auto"/>
        </w:rPr>
      </w:pPr>
    </w:p>
    <w:p>
      <w:pPr>
        <w:ind w:right="200" w:firstLine="255"/>
        <w:spacing w:after="0" w:line="261" w:lineRule="auto"/>
        <w:rPr>
          <w:sz w:val="20"/>
          <w:szCs w:val="20"/>
          <w:color w:val="auto"/>
        </w:rPr>
      </w:pPr>
      <w:r>
        <w:rPr>
          <w:rFonts w:ascii="Times New Roman" w:cs="Times New Roman" w:eastAsia="Times New Roman" w:hAnsi="Times New Roman"/>
          <w:sz w:val="18"/>
          <w:szCs w:val="18"/>
          <w:color w:val="auto"/>
        </w:rPr>
        <w:t>We may borrow amounts in U.S. dollars or certain other permitted currencies. As of March 31, 2024, we had outstanding debt denominated in British pounds of (GBP) 10.3 million, and Euros (EUR) of 10.3 million on our Subscription Facility, included in the outstanding principal amount in the table below. As of December 31, 2023, the Company had outstanding debt denominated in British pounds (GBP) of 10.3 million, and Euros (EUR) of 13.4 million on its Subscription Facility, included in the outstanding principal amount in the table below.</w:t>
      </w:r>
    </w:p>
    <w:p>
      <w:pPr>
        <w:spacing w:after="0" w:line="180" w:lineRule="exact"/>
        <w:rPr>
          <w:sz w:val="20"/>
          <w:szCs w:val="20"/>
          <w:color w:val="auto"/>
        </w:rPr>
      </w:pPr>
    </w:p>
    <w:p>
      <w:pPr>
        <w:ind w:right="380" w:firstLine="255"/>
        <w:spacing w:after="0" w:line="266" w:lineRule="auto"/>
        <w:rPr>
          <w:sz w:val="20"/>
          <w:szCs w:val="20"/>
          <w:color w:val="auto"/>
        </w:rPr>
      </w:pPr>
      <w:r>
        <w:rPr>
          <w:rFonts w:ascii="Times New Roman" w:cs="Times New Roman" w:eastAsia="Times New Roman" w:hAnsi="Times New Roman"/>
          <w:sz w:val="18"/>
          <w:szCs w:val="18"/>
          <w:color w:val="auto"/>
        </w:rPr>
        <w:t>The Subscription Facility also provides for the issuance of letters of credit up to an aggregate amount of 10% of the Maximum Commitment. As of March 31, 2024 and December 31, 2023, we had no outstanding letters of credit issued through the Subscription Facility. The amount available for borrowing under the Subscription Facility is reduced by any letters of credit issued through the Subscription Facility.</w:t>
      </w:r>
    </w:p>
    <w:p>
      <w:pPr>
        <w:spacing w:after="0" w:line="176" w:lineRule="exact"/>
        <w:rPr>
          <w:sz w:val="20"/>
          <w:szCs w:val="20"/>
          <w:color w:val="auto"/>
        </w:rPr>
      </w:pPr>
    </w:p>
    <w:p>
      <w:pPr>
        <w:ind w:right="500" w:firstLine="255"/>
        <w:spacing w:after="0" w:line="282" w:lineRule="auto"/>
        <w:rPr>
          <w:sz w:val="20"/>
          <w:szCs w:val="20"/>
          <w:color w:val="auto"/>
        </w:rPr>
      </w:pPr>
      <w:r>
        <w:rPr>
          <w:rFonts w:ascii="Times New Roman" w:cs="Times New Roman" w:eastAsia="Times New Roman" w:hAnsi="Times New Roman"/>
          <w:sz w:val="18"/>
          <w:szCs w:val="18"/>
          <w:color w:val="auto"/>
        </w:rPr>
        <w:t>The Subscription Facility includes customary events of default, as well as customary covenants, including restrictions on certain distributions and financial covenants.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March 31, 2024 and December 31, 2023, the Company was in compliance with the terms of the Subscription Facility.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On January 19, 2023 (the “Revolving Credit Facility Closing Date”), we entered into a senior secured revolving credit agreement (the “Revolving Credit Facility”) with Truist Bank, as administrative agent, JPMorgan Chase Bank, N.A., Royal Bank of Canada, State Street Bank and Trust Company and Wells Fargo Bank, N.A., as joint lead arrangers, and certain other lenders.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9" w:name="page50"/>
    <w:bookmarkEnd w:id="49"/>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The aggregate commitments under the facility were $600 million and included an uncommitted accordion feature that allows the Company, under certain circumstances, to increase the size of the facility up to $1 billion. On February 28, 2023, the aggregate commitments under the facility were upsized to $700 million. On July 27, 2023, the aggregate commitments under the facility were upsized to $725 million. Pursuant to an amendment to the Revolving Credit Facility dated February 8, 2024 (the “Revolving Credit Facility First Amendment”), the aggregate commitments under the Revolving Credit Facility were upsized to $1.0 billion and the stated maturity date was extended to February 8, 2029. On April 8, 2024, the aggregate commitments under the facility were upsized to $1.2 billion. The facility includes an uncommitted accordion feature that allows the Company, under certain circumstances, to increase the size of the facility to up to $1.75 billion.</w:t>
      </w:r>
    </w:p>
    <w:p>
      <w:pPr>
        <w:spacing w:after="0" w:line="189"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Borrowings under the Revolving Credit Facility, including amounts drawn in respect of letters of credit, bear interest at our election at the time of drawdown, at a rate per annum equal to (i) in the case of loans denominated in dollars, at our option (a) adjusted Term SOFR plus 1.75% or 2.00%, based on certain borrowing base conditions and (b) an alternative base rate plus 1.75% or 2.00%, based on certain borrowing base conditions, (ii) in the case of loans denominated in other permitted currencies at the relevant rate specified plus 1.75% or 2.00%, based on certain borrowing base conditions, plus in the case of amounts denominated in certain other permitted currencies, an adjustment. We also will pay an unused commitment fee of 0.375% per annum on the unused commitments.</w:t>
      </w:r>
    </w:p>
    <w:p>
      <w:pPr>
        <w:spacing w:after="0" w:line="187" w:lineRule="exact"/>
        <w:rPr>
          <w:sz w:val="20"/>
          <w:szCs w:val="20"/>
          <w:color w:val="auto"/>
        </w:rPr>
      </w:pPr>
    </w:p>
    <w:p>
      <w:pPr>
        <w:jc w:val="both"/>
        <w:ind w:right="180" w:firstLine="255"/>
        <w:spacing w:after="0" w:line="261" w:lineRule="auto"/>
        <w:rPr>
          <w:sz w:val="20"/>
          <w:szCs w:val="20"/>
          <w:color w:val="auto"/>
        </w:rPr>
      </w:pPr>
      <w:r>
        <w:rPr>
          <w:rFonts w:ascii="Times New Roman" w:cs="Times New Roman" w:eastAsia="Times New Roman" w:hAnsi="Times New Roman"/>
          <w:sz w:val="18"/>
          <w:szCs w:val="18"/>
          <w:color w:val="auto"/>
        </w:rPr>
        <w:t>We may borrow amounts in U.S. dollars or certain other permitted currencies. As of March 31, 2024, we had outstanding debt denominated in British pounds (GBP) of 60.9 million, Euros (EUR) 81.5 million Swedish Krona (SEK) 78.1 million on its Revolving Credit Facility, included in the outstanding principal amount in the table below. As of December 31, 2023, we had outstanding debt denominated in British pounds (GBP) of 68.7 million and Euros (EUR) 95.7 million on our Revolving Credit Facility, included in the outstanding principal amount in the table below.</w:t>
      </w:r>
    </w:p>
    <w:p>
      <w:pPr>
        <w:spacing w:after="0" w:line="180" w:lineRule="exact"/>
        <w:rPr>
          <w:sz w:val="20"/>
          <w:szCs w:val="20"/>
          <w:color w:val="auto"/>
        </w:rPr>
      </w:pPr>
    </w:p>
    <w:p>
      <w:pPr>
        <w:ind w:right="200" w:firstLine="255"/>
        <w:spacing w:after="0" w:line="261" w:lineRule="auto"/>
        <w:rPr>
          <w:sz w:val="20"/>
          <w:szCs w:val="20"/>
          <w:color w:val="auto"/>
        </w:rPr>
      </w:pPr>
      <w:r>
        <w:rPr>
          <w:rFonts w:ascii="Times New Roman" w:cs="Times New Roman" w:eastAsia="Times New Roman" w:hAnsi="Times New Roman"/>
          <w:sz w:val="18"/>
          <w:szCs w:val="18"/>
          <w:color w:val="auto"/>
        </w:rPr>
        <w:t>The Revolving Credit Facility also provides for the issuance of letters of credit up to an aggregate amount of $175 million. As of March 31, 2024, we had $5.5 million in outstanding letters of credit issued through the Revolving Credit Facility. As of December 31, 2023, the Company had $5.5 million in outstanding letters of credit issued through the Revolving Credit Facility. The amount available for borrowing under the Revolving Credit Facility is reduced by any letters of credit issued through the Revolving Credit Facility.</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Revolving Credit Facility includes customary events of default (with customary cure and notice provisions).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further details, see Note 7 "Debt - Revolving Credit Facility" to our consolidated financial statements included in this Annual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2029 Notes</w:t>
      </w:r>
    </w:p>
    <w:p>
      <w:pPr>
        <w:spacing w:after="0" w:line="119"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On March 4, 2024, we issued $600 million aggregate principal amount of unsecured notes that mature on March 11, 2029 (the “2029 Notes”). The principal amount of the 2029 Notes is payable at maturity. The 2029 Notes bear interest at a rate of 6.50% per year, payable semi-annually commencing on September 11, 2024, and may be redeemed in whole or in part at our option at any time at par plus a “make whole” premium. Total proceeds from the issuance of the 2029 Notes, net of underwriting discounts, offering costs and original issue discount, were $586.0 million. We used the net proceeds of the 2029 Notes to repay outstanding indebtedness under the Revolving Credit Facility and Subscription Facility.</w:t>
      </w:r>
    </w:p>
    <w:p>
      <w:pPr>
        <w:spacing w:after="0" w:line="75" w:lineRule="exact"/>
        <w:rPr>
          <w:sz w:val="20"/>
          <w:szCs w:val="20"/>
          <w:color w:val="auto"/>
        </w:rPr>
      </w:pPr>
    </w:p>
    <w:p>
      <w:pPr>
        <w:jc w:val="both"/>
        <w:ind w:right="100" w:firstLine="255"/>
        <w:spacing w:after="0" w:line="266" w:lineRule="auto"/>
        <w:rPr>
          <w:sz w:val="20"/>
          <w:szCs w:val="20"/>
          <w:color w:val="auto"/>
        </w:rPr>
      </w:pPr>
      <w:r>
        <w:rPr>
          <w:rFonts w:ascii="Times New Roman" w:cs="Times New Roman" w:eastAsia="Times New Roman" w:hAnsi="Times New Roman"/>
          <w:sz w:val="18"/>
          <w:szCs w:val="18"/>
          <w:color w:val="auto"/>
        </w:rPr>
        <w:t>We entered into an interest rate swap to align the interest rates of our liabilities with our investment portfolio, which consists of predominately floating rate loans. The notional amount of the interest rate swap is $600 million, which matures on March 11, 2029, matching the maturity date of the 2029 Notes. As a result of the swap, the Company’s effective interest rate on the 2029 Notes is SOFR plus 2.51%.</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Debt obligations consisted of the following as of March 31, 2024 and December 31,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39"/>
        </w:trPr>
        <w:tc>
          <w:tcPr>
            <w:tcW w:w="9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420"/>
              <w:spacing w:after="0" w:line="139" w:lineRule="exact"/>
              <w:rPr>
                <w:sz w:val="20"/>
                <w:szCs w:val="20"/>
                <w:color w:val="auto"/>
              </w:rPr>
            </w:pPr>
            <w:r>
              <w:rPr>
                <w:rFonts w:ascii="Times New Roman" w:cs="Times New Roman" w:eastAsia="Times New Roman" w:hAnsi="Times New Roman"/>
                <w:sz w:val="14"/>
                <w:szCs w:val="14"/>
                <w:b w:val="1"/>
                <w:bCs w:val="1"/>
                <w:color w:val="auto"/>
              </w:rPr>
              <w:t>Aggregate Principal</w:t>
            </w:r>
          </w:p>
        </w:tc>
        <w:tc>
          <w:tcPr>
            <w:tcW w:w="200" w:type="dxa"/>
            <w:vAlign w:val="bottom"/>
          </w:tcPr>
          <w:p>
            <w:pPr>
              <w:spacing w:after="0"/>
              <w:rPr>
                <w:sz w:val="12"/>
                <w:szCs w:val="12"/>
                <w:color w:val="auto"/>
              </w:rPr>
            </w:pPr>
          </w:p>
        </w:tc>
        <w:tc>
          <w:tcPr>
            <w:tcW w:w="1140" w:type="dxa"/>
            <w:vAlign w:val="bottom"/>
          </w:tcPr>
          <w:p>
            <w:pPr>
              <w:jc w:val="right"/>
              <w:ind w:right="198"/>
              <w:spacing w:after="0" w:line="13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ind w:right="336"/>
              <w:spacing w:after="0" w:line="13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256"/>
              <w:spacing w:after="0" w:line="13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06"/>
        </w:trPr>
        <w:tc>
          <w:tcPr>
            <w:tcW w:w="9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36"/>
              <w:spacing w:after="0" w:line="206" w:lineRule="exact"/>
              <w:rPr>
                <w:sz w:val="20"/>
                <w:szCs w:val="20"/>
                <w:color w:val="auto"/>
              </w:rPr>
            </w:pPr>
            <w:r>
              <w:rPr>
                <w:rFonts w:ascii="Times New Roman" w:cs="Times New Roman" w:eastAsia="Times New Roman" w:hAnsi="Times New Roman"/>
                <w:sz w:val="14"/>
                <w:szCs w:val="14"/>
                <w:b w:val="1"/>
                <w:bCs w:val="1"/>
                <w:color w:val="auto"/>
              </w:rPr>
              <w:t xml:space="preserve">Available </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96"/>
              <w:spacing w:after="0" w:line="206" w:lineRule="exact"/>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9"/>
                <w:szCs w:val="19"/>
                <w:b w:val="1"/>
                <w:bCs w:val="1"/>
                <w:color w:val="auto"/>
                <w:vertAlign w:val="superscript"/>
              </w:rPr>
              <w:t>(2)</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7"/>
        </w:trPr>
        <w:tc>
          <w:tcPr>
            <w:tcW w:w="920" w:type="dxa"/>
            <w:vAlign w:val="bottom"/>
          </w:tcPr>
          <w:p>
            <w:pPr>
              <w:spacing w:after="0"/>
              <w:rPr>
                <w:sz w:val="20"/>
                <w:szCs w:val="20"/>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Facility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80" w:type="dxa"/>
            <w:vAlign w:val="bottom"/>
            <w:shd w:val="clear" w:color="auto" w:fill="CFF0FC"/>
          </w:tcPr>
          <w:p>
            <w:pPr>
              <w:spacing w:after="0"/>
              <w:rPr>
                <w:sz w:val="20"/>
                <w:szCs w:val="20"/>
                <w:color w:val="auto"/>
              </w:rPr>
            </w:pPr>
          </w:p>
        </w:tc>
        <w:tc>
          <w:tcPr>
            <w:tcW w:w="900" w:type="dxa"/>
            <w:vAlign w:val="bottom"/>
          </w:tcPr>
          <w:p>
            <w:pPr>
              <w:spacing w:after="0"/>
              <w:rPr>
                <w:sz w:val="20"/>
                <w:szCs w:val="20"/>
                <w:color w:val="auto"/>
              </w:rPr>
            </w:pPr>
          </w:p>
        </w:tc>
      </w:tr>
      <w:tr>
        <w:trPr>
          <w:trHeight w:val="239"/>
        </w:trPr>
        <w:tc>
          <w:tcPr>
            <w:tcW w:w="9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3"/>
        </w:trPr>
        <w:tc>
          <w:tcPr>
            <w:tcW w:w="920" w:type="dxa"/>
            <w:vAlign w:val="bottom"/>
          </w:tcPr>
          <w:p>
            <w:pPr>
              <w:spacing w:after="0"/>
              <w:rPr>
                <w:sz w:val="21"/>
                <w:szCs w:val="21"/>
                <w:color w:val="auto"/>
              </w:rPr>
            </w:pPr>
          </w:p>
        </w:tc>
        <w:tc>
          <w:tcPr>
            <w:tcW w:w="3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 Notes</w:t>
            </w:r>
          </w:p>
        </w:tc>
        <w:tc>
          <w:tcPr>
            <w:tcW w:w="14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80" w:type="dxa"/>
            <w:vAlign w:val="bottom"/>
            <w:tcBorders>
              <w:bottom w:val="single" w:sz="8" w:color="CFF0FC"/>
            </w:tcBorders>
            <w:shd w:val="clear" w:color="auto" w:fill="CFF0FC"/>
          </w:tcPr>
          <w:p>
            <w:pPr>
              <w:spacing w:after="0"/>
              <w:rPr>
                <w:sz w:val="21"/>
                <w:szCs w:val="21"/>
                <w:color w:val="auto"/>
              </w:rPr>
            </w:pPr>
          </w:p>
        </w:tc>
        <w:tc>
          <w:tcPr>
            <w:tcW w:w="900" w:type="dxa"/>
            <w:vAlign w:val="bottom"/>
          </w:tcPr>
          <w:p>
            <w:pPr>
              <w:spacing w:after="0"/>
              <w:rPr>
                <w:sz w:val="21"/>
                <w:szCs w:val="21"/>
                <w:color w:val="auto"/>
              </w:rPr>
            </w:pPr>
          </w:p>
        </w:tc>
      </w:tr>
      <w:tr>
        <w:trPr>
          <w:trHeight w:val="239"/>
        </w:trPr>
        <w:tc>
          <w:tcPr>
            <w:tcW w:w="920" w:type="dxa"/>
            <w:vAlign w:val="bottom"/>
          </w:tcPr>
          <w:p>
            <w:pPr>
              <w:spacing w:after="0"/>
              <w:rPr>
                <w:sz w:val="20"/>
                <w:szCs w:val="20"/>
                <w:color w:val="auto"/>
              </w:rPr>
            </w:pPr>
          </w:p>
        </w:tc>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2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1,935.9</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1,158.6</w:t>
            </w:r>
          </w:p>
        </w:tc>
        <w:tc>
          <w:tcPr>
            <w:tcW w:w="2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1,910.9</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0"/>
        </w:trPr>
        <w:tc>
          <w:tcPr>
            <w:tcW w:w="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631"/>
        </w:trPr>
        <w:tc>
          <w:tcPr>
            <w:tcW w:w="9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-1096645</wp:posOffset>
            </wp:positionV>
            <wp:extent cx="596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-1096645</wp:posOffset>
            </wp:positionV>
            <wp:extent cx="6032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-1096645</wp:posOffset>
            </wp:positionV>
            <wp:extent cx="6032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-1096645</wp:posOffset>
            </wp:positionV>
            <wp:extent cx="5143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0" w:name="page51"/>
    <w:bookmarkEnd w:id="50"/>
    <w:p>
      <w:pPr>
        <w:ind w:left="520" w:right="420" w:hanging="512"/>
        <w:spacing w:after="0" w:line="273"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Subscription Facility, the Revolving Credit Facility, outstanding letters of credit issued and asset coverage requirements.</w:t>
      </w:r>
    </w:p>
    <w:p>
      <w:pPr>
        <w:spacing w:after="0" w:line="1" w:lineRule="exact"/>
        <w:rPr>
          <w:rFonts w:ascii="Times New Roman" w:cs="Times New Roman" w:eastAsia="Times New Roman" w:hAnsi="Times New Roman"/>
          <w:sz w:val="18"/>
          <w:szCs w:val="18"/>
          <w:color w:val="auto"/>
        </w:rPr>
      </w:pPr>
    </w:p>
    <w:p>
      <w:pPr>
        <w:ind w:left="520" w:right="120" w:hanging="512"/>
        <w:spacing w:after="0" w:line="266"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Subscription Facility, the Revolving Credit Facility and the 2029 Notes are presented net of deferred financing costs and original issue discounts of $2.3 million, $7.9 million, and $13.8 respectively.</w:t>
      </w:r>
    </w:p>
    <w:p>
      <w:pPr>
        <w:ind w:left="520" w:right="2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2029 Notes is presented inclusive of an incremental $(0.9) million, which represents an adjustment in the carrying value of the 2029 Notes, each resulting from a hedge accounting relationship.</w:t>
      </w:r>
    </w:p>
    <w:p>
      <w:pPr>
        <w:spacing w:after="0" w:line="209"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3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9"/>
        </w:trPr>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jc w:val="right"/>
              <w:ind w:right="177"/>
              <w:spacing w:after="0" w:line="139" w:lineRule="exact"/>
              <w:rPr>
                <w:sz w:val="20"/>
                <w:szCs w:val="20"/>
                <w:color w:val="auto"/>
              </w:rPr>
            </w:pPr>
            <w:r>
              <w:rPr>
                <w:rFonts w:ascii="Times New Roman" w:cs="Times New Roman" w:eastAsia="Times New Roman" w:hAnsi="Times New Roman"/>
                <w:sz w:val="14"/>
                <w:szCs w:val="14"/>
                <w:b w:val="1"/>
                <w:bCs w:val="1"/>
                <w:color w:val="auto"/>
              </w:rPr>
              <w:t>Aggregate Principal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ind w:right="199"/>
              <w:spacing w:after="0" w:line="13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ind w:right="337"/>
              <w:spacing w:after="0" w:line="13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277"/>
              <w:spacing w:after="0" w:line="13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r>
      <w:tr>
        <w:trPr>
          <w:trHeight w:val="206"/>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37"/>
              <w:spacing w:after="0" w:line="206" w:lineRule="exact"/>
              <w:rPr>
                <w:sz w:val="20"/>
                <w:szCs w:val="20"/>
                <w:color w:val="auto"/>
              </w:rPr>
            </w:pPr>
            <w:r>
              <w:rPr>
                <w:rFonts w:ascii="Times New Roman" w:cs="Times New Roman" w:eastAsia="Times New Roman" w:hAnsi="Times New Roman"/>
                <w:sz w:val="14"/>
                <w:szCs w:val="14"/>
                <w:b w:val="1"/>
                <w:bCs w:val="1"/>
                <w:color w:val="auto"/>
                <w:w w:val="95"/>
              </w:rPr>
              <w:t xml:space="preserve">Available </w:t>
            </w:r>
            <w:r>
              <w:rPr>
                <w:rFonts w:ascii="Times New Roman" w:cs="Times New Roman" w:eastAsia="Times New Roman" w:hAnsi="Times New Roman"/>
                <w:sz w:val="19"/>
                <w:szCs w:val="19"/>
                <w:b w:val="1"/>
                <w:bCs w:val="1"/>
                <w:color w:val="auto"/>
                <w:w w:val="95"/>
                <w:vertAlign w:val="superscript"/>
              </w:rPr>
              <w:t>(1)</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7"/>
              <w:spacing w:after="0" w:line="206" w:lineRule="exact"/>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9"/>
                <w:szCs w:val="19"/>
                <w:b w:val="1"/>
                <w:bCs w:val="1"/>
                <w:color w:val="auto"/>
                <w:vertAlign w:val="superscript"/>
              </w:rPr>
              <w:t>(2)</w:t>
            </w:r>
          </w:p>
        </w:tc>
        <w:tc>
          <w:tcPr>
            <w:tcW w:w="100" w:type="dxa"/>
            <w:vAlign w:val="bottom"/>
          </w:tcPr>
          <w:p>
            <w:pPr>
              <w:spacing w:after="0"/>
              <w:rPr>
                <w:sz w:val="17"/>
                <w:szCs w:val="17"/>
                <w:color w:val="auto"/>
              </w:rPr>
            </w:pPr>
          </w:p>
        </w:tc>
      </w:tr>
      <w:tr>
        <w:trPr>
          <w:trHeight w:val="237"/>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Facility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4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100" w:type="dxa"/>
            <w:vAlign w:val="bottom"/>
            <w:shd w:val="clear" w:color="auto" w:fill="CFF0FC"/>
          </w:tcPr>
          <w:p>
            <w:pPr>
              <w:spacing w:after="0"/>
              <w:rPr>
                <w:sz w:val="20"/>
                <w:szCs w:val="20"/>
                <w:color w:val="auto"/>
              </w:rPr>
            </w:pPr>
          </w:p>
        </w:tc>
      </w:tr>
      <w:tr>
        <w:trPr>
          <w:trHeight w:val="23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Pr>
          <w:p>
            <w:pPr>
              <w:spacing w:after="0"/>
              <w:rPr>
                <w:sz w:val="20"/>
                <w:szCs w:val="20"/>
                <w:color w:val="auto"/>
              </w:rPr>
            </w:pPr>
          </w:p>
        </w:tc>
      </w:tr>
      <w:tr>
        <w:trPr>
          <w:trHeight w:val="281"/>
        </w:trPr>
        <w:tc>
          <w:tcPr>
            <w:tcW w:w="31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1,248.0</w:t>
            </w: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-24765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-7620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-24765</wp:posOffset>
            </wp:positionV>
            <wp:extent cx="603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-7620</wp:posOffset>
            </wp:positionV>
            <wp:extent cx="603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603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03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right="140" w:hanging="512"/>
        <w:spacing w:after="0" w:line="261"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Subscription Facility, the Revolving Credit Facility and asset coverage requirements.</w:t>
      </w:r>
    </w:p>
    <w:p>
      <w:pPr>
        <w:ind w:left="520" w:hanging="512"/>
        <w:spacing w:after="0" w:line="260"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Subscription Facility and the Revolving Credit Facility are presented net deferred financing costs of $3.7 million and $4.5 million, respectively.</w:t>
      </w:r>
    </w:p>
    <w:p>
      <w:pPr>
        <w:spacing w:after="0" w:line="181" w:lineRule="exact"/>
        <w:rPr>
          <w:sz w:val="20"/>
          <w:szCs w:val="20"/>
          <w:color w:val="auto"/>
        </w:rPr>
      </w:pPr>
    </w:p>
    <w:p>
      <w:pPr>
        <w:ind w:right="1940" w:firstLine="255"/>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w:t>
      </w:r>
    </w:p>
    <w:p>
      <w:pPr>
        <w:spacing w:after="0" w:line="162" w:lineRule="exact"/>
        <w:rPr>
          <w:sz w:val="20"/>
          <w:szCs w:val="20"/>
          <w:color w:val="auto"/>
        </w:rPr>
      </w:pPr>
    </w:p>
    <w:p>
      <w:pPr>
        <w:ind w:right="320" w:firstLine="255"/>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we were in compliance with the terms of our debt arrangements. We intend to continue to utilize our Credit Facilities to fund investments and for other general corporate purposes.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Company Commitments</w:t>
      </w:r>
    </w:p>
    <w:p>
      <w:pPr>
        <w:spacing w:after="0" w:line="121"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March 31, 2024 and December 31, 2023 we had the following commitments to fund investments in current portfolio companies: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r>
      <w:tr>
        <w:trPr>
          <w:trHeight w:val="23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Alaska Bidco Oy - Delayed Draw &amp; Revolver</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FF0FC"/>
          </w:tcPr>
          <w:p>
            <w:pPr>
              <w:spacing w:after="0"/>
              <w:rPr>
                <w:sz w:val="20"/>
                <w:szCs w:val="20"/>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Aptean, Inc. - Delayed Draw &amp; Revolver</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Arrow Buyer, Inc. - Delayed Draw</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shd w:val="clear" w:color="auto" w:fill="CFF0FC"/>
          </w:tcPr>
          <w:p>
            <w:pPr>
              <w:spacing w:after="0"/>
              <w:rPr>
                <w:sz w:val="21"/>
                <w:szCs w:val="2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Artisan Bidco, Inc. - Revolver</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20"/>
                <w:szCs w:val="20"/>
                <w:color w:val="auto"/>
              </w:rPr>
            </w:pP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Avalara, Inc. - Revolver</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FF0FC"/>
          </w:tcPr>
          <w:p>
            <w:pPr>
              <w:spacing w:after="0"/>
              <w:rPr>
                <w:sz w:val="21"/>
                <w:szCs w:val="2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Azurite Intermediate Holdings, Inc - Delayed Draw, Revolver &amp; Equity</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Babylon Finco Limited - Delayed Draw</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Banyan Software Holdings, LLC - Delayed Draw</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20"/>
                <w:szCs w:val="20"/>
                <w:color w:val="auto"/>
              </w:rPr>
            </w:pP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BCTO Bluebill Buyer, Inc. - Delayed Draw</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21"/>
                <w:szCs w:val="2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Ben Nevis Midco Limited - Delayed Draw</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BTRS Holdings, Inc. - Delayed Draw &amp; Revolver</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FF0FC"/>
          </w:tcPr>
          <w:p>
            <w:pPr>
              <w:spacing w:after="0"/>
              <w:rPr>
                <w:sz w:val="21"/>
                <w:szCs w:val="2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Coupa Holdings, LLC - Delayed Draw &amp; Revolver</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20"/>
                <w:szCs w:val="20"/>
                <w:color w:val="auto"/>
              </w:rPr>
            </w:pP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Crewline Buyer, Inc. - Revolver &amp; Equity</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FF0FC"/>
          </w:tcPr>
          <w:p>
            <w:pPr>
              <w:spacing w:after="0"/>
              <w:rPr>
                <w:sz w:val="21"/>
                <w:szCs w:val="2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Disco Parent, Inc. - Revolver</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0"/>
                <w:szCs w:val="20"/>
                <w:color w:val="auto"/>
              </w:rPr>
            </w:pP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Edge Bidco B.V. - Delayed Draw &amp; Revolver</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21"/>
                <w:szCs w:val="2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Erling Lux Bidco SARL - Delayed Draw &amp; Revolver</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0"/>
                <w:szCs w:val="20"/>
                <w:color w:val="auto"/>
              </w:rPr>
            </w:pP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Fullsteam Operations, LLC - Delayed Draw &amp; Revolver</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FF0FC"/>
          </w:tcPr>
          <w:p>
            <w:pPr>
              <w:spacing w:after="0"/>
              <w:rPr>
                <w:sz w:val="21"/>
                <w:szCs w:val="2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Galileo Parent Inc - Revolver</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20"/>
                <w:szCs w:val="20"/>
                <w:color w:val="auto"/>
              </w:rPr>
            </w:pP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Heritage Environmental Services, Inc. - Revolver</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Hippo XPA Bidco AB - Delayed Draw &amp; Revolver</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Hirevue, Inc. - Revolver</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FF0FC"/>
          </w:tcPr>
          <w:p>
            <w:pPr>
              <w:spacing w:after="0"/>
              <w:rPr>
                <w:sz w:val="21"/>
                <w:szCs w:val="2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Hornetsecurity Holding GmbH - Delayed Draw &amp; Revolver</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0"/>
                <w:szCs w:val="20"/>
                <w:color w:val="auto"/>
              </w:rPr>
            </w:pP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Kangaroo Bidco AS - Delayed Draw</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shd w:val="clear" w:color="auto" w:fill="CFF0FC"/>
          </w:tcPr>
          <w:p>
            <w:pPr>
              <w:spacing w:after="0"/>
              <w:rPr>
                <w:sz w:val="21"/>
                <w:szCs w:val="2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Laramie Energy, LLC - Delayed Draw</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20"/>
                <w:szCs w:val="20"/>
                <w:color w:val="auto"/>
              </w:rPr>
            </w:pP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OutSystems Luxco SARL - Delayed Draw</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FF0FC"/>
          </w:tcPr>
          <w:p>
            <w:pPr>
              <w:spacing w:after="0"/>
              <w:rPr>
                <w:sz w:val="21"/>
                <w:szCs w:val="2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PDI TA Holdings, Inc. - Delayed Draw &amp; Revolver</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Ping Identity Holding Corp. - Revolver</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FF0FC"/>
          </w:tcPr>
          <w:p>
            <w:pPr>
              <w:spacing w:after="0"/>
              <w:rPr>
                <w:sz w:val="21"/>
                <w:szCs w:val="2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Rapid Data GmbH Unternehmensberatung - Delayed Draw &amp; Revolver</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0"/>
                <w:szCs w:val="20"/>
                <w:color w:val="auto"/>
              </w:rPr>
            </w:pP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SkyLark UK DebtCo Limited - Delayed Draw</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shd w:val="clear" w:color="auto" w:fill="CFF0FC"/>
          </w:tcPr>
          <w:p>
            <w:pPr>
              <w:spacing w:after="0"/>
              <w:rPr>
                <w:sz w:val="21"/>
                <w:szCs w:val="2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SL Buyer Corp - Delayed Draw</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Truck-Lite Co., LLC - Delayed Draw &amp; Revolver</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Wrangler TopCo, LLC - Revolver</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1"/>
                <w:szCs w:val="21"/>
                <w:color w:val="auto"/>
              </w:rPr>
            </w:pPr>
          </w:p>
        </w:tc>
      </w:tr>
      <w:tr>
        <w:trPr>
          <w:trHeight w:val="256"/>
        </w:trPr>
        <w:tc>
          <w:tcPr>
            <w:tcW w:w="5560" w:type="dxa"/>
            <w:vAlign w:val="bottom"/>
            <w:shd w:val="clear" w:color="auto" w:fill="CFF0FC"/>
          </w:tcPr>
          <w:p>
            <w:pPr>
              <w:ind w:left="180"/>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Total Portfolio Company Commitments </w:t>
            </w:r>
            <w:r>
              <w:rPr>
                <w:rFonts w:ascii="Times New Roman" w:cs="Times New Roman" w:eastAsia="Times New Roman" w:hAnsi="Times New Roman"/>
                <w:sz w:val="24"/>
                <w:szCs w:val="24"/>
                <w:b w:val="1"/>
                <w:bCs w:val="1"/>
                <w:color w:val="auto"/>
                <w:vertAlign w:val="superscript"/>
              </w:rPr>
              <w:t>(1)(2)</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80" w:type="dxa"/>
            <w:vAlign w:val="bottom"/>
            <w:shd w:val="clear" w:color="auto" w:fill="CFF0FC"/>
          </w:tcPr>
          <w:p>
            <w:pPr>
              <w:spacing w:after="0"/>
              <w:rPr>
                <w:sz w:val="22"/>
                <w:szCs w:val="22"/>
                <w:color w:val="auto"/>
              </w:rPr>
            </w:pPr>
          </w:p>
        </w:tc>
      </w:tr>
      <w:tr>
        <w:trPr>
          <w:trHeight w:val="20"/>
        </w:trPr>
        <w:tc>
          <w:tcPr>
            <w:tcW w:w="55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6032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032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left="520" w:right="260" w:hanging="512"/>
        <w:spacing w:after="0" w:line="266"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ind w:left="520" w:right="66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 of the fair value of the current investments in these portfolio companies includes an analysis of the fair value of any unfunded commitments.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21"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we did not have any unfunded commitments to fund investments to new borrowers that were not current portfolio companies as of such date.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52" w:name="page53"/>
    <w:bookmarkEnd w:id="52"/>
    <w:p>
      <w:pPr>
        <w:jc w:val="center"/>
        <w:ind w:right="440"/>
        <w:spacing w:after="0" w:line="282" w:lineRule="auto"/>
        <w:rPr>
          <w:sz w:val="20"/>
          <w:szCs w:val="20"/>
          <w:color w:val="auto"/>
        </w:rPr>
      </w:pPr>
      <w:r>
        <w:rPr>
          <w:rFonts w:ascii="Times New Roman" w:cs="Times New Roman" w:eastAsia="Times New Roman" w:hAnsi="Times New Roman"/>
          <w:sz w:val="18"/>
          <w:szCs w:val="18"/>
          <w:color w:val="auto"/>
        </w:rPr>
        <w:t>From time to time, we may become a party to certain legal proceedings incidental to the normal course of our business. As of March 31, 2024, management is not aware of any material pending or threatened litigation that would require accounting recognition or financial statement disclosure.</w:t>
      </w:r>
    </w:p>
    <w:p>
      <w:pPr>
        <w:spacing w:after="0" w:line="162"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62"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or its affiliates for the allocable portion (subject to the review and approval of our Board) of expenses incurred by it in performing its obligations under the Administration Agreement, and the fees and expenses associated with performing compliance functions. Such reimbursable amounts include the allocable portion of the compensation of our Chief Compliance Officer, Chief Financial Officer and other professionals who provide operational and administrative services to us pursuant to the Administration Agreement. We reimburse the Adviser (or its affiliates) for the allocable portion of the compensation paid by the Adviser (or its affiliates) to such individuals based on a percentage of time those individuals devote, on an estimated basis, to our business and affairs. We may also reimburse the Adviser or its affiliates for the allocable portion of overhead expenses (including rent, office equipment and utilities) attributable thereto. Our Adviser also offers on our behalf significant managerial assistance to those portfolio companies to which we are required to offer to provide such assistance.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our contractual payment obligations as of March 31, 2024 is as follows:</w:t>
      </w:r>
    </w:p>
    <w:p>
      <w:pPr>
        <w:spacing w:after="0" w:line="232" w:lineRule="exact"/>
        <w:rPr>
          <w:sz w:val="20"/>
          <w:szCs w:val="20"/>
          <w:color w:val="auto"/>
        </w:rPr>
      </w:pPr>
    </w:p>
    <w:tbl>
      <w:tblPr>
        <w:tblLayout w:type="fixed"/>
        <w:tblInd w:w="1020" w:type="dxa"/>
        <w:tblCellMar>
          <w:top w:w="0" w:type="dxa"/>
          <w:left w:w="0" w:type="dxa"/>
          <w:bottom w:w="0" w:type="dxa"/>
          <w:right w:w="0" w:type="dxa"/>
        </w:tblCellMar>
      </w:tblPr>
      <w:tr>
        <w:trPr>
          <w:trHeight w:val="187"/>
        </w:trPr>
        <w:tc>
          <w:tcPr>
            <w:tcW w:w="3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58"/>
        </w:trPr>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78"/>
              <w:spacing w:after="0" w:line="158"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7"/>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3-5 years</w:t>
            </w:r>
          </w:p>
        </w:tc>
        <w:tc>
          <w:tcPr>
            <w:tcW w:w="200" w:type="dxa"/>
            <w:vAlign w:val="bottom"/>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After 5 years</w:t>
            </w:r>
          </w:p>
        </w:tc>
        <w:tc>
          <w:tcPr>
            <w:tcW w:w="80" w:type="dxa"/>
            <w:vAlign w:val="bottom"/>
          </w:tcPr>
          <w:p>
            <w:pPr>
              <w:spacing w:after="0"/>
              <w:rPr>
                <w:sz w:val="16"/>
                <w:szCs w:val="16"/>
                <w:color w:val="auto"/>
              </w:rPr>
            </w:pPr>
          </w:p>
        </w:tc>
      </w:tr>
      <w:tr>
        <w:trPr>
          <w:trHeight w:val="236"/>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Subscription Facility</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2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1,397.3</w:t>
            </w:r>
          </w:p>
        </w:tc>
        <w:tc>
          <w:tcPr>
            <w:tcW w:w="6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-187960</wp:posOffset>
            </wp:positionV>
            <wp:extent cx="596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603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-187960</wp:posOffset>
            </wp:positionV>
            <wp:extent cx="514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-187960</wp:posOffset>
            </wp:positionV>
            <wp:extent cx="514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-187960</wp:posOffset>
            </wp:positionV>
            <wp:extent cx="514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We have elected and qualified to be treated for U.S. federal income tax purposes as a RIC under subchapter M of the Code. To maintain RIC status, we must distribute (or be treated as distributing) in each taxable year dividends for tax purposes equal to at least 90 percent of the sum of our:</w:t>
      </w:r>
    </w:p>
    <w:p>
      <w:pPr>
        <w:spacing w:after="0" w:line="54" w:lineRule="exact"/>
        <w:rPr>
          <w:sz w:val="20"/>
          <w:szCs w:val="20"/>
          <w:color w:val="auto"/>
        </w:rPr>
      </w:pPr>
    </w:p>
    <w:p>
      <w:pPr>
        <w:ind w:left="520" w:right="220" w:hanging="257"/>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3" w:lineRule="exact"/>
        <w:rPr>
          <w:rFonts w:ascii="Times New Roman" w:cs="Times New Roman" w:eastAsia="Times New Roman" w:hAnsi="Times New Roman"/>
          <w:sz w:val="18"/>
          <w:szCs w:val="18"/>
          <w:color w:val="auto"/>
        </w:rPr>
      </w:pPr>
    </w:p>
    <w:p>
      <w:pPr>
        <w:ind w:left="520" w:right="280" w:hanging="257"/>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tax-exempt interest income (which is the excess of our gross tax-exempt interest income over certain disallowed deductions) for such taxable year.</w:t>
      </w:r>
    </w:p>
    <w:p>
      <w:pPr>
        <w:spacing w:after="0" w:line="162"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As a RIC, we (but not our shareholders) generally will not be subject to U.S. federal income tax on investment company taxable income and net capital gains that we distribute to our shareholders.</w:t>
      </w:r>
    </w:p>
    <w:p>
      <w:pPr>
        <w:spacing w:after="0" w:line="162" w:lineRule="exact"/>
        <w:rPr>
          <w:sz w:val="20"/>
          <w:szCs w:val="20"/>
          <w:color w:val="auto"/>
        </w:rPr>
      </w:pPr>
    </w:p>
    <w:p>
      <w:pPr>
        <w:jc w:val="both"/>
        <w:ind w:right="240" w:firstLine="255"/>
        <w:spacing w:after="0" w:line="266" w:lineRule="auto"/>
        <w:rPr>
          <w:sz w:val="20"/>
          <w:szCs w:val="20"/>
          <w:color w:val="auto"/>
        </w:rPr>
      </w:pPr>
      <w:r>
        <w:rPr>
          <w:rFonts w:ascii="Times New Roman" w:cs="Times New Roman" w:eastAsia="Times New Roman" w:hAnsi="Times New Roman"/>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76" w:lineRule="exact"/>
        <w:rPr>
          <w:sz w:val="20"/>
          <w:szCs w:val="20"/>
          <w:color w:val="auto"/>
        </w:rPr>
      </w:pPr>
    </w:p>
    <w:p>
      <w:pPr>
        <w:jc w:val="both"/>
        <w:ind w:right="140" w:firstLine="255"/>
        <w:spacing w:after="0" w:line="266" w:lineRule="auto"/>
        <w:rPr>
          <w:sz w:val="20"/>
          <w:szCs w:val="20"/>
          <w:color w:val="auto"/>
        </w:rPr>
      </w:pPr>
      <w:r>
        <w:rPr>
          <w:rFonts w:ascii="Times New Roman" w:cs="Times New Roman" w:eastAsia="Times New Roman" w:hAnsi="Times New Roman"/>
          <w:sz w:val="18"/>
          <w:szCs w:val="18"/>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68" w:lineRule="exact"/>
        <w:rPr>
          <w:sz w:val="20"/>
          <w:szCs w:val="20"/>
          <w:color w:val="auto"/>
        </w:rPr>
      </w:pPr>
    </w:p>
    <w:p>
      <w:pPr>
        <w:ind w:left="520" w:hanging="257"/>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or losses for that calendar year;</w:t>
      </w:r>
    </w:p>
    <w:p>
      <w:pPr>
        <w:spacing w:after="0" w:line="117" w:lineRule="exact"/>
        <w:rPr>
          <w:rFonts w:ascii="Times New Roman" w:cs="Times New Roman" w:eastAsia="Times New Roman" w:hAnsi="Times New Roman"/>
          <w:sz w:val="18"/>
          <w:szCs w:val="18"/>
          <w:color w:val="auto"/>
        </w:rPr>
      </w:pPr>
    </w:p>
    <w:p>
      <w:pPr>
        <w:ind w:left="520" w:right="140" w:hanging="257"/>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that calendar year; and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3" w:name="page54"/>
    <w:bookmarkEnd w:id="53"/>
    <w:p>
      <w:pPr>
        <w:ind w:left="520" w:hanging="257"/>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76" w:lineRule="exact"/>
        <w:rPr>
          <w:sz w:val="20"/>
          <w:szCs w:val="20"/>
          <w:color w:val="auto"/>
        </w:rPr>
      </w:pPr>
    </w:p>
    <w:p>
      <w:pPr>
        <w:jc w:val="both"/>
        <w:ind w:right="220" w:firstLine="255"/>
        <w:spacing w:after="0" w:line="266" w:lineRule="auto"/>
        <w:rPr>
          <w:sz w:val="20"/>
          <w:szCs w:val="20"/>
          <w:color w:val="auto"/>
        </w:rPr>
      </w:pPr>
      <w:r>
        <w:rPr>
          <w:rFonts w:ascii="Times New Roman" w:cs="Times New Roman" w:eastAsia="Times New Roman" w:hAnsi="Times New Roman"/>
          <w:sz w:val="18"/>
          <w:szCs w:val="18"/>
          <w:color w:val="auto"/>
        </w:rPr>
        <w:t>We intend to pay quarterly dividends to our shareholders out of assets legally available for distribution. All dividends will be paid at the discretion of our Board and will depend on our earnings, financial condition, maintenance of RIC status, compliance with applicable BDC regulations and such other factors as our Board may deem relevant from time to time.</w:t>
      </w:r>
    </w:p>
    <w:p>
      <w:pPr>
        <w:spacing w:after="0" w:line="176"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To the extent our current taxable earnings for a year fall below the total amount of our distributions for that year, a portion of those distributions may be deemed a return of capital to our shareholders for U.S. federal income tax purposes. Thus, the source of a distribution to our shareholders may be the original capital invested by the shareholder rather than our income or gains. Shareholders should read any written disclosure carefully and should not assume that the source of any distribution is our ordinary income or gains.</w:t>
      </w:r>
    </w:p>
    <w:p>
      <w:pPr>
        <w:spacing w:after="0" w:line="180"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We have adopted an “opt out” dividend reinvestment plan for our common shareholders. As a result, if we declare a cash dividend or other distribution, each shareholder that has not “opted out” of our dividend reinvestment plan will have their dividends or distributions automatically reinvested in additional shares of our Common Shares rather than receiving cash dividends. Shareholders who receive distributions in the form of Common Shares will be subject to the same U.S. federal, state and local tax consequences as if they received cash distributions.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Related-Party Transactions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7"/>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Advisory Agreement;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and estimates, including those relating to the valuation of our investment portfolio, are described in our Annual Report on Form 10-K for the fiscal year ended December 31, 2023, filed with the SEC on February 16, 2024, and elsewhere in our filings with the SEC. The critical accounting policies and estimates should be read in connection with our risk factors discussed in Part I, “Item 1A. Risk Factors” in our Annual Report on Form 10-K for the fiscal year ended December 31,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are subject to financial market risks, including valuation risk, interest rate risk and currency risk.</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Valuation Risk</w:t>
      </w:r>
    </w:p>
    <w:p>
      <w:pPr>
        <w:spacing w:after="0" w:line="121"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255"/>
        <w:spacing w:after="0" w:line="289" w:lineRule="auto"/>
        <w:rPr>
          <w:sz w:val="20"/>
          <w:szCs w:val="20"/>
          <w:color w:val="auto"/>
        </w:rPr>
      </w:pPr>
      <w:r>
        <w:rPr>
          <w:rFonts w:ascii="Times New Roman" w:cs="Times New Roman" w:eastAsia="Times New Roman" w:hAnsi="Times New Roman"/>
          <w:sz w:val="17"/>
          <w:szCs w:val="17"/>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58" w:lineRule="exact"/>
        <w:rPr>
          <w:sz w:val="20"/>
          <w:szCs w:val="20"/>
          <w:color w:val="auto"/>
        </w:rPr>
      </w:pPr>
    </w:p>
    <w:p>
      <w:pPr>
        <w:ind w:right="500" w:firstLine="255"/>
        <w:spacing w:after="0" w:line="282" w:lineRule="auto"/>
        <w:rPr>
          <w:sz w:val="20"/>
          <w:szCs w:val="20"/>
          <w:color w:val="auto"/>
        </w:rPr>
      </w:pPr>
      <w:r>
        <w:rPr>
          <w:rFonts w:ascii="Times New Roman" w:cs="Times New Roman" w:eastAsia="Times New Roman" w:hAnsi="Times New Roman"/>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determine whether or not any hedging transactions are necessary to mitigate exposure to changes in interest rates.</w:t>
      </w:r>
    </w:p>
    <w:p>
      <w:pPr>
        <w:spacing w:after="0" w:line="200" w:lineRule="exact"/>
        <w:rPr>
          <w:sz w:val="20"/>
          <w:szCs w:val="20"/>
          <w:color w:val="auto"/>
        </w:rPr>
      </w:pPr>
    </w:p>
    <w:p>
      <w:pPr>
        <w:spacing w:after="0" w:line="241"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As of March 31, 2024, 99.7% of our debt investments based on fair value in our portfolio bore interest at floating rates, with 100% of these subject to interest rate floors. Our credit facilities also bear interest at floating rates, and in connection with our 2029 Notes, which bear interest at fixed rates, we entered into fixed-to-floating interest rate swaps in order to align the interest rates of our liabilities with our investment portfolio.</w:t>
      </w:r>
    </w:p>
    <w:p>
      <w:pPr>
        <w:spacing w:after="0" w:line="176" w:lineRule="exact"/>
        <w:rPr>
          <w:sz w:val="20"/>
          <w:szCs w:val="20"/>
          <w:color w:val="auto"/>
        </w:rPr>
      </w:pPr>
    </w:p>
    <w:p>
      <w:pPr>
        <w:ind w:right="180" w:firstLine="255"/>
        <w:spacing w:after="0" w:line="266" w:lineRule="auto"/>
        <w:rPr>
          <w:sz w:val="20"/>
          <w:szCs w:val="20"/>
          <w:color w:val="auto"/>
        </w:rPr>
      </w:pPr>
      <w:r>
        <w:rPr>
          <w:rFonts w:ascii="Times New Roman" w:cs="Times New Roman" w:eastAsia="Times New Roman" w:hAnsi="Times New Roman"/>
          <w:sz w:val="18"/>
          <w:szCs w:val="18"/>
          <w:color w:val="auto"/>
        </w:rPr>
        <w:t>Assuming that our Consolidated Balance Sheet as of March 31, 2024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7"/>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Basis Point Change</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80" w:type="dxa"/>
            <w:vAlign w:val="bottom"/>
          </w:tcPr>
          <w:p>
            <w:pPr>
              <w:spacing w:after="0"/>
              <w:rPr>
                <w:sz w:val="16"/>
                <w:szCs w:val="16"/>
                <w:color w:val="auto"/>
              </w:rPr>
            </w:pPr>
          </w:p>
        </w:tc>
      </w:tr>
      <w:tr>
        <w:trPr>
          <w:trHeight w:val="237"/>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 300 basis points</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80" w:type="dxa"/>
            <w:vAlign w:val="bottom"/>
            <w:shd w:val="clear" w:color="auto" w:fill="CFF0FC"/>
          </w:tcPr>
          <w:p>
            <w:pPr>
              <w:spacing w:after="0"/>
              <w:rPr>
                <w:sz w:val="20"/>
                <w:szCs w:val="20"/>
                <w:color w:val="auto"/>
              </w:rPr>
            </w:pP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Up 200 basis points</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tcPr>
          <w:p>
            <w:pPr>
              <w:spacing w:after="0"/>
              <w:rPr>
                <w:sz w:val="20"/>
                <w:szCs w:val="20"/>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80" w:type="dxa"/>
            <w:vAlign w:val="bottom"/>
          </w:tcPr>
          <w:p>
            <w:pPr>
              <w:spacing w:after="0"/>
              <w:rPr>
                <w:sz w:val="20"/>
                <w:szCs w:val="20"/>
                <w:color w:val="auto"/>
              </w:rPr>
            </w:pPr>
          </w:p>
        </w:tc>
      </w:tr>
      <w:tr>
        <w:trPr>
          <w:trHeight w:val="247"/>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 100 basis points</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shd w:val="clear" w:color="auto" w:fill="CFF0FC"/>
          </w:tcPr>
          <w:p>
            <w:pPr>
              <w:spacing w:after="0"/>
              <w:rPr>
                <w:sz w:val="21"/>
                <w:szCs w:val="21"/>
                <w:color w:val="auto"/>
              </w:rPr>
            </w:pP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Down 25 basis points</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(3.3 )</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(7.2 )</w:t>
            </w:r>
          </w:p>
        </w:tc>
      </w:tr>
      <w:tr>
        <w:trPr>
          <w:trHeight w:val="247"/>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Down 50 basis points</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(6.7 )</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(14.3 )</w:t>
            </w:r>
          </w:p>
        </w:tc>
      </w:tr>
    </w:tbl>
    <w:p>
      <w:pPr>
        <w:spacing w:after="0" w:line="198"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76" w:lineRule="exact"/>
        <w:rPr>
          <w:sz w:val="20"/>
          <w:szCs w:val="20"/>
          <w:color w:val="auto"/>
        </w:rPr>
      </w:pPr>
    </w:p>
    <w:p>
      <w:pPr>
        <w:ind w:right="240" w:firstLine="255"/>
        <w:spacing w:after="0" w:line="261" w:lineRule="auto"/>
        <w:rPr>
          <w:sz w:val="20"/>
          <w:szCs w:val="20"/>
          <w:color w:val="auto"/>
        </w:rPr>
      </w:pPr>
      <w:r>
        <w:rPr>
          <w:rFonts w:ascii="Times New Roman" w:cs="Times New Roman" w:eastAsia="Times New Roman" w:hAnsi="Times New Roman"/>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21"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Credit Facilities.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Credit Facilities, we may seek to utilize interest rate derivatives to hedge our exposure to changes in the associated rate.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right="200" w:firstLine="25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As of the end of the period covered by this report, we carried out an evaluation,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supervision and with the participation of our management, including our Chief Executive Officer and Chief Financial Officer, of the effectiveness of the design and operation of our disclosure controls and procedures (as defined in Rule 13a-15 under the Securities Exchange Act of 1934, as amended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82" w:lineRule="exact"/>
        <w:rPr>
          <w:sz w:val="20"/>
          <w:szCs w:val="20"/>
          <w:color w:val="auto"/>
        </w:rPr>
      </w:pPr>
    </w:p>
    <w:p>
      <w:pPr>
        <w:jc w:val="both"/>
        <w:ind w:right="440"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Internal Control over Financial Reporting. </w:t>
      </w:r>
      <w:r>
        <w:rPr>
          <w:rFonts w:ascii="Times New Roman" w:cs="Times New Roman" w:eastAsia="Times New Roman" w:hAnsi="Times New Roman"/>
          <w:sz w:val="18"/>
          <w:szCs w:val="18"/>
          <w:color w:val="auto"/>
        </w:rPr>
        <w:t>There have been no changes in our internal control over financial reporting that occurred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our most recently completed fiscal quarter that have materially affected, or are reasonably likely to materially affect, our internal control over financial reporting.</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 factors discussed in Part I, “Item 1A. Risk Factors” in our Annual Report on Form 10-K for the fiscal year ended December 31, 2023.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Refer to our Current Reports on Form 8-K filed with SEC on March 8, 2024 and March 29, 2024, for information about unregistered sales of our equity securities during the quarter ended March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200" w:type="dxa"/>
            <w:vAlign w:val="bottom"/>
            <w:gridSpan w:val="13"/>
          </w:tcPr>
          <w:p>
            <w:pPr>
              <w:spacing w:after="0"/>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Second Amended and Restated Declaration of Trust (incorporated by reference to Exhibit 3.1 to the Company’s Registration Statement on</w:t>
              </w:r>
            </w:hyperlink>
          </w:p>
        </w:tc>
      </w:tr>
      <w:tr>
        <w:trPr>
          <w:trHeight w:val="20"/>
        </w:trPr>
        <w:tc>
          <w:tcPr>
            <w:tcW w:w="1040" w:type="dxa"/>
            <w:vAlign w:val="bottom"/>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5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Form 10, filed on August 22, 2022)</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560" w:type="dxa"/>
            <w:vAlign w:val="bottom"/>
            <w:tcBorders>
              <w:right w:val="single" w:sz="8" w:color="0000EE"/>
            </w:tcBorders>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200" w:type="dxa"/>
            <w:vAlign w:val="bottom"/>
            <w:gridSpan w:val="13"/>
          </w:tcPr>
          <w:p>
            <w:pPr>
              <w:spacing w:after="0"/>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Bylaws (incorporated by reference to Exhibit 3.2 to the Company’s Registration Statement on Form 10, filed on June 28, 2022)</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96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5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200" w:type="dxa"/>
            <w:vAlign w:val="bottom"/>
            <w:gridSpan w:val="13"/>
          </w:tcPr>
          <w:p>
            <w:pPr>
              <w:spacing w:after="0"/>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Indenture, dated as of March 11, 2024, between Sixth Street Lending Partners and U.S. Bank Trust Company, National Association, as</w:t>
              </w:r>
            </w:hyperlink>
          </w:p>
        </w:tc>
      </w:tr>
      <w:tr>
        <w:trPr>
          <w:trHeight w:val="20"/>
        </w:trPr>
        <w:tc>
          <w:tcPr>
            <w:tcW w:w="1040" w:type="dxa"/>
            <w:vAlign w:val="bottom"/>
          </w:tcPr>
          <w:p>
            <w:pPr>
              <w:spacing w:after="0" w:line="20" w:lineRule="exact"/>
              <w:rPr>
                <w:sz w:val="1"/>
                <w:szCs w:val="1"/>
                <w:color w:val="auto"/>
              </w:rPr>
            </w:pPr>
          </w:p>
        </w:tc>
        <w:tc>
          <w:tcPr>
            <w:tcW w:w="396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5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Trustee (incorporated by reference to Exhibit 4.1 to the Company’s Current Report on Form 8-K, filed on March 15, 2024)</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96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50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200" w:type="dxa"/>
            <w:vAlign w:val="bottom"/>
            <w:gridSpan w:val="13"/>
          </w:tcPr>
          <w:p>
            <w:pPr>
              <w:spacing w:after="0"/>
              <w:rPr>
                <w:rFonts w:ascii="Times New Roman" w:cs="Times New Roman" w:eastAsia="Times New Roman" w:hAnsi="Times New Roman"/>
                <w:sz w:val="18"/>
                <w:szCs w:val="18"/>
                <w:color w:val="0000FF"/>
              </w:rPr>
            </w:pPr>
            <w:hyperlink r:id="rId420">
              <w:r>
                <w:rPr>
                  <w:rFonts w:ascii="Times New Roman" w:cs="Times New Roman" w:eastAsia="Times New Roman" w:hAnsi="Times New Roman"/>
                  <w:sz w:val="18"/>
                  <w:szCs w:val="18"/>
                  <w:color w:val="0000FF"/>
                </w:rPr>
                <w:t>First Supplemental Indenture, dated as of March 11, 2024, between Sixth Street Lending Partners and U.S. Bank Trust Company, National</w:t>
              </w:r>
            </w:hyperlink>
          </w:p>
        </w:tc>
      </w:tr>
      <w:tr>
        <w:trPr>
          <w:trHeight w:val="20"/>
        </w:trPr>
        <w:tc>
          <w:tcPr>
            <w:tcW w:w="1040" w:type="dxa"/>
            <w:vAlign w:val="bottom"/>
          </w:tcPr>
          <w:p>
            <w:pPr>
              <w:spacing w:after="0" w:line="20" w:lineRule="exact"/>
              <w:rPr>
                <w:sz w:val="1"/>
                <w:szCs w:val="1"/>
                <w:color w:val="auto"/>
              </w:rPr>
            </w:pPr>
          </w:p>
        </w:tc>
        <w:tc>
          <w:tcPr>
            <w:tcW w:w="396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14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420">
              <w:r>
                <w:rPr>
                  <w:rFonts w:ascii="Times New Roman" w:cs="Times New Roman" w:eastAsia="Times New Roman" w:hAnsi="Times New Roman"/>
                  <w:sz w:val="18"/>
                  <w:szCs w:val="18"/>
                  <w:color w:val="0000FF"/>
                </w:rPr>
                <w:t>Association, as Trustee (incorporated by reference to Exhibit 4.2 to the Company’s Current Report on Form 8-K, filed on March 15, 2024)</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96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14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200" w:type="dxa"/>
            <w:vAlign w:val="bottom"/>
            <w:gridSpan w:val="13"/>
          </w:tcPr>
          <w:p>
            <w:pPr>
              <w:spacing w:after="0"/>
              <w:rPr>
                <w:rFonts w:ascii="Times New Roman" w:cs="Times New Roman" w:eastAsia="Times New Roman" w:hAnsi="Times New Roman"/>
                <w:sz w:val="18"/>
                <w:szCs w:val="18"/>
                <w:color w:val="0000FF"/>
              </w:rPr>
            </w:pPr>
            <w:hyperlink r:id="rId420">
              <w:r>
                <w:rPr>
                  <w:rFonts w:ascii="Times New Roman" w:cs="Times New Roman" w:eastAsia="Times New Roman" w:hAnsi="Times New Roman"/>
                  <w:sz w:val="18"/>
                  <w:szCs w:val="18"/>
                  <w:color w:val="0000FF"/>
                </w:rPr>
                <w:t>Form of 6.500% Notes Due 2029 (included in Exhibit 4.2 to the Company’s Current Report on Form 8-K, filed on March 15, 2024)</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96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14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0200" w:type="dxa"/>
            <w:vAlign w:val="bottom"/>
            <w:gridSpan w:val="13"/>
          </w:tcPr>
          <w:p>
            <w:pPr>
              <w:spacing w:after="0"/>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Registration Rights Agreement, dated as of March 11, 2024, relating to the 6.500% Notes Due 2029, by and among Sixth Street Lending</w:t>
              </w:r>
            </w:hyperlink>
          </w:p>
        </w:tc>
      </w:tr>
      <w:tr>
        <w:trPr>
          <w:trHeight w:val="20"/>
        </w:trPr>
        <w:tc>
          <w:tcPr>
            <w:tcW w:w="1040" w:type="dxa"/>
            <w:vAlign w:val="bottom"/>
          </w:tcPr>
          <w:p>
            <w:pPr>
              <w:spacing w:after="0" w:line="20" w:lineRule="exact"/>
              <w:rPr>
                <w:sz w:val="1"/>
                <w:szCs w:val="1"/>
                <w:color w:val="auto"/>
              </w:rPr>
            </w:pPr>
          </w:p>
        </w:tc>
        <w:tc>
          <w:tcPr>
            <w:tcW w:w="396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42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Partners and BofA Securities, Inc. as representative of the initial purchasers (incorporated by reference to Exhibit 4.4 to the Company’s</w:t>
              </w:r>
            </w:hyperlink>
          </w:p>
        </w:tc>
      </w:tr>
      <w:tr>
        <w:trPr>
          <w:trHeight w:val="20"/>
        </w:trPr>
        <w:tc>
          <w:tcPr>
            <w:tcW w:w="1040" w:type="dxa"/>
            <w:vAlign w:val="bottom"/>
          </w:tcPr>
          <w:p>
            <w:pPr>
              <w:spacing w:after="0" w:line="20" w:lineRule="exact"/>
              <w:rPr>
                <w:sz w:val="1"/>
                <w:szCs w:val="1"/>
                <w:color w:val="auto"/>
              </w:rPr>
            </w:pPr>
          </w:p>
        </w:tc>
        <w:tc>
          <w:tcPr>
            <w:tcW w:w="396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420" w:type="dxa"/>
            <w:vAlign w:val="bottom"/>
            <w:gridSpan w:val="5"/>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Current Report on Form 8-K, filed on March 15, 2024)</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960" w:type="dxa"/>
            <w:vAlign w:val="bottom"/>
            <w:tcBorders>
              <w:right w:val="single" w:sz="8" w:color="0000EE"/>
            </w:tcBorders>
            <w:gridSpan w:val="2"/>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00" w:type="dxa"/>
            <w:vAlign w:val="bottom"/>
            <w:gridSpan w:val="13"/>
          </w:tcPr>
          <w:p>
            <w:pPr>
              <w:spacing w:after="0"/>
              <w:rPr>
                <w:rFonts w:ascii="Times New Roman" w:cs="Times New Roman" w:eastAsia="Times New Roman" w:hAnsi="Times New Roman"/>
                <w:sz w:val="18"/>
                <w:szCs w:val="18"/>
                <w:color w:val="0000FF"/>
              </w:rPr>
            </w:pPr>
            <w:hyperlink r:id="rId422">
              <w:r>
                <w:rPr>
                  <w:rFonts w:ascii="Times New Roman" w:cs="Times New Roman" w:eastAsia="Times New Roman" w:hAnsi="Times New Roman"/>
                  <w:sz w:val="18"/>
                  <w:szCs w:val="18"/>
                  <w:color w:val="0000FF"/>
                </w:rPr>
                <w:t>First Amendment to Senior Secured Revolving Credit Agreement, dated as of February 8, 2024, among Sixth Street Lending Partners, as</w:t>
              </w:r>
            </w:hyperlink>
          </w:p>
        </w:tc>
      </w:tr>
      <w:tr>
        <w:trPr>
          <w:trHeight w:val="20"/>
        </w:trPr>
        <w:tc>
          <w:tcPr>
            <w:tcW w:w="1040" w:type="dxa"/>
            <w:vAlign w:val="bottom"/>
          </w:tcPr>
          <w:p>
            <w:pPr>
              <w:spacing w:after="0" w:line="20" w:lineRule="exact"/>
              <w:rPr>
                <w:sz w:val="1"/>
                <w:szCs w:val="1"/>
                <w:color w:val="auto"/>
              </w:rPr>
            </w:pPr>
          </w:p>
        </w:tc>
        <w:tc>
          <w:tcPr>
            <w:tcW w:w="5340" w:type="dxa"/>
            <w:vAlign w:val="bottom"/>
            <w:gridSpan w:val="3"/>
            <w:shd w:val="clear" w:color="auto" w:fill="0000FF"/>
          </w:tcPr>
          <w:p>
            <w:pPr>
              <w:spacing w:after="0" w:line="20" w:lineRule="exact"/>
              <w:rPr>
                <w:sz w:val="1"/>
                <w:szCs w:val="1"/>
                <w:color w:val="auto"/>
              </w:rPr>
            </w:pPr>
          </w:p>
        </w:tc>
        <w:tc>
          <w:tcPr>
            <w:tcW w:w="4540" w:type="dxa"/>
            <w:vAlign w:val="bottom"/>
            <w:gridSpan w:val="7"/>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422">
              <w:r>
                <w:rPr>
                  <w:rFonts w:ascii="Times New Roman" w:cs="Times New Roman" w:eastAsia="Times New Roman" w:hAnsi="Times New Roman"/>
                  <w:sz w:val="18"/>
                  <w:szCs w:val="18"/>
                  <w:color w:val="0000FF"/>
                </w:rPr>
                <w:t>Borrower, the Lenders and Issuing Banks party thereto and Truist Bank, as Administrative Agent (incorporated by reference to Exhibit 10.1</w:t>
              </w:r>
            </w:hyperlink>
          </w:p>
        </w:tc>
      </w:tr>
      <w:tr>
        <w:trPr>
          <w:trHeight w:val="20"/>
        </w:trPr>
        <w:tc>
          <w:tcPr>
            <w:tcW w:w="1040" w:type="dxa"/>
            <w:vAlign w:val="bottom"/>
          </w:tcPr>
          <w:p>
            <w:pPr>
              <w:spacing w:after="0" w:line="20" w:lineRule="exact"/>
              <w:rPr>
                <w:sz w:val="1"/>
                <w:szCs w:val="1"/>
                <w:color w:val="auto"/>
              </w:rPr>
            </w:pPr>
          </w:p>
        </w:tc>
        <w:tc>
          <w:tcPr>
            <w:tcW w:w="5340" w:type="dxa"/>
            <w:vAlign w:val="bottom"/>
            <w:gridSpan w:val="3"/>
            <w:shd w:val="clear" w:color="auto" w:fill="0000FF"/>
          </w:tcPr>
          <w:p>
            <w:pPr>
              <w:spacing w:after="0" w:line="20" w:lineRule="exact"/>
              <w:rPr>
                <w:sz w:val="1"/>
                <w:szCs w:val="1"/>
                <w:color w:val="auto"/>
              </w:rPr>
            </w:pPr>
          </w:p>
        </w:tc>
        <w:tc>
          <w:tcPr>
            <w:tcW w:w="4740" w:type="dxa"/>
            <w:vAlign w:val="bottom"/>
            <w:gridSpan w:val="9"/>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422">
              <w:r>
                <w:rPr>
                  <w:rFonts w:ascii="Times New Roman" w:cs="Times New Roman" w:eastAsia="Times New Roman" w:hAnsi="Times New Roman"/>
                  <w:sz w:val="18"/>
                  <w:szCs w:val="18"/>
                  <w:color w:val="0000FF"/>
                </w:rPr>
                <w:t>to the Company’s Current Report on Form 8-K, filed on February 9, 2024)</w:t>
              </w:r>
            </w:hyperlink>
          </w:p>
        </w:tc>
      </w:tr>
      <w:tr>
        <w:trPr>
          <w:trHeight w:val="682"/>
        </w:trPr>
        <w:tc>
          <w:tcPr>
            <w:tcW w:w="1040" w:type="dxa"/>
            <w:vAlign w:val="bottom"/>
          </w:tcPr>
          <w:p>
            <w:pPr>
              <w:spacing w:after="0"/>
              <w:rPr>
                <w:sz w:val="24"/>
                <w:szCs w:val="24"/>
                <w:color w:val="auto"/>
              </w:rPr>
            </w:pPr>
          </w:p>
        </w:tc>
        <w:tc>
          <w:tcPr>
            <w:tcW w:w="5340" w:type="dxa"/>
            <w:vAlign w:val="bottom"/>
            <w:tcBorders>
              <w:top w:val="single" w:sz="8" w:color="0000FF"/>
            </w:tcBorders>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56</w:t>
            </w:r>
          </w:p>
        </w:tc>
        <w:tc>
          <w:tcPr>
            <w:tcW w:w="3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5"/>
              </w:rPr>
              <w:t>31.1</w:t>
            </w:r>
          </w:p>
        </w:tc>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 Adopted Pursuant to Section 302 of the Sarbanes-Oxley Act</w:t>
            </w: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9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1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5"/>
              </w:rPr>
              <w:t>31.2</w:t>
            </w:r>
          </w:p>
        </w:tc>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302 of the Sarbanes-Oxley Act</w:t>
            </w:r>
          </w:p>
        </w:tc>
      </w:tr>
      <w:tr>
        <w:trPr>
          <w:trHeight w:val="20"/>
        </w:trPr>
        <w:tc>
          <w:tcPr>
            <w:tcW w:w="1020" w:type="dxa"/>
            <w:vAlign w:val="bottom"/>
          </w:tcPr>
          <w:p>
            <w:pPr>
              <w:spacing w:after="0" w:line="20" w:lineRule="exact"/>
              <w:rPr>
                <w:sz w:val="1"/>
                <w:szCs w:val="1"/>
                <w:color w:val="auto"/>
              </w:rPr>
            </w:pPr>
          </w:p>
        </w:tc>
        <w:tc>
          <w:tcPr>
            <w:tcW w:w="100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1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2" w:lineRule="exact"/>
        <w:rPr>
          <w:sz w:val="20"/>
          <w:szCs w:val="20"/>
          <w:color w:val="auto"/>
        </w:rPr>
      </w:pPr>
    </w:p>
    <w:p>
      <w:pPr>
        <w:ind w:left="1000" w:hanging="99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CEO and CFO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-7620</wp:posOffset>
            </wp:positionV>
            <wp:extent cx="637222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5">
                      <a:extLst>
                        <a:ext uri="{28A0092B-C50C-407E-A947-70E740481C1C}"/>
                      </a:extLst>
                    </a:blip>
                    <a:srcRect/>
                    <a:stretch>
                      <a:fillRect/>
                    </a:stretch>
                  </pic:blipFill>
                  <pic:spPr bwMode="auto">
                    <a:xfrm>
                      <a:off x="0" y="0"/>
                      <a:ext cx="6372225"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34"/>
        </w:trPr>
        <w:tc>
          <w:tcPr>
            <w:tcW w:w="840" w:type="dxa"/>
            <w:vAlign w:val="bottom"/>
          </w:tcPr>
          <w:p>
            <w:pPr>
              <w:spacing w:after="0"/>
              <w:rPr>
                <w:sz w:val="20"/>
                <w:szCs w:val="20"/>
                <w:color w:val="auto"/>
              </w:rPr>
            </w:pPr>
          </w:p>
        </w:tc>
        <w:tc>
          <w:tcPr>
            <w:tcW w:w="9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4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9" w:lineRule="exact"/>
        <w:rPr>
          <w:sz w:val="20"/>
          <w:szCs w:val="20"/>
          <w:color w:val="auto"/>
        </w:rPr>
      </w:pPr>
    </w:p>
    <w:p>
      <w:pPr>
        <w:ind w:left="5520" w:right="4420" w:hanging="5519"/>
        <w:spacing w:after="0" w:line="939" w:lineRule="auto"/>
        <w:tabs>
          <w:tab w:leader="none" w:pos="100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85090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1013" w:right="419" w:bottom="1440" w:gutter="0" w:footer="0" w:header="0"/>
        </w:sectPr>
      </w:pPr>
    </w:p>
    <w:bookmarkStart w:id="57" w:name="page58"/>
    <w:bookmarkEnd w:id="5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80" w:type="dxa"/>
            <w:vAlign w:val="bottom"/>
            <w:gridSpan w:val="2"/>
          </w:tcPr>
          <w:p>
            <w:pPr>
              <w:ind w:left="3200"/>
              <w:spacing w:after="0"/>
              <w:rPr>
                <w:sz w:val="20"/>
                <w:szCs w:val="20"/>
                <w:color w:val="auto"/>
              </w:rPr>
            </w:pPr>
            <w:r>
              <w:rPr>
                <w:rFonts w:ascii="Times New Roman" w:cs="Times New Roman" w:eastAsia="Times New Roman" w:hAnsi="Times New Roman"/>
                <w:sz w:val="18"/>
                <w:szCs w:val="18"/>
                <w:color w:val="auto"/>
              </w:rPr>
              <w:t>Sixth Street Lending Partners</w:t>
            </w:r>
          </w:p>
        </w:tc>
      </w:tr>
      <w:tr>
        <w:trPr>
          <w:trHeight w:val="52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3, 2024</w:t>
            </w:r>
          </w:p>
        </w:tc>
        <w:tc>
          <w:tcPr>
            <w:tcW w:w="368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Joshua Easterly</w:t>
            </w:r>
          </w:p>
        </w:tc>
      </w:tr>
      <w:tr>
        <w:trPr>
          <w:trHeight w:val="228"/>
        </w:trPr>
        <w:tc>
          <w:tcPr>
            <w:tcW w:w="34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Joshua Easterly</w:t>
            </w:r>
          </w:p>
        </w:tc>
      </w:tr>
      <w:tr>
        <w:trPr>
          <w:trHeight w:val="238"/>
        </w:trPr>
        <w:tc>
          <w:tcPr>
            <w:tcW w:w="34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43"/>
        </w:trPr>
        <w:tc>
          <w:tcPr>
            <w:tcW w:w="346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2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3, 2024</w:t>
            </w:r>
          </w:p>
        </w:tc>
        <w:tc>
          <w:tcPr>
            <w:tcW w:w="368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Simmonds</w:t>
            </w:r>
          </w:p>
        </w:tc>
      </w:tr>
      <w:tr>
        <w:trPr>
          <w:trHeight w:val="228"/>
        </w:trPr>
        <w:tc>
          <w:tcPr>
            <w:tcW w:w="34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Ian Simmonds</w:t>
            </w:r>
          </w:p>
        </w:tc>
      </w:tr>
      <w:tr>
        <w:trPr>
          <w:trHeight w:val="238"/>
        </w:trPr>
        <w:tc>
          <w:tcPr>
            <w:tcW w:w="34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346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61"/>
        </w:trPr>
        <w:tc>
          <w:tcPr>
            <w:tcW w:w="3460" w:type="dxa"/>
            <w:vAlign w:val="bottom"/>
          </w:tcPr>
          <w:p>
            <w:pPr>
              <w:spacing w:after="0"/>
              <w:rPr>
                <w:sz w:val="24"/>
                <w:szCs w:val="24"/>
                <w:color w:val="auto"/>
              </w:rPr>
            </w:pPr>
          </w:p>
        </w:tc>
        <w:tc>
          <w:tcPr>
            <w:tcW w:w="368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58</w:t>
            </w:r>
          </w:p>
        </w:tc>
        <w:tc>
          <w:tcPr>
            <w:tcW w:w="4100" w:type="dxa"/>
            <w:vAlign w:val="bottom"/>
          </w:tcPr>
          <w:p>
            <w:pPr>
              <w:spacing w:after="0"/>
              <w:rPr>
                <w:sz w:val="24"/>
                <w:szCs w:val="24"/>
                <w:color w:val="auto"/>
              </w:rPr>
            </w:pPr>
          </w:p>
        </w:tc>
      </w:tr>
      <w:tr>
        <w:trPr>
          <w:trHeight w:val="763"/>
        </w:trPr>
        <w:tc>
          <w:tcPr>
            <w:tcW w:w="34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8" w:name="page59"/>
    <w:bookmarkEnd w:id="58"/>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Joshua Easterly, certify that:</w:t>
      </w:r>
    </w:p>
    <w:p>
      <w:pPr>
        <w:spacing w:after="0" w:line="117" w:lineRule="exact"/>
        <w:rPr>
          <w:sz w:val="20"/>
          <w:szCs w:val="20"/>
          <w:color w:val="auto"/>
        </w:rPr>
      </w:pPr>
    </w:p>
    <w:p>
      <w:pPr>
        <w:ind w:left="620" w:hanging="357"/>
        <w:spacing w:after="0"/>
        <w:tabs>
          <w:tab w:leader="none" w:pos="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Sixth Street Lending Partners;</w:t>
      </w:r>
    </w:p>
    <w:p>
      <w:pPr>
        <w:spacing w:after="0" w:line="117" w:lineRule="exact"/>
        <w:rPr>
          <w:rFonts w:ascii="Times New Roman" w:cs="Times New Roman" w:eastAsia="Times New Roman" w:hAnsi="Times New Roman"/>
          <w:sz w:val="18"/>
          <w:szCs w:val="18"/>
          <w:color w:val="auto"/>
        </w:rPr>
      </w:pPr>
    </w:p>
    <w:p>
      <w:pPr>
        <w:ind w:left="780" w:hanging="517"/>
        <w:spacing w:after="0" w:line="266" w:lineRule="auto"/>
        <w:tabs>
          <w:tab w:leader="none" w:pos="63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80" w:right="100" w:hanging="517"/>
        <w:spacing w:after="0" w:line="282" w:lineRule="auto"/>
        <w:tabs>
          <w:tab w:leader="none" w:pos="63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right"/>
        <w:ind w:left="780" w:right="320" w:hanging="517"/>
        <w:spacing w:after="0" w:line="276" w:lineRule="auto"/>
        <w:tabs>
          <w:tab w:leader="none" w:pos="63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280" w:right="60" w:hanging="509"/>
        <w:spacing w:after="0" w:line="266" w:lineRule="auto"/>
        <w:tabs>
          <w:tab w:leader="none" w:pos="113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80" w:right="40" w:hanging="509"/>
        <w:spacing w:after="0" w:line="266" w:lineRule="auto"/>
        <w:tabs>
          <w:tab w:leader="none" w:pos="113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280" w:right="220" w:hanging="509"/>
        <w:spacing w:after="0" w:line="312" w:lineRule="auto"/>
        <w:tabs>
          <w:tab w:leader="none" w:pos="1131"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80" w:right="80" w:hanging="509"/>
        <w:spacing w:after="0" w:line="266" w:lineRule="auto"/>
        <w:tabs>
          <w:tab w:leader="none" w:pos="113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80" w:right="20" w:hanging="517"/>
        <w:spacing w:after="0" w:line="282" w:lineRule="auto"/>
        <w:tabs>
          <w:tab w:leader="none" w:pos="63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53" w:lineRule="exact"/>
        <w:rPr>
          <w:rFonts w:ascii="Times New Roman" w:cs="Times New Roman" w:eastAsia="Times New Roman" w:hAnsi="Times New Roman"/>
          <w:sz w:val="18"/>
          <w:szCs w:val="18"/>
          <w:color w:val="auto"/>
        </w:rPr>
      </w:pPr>
    </w:p>
    <w:p>
      <w:pPr>
        <w:ind w:left="1280" w:right="600" w:hanging="509"/>
        <w:spacing w:after="0" w:line="282" w:lineRule="auto"/>
        <w:tabs>
          <w:tab w:leader="none" w:pos="113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280" w:right="300" w:hanging="509"/>
        <w:spacing w:after="0" w:line="282" w:lineRule="auto"/>
        <w:tabs>
          <w:tab w:leader="none" w:pos="113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6760" w:val="left"/>
          <w:tab w:leader="none" w:pos="7200" w:val="left"/>
        </w:tabs>
        <w:rPr>
          <w:sz w:val="20"/>
          <w:szCs w:val="20"/>
          <w:color w:val="auto"/>
        </w:rPr>
      </w:pPr>
      <w:r>
        <w:rPr>
          <w:rFonts w:ascii="Times New Roman" w:cs="Times New Roman" w:eastAsia="Times New Roman" w:hAnsi="Times New Roman"/>
          <w:sz w:val="18"/>
          <w:szCs w:val="18"/>
          <w:color w:val="auto"/>
        </w:rPr>
        <w:t>Date: May 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Joshua Easterly</w:t>
      </w:r>
    </w:p>
    <w:p>
      <w:pPr>
        <w:spacing w:after="0" w:line="3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59" w:name="page60"/>
    <w:bookmarkEnd w:id="59"/>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Ian Simmonds, certify that:</w:t>
      </w:r>
    </w:p>
    <w:p>
      <w:pPr>
        <w:spacing w:after="0" w:line="117" w:lineRule="exact"/>
        <w:rPr>
          <w:sz w:val="20"/>
          <w:szCs w:val="20"/>
          <w:color w:val="auto"/>
        </w:rPr>
      </w:pPr>
    </w:p>
    <w:p>
      <w:pPr>
        <w:ind w:left="620" w:hanging="357"/>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Sixth Street Lending Partners (the “registrant”);</w:t>
      </w:r>
    </w:p>
    <w:p>
      <w:pPr>
        <w:spacing w:after="0" w:line="117" w:lineRule="exact"/>
        <w:rPr>
          <w:rFonts w:ascii="Times New Roman" w:cs="Times New Roman" w:eastAsia="Times New Roman" w:hAnsi="Times New Roman"/>
          <w:sz w:val="18"/>
          <w:szCs w:val="18"/>
          <w:color w:val="auto"/>
        </w:rPr>
      </w:pPr>
    </w:p>
    <w:p>
      <w:pPr>
        <w:ind w:left="780" w:hanging="517"/>
        <w:spacing w:after="0" w:line="266" w:lineRule="auto"/>
        <w:tabs>
          <w:tab w:leader="none" w:pos="6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80" w:right="100" w:hanging="517"/>
        <w:spacing w:after="0" w:line="282" w:lineRule="auto"/>
        <w:tabs>
          <w:tab w:leader="none" w:pos="6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right"/>
        <w:ind w:left="780" w:right="320" w:hanging="517"/>
        <w:spacing w:after="0" w:line="276" w:lineRule="auto"/>
        <w:tabs>
          <w:tab w:leader="none" w:pos="631"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280" w:right="60" w:hanging="509"/>
        <w:spacing w:after="0" w:line="266" w:lineRule="auto"/>
        <w:tabs>
          <w:tab w:leader="none" w:pos="113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80" w:right="40" w:hanging="509"/>
        <w:spacing w:after="0" w:line="266" w:lineRule="auto"/>
        <w:tabs>
          <w:tab w:leader="none" w:pos="113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280" w:right="220" w:hanging="509"/>
        <w:spacing w:after="0" w:line="312" w:lineRule="auto"/>
        <w:tabs>
          <w:tab w:leader="none" w:pos="1131"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80" w:right="80" w:hanging="509"/>
        <w:spacing w:after="0" w:line="266" w:lineRule="auto"/>
        <w:tabs>
          <w:tab w:leader="none" w:pos="113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80" w:right="20" w:hanging="517"/>
        <w:spacing w:after="0" w:line="282" w:lineRule="auto"/>
        <w:tabs>
          <w:tab w:leader="none" w:pos="6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53" w:lineRule="exact"/>
        <w:rPr>
          <w:rFonts w:ascii="Times New Roman" w:cs="Times New Roman" w:eastAsia="Times New Roman" w:hAnsi="Times New Roman"/>
          <w:sz w:val="18"/>
          <w:szCs w:val="18"/>
          <w:color w:val="auto"/>
        </w:rPr>
      </w:pPr>
    </w:p>
    <w:p>
      <w:pPr>
        <w:ind w:left="1280" w:right="600" w:hanging="509"/>
        <w:spacing w:after="0" w:line="282" w:lineRule="auto"/>
        <w:tabs>
          <w:tab w:leader="none" w:pos="113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280" w:right="300" w:hanging="509"/>
        <w:spacing w:after="0" w:line="282" w:lineRule="auto"/>
        <w:tabs>
          <w:tab w:leader="none" w:pos="113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6760" w:val="left"/>
          <w:tab w:leader="none" w:pos="7200" w:val="left"/>
        </w:tabs>
        <w:rPr>
          <w:sz w:val="20"/>
          <w:szCs w:val="20"/>
          <w:color w:val="auto"/>
        </w:rPr>
      </w:pPr>
      <w:r>
        <w:rPr>
          <w:rFonts w:ascii="Times New Roman" w:cs="Times New Roman" w:eastAsia="Times New Roman" w:hAnsi="Times New Roman"/>
          <w:sz w:val="18"/>
          <w:szCs w:val="18"/>
          <w:color w:val="auto"/>
        </w:rPr>
        <w:t>Date: May 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Ian Simmonds</w:t>
      </w:r>
    </w:p>
    <w:p>
      <w:pPr>
        <w:spacing w:after="0" w:line="3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0" w:name="page61"/>
    <w:bookmarkEnd w:id="60"/>
    <w:p>
      <w:pPr>
        <w:ind w:left="1040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Sixth Street Lending Partners (the “Company”) for the quarterly period ended March 31, 2024,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2" w:lineRule="exact"/>
        <w:rPr>
          <w:sz w:val="20"/>
          <w:szCs w:val="20"/>
          <w:color w:val="auto"/>
        </w:rPr>
      </w:pPr>
    </w:p>
    <w:p>
      <w:pPr>
        <w:ind w:left="780" w:hanging="263"/>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Name:</w:t>
        <w:tab/>
        <w:t>Joshua Easterly</w:t>
      </w:r>
    </w:p>
    <w:p>
      <w:pPr>
        <w:spacing w:after="0" w:line="36"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May 3, 2024</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Name:</w:t>
        <w:tab/>
        <w:t>Ian Simmonds</w:t>
      </w:r>
    </w:p>
    <w:p>
      <w:pPr>
        <w:spacing w:after="0" w:line="36"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6"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May 3, 2024</w:t>
      </w:r>
    </w:p>
    <w:p>
      <w:pPr>
        <w:spacing w:after="0" w:line="239"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1"/>
    </w:lvl>
    <w:lvl w:ilvl="1">
      <w:lvlJc w:val="left"/>
      <w:lvlText w:val="(%2)"/>
      <w:numFmt w:val="lowerLetter"/>
      <w:start w:val="1"/>
    </w:lvl>
  </w:abstractNum>
  <w:abstractNum w:abstractNumId="4">
    <w:nsid w:val="79838CB2"/>
    <w:multiLevelType w:val="hybridMultilevel"/>
    <w:lvl w:ilvl="0">
      <w:lvlJc w:val="left"/>
      <w:lvlText w:val="(%1)"/>
      <w:numFmt w:val="decimal"/>
      <w:start w:val="1"/>
    </w:lvl>
    <w:lvl w:ilvl="1">
      <w:lvlJc w:val="left"/>
      <w:lvlText w:val="%2"/>
      <w:numFmt w:val="lowerLetter"/>
      <w:start w:val="1"/>
    </w:lvl>
  </w:abstractNum>
  <w:abstractNum w:abstractNumId="5">
    <w:nsid w:val="4353D0CD"/>
    <w:multiLevelType w:val="hybridMultilevel"/>
    <w:lvl w:ilvl="0">
      <w:lvlJc w:val="left"/>
      <w:lvlText w:val="(%1)"/>
      <w:numFmt w:val="decimal"/>
      <w:start w:val="6"/>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lowerRoman"/>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45"/>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0"/>
    </w:lvl>
  </w:abstractNum>
  <w:abstractNum w:abstractNumId="21">
    <w:nsid w:val="3006C83E"/>
    <w:multiLevelType w:val="hybridMultilevel"/>
    <w:lvl w:ilvl="0">
      <w:lvlJc w:val="left"/>
      <w:lvlText w:val="%1."/>
      <w:numFmt w:val="decimal"/>
      <w:start w:val="1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1)"/>
      <w:numFmt w:val="decimal"/>
      <w:start w:val="45"/>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1"/>
      <w:numFmt w:val="decimal"/>
      <w:start w:val="32"/>
    </w:lvl>
  </w:abstractNum>
  <w:abstractNum w:abstractNumId="41">
    <w:nsid w:val="1D4ED43B"/>
    <w:multiLevelType w:val="hybridMultilevel"/>
    <w:lvl w:ilvl="0">
      <w:lvlJc w:val="left"/>
      <w:lvlText w:val="%1"/>
      <w:numFmt w:val="decimal"/>
      <w:start w:val="104"/>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23" Type="http://schemas.openxmlformats.org/officeDocument/2006/relationships/image" Target="media/image410.png"/><Relationship Id="rId424" Type="http://schemas.openxmlformats.org/officeDocument/2006/relationships/image" Target="media/image411.png"/><Relationship Id="rId425" Type="http://schemas.openxmlformats.org/officeDocument/2006/relationships/image" Target="media/image412.png"/><Relationship Id="rId426" Type="http://schemas.openxmlformats.org/officeDocument/2006/relationships/image" Target="media/image413.png"/><Relationship Id="rId427" Type="http://schemas.openxmlformats.org/officeDocument/2006/relationships/image" Target="media/image414.png"/><Relationship Id="rId428" Type="http://schemas.openxmlformats.org/officeDocument/2006/relationships/image" Target="media/image415.png"/><Relationship Id="rId429" Type="http://schemas.openxmlformats.org/officeDocument/2006/relationships/image" Target="media/image416.png"/><Relationship Id="rId430" Type="http://schemas.openxmlformats.org/officeDocument/2006/relationships/image" Target="media/image417.png"/><Relationship Id="rId431" Type="http://schemas.openxmlformats.org/officeDocument/2006/relationships/image" Target="media/image418.png"/><Relationship Id="rId432" Type="http://schemas.openxmlformats.org/officeDocument/2006/relationships/image" Target="media/image419.png"/><Relationship Id="rId433" Type="http://schemas.openxmlformats.org/officeDocument/2006/relationships/image" Target="media/image420.png"/><Relationship Id="rId434" Type="http://schemas.openxmlformats.org/officeDocument/2006/relationships/image" Target="media/image421.png"/><Relationship Id="rId435" Type="http://schemas.openxmlformats.org/officeDocument/2006/relationships/image" Target="media/image422.png"/><Relationship Id="rId417" Type="http://schemas.openxmlformats.org/officeDocument/2006/relationships/hyperlink" Target="https://www.sec.gov/Archives/edgar/data/1925309/000119312522226504/d260658dex31.htm" TargetMode="External"/><Relationship Id="rId418" Type="http://schemas.openxmlformats.org/officeDocument/2006/relationships/hyperlink" Target="https://www.sec.gov/Archives/edgar/data/1925309/000119312522183512/d260658dex32.htm" TargetMode="External"/><Relationship Id="rId419" Type="http://schemas.openxmlformats.org/officeDocument/2006/relationships/hyperlink" Target="https://www.sec.gov/Archives/edgar/data/1925309/000119312524069137/d813134dex41.htm" TargetMode="External"/><Relationship Id="rId420" Type="http://schemas.openxmlformats.org/officeDocument/2006/relationships/hyperlink" Target="https://www.sec.gov/Archives/edgar/data/1925309/000119312524069137/d813134dex42.htm" TargetMode="External"/><Relationship Id="rId421" Type="http://schemas.openxmlformats.org/officeDocument/2006/relationships/hyperlink" Target="https://www.sec.gov/Archives/edgar/data/1925309/000119312524069137/d813134dex44.htm" TargetMode="External"/><Relationship Id="rId422" Type="http://schemas.openxmlformats.org/officeDocument/2006/relationships/hyperlink" Target="https://www.sec.gov/Archives/edgar/data/1925309/000119312524030209/d73465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2024-05-03T15:19:20Z</dcterms:created>
  <dcterms:modified xsi:type="dcterms:W3CDTF">2024-05-03T15:19:20Z</dcterms:modified>
</cp:coreProperties>
</file>