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260d8k.htm"/>
      <w:bookmarkStart w:id="1" w:name="ksd1172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88-1710161</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2100 McKinney Avenue, Suite 1100</w:t>
              <w:b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Sixth Street Lending Partners (the “Company”) entered into a purchase agreement (the “Purchase Agreement”) by and among the Company, Sixth Street Lending Partners Advisers, LLC (the “Adviser”) and BofA Securities, Inc., as representative of the several initial purchasers named in Schedule 1 thereto (the “Initial Purchasers”), in connection with the issuance and sale of $750.0 million aggregate principal amount of the Company’s 6.500% Notes due 2031 (the “Notes”) in a private offering to qualified institutional buyers in accordance with Rule 144A under the Securities Act of 1933, as amended (the “Securities Act”), and to non-U.S. persons in transactions outside the United States in reliance on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at 98.987% of their par value with a coupon at 6.500%. Interest on the Notes will be payable semi-annually on June 15 and December 15 of each year commencing on December 15, 2026. The Notes will mature on December 15, 2031. The offering is expected to close, subject to customary closing conditions, on September 21, 2026. The Purchase Agreement contains customary representations, warranties, conditions to closing, indemnification rights and obligations of the parties and termination provisions. Pursuant to the Purchase Agreement, on or prior to the closing of the offering, the Company will enter into a registration rights agreement with BofA Securities, Inc.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of the offering of the Notes to pay down a portion of the outstanding indebtedness on its revolving credit facility and/or its subscription facility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Item 1.01 of this Current Report on Form 8-K is neither an offer to sell nor a solicitation of an offer to buy any securities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reference to the full text of the Purchase Agreement, filed as Exhibit 10.1 hereto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7260dex101.htm">
              <w:r>
                <w:rPr>
                  <w:rStyle w:val="InternetLink"/>
                </w:rPr>
                <w:t>Purchase Agreement dated September 14, 2026, by and among Sixth Street Lending Partners, Sixth Street Lending Partners Advisers, LLC and BofA Securities, Inc., as representative of the several initial purchasers named therein.</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927" w:type="dxa"/>
        <w:jc w:val="left"/>
        <w:tblInd w:w="0" w:type="dxa"/>
        <w:tblLayout w:type="fixed"/>
        <w:tblCellMar>
          <w:top w:w="0" w:type="dxa"/>
          <w:left w:w="0" w:type="dxa"/>
          <w:bottom w:w="0" w:type="dxa"/>
          <w:right w:w="0" w:type="dxa"/>
        </w:tblCellMar>
      </w:tblPr>
      <w:tblGrid>
        <w:gridCol w:w="2510"/>
        <w:gridCol w:w="60"/>
        <w:gridCol w:w="23"/>
        <w:gridCol w:w="60"/>
        <w:gridCol w:w="451"/>
        <w:gridCol w:w="74"/>
        <w:gridCol w:w="2749"/>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LENDING PARTNERS</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By:</w:t>
            </w:r>
          </w:p>
        </w:tc>
        <w:tc>
          <w:tcPr>
            <w:tcW w:w="74" w:type="dxa"/>
            <w:tcBorders/>
            <w:vAlign w:val="center"/>
          </w:tcPr>
          <w:p>
            <w:pPr>
              <w:pStyle w:val="TableContents"/>
              <w:bidi w:val="0"/>
              <w:spacing w:before="0" w:after="283"/>
              <w:jc w:val="left"/>
              <w:rPr/>
            </w:pPr>
            <w:r>
              <w:rPr/>
              <w:t> </w:t>
            </w:r>
          </w:p>
        </w:tc>
        <w:tc>
          <w:tcPr>
            <w:tcW w:w="274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Ian Simmonds</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8-K – Sixth Street Lending Partners</w:t>
      </w:r>
      <w:r>
        <w:rPr>
          <w:rFonts w:ascii="Times New Roman" w:hAnsi="Times New Roman"/>
          <w:sz w:val="20"/>
        </w:rPr>
        <w:t xml:space="preserve">] </w:t>
      </w:r>
    </w:p>
    <w:p>
      <w:pPr>
        <w:pStyle w:val="TextBody"/>
        <w:bidi w:val="0"/>
        <w:spacing w:before="0" w:after="0"/>
        <w:jc w:val="right"/>
        <w:rPr>
          <w:rFonts w:ascii="Times New Roman" w:hAnsi="Times New Roman"/>
          <w:b/>
          <w:i/>
          <w:sz w:val="20"/>
        </w:rPr>
      </w:pPr>
      <w:bookmarkStart w:id="2" w:name="d117260dex101.htm"/>
      <w:bookmarkStart w:id="3" w:name="ksd117260dex101"/>
      <w:bookmarkEnd w:id="2"/>
      <w:bookmarkEnd w:id="3"/>
      <w:r>
        <w:rPr>
          <w:rFonts w:ascii="Times New Roman" w:hAnsi="Times New Roman"/>
          <w:b/>
          <w:i/>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$750,000,000 </w:t>
      </w:r>
    </w:p>
    <w:p>
      <w:pPr>
        <w:pStyle w:val="TextBody"/>
        <w:bidi w:val="0"/>
        <w:spacing w:before="240" w:after="0"/>
        <w:jc w:val="center"/>
        <w:rPr>
          <w:rFonts w:ascii="Times New Roman" w:hAnsi="Times New Roman"/>
          <w:sz w:val="20"/>
        </w:rPr>
      </w:pPr>
      <w:r>
        <w:rPr>
          <w:rFonts w:ascii="Times New Roman" w:hAnsi="Times New Roman"/>
          <w:sz w:val="20"/>
        </w:rPr>
        <w:t xml:space="preserve">6.500% Notes due 2031 </w:t>
      </w:r>
    </w:p>
    <w:p>
      <w:pPr>
        <w:pStyle w:val="TextBody"/>
        <w:bidi w:val="0"/>
        <w:spacing w:before="240" w:after="0"/>
        <w:jc w:val="center"/>
        <w:rPr>
          <w:rFonts w:ascii="Times New Roman" w:hAnsi="Times New Roman"/>
          <w:sz w:val="20"/>
        </w:rPr>
      </w:pPr>
      <w:r>
        <w:rPr>
          <w:rFonts w:ascii="Times New Roman" w:hAnsi="Times New Roman"/>
          <w:sz w:val="20"/>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Initial Purchasers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a Delaware statutory trust (the “Company”), proposes to issue and sell to the several Initial Purchasers listed in Schedule 1 hereto (the “Initial Purchasers”), for whom you are acting as representative (the “Representative”), $750,000,000 aggregate principal amount of 6.500% Notes due 2031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under an indenture dated March 11, 2024 (the “Base Indenture”), as supplemented by the Fifth Supplemental Indenture, to be dated as of September 21, 2026 (the “Fifth Supplemental Indenture”; the Base Indenture, as supplemented by the Fifth Supplemental Indenture, the “Indenture”) between the Company and U.S. Bank Trust Company, National Association, as trustee (the “Trustee”). The Notes will be issued in book-entry form to Cede &amp; Co. as nominee of the Depository Trust Company (“DTC”) pursuant to a blanket letter of representations, dated as of March 11, 2024, between the Company and DTC.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Initial Purchasers propose to make an offering of the Notes as soon as the Representative deems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Initial Purchasers concerning the purchase and sale of the Notes,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Offering Memorandum</w:t>
      </w:r>
      <w:r>
        <w:rPr>
          <w:rFonts w:ascii="Times New Roman" w:hAnsi="Times New Roman"/>
          <w:sz w:val="20"/>
        </w:rPr>
        <w:t xml:space="preserve">. The Notes will be offered and sold to the Initial Purchasers without being registered under the Securities Act of 1933, as amended (the “Securities Act”), in reliance upon an exemption therefrom. The Company has prepared a preliminary offering memorandum, dated September 14, 2026 (the “Preliminary Offering Memorandum”) and will prepare an offering memorandum dated the date hereof (the “Offering Memorandum”) setting forth information concerning the Company and the Notes. Copies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Preliminary Offering Memorandum have been, and copies of the Offering Memorandum will be, 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 No. 814-01543) (the “Notification of Election”) was filed, pursuant to Section 54(a) of the Investment Company Act of 1940, as amended, and the rules and regulations of the Securities and Exchange Commission (the “Commission”) thereunder (collectively, the “Investment Company Act”) with the Commission on June 28,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an Investment Advisory and Management Agreement, dated as of June 28, 2022 (the “Investment Management Agreement”), with Sixth Street Lending Partners Advisers, LLC, a Delaware limited liability company registered as an investment adviser (the “Adviser”) under the Investment Advisers Act of 1940, as amended, and the rules and regulations thereunder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entered into an Administration Agreement, dated as of June 28, 2022 (the “Administration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Preliminary Offering Memorandum, which together with the information set forth on Schedule 2 hereto comprises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Any reference herein to the terms “Preliminary Offering Memorandum,” “Pricing Disclosure Package” and “Offering Memorandum” shall be deemed to refer to and include all documents incorporated by reference therein. </w:t>
      </w:r>
    </w:p>
    <w:p>
      <w:pPr>
        <w:pStyle w:val="TextBody"/>
        <w:bidi w:val="0"/>
        <w:spacing w:before="240" w:after="0"/>
        <w:jc w:val="left"/>
        <w:rPr/>
      </w:pPr>
      <w:r>
        <w:rPr/>
        <w:t>“</w:t>
      </w:r>
      <w:r>
        <w:rPr>
          <w:rFonts w:ascii="Times New Roman" w:hAnsi="Times New Roman"/>
          <w:sz w:val="20"/>
        </w:rPr>
        <w:t xml:space="preserve">Applicable Time” means 4:10 P.M., New York City time, on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Notes by the Initial 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Notes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aggregate principal amount of Notes set forth opposite such Initial Purchaser’s name in Schedule 1 hereto at the price (the “Purchase Price”) set forth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Initial Purchasers intend to offer the Notes for resale on the terms set forth in the Pricing Disclosure Package and the Offering Memorandum, as in the judgment of the Representative is advisable. The Company acknowledges and agrees that the Initial Purchasers may offer and sell Notes to or through any affiliate of an Initial Purchaser.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 for the Notes shall be made by wire transfer in immediately available funds to the account specified by the Company to the Representative, at the offices of Ropes &amp; Gray LLP, 1211 Avenue of the Americas, New York, NY 10036, at 10:00 A.M., New York City time, on September 21, 2026, or at such other time or place on the same or such other date, not later than the fifth business day thereafter, as the Representative and the Company may agree upon in writing. The time and date of such payment for the Notes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Notes shall be made against delivery to the Representative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Representations and Warranties by the Initial Purchasers</w:t>
      </w:r>
      <w:r>
        <w:rPr>
          <w:rFonts w:ascii="Times New Roman" w:hAnsi="Times New Roman"/>
          <w:sz w:val="20"/>
        </w:rPr>
        <w:t xml:space="preserve">. The Company understands that the Initial Purchasers intend to offer the Notes for resale on the terms set forth in the Pricing Disclosure Package and the Offering Memorandum. Each Initial Purchaser, severally and not jointly, represents and warrants with the Company as of the date hereof, as of the Applicable Time, as of the Closing Date referred to in Section 2(c) hereof, as follows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(ii) neither it, nor any person acting on its behalf, has solicited offers for, or offered or sold, and neither it, nor any person acting on its behalf, will solicit offers for, or offer or sell, the Notes by means of any form of general solicitation or general advertising within the meaning of Rule 502(c) of Regulation D or in any manner involving a public offering within the meaning of Section 4(a)(2) of the Securities Act;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 or to non-U.S. Persons, as defined in Regulation S under the 1933 Act (“Regulation S”), in accordance with the requirements of Regulation 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Initial Purchaser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Offering Memorandum.</w:t>
      </w:r>
      <w:r>
        <w:rPr>
          <w:rFonts w:ascii="Times New Roman" w:hAnsi="Times New Roman"/>
          <w:sz w:val="20"/>
        </w:rPr>
        <w:t xml:space="preserve"> The Preliminary Offering Memorandum, as of its date,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any Preliminary Offering Memorandum, it being understood and agreed that the only such information furnished by any Initial Purchaser consists of the information described as such in Section 8(b)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 and Marketing Materials</w:t>
      </w:r>
      <w:r>
        <w:rPr>
          <w:rFonts w:ascii="Times New Roman" w:hAnsi="Times New Roman"/>
          <w:sz w:val="20"/>
        </w:rPr>
        <w:t xml:space="preserve">. The Pricing Disclosure Package and any Marketing Materials (as defined below) as of the Applicable Time did not, and the Pricing Disclosure Package and any Marketing Materials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Offering Memorandum, the Pricing Disclosure Package or the Offering Memorandum;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Offering Memorandum.</w:t>
      </w:r>
      <w:r>
        <w:rPr>
          <w:rFonts w:ascii="Times New Roman" w:hAnsi="Times New Roman"/>
          <w:sz w:val="20"/>
        </w:rPr>
        <w:t xml:space="preserve"> The Offering Memorandum and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the Offering Memorandum and any amendment or supplement thereto, it being understood and agreed that the only such information furnished by any Initial Purchaser consists of the information described as such in Section 8(b)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Emerging Growth Company</w:t>
      </w:r>
      <w:r>
        <w:rPr>
          <w:rFonts w:ascii="Times New Roman" w:hAnsi="Times New Roman"/>
          <w:sz w:val="20"/>
        </w:rPr>
        <w:t xml:space="preserve">. As of the date hereof and the Closing Date, as the case may be, the Company is an “emerging growth company,” as defined in Section 2(a)(19) of the Securities Act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Pricing Disclosure Package and the Offering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Pricing Disclosure Package and the Offering Memorandum present fairly in all material respects the information required to be stated therein; and any other financial information included or incorporated by reference in the Pricing Disclosure Package and the Offering Memorandum has been derived from the accounting records and other books and records of the Company and its consolidated subsidiaries and presents fairly in all material respects the information shown thereby.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Material Adverse Change.</w:t>
      </w:r>
      <w:r>
        <w:rPr>
          <w:rFonts w:ascii="Times New Roman" w:hAnsi="Times New Roman"/>
          <w:sz w:val="20"/>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shareholders’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shareholders’ equity, results of operations or prospects of the Company and its subsidiaries taken as a whole or on the performance by the Company of its obligations under this Agreement, the Indenture, the Notes, the Investment Management Agreement and the Administration Agreement (a “Material Adverse Effect”). The subsidiaries listed in Schedule 3 to this Agreement are the only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Capitalization.</w:t>
      </w:r>
      <w:r>
        <w:rPr>
          <w:rFonts w:ascii="Times New Roman" w:hAnsi="Times New Roman"/>
          <w:sz w:val="20"/>
        </w:rPr>
        <w:t xml:space="preserve"> As of June 30, 2026, the Company had the authorized and outstanding capital stock and material indebtedness as set forth in the Pricing Disclosure Package and the Offering Memorandum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Stock Options. </w:t>
      </w:r>
      <w:r>
        <w:rPr>
          <w:rFonts w:ascii="Times New Roman" w:hAnsi="Times New Roman"/>
          <w:sz w:val="20"/>
        </w:rPr>
        <w:t xml:space="preserve">The Company has not granted, and has no policy or expectation of granting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Due Authorization.</w:t>
      </w:r>
      <w:r>
        <w:rPr>
          <w:rFonts w:ascii="Times New Roman" w:hAnsi="Times New Roman"/>
          <w:sz w:val="20"/>
        </w:rPr>
        <w:t xml:space="preserve"> The Company has corporate power and authority to execute and deliver this Agreement, the Indenture and the Notes,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Notes and each of the Investment Management Agreement and the Administration Agreement, and the consummation by it of the transactions contemplated hereby and thereby has been duly and validly taken.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Purchase Agreement. </w:t>
      </w:r>
      <w:r>
        <w:rPr>
          <w:rFonts w:ascii="Times New Roman" w:hAnsi="Times New Roman"/>
          <w:sz w:val="20"/>
        </w:rPr>
        <w:t xml:space="preserve">This Agreement has been duly authorized, executed and delivered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Investment Management Agreement and Administration Agreement.</w:t>
      </w:r>
      <w:r>
        <w:rPr>
          <w:rFonts w:ascii="Times New Roman" w:hAnsi="Times New Roman"/>
          <w:sz w:val="20"/>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Base</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Base Indenture has been duly authorized, executed and delivered by the Company and constitutes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Fifth Supplemental</w:t>
      </w:r>
      <w:r>
        <w:rPr>
          <w:rFonts w:ascii="Times New Roman" w:hAnsi="Times New Roman"/>
          <w:sz w:val="20"/>
        </w:rPr>
        <w:t xml:space="preserve"> </w:t>
      </w:r>
      <w:r>
        <w:rPr>
          <w:rFonts w:ascii="Times New Roman" w:hAnsi="Times New Roman"/>
          <w:i/>
          <w:sz w:val="20"/>
        </w:rPr>
        <w:t>Indenture</w:t>
      </w:r>
      <w:r>
        <w:rPr>
          <w:rFonts w:ascii="Times New Roman" w:hAnsi="Times New Roman"/>
          <w:sz w:val="20"/>
        </w:rPr>
        <w:t xml:space="preserve">. The Fifth Supplemental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The Notes. </w:t>
      </w:r>
      <w:r>
        <w:rPr>
          <w:rFonts w:ascii="Times New Roman" w:hAnsi="Times New Roman"/>
          <w:sz w:val="20"/>
        </w:rPr>
        <w:t xml:space="preserve">The Notes to be issued and sold by the Company hereunder have been duly authorized and, on the Closing Date, will be duly 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Registration Rights Agreement. </w:t>
      </w:r>
      <w:r>
        <w:rPr>
          <w:rFonts w:ascii="Times New Roman" w:hAnsi="Times New Roman"/>
          <w:sz w:val="20"/>
        </w:rPr>
        <w:t xml:space="preserve">The Registration Rights Agreement to be dated as of the Closing Date (the “Registration Rights Agreement”), which will be in the form attached hereto as Exhibit A, has been duly authorized, and as of the Closing Date, will have been duly executed and delivered by the Company, and, when duly executed and delivered in accordance with its terms by each of the other parties thereto, will constitute a valid and legally binding instrument, enforceable against the Company in accordance with its terms, subject, as to enforcement, to applicable bankruptcy, reorganization, insolvency, moratorium or other laws affecting creditors’ rights generally (including, without limitation, laws with respect to fraudulent conveyance) and to general principles of equity and public policy (regardless of whether enforcement is considered in a proceeding in equity or law) (collectively, the “Enforceability Exceptions”); and the Registration Rights Agreement will conform in all material respects to the descriptions thereof in the Pricing Disclosure Package and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Exchange Offer.</w:t>
      </w:r>
      <w:r>
        <w:rPr>
          <w:rFonts w:ascii="Times New Roman" w:hAnsi="Times New Roman"/>
          <w:sz w:val="20"/>
        </w:rPr>
        <w:t xml:space="preserve"> The 6.500% Notes due 2031 to be offered in exchange for the Notes pursuant to the Registration Rights Agreement will be duly authorized by the Company and if and when issued and authenticated in accordance with the terms of the Indenture and delivered in accordance with the exchange offer provided for in the Registration Rights Agreement will be validly issued and delivered and will constitute valid and binding obligations of the Company entitled to the benefits of the Indenture, enforceable against the Company in accordance with their terms, subject, as to enforcement, to the Enforceability Exceptions, and will be entitled to the benefits provided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Rule 144A Eligibility</w:t>
      </w:r>
      <w:r>
        <w:rPr>
          <w:rFonts w:ascii="Times New Roman" w:hAnsi="Times New Roman"/>
          <w:sz w:val="20"/>
        </w:rPr>
        <w:t xml:space="preserve">. On the Closing Date, the Notes will not be of the same class as securities listed on a national exchange registered under 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Integration</w:t>
      </w:r>
      <w:r>
        <w:rPr>
          <w:rFonts w:ascii="Times New Roman" w:hAnsi="Times New Roman"/>
          <w:sz w:val="20"/>
        </w:rPr>
        <w:t xml:space="preserve">. Neither the Company nor any of its affiliates (as defined in Rule 501(b) of Regulation D under the Securities Act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General Solicitation; Written Communications</w:t>
      </w:r>
      <w:r>
        <w:rPr>
          <w:rFonts w:ascii="Times New Roman" w:hAnsi="Times New Roman"/>
          <w:sz w:val="20"/>
        </w:rPr>
        <w:t xml:space="preserve">. None of the Company or any of its affiliates or any other person acting on its or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The Company (including its agents and representatives, other than the Initial Purchasers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Securities Law Exemptions</w:t>
      </w:r>
      <w:r>
        <w:rPr>
          <w:rFonts w:ascii="Times New Roman" w:hAnsi="Times New Roman"/>
          <w:sz w:val="20"/>
        </w:rPr>
        <w:t xml:space="preserve">. Assuming the accuracy of the representations and warranties of the Initial Purchasers contained in Section 2(e) and 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Descriptions of Investment Management Agreement and Administration Agreement</w:t>
      </w:r>
      <w:r>
        <w:rPr>
          <w:rFonts w:ascii="Times New Roman" w:hAnsi="Times New Roman"/>
          <w:sz w:val="20"/>
        </w:rPr>
        <w:t xml:space="preserve">. Both the Investment Management Agreement and Administration Agreement conform in all material respects to the descriptions thereof contained or incorporated by reference in the Pricing Disclosure Package and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and the Indenture, the issuance and sale of the Notes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Company of this Agreement and the Indenture, the issuance and sale of the Notes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 (ii) such consents, approvals, authorizations, orders and registrations or qualifications as may be required under applicable state securities laws in connection with the purchase and distribution of the Notes by the Initial Purchasers and (iii) where the failure to obtain any such consent, approval, authorization, order, license, registration or qualification would not reasonably be expected,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Legal Proceedings.</w:t>
      </w:r>
      <w:r>
        <w:rPr>
          <w:rFonts w:ascii="Times New Roman" w:hAnsi="Times New Roman"/>
          <w:sz w:val="20"/>
        </w:rPr>
        <w:t xml:space="preserve"> Except as described in the Pricing Disclosure Package and the Offering Memorandum,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Notification of Election</w:t>
      </w:r>
      <w:r>
        <w:rPr>
          <w:rFonts w:ascii="Times New Roman" w:hAnsi="Times New Roman"/>
          <w:sz w:val="20"/>
        </w:rPr>
        <w:t xml:space="preserve">.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Election to be Treated as a Business Development Company</w:t>
      </w:r>
      <w:r>
        <w:rPr>
          <w:rFonts w:ascii="Times New Roman" w:hAnsi="Times New Roman"/>
          <w:sz w:val="20"/>
        </w:rPr>
        <w:t xml:space="preserve">.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and as of the Closing Date, the operations of the Company are in compliance in all material respects with the provisions of the Investment Company Act applicable to business development companies.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Independent Accountants</w:t>
      </w:r>
      <w:r>
        <w:rPr>
          <w:rFonts w:ascii="Times New Roman" w:hAnsi="Times New Roman"/>
          <w:sz w:val="20"/>
        </w:rPr>
        <w:t xml:space="preserve">.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Title to Real and Personal Property</w:t>
      </w:r>
      <w:r>
        <w:rPr>
          <w:rFonts w:ascii="Times New Roman" w:hAnsi="Times New Roman"/>
          <w:sz w:val="20"/>
        </w:rPr>
        <w:t xml:space="preserve">.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3(ee))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Title to Intellectual Property</w:t>
      </w:r>
      <w:r>
        <w:rPr>
          <w:rFonts w:ascii="Times New Roman" w:hAnsi="Times New Roman"/>
          <w:sz w:val="20"/>
        </w:rPr>
        <w:t xml:space="preserve">.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shareholders,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Investment Company Act</w:t>
      </w:r>
      <w:r>
        <w:rPr>
          <w:rFonts w:ascii="Times New Roman" w:hAnsi="Times New Roman"/>
          <w:sz w:val="20"/>
        </w:rPr>
        <w:t xml:space="preserve">. The Company is not and its subsidiaries are not, and, after giving effect to the offering and sale of the Notes and the 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Taxes.</w:t>
      </w:r>
      <w:r>
        <w:rPr>
          <w:rFonts w:ascii="Times New Roman" w:hAnsi="Times New Roman"/>
          <w:sz w:val="20"/>
        </w:rPr>
        <w:t xml:space="preserve"> 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otherwise disclosed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action is taken with respect to any differences. Except as otherwise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To the Company’s knowledge, the interactive data in eXtensible Business Reporting Language included or incorporated by reference in the Pricing Disclosure Package and the Offering Memorandum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Insurance.</w:t>
      </w:r>
      <w:r>
        <w:rPr>
          <w:rFonts w:ascii="Times New Roman" w:hAnsi="Times New Roman"/>
          <w:sz w:val="20"/>
        </w:rPr>
        <w:t xml:space="preserve"> 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Compliance with 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No Conflicts with Sanctions Laws.</w:t>
      </w:r>
      <w:r>
        <w:rPr>
          <w:rFonts w:ascii="Times New Roman" w:hAnsi="Times New Roman"/>
          <w:sz w:val="20"/>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and the occupied Donetsk, Luhansk, Crimea, Zaporizhzhia and Kerson regions of Ukraine, that broadly prohibit dealings with that country or territory (each, a “Sanctioned Territory”); and the Company will not directly or indirectly use the proceeds of the offering of the Notes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any Initial Purchaser for a brokerage commission, finder’s fee or like payment in connection with the offering and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Stabilization.</w:t>
      </w:r>
      <w:r>
        <w:rPr>
          <w:rFonts w:ascii="Times New Roman" w:hAnsi="Times New Roman"/>
          <w:sz w:val="20"/>
        </w:rPr>
        <w:t xml:space="preserve"> The Company has not taken, directly or indirectly, without giving effect to any activities by the Initial Purchasers, any action designed to or that would reasonably be expected to cause or result in any stabilization or manipulation of the price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contained in the Pricing Disclosure Package or the Offering Memorandum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in the Pricing Disclosure Package and the Offering Memorandum is not based on or derived from sources that are reasonably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Rule 38a-1 Compliance</w:t>
      </w:r>
      <w:r>
        <w:rPr>
          <w:rFonts w:ascii="Times New Roman" w:hAnsi="Times New Roman"/>
          <w:sz w:val="20"/>
        </w:rPr>
        <w:t xml:space="preserve">.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Regulated Investment Company</w:t>
      </w:r>
      <w:r>
        <w:rPr>
          <w:rFonts w:ascii="Times New Roman" w:hAnsi="Times New Roman"/>
          <w:sz w:val="20"/>
        </w:rPr>
        <w:t xml:space="preserve">.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 </w:t>
      </w:r>
    </w:p>
    <w:p>
      <w:pPr>
        <w:pStyle w:val="TextBody"/>
        <w:bidi w:val="0"/>
        <w:spacing w:before="240" w:after="0"/>
        <w:jc w:val="left"/>
        <w:rPr>
          <w:rFonts w:ascii="Times New Roman" w:hAnsi="Times New Roman"/>
          <w:sz w:val="20"/>
        </w:rPr>
      </w:pPr>
      <w:r>
        <w:rPr>
          <w:rFonts w:ascii="Times New Roman" w:hAnsi="Times New Roman"/>
          <w:sz w:val="20"/>
        </w:rPr>
        <w:t xml:space="preserve">(yy) </w:t>
      </w:r>
      <w:r>
        <w:rPr>
          <w:rFonts w:ascii="Times New Roman" w:hAnsi="Times New Roman"/>
          <w:i/>
          <w:sz w:val="20"/>
        </w:rPr>
        <w:t>Cybersecurity.</w:t>
      </w:r>
      <w:r>
        <w:rPr>
          <w:rFonts w:ascii="Times New Roman" w:hAnsi="Times New Roman"/>
          <w:sz w:val="20"/>
        </w:rPr>
        <w:t xml:space="preserve"> (A) To the Company’s knowledge, since the Company’s inception in 2022, there has been no material security breach or other material compromise of or relating to the Company’s or its subsidiaries’ information technology and computer systems, networks, hardware, software, data and databases (including the data and information of their respective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customers, employees, suppliers, vendors and any third party data maintained, processed or stored by the Company and its subsidiaries, and any such data processed or stored by third parties on behalf of the Company and its subsidiaries) (collectively, “IT Systems and Data”);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and agrees with, each Initial Purchaser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Material Adverse Change.</w:t>
      </w:r>
      <w:r>
        <w:rPr>
          <w:rFonts w:ascii="Times New Roman" w:hAnsi="Times New Roman"/>
          <w:sz w:val="20"/>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Organization and Good Standing.</w:t>
      </w:r>
      <w:r>
        <w:rPr>
          <w:rFonts w:ascii="Times New Roman" w:hAnsi="Times New Roman"/>
          <w:sz w:val="20"/>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Registration as an Investment Adviser</w:t>
      </w:r>
      <w:r>
        <w:rPr>
          <w:rFonts w:ascii="Times New Roman" w:hAnsi="Times New Roman"/>
          <w:sz w:val="20"/>
        </w:rPr>
        <w:t xml:space="preserve">.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Purchase Agreement. </w:t>
      </w:r>
      <w:r>
        <w:rPr>
          <w:rFonts w:ascii="Times New Roman" w:hAnsi="Times New Roman"/>
          <w:sz w:val="20"/>
        </w:rPr>
        <w:t xml:space="preserve">This Agreement has been duly authorized, executed and delivered by the Adviser.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Investment Management Agreement and the Administration Agreement.</w:t>
      </w:r>
      <w:r>
        <w:rPr>
          <w:rFonts w:ascii="Times New Roman" w:hAnsi="Times New Roman"/>
          <w:sz w:val="20"/>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 Violation or Default. </w:t>
      </w:r>
      <w:r>
        <w:rPr>
          <w:rFonts w:ascii="Times New Roman" w:hAnsi="Times New Roman"/>
          <w:sz w:val="20"/>
        </w:rPr>
        <w:t xml:space="preserve">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Conflicts. </w:t>
      </w:r>
      <w:r>
        <w:rPr>
          <w:rFonts w:ascii="Times New Roman" w:hAnsi="Times New Roman"/>
          <w:sz w:val="20"/>
        </w:rPr>
        <w:t xml:space="preserve">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Legal Proceedings.</w:t>
      </w:r>
      <w:r>
        <w:rPr>
          <w:rFonts w:ascii="Times New Roman" w:hAnsi="Times New Roman"/>
          <w:sz w:val="20"/>
        </w:rPr>
        <w:t xml:space="preserve"> Except as described in the Pricing Disclosure Package and the Offering Memorandum,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Licenses and Permits.</w:t>
      </w:r>
      <w:r>
        <w:rPr>
          <w:rFonts w:ascii="Times New Roman" w:hAnsi="Times New Roman"/>
          <w:sz w:val="20"/>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Description of the Adviser</w:t>
      </w:r>
      <w:r>
        <w:rPr>
          <w:rFonts w:ascii="Times New Roman" w:hAnsi="Times New Roman"/>
          <w:sz w:val="20"/>
        </w:rPr>
        <w:t xml:space="preserve">. The description of the Adviser and its respective principals and business in the Pricing Disclosure Package and the Offering Memorandum does not and will not contain an untrue statement of a material fact or omit to state a material fact required to be stated therein or necessary to make the statements therein, in the light of the circumstances under which they were made, not misleading.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Resources</w:t>
      </w:r>
      <w:r>
        <w:rPr>
          <w:rFonts w:ascii="Times New Roman" w:hAnsi="Times New Roman"/>
          <w:sz w:val="20"/>
        </w:rPr>
        <w:t xml:space="preserve">. The Adviser has the financial resources available to it necessary for the performance of its services and obligations contemplated in the Pricing Disclosure Package, the Offering Memorandum, and under this Agreement, the Investment Management Agreement and the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Internal Controls</w:t>
      </w:r>
      <w:r>
        <w:rPr>
          <w:rFonts w:ascii="Times New Roman" w:hAnsi="Times New Roman"/>
          <w:sz w:val="20"/>
        </w:rPr>
        <w:t xml:space="preserve">. The Adviser maintains a system of internal accounting controls sufficient to provide reasonable assurance that (i) 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 Unlawful Payments.</w:t>
      </w:r>
      <w:r>
        <w:rPr>
          <w:rFonts w:ascii="Times New Roman" w:hAnsi="Times New Roman"/>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Compliance with Money Laundering Laws</w:t>
      </w:r>
      <w:r>
        <w:rPr>
          <w:rFonts w:ascii="Times New Roman" w:hAnsi="Times New Roman"/>
          <w:sz w:val="20"/>
        </w:rPr>
        <w:t xml:space="preserve">.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Conflicts with Sanctions Laws.</w:t>
      </w:r>
      <w:r>
        <w:rPr>
          <w:rFonts w:ascii="Times New Roman" w:hAnsi="Times New Roman"/>
          <w:sz w:val="20"/>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Stabilization.</w:t>
      </w:r>
      <w:r>
        <w:rPr>
          <w:rFonts w:ascii="Times New Roman" w:hAnsi="Times New Roman"/>
          <w:sz w:val="20"/>
        </w:rPr>
        <w:t xml:space="preserve"> The Adviser has not taken, directly or indirectly, without giving effect to any activities by the Initial Purchasers, any action designed to or that would reasonably be expected to cause or result in any stabilization or manipulation of the price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Integration</w:t>
      </w:r>
      <w:r>
        <w:rPr>
          <w:rFonts w:ascii="Times New Roman" w:hAnsi="Times New Roman"/>
          <w:sz w:val="20"/>
        </w:rPr>
        <w:t xml:space="preserve">. Neither the Adviser nor any of its affiliates (as defined in Rule 501(b) of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General Solicitation</w:t>
      </w:r>
      <w:r>
        <w:rPr>
          <w:rFonts w:ascii="Times New Roman" w:hAnsi="Times New Roman"/>
          <w:sz w:val="20"/>
        </w:rPr>
        <w:t xml:space="preserve">. Neither the Adviser nor any of its affiliates or any other person acting on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Key Employees. </w:t>
      </w:r>
      <w:r>
        <w:rPr>
          <w:rFonts w:ascii="Times New Roman" w:hAnsi="Times New Roman"/>
          <w:sz w:val="20"/>
        </w:rPr>
        <w:t xml:space="preserve">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Initial Purchaser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Delivery of Copies.</w:t>
      </w:r>
      <w:r>
        <w:rPr>
          <w:rFonts w:ascii="Times New Roman" w:hAnsi="Times New Roman"/>
          <w:sz w:val="20"/>
        </w:rPr>
        <w:t xml:space="preserve"> The Company has delivered to each Initial Purchaser, without charge, as many copies of the Preliminary Offering Memorandum as such Initial Purchaser reasonably requested. The Company will furnish to each Initial Purchaser, without charge, such number of copies of the Offering Memorandum (as amended or supplemented) as such Initial Purchaser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Amendments or Supplements.</w:t>
      </w:r>
      <w:r>
        <w:rPr>
          <w:rFonts w:ascii="Times New Roman" w:hAnsi="Times New Roman"/>
          <w:sz w:val="20"/>
        </w:rPr>
        <w:t xml:space="preserve"> Before using, authorizing, approving, referring to or distributing any amendment or supplement to the Pricing Disclosure Package or the Offering Memorandum, the Company will furnish to the Representative and counsel for the Initial Purchasers a copy of the proposed amendment or supplement for review and will not use, authorize, approve, refer to or distribute any such proposed amendment or supplement to which the Representative reasonably objects in a timely manner.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Marketing Materials</w:t>
      </w:r>
      <w:r>
        <w:rPr>
          <w:rFonts w:ascii="Times New Roman" w:hAnsi="Times New Roman"/>
          <w:sz w:val="20"/>
        </w:rPr>
        <w:t xml:space="preserve">. Before using, authorizing, approving, referring to or distributing any Marketing Materials, the Company will furnish to the Representative and counsel for the Initial Purchasers a copy of such materials for review and will not use, authorize, approve, refer to or distribute any such materials to which the Representative reasonably objects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w:t>
      </w:r>
      <w:r>
        <w:rPr>
          <w:rFonts w:ascii="Times New Roman" w:hAnsi="Times New Roman"/>
          <w:sz w:val="20"/>
        </w:rPr>
        <w:t xml:space="preserve"> The Company will advise the Representative promptly, and confirm such advice in writing, (i) of the issuance by 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Notes, as a result of which the Pricing Disclosure Package, any Marketing Materials or the Offering Memorandum, as then amended or 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at any time prior to the completion of the offering of the Notes (i) any event or development shall occur or 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Supplying Information</w:t>
      </w:r>
      <w:r>
        <w:rPr>
          <w:rFonts w:ascii="Times New Roman" w:hAnsi="Times New Roman"/>
          <w:sz w:val="20"/>
        </w:rPr>
        <w:t xml:space="preserve">. While the Notes remain outstanding and are “restricted securities” within the meaning of Rule 144(a)(3) under the Securities Act, the Company will, during any period in which the Company is not subject to and in compliance with Section 13 or 15(d) of the Exchange Act, furnish to holders of the Notes, prospective purchasers of the Notes designated by such holders and securities analysts, in each case upon request, the information required to be delivered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Integration</w:t>
      </w:r>
      <w:r>
        <w:rPr>
          <w:rFonts w:ascii="Times New Roman" w:hAnsi="Times New Roman"/>
          <w:sz w:val="20"/>
        </w:rPr>
        <w:t xml:space="preserve">. Neither the Company nor any of its affiliates (as defined in Rule 501(b) of Regulation D) will, directly or through any agent, sell, offer for sale, solicit offers to buy or otherwise negotiate in respect of, any security (as defined in the Securities Act), that is or will be integrated with the sale of the Notes in a manner that would require registration of the Notes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General Solicitation</w:t>
      </w:r>
      <w:r>
        <w:rPr>
          <w:rFonts w:ascii="Times New Roman" w:hAnsi="Times New Roman"/>
          <w:sz w:val="20"/>
        </w:rPr>
        <w:t xml:space="preserve">. None of the Company or any of its affiliates or any other person acting on its or their behalf (other than the Initial 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Resales by the Company</w:t>
      </w:r>
      <w:r>
        <w:rPr>
          <w:rFonts w:ascii="Times New Roman" w:hAnsi="Times New Roman"/>
          <w:sz w:val="20"/>
        </w:rPr>
        <w:t xml:space="preserve">. During the period from the Closing Date until one year after the Closing Date, the Company will not, and will not permit any of its subsidiaries to, resell any of the Notes that constitute “restricted securities” under Rule 144 under the Securities Act that have been reacquired by any of them, except for Notes purchased by the Company or any of its subsidiaries and resold in a transaction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Blue Sky Compliance.</w:t>
      </w:r>
      <w:r>
        <w:rPr>
          <w:rFonts w:ascii="Times New Roman" w:hAnsi="Times New Roman"/>
          <w:sz w:val="20"/>
        </w:rPr>
        <w:t xml:space="preserve"> The Company will use commercially reasonable efforts, in cooperation with the Representative, to qualify the Notes for offer and sale under the securities or Blue Sky laws of such jurisdictions as the Representative shall reasonably request and will continue such qualifications in effect so long as required for distribution of the Notes;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Times New Roman" w:hAnsi="Times New Roman"/>
          <w:i/>
          <w:sz w:val="20"/>
        </w:rPr>
        <w:t>provided that</w:t>
      </w:r>
      <w:r>
        <w:rPr>
          <w:rFonts w:ascii="Times New Roman" w:hAnsi="Times New Roman"/>
          <w:sz w:val="20"/>
        </w:rPr>
        <w:t xml:space="preserve"> the Company will be deemed to have complied with such requirement by filing such an earning statement on the Commission’s Electronic Data Gathering, Analysis, and Retrieval system (or any successor system) (“EDGAR”).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Clear Market.</w:t>
      </w:r>
      <w:r>
        <w:rPr>
          <w:rFonts w:ascii="Times New Roman" w:hAnsi="Times New Roman"/>
          <w:sz w:val="20"/>
        </w:rPr>
        <w:t xml:space="preserve"> Through the Closing Date,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Initial Purchasers, other than the Notes to be sold hereunder for purposes of interest rate hedging.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Use of Proceeds.</w:t>
      </w:r>
      <w:r>
        <w:rPr>
          <w:rFonts w:ascii="Times New Roman" w:hAnsi="Times New Roman"/>
          <w:sz w:val="20"/>
        </w:rPr>
        <w:t xml:space="preserve"> The Company will apply the net proceeds from the sale of the Notes in all material respects as described in the Pricing Disclosure Package and the Offering Memorandum under the heading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Reports.</w:t>
      </w:r>
      <w:r>
        <w:rPr>
          <w:rFonts w:ascii="Times New Roman" w:hAnsi="Times New Roman"/>
          <w:sz w:val="20"/>
        </w:rPr>
        <w:t xml:space="preserve"> For a period of one year from the date of this Agreement, so long as the Notes are outstanding, the Company will furnish to the Representative,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 to the extent they are filed on EDGAR.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Emerging Growth Company</w:t>
      </w:r>
      <w:r>
        <w:rPr>
          <w:rFonts w:ascii="Times New Roman" w:hAnsi="Times New Roman"/>
          <w:sz w:val="20"/>
        </w:rPr>
        <w:t xml:space="preserve">. The Company will promptly notify the Representative if the Company ceases to be an Emerging Growth Company at any time prior to the completion of the distribution of Notes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Business Development Company</w:t>
      </w:r>
      <w:r>
        <w:rPr>
          <w:rFonts w:ascii="Times New Roman" w:hAnsi="Times New Roman"/>
          <w:sz w:val="20"/>
        </w:rPr>
        <w:t xml:space="preserve">. The Company, during a period of twelve months from the date of the Offering Memorandum, will use commercially reasonable efforts to maintain its status as a business development company under the Investment Company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change the nature of its business so as to cease to be, or withdraw its election to be treated as, a business development company with the approval of its Board of Trustees and a vote of shareholders as required by Section 58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Regulated Investment Company.</w:t>
      </w:r>
      <w:r>
        <w:rPr>
          <w:rFonts w:ascii="Times New Roman" w:hAnsi="Times New Roman"/>
          <w:sz w:val="20"/>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Legends</w:t>
      </w:r>
      <w:r>
        <w:rPr>
          <w:rFonts w:ascii="Times New Roman" w:hAnsi="Times New Roman"/>
          <w:sz w:val="20"/>
        </w:rPr>
        <w:t xml:space="preserve">. Each of the Notes will bear, to the extent applicable, the legend contained in “Transfer Restrictions” in the Pricing Disclosure Package and the Offering Memorandum for the time period and upon the other terms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Certain Agreements of the Initial Purchasers</w:t>
      </w:r>
      <w:r>
        <w:rPr>
          <w:rFonts w:ascii="Times New Roman" w:hAnsi="Times New Roman"/>
          <w:sz w:val="20"/>
        </w:rPr>
        <w:t xml:space="preserve">.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Initial Purchasers’ Obligations.</w:t>
      </w:r>
      <w:r>
        <w:rPr>
          <w:rFonts w:ascii="Times New Roman" w:hAnsi="Times New Roman"/>
          <w:sz w:val="20"/>
        </w:rPr>
        <w:t xml:space="preserve"> The obligation of each Initial Purchaser to purchase the Notes on the Closing Date as provided herein is subject to the performance by the Company of its covenants and other obligations hereunder and to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of the Company and the Adviser contained herein shall be true and correct on the date hereof and on and as of the Closing Date; and the statements of the Company and its officers made in any certificates delivered pursuant to this Agreement shall be true and correct on and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Material Adverse Change.</w:t>
      </w:r>
      <w:r>
        <w:rPr>
          <w:rFonts w:ascii="Times New Roman" w:hAnsi="Times New Roman"/>
          <w:sz w:val="20"/>
        </w:rPr>
        <w:t xml:space="preserve"> No event or condition of a type described in Section 3(f) and Section 4(a) hereof shall have occurred or shall exist, which event or condition is not described in the Pricing Disclosure Package (excluding any amendment or supplement thereto) and the Offering Memorandum (excluding any amendment or supplement thereto) and the effect of which in the judgment of the Representative makes it impracticable or inadvisable to proceed with the offering, sale or delivery of the Notes on the Closing Date, on the terms and in the manner contemplated by this Agreement, the Pricing Disclosure Package and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Company’s Officer’s Certificate.</w:t>
      </w:r>
      <w:r>
        <w:rPr>
          <w:rFonts w:ascii="Times New Roman" w:hAnsi="Times New Roman"/>
          <w:sz w:val="20"/>
        </w:rPr>
        <w:t xml:space="preserve"> The Representative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Pricing Disclosure Package and the Offering Memorandum,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with respect to the Company and its subsidiaries, to the effect set forth in paragraph (b)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Adviser’s Officer’s Certificate.</w:t>
      </w:r>
      <w:r>
        <w:rPr>
          <w:rFonts w:ascii="Times New Roman" w:hAnsi="Times New Roman"/>
          <w:sz w:val="20"/>
        </w:rPr>
        <w:t xml:space="preserve"> The Representative shall have received on and as of the Closing Date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(b)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On the date of this Agreement and on the Closing Date, KPMG LLP shall have furnished to the Representative, at the request 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shall use a “cut-off” date no more than three business days prior to such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10b-5 Statement of Counsel for the Company and Adviser.</w:t>
      </w:r>
      <w:r>
        <w:rPr>
          <w:rFonts w:ascii="Times New Roman" w:hAnsi="Times New Roman"/>
          <w:sz w:val="20"/>
        </w:rPr>
        <w:t xml:space="preserve"> Simpson, Thacher &amp; Bartlett LLP, counsel for the Company and the Adviser, shall have furnished to the Representative, at the request of the Company and the Adviser, their written opinions and 10b-5 letter, dated the Closing Date and addressed to the Initial Purchasers,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Initial Purchasers, in form and substance reasonably satisfactory to the Representative. In-house counsel to the Company and the Adviser, shall have furnished to the Representative, its written opinion, dated the Closing Date and addressed to the Initial Purchasers, in form and substance reasonably satisfactory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Initial Purchasers.</w:t>
      </w:r>
      <w:r>
        <w:rPr>
          <w:rFonts w:ascii="Times New Roman" w:hAnsi="Times New Roman"/>
          <w:sz w:val="20"/>
        </w:rPr>
        <w:t xml:space="preserve"> The Representative shall have received on and as of the Closing Date an opinion and 10b-5 statement of Ropes &amp; Gray LLP, counsel for the Initial Purchasers, with respect to such matters as the Representative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Notes; and no injunction or order of any federal, state or foreign court shall have been issued that would, as of the Closing Date, prevent the issuance or sale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Good Standing</w:t>
      </w:r>
      <w:r>
        <w:rPr>
          <w:rFonts w:ascii="Times New Roman" w:hAnsi="Times New Roman"/>
          <w:sz w:val="20"/>
        </w:rPr>
        <w:t xml:space="preserve">. The Representative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Fifth Supplemental Indenture and Notes</w:t>
      </w:r>
      <w:r>
        <w:rPr>
          <w:rFonts w:ascii="Times New Roman" w:hAnsi="Times New Roman"/>
          <w:sz w:val="20"/>
        </w:rPr>
        <w:t xml:space="preserve">. On or prior to the Closing Date, the Company and the Trustee shall have executed and delivered the Fifth Supplemental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Registration Rights Agreement. </w:t>
      </w:r>
      <w:r>
        <w:rPr>
          <w:rFonts w:ascii="Times New Roman" w:hAnsi="Times New Roman"/>
          <w:sz w:val="20"/>
        </w:rPr>
        <w:t xml:space="preserve">On or prior to the Closing Date the Initial Purchasers shall have received a counterpart of the Registration Rights Agreement that shall have been executed and delivered by a duly authorized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 Documents.</w:t>
      </w:r>
      <w:r>
        <w:rPr>
          <w:rFonts w:ascii="Times New Roman" w:hAnsi="Times New Roman"/>
          <w:sz w:val="20"/>
        </w:rPr>
        <w:t xml:space="preserve"> On or prior to the Closing Date the Company shall have furnished to the Representative such further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Initial Purchasers.</w:t>
      </w:r>
      <w:r>
        <w:rPr>
          <w:rFonts w:ascii="Times New Roman" w:hAnsi="Times New Roman"/>
          <w:sz w:val="20"/>
        </w:rPr>
        <w:t xml:space="preserve"> The Company agrees to indemnify and hold harmless each Initial Purchaser, its affiliates, directors 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 it being understood and agreed that the only such information furnished by any Initial Purchaser consists of the information described as such in subsection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Initial Purchaser agrees, severally and not jointly, to indemnify and hold harmless the Company, its 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front and back cover pages; the legal names of the Initial Purchasers set forth in the table under the caption “Plan of Distribution;” and, under the caption “Plan of Distribution,” the information in the first sentence of the fourth paragraph and the information regarding stabilizing transactions contained in the first and second sentences of the eleventh paragraph, the first sentence of the twelfth paragraph and the fourth sentence of the thirteenth paragraph.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the Representative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proportions as the net proceeds (before deducting expenses) received by the Company from the sale of the Notes and the total related discounts and commissions received by the Initial Purchasers in 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Initial Purchasers agree that it would not be just and equitable if contribution pursuant to paragraph (d) above were determined by </w:t>
      </w:r>
      <w:r>
        <w:rPr>
          <w:rFonts w:ascii="Times New Roman" w:hAnsi="Times New Roman"/>
          <w:sz w:val="20"/>
          <w:u w:val="single"/>
        </w:rPr>
        <w:t>pro rata</w:t>
      </w:r>
      <w:r>
        <w:rPr>
          <w:rFonts w:ascii="Times New Roman" w:hAnsi="Times New Roman"/>
          <w:sz w:val="20"/>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8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Notes on the Closing Date, on the terms and in the manner contemplated by this Agreement, the Pricing Disclosure Package and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Defaulting Initial 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exceeds one-eleventh of the aggregate principal amount of Notes to be purchased on such date, or if the Company shall not exercise the right described in paragraph (b) above, then this Agreement shall terminate without liability on the 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Nothing contained herein shall relieve a defaulting Initial Purchaser of any liability it may have to the Company or any non-defaulting Initial Purchaser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Payment of Expenses</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Notes and any stamp, issuance, transfer or other similar taxes arising solely in connection with the transaction;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Initial Purchasers); (v) all expenses incurred by the Company in connection with any “road show” presentation to potential investors; and (vi) the fees and expenses of the Trustee with respect to the Notes.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10 (other than as a result of a termination pursuant to clauses (i), (iii) or (iv) of Section 10), (ii) 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Initial Purchasers shall be given to the Representative c/o BofA Securities, Inc., 114 W 47th St., NY8-114-07-01, New York, New York 10036, Facsimile: (646) 855-5958, Attention: High Grade Transaction Management/Legal; and a copy, which shall not constitute notice, to Ropes &amp; Gray LLP, 1211 Avenue of the Americas, New York, NY 10036, Attention: Paul Tropp, Esq. Notices to the Company or the Adviser shall be given to either of them at Sixth Street Lending Partners, 345 California Street, Suite 3300, San Francisco, California 94104 (fax: (415) 486-5929), Attention: Joshua Peck; and a copy, which shall not constitute notice, to Simpson Thacher &amp; Bartlett LLP, 900 G Street NW, Washington, DC 20001, Attention: Steven Grigoriou, Esq.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USA Patriot Act</w:t>
      </w:r>
      <w:r>
        <w:rPr>
          <w:rFonts w:ascii="Times New Roman" w:hAnsi="Times New Roman"/>
          <w:sz w:val="20"/>
        </w:rPr>
        <w:t xml:space="preserve">. In accordance with the requirements of the USA Patriot Act (Title III of Pub. L, 107-56 (signed into law October 26, 2001)), the Initial Purchasers are required to obtain, verify and record information that identifies their clients, which may include the name and address of their clients, as well as other information that will allow the Initial Purchasers to properly identify their clients.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Authority of the Representative.</w:t>
      </w:r>
      <w:r>
        <w:rPr>
          <w:rFonts w:ascii="Times New Roman" w:hAnsi="Times New Roman"/>
          <w:sz w:val="20"/>
        </w:rPr>
        <w:t xml:space="preserve"> The Representative is duly authorized to act hereunder on behalf of the other Initial Purchasers. Any action by the Initial Purchasers hereunder may be taken by the Representative on behalf of the Initial Purchasers, and any such action taken by the Representative shall be binding on all the Initial Purchasers.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3"/>
        <w:gridCol w:w="60"/>
        <w:gridCol w:w="657"/>
        <w:gridCol w:w="60"/>
        <w:gridCol w:w="294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SIXTH STREET LENDING PARTNERS</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Ian Simmonds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Chief Financial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SIXTH STREET LENDING PARTNERS ADVISERS,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Ian Simmonds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Acting severally on behalf of themselves and the</w:t>
            </w:r>
          </w:p>
          <w:p>
            <w:pPr>
              <w:pStyle w:val="TableContents"/>
              <w:bidi w:val="0"/>
              <w:spacing w:before="0" w:after="20"/>
              <w:jc w:val="left"/>
              <w:rPr>
                <w:rFonts w:ascii="Times New Roman" w:hAnsi="Times New Roman"/>
                <w:sz w:val="20"/>
              </w:rPr>
            </w:pPr>
            <w:r>
              <w:rPr>
                <w:rFonts w:ascii="Times New Roman" w:hAnsi="Times New Roman"/>
                <w:sz w:val="20"/>
              </w:rPr>
              <w:t>several Initial Purchasers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Zara Kwan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0"/>
              <w:jc w:val="left"/>
              <w:rPr>
                <w:rFonts w:ascii="Times New Roman" w:hAnsi="Times New Roman"/>
                <w:sz w:val="20"/>
              </w:rPr>
            </w:pPr>
            <w:r>
              <w:rPr>
                <w:rFonts w:ascii="Times New Roman" w:hAnsi="Times New Roman"/>
                <w:sz w:val="20"/>
              </w:rPr>
              <w:t>Name: Zara Kwan</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the Notes to be paid by the several Initial Purchasers shall be 97.987% of the aggregate principal amount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4"/>
        <w:gridCol w:w="474"/>
        <w:gridCol w:w="219"/>
        <w:gridCol w:w="1945"/>
        <w:gridCol w:w="63"/>
      </w:tblGrid>
      <w:tr>
        <w:trPr/>
        <w:tc>
          <w:tcPr>
            <w:tcW w:w="7504"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0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Initial Purchaser</w:t>
            </w:r>
          </w:p>
        </w:tc>
        <w:tc>
          <w:tcPr>
            <w:tcW w:w="474" w:type="dxa"/>
            <w:tcBorders/>
            <w:vAlign w:val="bottom"/>
          </w:tcPr>
          <w:p>
            <w:pPr>
              <w:pStyle w:val="TableContents"/>
              <w:bidi w:val="0"/>
              <w:spacing w:before="0" w:after="283"/>
              <w:jc w:val="left"/>
              <w:rPr/>
            </w:pPr>
            <w:r>
              <w:rPr/>
              <w:t>  </w:t>
            </w:r>
          </w:p>
        </w:tc>
        <w:tc>
          <w:tcPr>
            <w:tcW w:w="2164"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of</w:t>
              <w:br/>
              <w:t>Notes to be Purchased</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60,000,000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60,000,000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37,500,000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37,500,000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37,500,000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37,500,000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37,500,000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37,500,000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37,500,000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37,500,000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26,250,000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15,000,000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15,000,000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15,000,000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Regions Securities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15,000,000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Synovus Securities,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15,000,000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11,250,000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11,250,000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Standard Chartered Bank</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11,250,000</w:t>
            </w:r>
          </w:p>
        </w:tc>
        <w:tc>
          <w:tcPr>
            <w:tcW w:w="63" w:type="dxa"/>
            <w:tcBorders/>
            <w:vAlign w:val="bottom"/>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7,500,000</w:t>
            </w:r>
          </w:p>
        </w:tc>
        <w:tc>
          <w:tcPr>
            <w:tcW w:w="63" w:type="dxa"/>
            <w:tcBorders/>
            <w:shd w:fill="CCEEFF" w:val="clear"/>
            <w:vAlign w:val="bottom"/>
          </w:tcPr>
          <w:p>
            <w:pPr>
              <w:pStyle w:val="TableContents"/>
              <w:bidi w:val="0"/>
              <w:spacing w:before="0" w:after="283"/>
              <w:jc w:val="left"/>
              <w:rPr/>
            </w:pPr>
            <w:r>
              <w:rPr/>
              <w:t> </w:t>
            </w:r>
          </w:p>
        </w:tc>
      </w:tr>
      <w:tr>
        <w:trPr/>
        <w:tc>
          <w:tcPr>
            <w:tcW w:w="7504"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BD, LLC</w:t>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945" w:type="dxa"/>
            <w:tcBorders/>
            <w:vAlign w:val="bottom"/>
          </w:tcPr>
          <w:p>
            <w:pPr>
              <w:pStyle w:val="TableContents"/>
              <w:bidi w:val="0"/>
              <w:spacing w:before="0" w:after="283"/>
              <w:jc w:val="right"/>
              <w:rPr/>
            </w:pPr>
            <w:r>
              <w:rPr/>
              <w:t>7,500,000</w:t>
            </w:r>
          </w:p>
        </w:tc>
        <w:tc>
          <w:tcPr>
            <w:tcW w:w="63" w:type="dxa"/>
            <w:tcBorders/>
            <w:vAlign w:val="bottom"/>
          </w:tcPr>
          <w:p>
            <w:pPr>
              <w:pStyle w:val="TableContents"/>
              <w:bidi w:val="0"/>
              <w:spacing w:before="0" w:after="283"/>
              <w:jc w:val="left"/>
              <w:rPr/>
            </w:pPr>
            <w:r>
              <w:rPr/>
              <w:t> </w:t>
            </w:r>
          </w:p>
        </w:tc>
      </w:tr>
      <w:tr>
        <w:trPr/>
        <w:tc>
          <w:tcPr>
            <w:tcW w:w="7504"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9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945" w:type="dxa"/>
            <w:tcBorders/>
            <w:shd w:fill="CCEEFF" w:val="clear"/>
            <w:vAlign w:val="bottom"/>
          </w:tcPr>
          <w:p>
            <w:pPr>
              <w:pStyle w:val="TableContents"/>
              <w:bidi w:val="0"/>
              <w:spacing w:before="0" w:after="283"/>
              <w:jc w:val="right"/>
              <w:rPr/>
            </w:pPr>
            <w:r>
              <w:rPr/>
              <w:t>750,000,000</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
        <w:gridCol w:w="127"/>
        <w:gridCol w:w="9750"/>
      </w:tblGrid>
      <w:tr>
        <w:trPr/>
        <w:tc>
          <w:tcPr>
            <w:tcW w:w="3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283"/>
              <w:jc w:val="left"/>
              <w:rPr/>
            </w:pPr>
            <w:r>
              <w:rPr/>
              <w:t>1.</w:t>
            </w:r>
          </w:p>
        </w:tc>
        <w:tc>
          <w:tcPr>
            <w:tcW w:w="127" w:type="dxa"/>
            <w:tcBorders/>
            <w:vAlign w:val="bottom"/>
          </w:tcPr>
          <w:p>
            <w:pPr>
              <w:pStyle w:val="TableContents"/>
              <w:bidi w:val="0"/>
              <w:spacing w:before="0" w:after="283"/>
              <w:jc w:val="left"/>
              <w:rPr/>
            </w:pPr>
            <w:r>
              <w:rPr/>
              <w:t>  </w:t>
            </w:r>
          </w:p>
        </w:tc>
        <w:tc>
          <w:tcPr>
            <w:tcW w:w="9750" w:type="dxa"/>
            <w:tcBorders/>
          </w:tcPr>
          <w:p>
            <w:pPr>
              <w:pStyle w:val="TableContents"/>
              <w:bidi w:val="0"/>
              <w:spacing w:before="0" w:after="0"/>
              <w:jc w:val="left"/>
              <w:rPr>
                <w:rFonts w:ascii="Times New Roman" w:hAnsi="Times New Roman"/>
                <w:sz w:val="20"/>
              </w:rPr>
            </w:pPr>
            <w:r>
              <w:rPr>
                <w:rFonts w:ascii="Times New Roman" w:hAnsi="Times New Roman"/>
                <w:sz w:val="20"/>
              </w:rPr>
              <w:t>Pricing Term Sheet, dated September 14, 2026, containing the terms governing the Notes, substantially in the form of Annex A to this Agreement.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SSLP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LP Holding II,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Lending Partners Sub, LLC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21,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September 21, 2026, by and among Sixth Street Lending Partners, a Delaware statutory trust (the “</w:t>
      </w:r>
      <w:r>
        <w:rPr>
          <w:rFonts w:ascii="Times New Roman" w:hAnsi="Times New Roman"/>
          <w:b/>
          <w:i/>
          <w:sz w:val="20"/>
        </w:rPr>
        <w:t>Company</w:t>
      </w:r>
      <w:r>
        <w:rPr>
          <w:rFonts w:ascii="Times New Roman" w:hAnsi="Times New Roman"/>
          <w:sz w:val="20"/>
        </w:rPr>
        <w:t>”), and BofA Securities, Inc., as the representative (the “</w:t>
      </w:r>
      <w:r>
        <w:rPr>
          <w:rFonts w:ascii="Times New Roman" w:hAnsi="Times New Roman"/>
          <w:b/>
          <w:i/>
          <w:sz w:val="20"/>
        </w:rPr>
        <w:t>Representative</w:t>
      </w:r>
      <w:r>
        <w:rPr>
          <w:rFonts w:ascii="Times New Roman" w:hAnsi="Times New Roman"/>
          <w:sz w:val="20"/>
        </w:rPr>
        <w:t>”) to the other several initial purchasers (collectively, the “</w:t>
      </w:r>
      <w:r>
        <w:rPr>
          <w:rFonts w:ascii="Times New Roman" w:hAnsi="Times New Roman"/>
          <w:b/>
          <w:i/>
          <w:sz w:val="20"/>
        </w:rPr>
        <w:t>Initial Purchasers</w:t>
      </w:r>
      <w:r>
        <w:rPr>
          <w:rFonts w:ascii="Times New Roman" w:hAnsi="Times New Roman"/>
          <w:sz w:val="20"/>
        </w:rPr>
        <w:t>”) of $750,000,000 aggregate principal amount of the Company’s 6.500% Notes due 2031 (the “</w:t>
      </w:r>
      <w:r>
        <w:rPr>
          <w:rFonts w:ascii="Times New Roman" w:hAnsi="Times New Roman"/>
          <w:b/>
          <w:i/>
          <w:sz w:val="20"/>
        </w:rPr>
        <w:t>Notes</w:t>
      </w:r>
      <w:r>
        <w:rPr>
          <w:rFonts w:ascii="Times New Roman" w:hAnsi="Times New Roman"/>
          <w:sz w:val="20"/>
        </w:rPr>
        <w:t xml:space="preserve">”) listed on Schedule 1 to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Purchase Agreement, dated as of September 14. 2026 (the “</w:t>
      </w:r>
      <w:r>
        <w:rPr>
          <w:rFonts w:ascii="Times New Roman" w:hAnsi="Times New Roman"/>
          <w:b/>
          <w:i/>
          <w:sz w:val="20"/>
        </w:rPr>
        <w:t>Purchase Agreement</w:t>
      </w:r>
      <w:r>
        <w:rPr>
          <w:rFonts w:ascii="Times New Roman" w:hAnsi="Times New Roman"/>
          <w:sz w:val="20"/>
        </w:rPr>
        <w:t xml:space="preserve">”),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 </w:t>
      </w:r>
    </w:p>
    <w:p>
      <w:pPr>
        <w:pStyle w:val="TextBody"/>
        <w:bidi w:val="0"/>
        <w:spacing w:before="240" w:after="0"/>
        <w:jc w:val="left"/>
        <w:rPr>
          <w:rFonts w:ascii="Times New Roman" w:hAnsi="Times New Roman"/>
          <w:sz w:val="20"/>
        </w:rPr>
      </w:pP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240" w:after="0"/>
        <w:jc w:val="left"/>
        <w:rPr>
          <w:rFonts w:ascii="Times New Roman" w:hAnsi="Times New Roman"/>
          <w:sz w:val="20"/>
        </w:rPr>
      </w:pPr>
      <w:r>
        <w:rPr>
          <w:rFonts w:ascii="Times New Roman" w:hAnsi="Times New Roman"/>
          <w:b/>
          <w:i/>
          <w:sz w:val="20"/>
        </w:rPr>
        <w:t>Additional Interest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i/>
          <w:sz w:val="20"/>
        </w:rPr>
        <w:t xml:space="preserve">: </w:t>
      </w:r>
      <w:r>
        <w:rPr>
          <w:rFonts w:ascii="Times New Roman" w:hAnsi="Times New Roman"/>
          <w:sz w:val="20"/>
        </w:rPr>
        <w:t xml:space="preserve">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Broker-Dealer</w:t>
      </w:r>
      <w:r>
        <w:rPr>
          <w:rFonts w:ascii="Times New Roman" w:hAnsi="Times New Roman"/>
          <w:i/>
          <w:sz w:val="20"/>
        </w:rPr>
        <w:t xml:space="preserve">: </w:t>
      </w:r>
      <w:r>
        <w:rPr>
          <w:rFonts w:ascii="Times New Roman" w:hAnsi="Times New Roman"/>
          <w:sz w:val="20"/>
        </w:rPr>
        <w:t xml:space="preserve">Any broker or dealer registered under the Exchange Act.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i/>
          <w:sz w:val="20"/>
        </w:rPr>
        <w:t>:</w:t>
      </w:r>
      <w:r>
        <w:rPr>
          <w:rFonts w:ascii="Times New Roman" w:hAnsi="Times New Roman"/>
          <w:sz w:val="20"/>
        </w:rPr>
        <w:t xml:space="preserve"> Any day other than a Saturday, Sunday or U.S. federal holiday or a day on which banking institutions or trust companies located in New York, New York are authorized or obligated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i/>
          <w:sz w:val="20"/>
        </w:rPr>
        <w:t xml:space="preserve">: </w:t>
      </w:r>
      <w:r>
        <w:rPr>
          <w:rFonts w:ascii="Times New Roman" w:hAnsi="Times New Roman"/>
          <w:sz w:val="20"/>
        </w:rPr>
        <w:t xml:space="preserve">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i/>
          <w:sz w:val="20"/>
        </w:rPr>
        <w:t xml:space="preserve">: </w:t>
      </w:r>
      <w:r>
        <w:rPr>
          <w:rFonts w:ascii="Times New Roman" w:hAnsi="Times New Roman"/>
          <w:sz w:val="20"/>
        </w:rPr>
        <w:t xml:space="preserve">A registered Exchange Offer shall be deemed “Consummated” for purposes of this Agreement upon the occurrence of (i) the filing 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i/>
          <w:sz w:val="20"/>
        </w:rPr>
        <w:t xml:space="preserve">: </w:t>
      </w:r>
      <w:r>
        <w:rPr>
          <w:rFonts w:ascii="Times New Roman" w:hAnsi="Times New Roman"/>
          <w:sz w:val="20"/>
        </w:rPr>
        <w:t xml:space="preserve">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Offer</w:t>
      </w:r>
      <w:r>
        <w:rPr>
          <w:rFonts w:ascii="Times New Roman" w:hAnsi="Times New Roman"/>
          <w:i/>
          <w:sz w:val="20"/>
        </w:rPr>
        <w:t xml:space="preserve">: </w:t>
      </w:r>
      <w:r>
        <w:rPr>
          <w:rFonts w:ascii="Times New Roman" w:hAnsi="Times New Roman"/>
          <w:sz w:val="20"/>
        </w:rPr>
        <w:t xml:space="preserve">The registration by the Company under the Securities Act of the Exchange Notes pursuant to a Registration Statement pursuant 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i/>
          <w:sz w:val="20"/>
        </w:rPr>
        <w:t xml:space="preserve">: </w:t>
      </w:r>
      <w:r>
        <w:rPr>
          <w:rFonts w:ascii="Times New Roman" w:hAnsi="Times New Roman"/>
          <w:sz w:val="20"/>
        </w:rPr>
        <w:t xml:space="preserve">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Exchange Notes</w:t>
      </w:r>
      <w:r>
        <w:rPr>
          <w:rFonts w:ascii="Times New Roman" w:hAnsi="Times New Roman"/>
          <w:i/>
          <w:sz w:val="20"/>
        </w:rPr>
        <w:t xml:space="preserve">: </w:t>
      </w:r>
      <w:r>
        <w:rPr>
          <w:rFonts w:ascii="Times New Roman" w:hAnsi="Times New Roman"/>
          <w:sz w:val="20"/>
        </w:rPr>
        <w:t xml:space="preserve">The 6.500% Notes due 2031 of the same series under the Indenture as the Notes, to be issued to Holders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i/>
          <w:sz w:val="20"/>
        </w:rPr>
        <w:t>:</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i/>
          <w:sz w:val="20"/>
        </w:rPr>
        <w:t xml:space="preserve">: </w:t>
      </w:r>
      <w:r>
        <w:rPr>
          <w:rFonts w:ascii="Times New Roman" w:hAnsi="Times New Roman"/>
          <w:sz w:val="20"/>
        </w:rPr>
        <w:t xml:space="preserve">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Indenture</w:t>
      </w:r>
      <w:r>
        <w:rPr>
          <w:rFonts w:ascii="Times New Roman" w:hAnsi="Times New Roman"/>
          <w:i/>
          <w:sz w:val="20"/>
        </w:rPr>
        <w:t xml:space="preserve">: </w:t>
      </w:r>
      <w:r>
        <w:rPr>
          <w:rFonts w:ascii="Times New Roman" w:hAnsi="Times New Roman"/>
          <w:sz w:val="20"/>
        </w:rPr>
        <w:t xml:space="preserve">The Base Indenture, dated as of March 11, 2024, as supplemented by the Fifth Supplemental Indenture, dated as of September 21, 2026, by and between the Company and the Trustee, pursuant to which the Notes are to be issued, as such Indenture may be amended or supplemented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b/>
          <w:i/>
          <w:sz w:val="20"/>
        </w:rPr>
        <w:t>Initial Placement</w:t>
      </w:r>
      <w:r>
        <w:rPr>
          <w:rFonts w:ascii="Times New Roman" w:hAnsi="Times New Roman"/>
          <w:i/>
          <w:sz w:val="20"/>
        </w:rPr>
        <w:t xml:space="preserve">: </w:t>
      </w:r>
      <w:r>
        <w:rPr>
          <w:rFonts w:ascii="Times New Roman" w:hAnsi="Times New Roman"/>
          <w:sz w:val="20"/>
        </w:rPr>
        <w:t xml:space="preserve">The issuance and sale by the Company of the Notes to the Initial Purchasers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Initial Purchasers</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Interest Payment Date</w:t>
      </w:r>
      <w:r>
        <w:rPr>
          <w:rFonts w:ascii="Times New Roman" w:hAnsi="Times New Roman"/>
          <w:i/>
          <w:sz w:val="20"/>
        </w:rPr>
        <w:t xml:space="preserve">: </w:t>
      </w:r>
      <w:r>
        <w:rPr>
          <w:rFonts w:ascii="Times New Roman" w:hAnsi="Times New Roman"/>
          <w:sz w:val="20"/>
        </w:rPr>
        <w:t xml:space="preserve">As defined in the Indenture and the Notes.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The date of this Agreement, September 21, 2026.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i/>
          <w:sz w:val="20"/>
        </w:rPr>
        <w:t xml:space="preserve">: </w:t>
      </w:r>
      <w:r>
        <w:rPr>
          <w:rFonts w:ascii="Times New Roman" w:hAnsi="Times New Roman"/>
          <w:sz w:val="20"/>
        </w:rPr>
        <w:t xml:space="preserve">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i/>
          <w:sz w:val="20"/>
        </w:rPr>
        <w:t xml:space="preserve">: </w:t>
      </w:r>
      <w:r>
        <w:rPr>
          <w:rFonts w:ascii="Times New Roman" w:hAnsi="Times New Roman"/>
          <w:sz w:val="20"/>
        </w:rPr>
        <w:t xml:space="preserve">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i/>
          <w:sz w:val="20"/>
        </w:rPr>
        <w:t xml:space="preserve">: </w:t>
      </w:r>
      <w:r>
        <w:rPr>
          <w:rFonts w:ascii="Times New Roman" w:hAnsi="Times New Roman"/>
          <w:sz w:val="20"/>
        </w:rPr>
        <w:t xml:space="preserve">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is distributed by a Broker-Dealer pursuant to the “Plan of Distribution” contemplated by the Exchange Offer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 </w:t>
      </w:r>
    </w:p>
    <w:p>
      <w:pPr>
        <w:pStyle w:val="TextBody"/>
        <w:bidi w:val="0"/>
        <w:spacing w:before="240" w:after="0"/>
        <w:jc w:val="left"/>
        <w:rPr>
          <w:rFonts w:ascii="Times New Roman" w:hAnsi="Times New Roman"/>
          <w:sz w:val="20"/>
        </w:rPr>
      </w:pPr>
      <w:r>
        <w:rPr>
          <w:rFonts w:ascii="Times New Roman" w:hAnsi="Times New Roman"/>
          <w:b/>
          <w:i/>
          <w:sz w:val="20"/>
        </w:rPr>
        <w:t>Registration Default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Registrar:</w:t>
      </w:r>
      <w:r>
        <w:rPr>
          <w:rFonts w:ascii="Times New Roman" w:hAnsi="Times New Roman"/>
          <w:sz w:val="20"/>
        </w:rPr>
        <w:t xml:space="preserve"> As defined in the Indenture.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i/>
          <w:sz w:val="20"/>
        </w:rPr>
        <w:t xml:space="preserve">: </w:t>
      </w:r>
      <w:r>
        <w:rPr>
          <w:rFonts w:ascii="Times New Roman" w:hAnsi="Times New Roman"/>
          <w:sz w:val="20"/>
        </w:rPr>
        <w:t xml:space="preserve">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 xml:space="preserve">Representative: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i/>
          <w:sz w:val="20"/>
        </w:rPr>
        <w:t xml:space="preserve">: </w:t>
      </w:r>
      <w:r>
        <w:rPr>
          <w:rFonts w:ascii="Times New Roman" w:hAnsi="Times New Roman"/>
          <w:sz w:val="20"/>
        </w:rPr>
        <w:t xml:space="preserve">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4(a) hereof. </w:t>
      </w:r>
    </w:p>
    <w:p>
      <w:pPr>
        <w:pStyle w:val="TextBody"/>
        <w:bidi w:val="0"/>
        <w:spacing w:before="240" w:after="0"/>
        <w:jc w:val="left"/>
        <w:rPr>
          <w:rFonts w:ascii="Times New Roman" w:hAnsi="Times New Roman"/>
          <w:sz w:val="20"/>
        </w:rPr>
      </w:pPr>
      <w:r>
        <w:rPr>
          <w:rFonts w:ascii="Times New Roman" w:hAnsi="Times New Roman"/>
          <w:b/>
          <w:i/>
          <w:sz w:val="20"/>
        </w:rPr>
        <w:t>Trustee</w:t>
      </w:r>
      <w:r>
        <w:rPr>
          <w:rFonts w:ascii="Times New Roman" w:hAnsi="Times New Roman"/>
          <w:sz w:val="20"/>
        </w:rPr>
        <w:t xml:space="preserve">: U.S. Bank Trust Company, National Association. </w:t>
      </w:r>
    </w:p>
    <w:p>
      <w:pPr>
        <w:pStyle w:val="TextBody"/>
        <w:bidi w:val="0"/>
        <w:spacing w:before="240" w:after="0"/>
        <w:jc w:val="left"/>
        <w:rPr>
          <w:rFonts w:ascii="Times New Roman" w:hAnsi="Times New Roman"/>
          <w:sz w:val="20"/>
        </w:rPr>
      </w:pPr>
      <w:r>
        <w:rPr>
          <w:rFonts w:ascii="Times New Roman" w:hAnsi="Times New Roman"/>
          <w:b/>
          <w:i/>
          <w:sz w:val="20"/>
        </w:rPr>
        <w:t>Trust Indenture Act</w:t>
      </w:r>
      <w:r>
        <w:rPr>
          <w:rFonts w:ascii="Times New Roman" w:hAnsi="Times New Roman"/>
          <w:i/>
          <w:sz w:val="20"/>
        </w:rPr>
        <w:t xml:space="preserve">: </w:t>
      </w:r>
      <w:r>
        <w:rPr>
          <w:rFonts w:ascii="Times New Roman" w:hAnsi="Times New Roman"/>
          <w:sz w:val="20"/>
        </w:rPr>
        <w:t xml:space="preserve">The Trust Indenture Act of 1939,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i/>
          <w:sz w:val="20"/>
        </w:rPr>
        <w:t xml:space="preserve">: </w:t>
      </w:r>
      <w:r>
        <w:rPr>
          <w:rFonts w:ascii="Times New Roman" w:hAnsi="Times New Roman"/>
          <w:sz w:val="20"/>
        </w:rPr>
        <w:t xml:space="preserve">A registration in which securities of the Company are sold to an underwriter for reoffering to the public. </w:t>
      </w:r>
    </w:p>
    <w:p>
      <w:pPr>
        <w:pStyle w:val="TextBody"/>
        <w:bidi w:val="0"/>
        <w:spacing w:before="240" w:after="0"/>
        <w:jc w:val="left"/>
        <w:rPr>
          <w:rFonts w:ascii="Times New Roman" w:hAnsi="Times New Roman"/>
          <w:sz w:val="20"/>
        </w:rPr>
      </w:pP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Registrable Notes. </w:t>
      </w:r>
      <w:r>
        <w:rPr>
          <w:rFonts w:ascii="Times New Roman" w:hAnsi="Times New Roman"/>
          <w:sz w:val="20"/>
        </w:rPr>
        <w:t xml:space="preserve">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i/>
          <w:sz w:val="20"/>
        </w:rPr>
        <w:t xml:space="preserve">Holders of Registrable Notes. </w:t>
      </w:r>
      <w:r>
        <w:rPr>
          <w:rFonts w:ascii="Times New Roman" w:hAnsi="Times New Roman"/>
          <w:sz w:val="20"/>
        </w:rPr>
        <w:t>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 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sufficient copies of the latest version of such Prospectus to Broker-Dealers promptly upon request at any time during such 180-day (or shorter as provided in the foregoing paragraph) period in order to facilitate such resales.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Shelf Registration. </w:t>
      </w:r>
      <w:r>
        <w:rPr>
          <w:rFonts w:ascii="Times New Roman" w:hAnsi="Times New Roman"/>
          <w:sz w:val="20"/>
        </w:rPr>
        <w:t xml:space="preserve">If (i) the Company is not required to file an Exchange Offer Registration Statement or to consummate the Exchange Offer 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 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the 365th day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Holders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than the 120th day after the Shelf Filing Deadline (or if such 120th day is not a Business Day,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the Shelf Registration Statement (the “</w:t>
      </w:r>
      <w:r>
        <w:rPr>
          <w:rFonts w:ascii="Times New Roman" w:hAnsi="Times New Roman"/>
          <w:b/>
          <w:i/>
          <w:sz w:val="20"/>
        </w:rPr>
        <w:t>Suspension Period</w:t>
      </w:r>
      <w:r>
        <w:rPr>
          <w:rFonts w:ascii="Times New Roman" w:hAnsi="Times New Roman"/>
          <w:sz w:val="20"/>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hAnsi="Times New Roman"/>
          <w:i/>
          <w:sz w:val="20"/>
        </w:rPr>
        <w:t>provided</w:t>
      </w:r>
      <w:r>
        <w:rPr>
          <w:rFonts w:ascii="Times New Roman" w:hAnsi="Times New Roman"/>
          <w:sz w:val="20"/>
        </w:rPr>
        <w:t xml:space="preserve"> that the period or periods of suspension under clause (i) above shall not exceed, in the aggregate, 60 days in any twelve-month period during which the Shelf Registration Statement is required to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Provision by Holders of Certain Information in Connection with the Shelf Registration Statement. </w:t>
      </w:r>
      <w:r>
        <w:rPr>
          <w:rFonts w:ascii="Times New Roman" w:hAnsi="Times New Roman"/>
          <w:sz w:val="20"/>
        </w:rPr>
        <w:t xml:space="preserve">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i/>
          <w:sz w:val="20"/>
        </w:rPr>
        <w:t xml:space="preserve">Additional Interest. </w:t>
      </w:r>
      <w:r>
        <w:rPr>
          <w:rFonts w:ascii="Times New Roman" w:hAnsi="Times New Roman"/>
          <w:sz w:val="20"/>
        </w:rPr>
        <w:t>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Exchange Offer Registration Statement. </w:t>
      </w:r>
      <w:r>
        <w:rPr>
          <w:rFonts w:ascii="Times New Roman" w:hAnsi="Times New Roman"/>
          <w:sz w:val="20"/>
        </w:rPr>
        <w:t xml:space="preserve">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hAnsi="Times New Roman"/>
          <w:sz w:val="20"/>
          <w:u w:val="single"/>
        </w:rPr>
        <w:t>Morgan Stanley and Co., Inc.</w:t>
      </w:r>
      <w:r>
        <w:rPr>
          <w:rFonts w:ascii="Times New Roman" w:hAnsi="Times New Roman"/>
          <w:sz w:val="20"/>
        </w:rPr>
        <w:t xml:space="preserve"> (available June 5, 1991) and </w:t>
      </w:r>
      <w:r>
        <w:rPr>
          <w:rFonts w:ascii="Times New Roman" w:hAnsi="Times New Roman"/>
          <w:sz w:val="20"/>
          <w:u w:val="single"/>
        </w:rPr>
        <w:t>Exxon Capital Holdings Corporation</w:t>
      </w:r>
      <w:r>
        <w:rPr>
          <w:rFonts w:ascii="Times New Roman" w:hAnsi="Times New Roman"/>
          <w:sz w:val="20"/>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Shelf Registration Statement. </w:t>
      </w:r>
      <w:r>
        <w:rPr>
          <w:rFonts w:ascii="Times New Roman" w:hAnsi="Times New Roman"/>
          <w:sz w:val="20"/>
        </w:rPr>
        <w:t xml:space="preserve">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General Provisions. </w:t>
      </w:r>
      <w:r>
        <w:rPr>
          <w:rFonts w:ascii="Times New Roman" w:hAnsi="Times New Roman"/>
          <w:sz w:val="20"/>
        </w:rPr>
        <w:t xml:space="preserve">In connection with any Registration Statement and any Prospectus required by this Agreement to permit the sale or resale of Registrable Notes (including, without limitation, any Registration Statement and the related Prospectus required to permit resales of Notes by Broker-Dealers),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use its commercially reasonable efforts to keep such Registration Statement continuously effective during the period required by this Agreement and provide all requisite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advise the underwriter(s), if any, and selling Holders promptly and, if requested by such Persons, to confirm such advice in writing, (A) 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120" w:after="0"/>
        <w:jc w:val="left"/>
        <w:rPr>
          <w:rFonts w:ascii="Times New Roman" w:hAnsi="Times New Roman"/>
          <w:sz w:val="20"/>
        </w:rPr>
      </w:pPr>
      <w:r>
        <w:rPr>
          <w:rFonts w:ascii="Times New Roman" w:hAnsi="Times New Roman"/>
          <w:sz w:val="20"/>
        </w:rPr>
        <w:t xml:space="preserve">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make the Company’s representatives reasonably available to the Initial Purchasers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deliver to each selling Holder and each of the underwriter(s), if any, without charge, as many copies of the Prospectus (including each preliminary prospectus) and any amendment or supplement thereto as such Persons reasonably may request; the Company hereby consents to the use of the Prospectus and any amendment or supplement thereto by each of the selling Holders and each of the underwriter(s), if any, in connection with the offering and the sale of the Registrable Notes covered by the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if requested by a majority of selling Holders, an opinion, dated the date of effectiveness of the Shelf Registration Statement, of counsel for the Company, covering the matters customarily covered in opinions requested in underwritten offerings; and </w:t>
      </w:r>
    </w:p>
    <w:p>
      <w:pPr>
        <w:pStyle w:val="TextBody"/>
        <w:bidi w:val="0"/>
        <w:spacing w:before="120" w:after="0"/>
        <w:jc w:val="left"/>
        <w:rPr>
          <w:rFonts w:ascii="Times New Roman" w:hAnsi="Times New Roman"/>
          <w:sz w:val="20"/>
        </w:rPr>
      </w:pPr>
      <w:r>
        <w:rPr>
          <w:rFonts w:ascii="Times New Roman" w:hAnsi="Times New Roman"/>
          <w:sz w:val="20"/>
        </w:rPr>
        <w:t xml:space="preserve">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 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 </w:t>
      </w:r>
    </w:p>
    <w:p>
      <w:pPr>
        <w:pStyle w:val="TextBody"/>
        <w:bidi w:val="0"/>
        <w:spacing w:before="120" w:after="0"/>
        <w:jc w:val="left"/>
        <w:rPr>
          <w:rFonts w:ascii="Times New Roman" w:hAnsi="Times New Roman"/>
          <w:sz w:val="20"/>
        </w:rPr>
      </w:pPr>
      <w:r>
        <w:rPr>
          <w:rFonts w:ascii="Times New Roman" w:hAnsi="Times New Roman"/>
          <w:sz w:val="20"/>
        </w:rPr>
        <w:t xml:space="preserve">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 </w:t>
      </w:r>
    </w:p>
    <w:p>
      <w:pPr>
        <w:pStyle w:val="TextBody"/>
        <w:bidi w:val="0"/>
        <w:spacing w:before="120" w:after="0"/>
        <w:jc w:val="left"/>
        <w:rPr>
          <w:rFonts w:ascii="Times New Roman" w:hAnsi="Times New Roman"/>
          <w:sz w:val="20"/>
        </w:rPr>
      </w:pPr>
      <w:r>
        <w:rPr>
          <w:rFonts w:ascii="Times New Roman" w:hAnsi="Times New Roman"/>
          <w:sz w:val="20"/>
        </w:rPr>
        <w:t xml:space="preserve">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 </w:t>
      </w:r>
    </w:p>
    <w:p>
      <w:pPr>
        <w:pStyle w:val="TextBody"/>
        <w:bidi w:val="0"/>
        <w:spacing w:before="240" w:after="0"/>
        <w:jc w:val="left"/>
        <w:rPr>
          <w:rFonts w:ascii="Times New Roman" w:hAnsi="Times New Roman"/>
          <w:sz w:val="20"/>
        </w:rPr>
      </w:pPr>
      <w:r>
        <w:rPr>
          <w:rFonts w:ascii="Times New Roman" w:hAnsi="Times New Roman"/>
          <w:sz w:val="20"/>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6(c)(xvi)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hAnsi="Times New Roman"/>
          <w:i/>
          <w:sz w:val="20"/>
        </w:rPr>
        <w:t>provided, 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240" w:after="0"/>
        <w:jc w:val="left"/>
        <w:rPr>
          <w:rFonts w:ascii="Times New Roman" w:hAnsi="Times New Roman"/>
          <w:sz w:val="20"/>
        </w:rPr>
      </w:pP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 </w:t>
      </w:r>
    </w:p>
    <w:p>
      <w:pPr>
        <w:pStyle w:val="TextBody"/>
        <w:bidi w:val="0"/>
        <w:spacing w:before="24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trustees,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 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 </w:t>
      </w:r>
    </w:p>
    <w:p>
      <w:pPr>
        <w:pStyle w:val="TextBody"/>
        <w:bidi w:val="0"/>
        <w:spacing w:before="240" w:after="0"/>
        <w:jc w:val="left"/>
        <w:rPr>
          <w:rFonts w:ascii="Times New Roman" w:hAnsi="Times New Roman"/>
          <w:sz w:val="20"/>
        </w:rPr>
      </w:pPr>
      <w:r>
        <w:rPr>
          <w:rFonts w:ascii="Times New Roman" w:hAnsi="Times New Roman"/>
          <w:i/>
          <w:sz w:val="20"/>
        </w:rPr>
        <w:t xml:space="preserve">Rule 144A. </w:t>
      </w:r>
      <w:r>
        <w:rPr>
          <w:rFonts w:ascii="Times New Roman" w:hAnsi="Times New Roman"/>
          <w:sz w:val="20"/>
        </w:rPr>
        <w:t xml:space="preserve">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 </w:t>
      </w:r>
    </w:p>
    <w:p>
      <w:pPr>
        <w:pStyle w:val="TextBody"/>
        <w:bidi w:val="0"/>
        <w:spacing w:before="240" w:after="0"/>
        <w:jc w:val="left"/>
        <w:rPr>
          <w:rFonts w:ascii="Times New Roman" w:hAnsi="Times New Roman"/>
          <w:sz w:val="20"/>
        </w:rPr>
      </w:pPr>
      <w:r>
        <w:rPr>
          <w:rFonts w:ascii="Times New Roman" w:hAnsi="Times New Roman"/>
          <w:i/>
          <w:sz w:val="20"/>
        </w:rPr>
        <w:t xml:space="preserve">Participation in Underwritten Registrations. </w:t>
      </w:r>
      <w:r>
        <w:rPr>
          <w:rFonts w:ascii="Times New Roman" w:hAnsi="Times New Roman"/>
          <w:sz w:val="20"/>
        </w:rPr>
        <w:t xml:space="preserve">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i/>
          <w:sz w:val="20"/>
        </w:rPr>
        <w:t xml:space="preserve">Selection of Underwriters. </w:t>
      </w:r>
      <w:r>
        <w:rPr>
          <w:rFonts w:ascii="Times New Roman" w:hAnsi="Times New Roman"/>
          <w:sz w:val="20"/>
        </w:rPr>
        <w:t xml:space="preserve">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hAnsi="Times New Roman"/>
          <w:i/>
          <w:sz w:val="20"/>
        </w:rPr>
        <w:t>provided, however</w:t>
      </w:r>
      <w:r>
        <w:rPr>
          <w:rFonts w:ascii="Times New Roman" w:hAnsi="Times New Roman"/>
          <w:sz w:val="20"/>
        </w:rPr>
        <w:t xml:space="preserve">, that such investment banker(s) and managing underwriter(s) must be reasonably satisfactory to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i/>
          <w:sz w:val="20"/>
        </w:rPr>
        <w:t xml:space="preserve">Remedies. </w:t>
      </w:r>
      <w:r>
        <w:rPr>
          <w:rFonts w:ascii="Times New Roman" w:hAnsi="Times New Roman"/>
          <w:sz w:val="20"/>
        </w:rPr>
        <w:t xml:space="preserve">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i/>
          <w:sz w:val="20"/>
        </w:rPr>
        <w:t xml:space="preserve">No Inconsistent Agreements. </w:t>
      </w:r>
      <w:r>
        <w:rPr>
          <w:rFonts w:ascii="Times New Roman" w:hAnsi="Times New Roman"/>
          <w:sz w:val="20"/>
        </w:rPr>
        <w:t xml:space="preserve">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Adjustments Affecting the Notes. </w:t>
      </w:r>
      <w:r>
        <w:rPr>
          <w:rFonts w:ascii="Times New Roman" w:hAnsi="Times New Roman"/>
          <w:sz w:val="20"/>
        </w:rPr>
        <w:t xml:space="preserve">The Company will not take any action, or permit any change to occur, with respect to the Registrable Notes that would materially and adversely affect the ability of the Holders to Consummate any Exchange Offer. </w:t>
      </w:r>
    </w:p>
    <w:p>
      <w:pPr>
        <w:pStyle w:val="TextBody"/>
        <w:bidi w:val="0"/>
        <w:spacing w:before="240" w:after="0"/>
        <w:jc w:val="left"/>
        <w:rPr>
          <w:rFonts w:ascii="Times New Roman" w:hAnsi="Times New Roman"/>
          <w:sz w:val="20"/>
        </w:rPr>
      </w:pPr>
      <w:r>
        <w:rPr>
          <w:rFonts w:ascii="Times New Roman" w:hAnsi="Times New Roman"/>
          <w:i/>
          <w:sz w:val="20"/>
        </w:rPr>
        <w:t xml:space="preserve">Amendments and Waivers. </w:t>
      </w:r>
      <w:r>
        <w:rPr>
          <w:rFonts w:ascii="Times New Roman" w:hAnsi="Times New Roman"/>
          <w:sz w:val="20"/>
        </w:rPr>
        <w:t xml:space="preserve">The provisions of this Agreement may not be amended, modified or supplemented, and waivers or consents to or 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hAnsi="Times New Roman"/>
          <w:i/>
          <w:sz w:val="20"/>
        </w:rPr>
        <w:t>provided, however,</w:t>
      </w:r>
      <w:r>
        <w:rPr>
          <w:rFonts w:ascii="Times New Roman" w:hAnsi="Times New Roman"/>
          <w:sz w:val="20"/>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 </w:t>
      </w:r>
    </w:p>
    <w:p>
      <w:pPr>
        <w:pStyle w:val="TextBody"/>
        <w:bidi w:val="0"/>
        <w:spacing w:before="240" w:after="0"/>
        <w:jc w:val="left"/>
        <w:rPr>
          <w:rFonts w:ascii="Times New Roman" w:hAnsi="Times New Roman"/>
          <w:sz w:val="20"/>
        </w:rPr>
      </w:pPr>
      <w:r>
        <w:rPr>
          <w:rFonts w:ascii="Times New Roman" w:hAnsi="Times New Roman"/>
          <w:i/>
          <w:sz w:val="20"/>
        </w:rPr>
        <w:t xml:space="preserve">Notices. </w:t>
      </w:r>
      <w:r>
        <w:rPr>
          <w:rFonts w:ascii="Times New Roman" w:hAnsi="Times New Roman"/>
          <w:sz w:val="20"/>
        </w:rPr>
        <w:t xml:space="preserve">All notices and other communications provided for or permitted hereunder shall be made in writing by hand-delivery, first-class mail (registered or certified, return receipt requested),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if to a Holder, at the address set forth on the records of the Registrar under the Indenture, with a copy to the Registrar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1100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rFonts w:ascii="Times New Roman" w:hAnsi="Times New Roman"/>
          <w:sz w:val="20"/>
        </w:rPr>
      </w:pPr>
      <w:r>
        <w:rPr>
          <w:rFonts w:ascii="Times New Roman" w:hAnsi="Times New Roman"/>
          <w:sz w:val="20"/>
        </w:rPr>
        <w:t xml:space="preserve">Attention: Ian Simmonds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900 G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Grigoriou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Copies of all such notices, demands or other communications shall be concurrently delivered by the Person giving the same to the Trustee at the address specified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Successors and Assigns. </w:t>
      </w:r>
      <w:r>
        <w:rPr>
          <w:rFonts w:ascii="Times New Roman" w:hAnsi="Times New Roman"/>
          <w:sz w:val="20"/>
        </w:rPr>
        <w:t xml:space="preserve">This Agreement shall inure to the benefit of and be binding upon the successors and assigns of each of the parties, including, without limitation, and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240" w:after="0"/>
        <w:jc w:val="left"/>
        <w:rPr>
          <w:rFonts w:ascii="Times New Roman" w:hAnsi="Times New Roman"/>
          <w:sz w:val="20"/>
        </w:rPr>
      </w:pPr>
      <w:r>
        <w:rPr>
          <w:rFonts w:ascii="Times New Roman" w:hAnsi="Times New Roman"/>
          <w:i/>
          <w:sz w:val="20"/>
        </w:rPr>
        <w:t xml:space="preserve">Counterparts. </w:t>
      </w:r>
      <w:r>
        <w:rPr>
          <w:rFonts w:ascii="Times New Roman" w:hAnsi="Times New Roman"/>
          <w:sz w:val="20"/>
        </w:rPr>
        <w:t xml:space="preserve">This Agreement may be executed in any number of counterparts (including by facsimile or other method of electronic transmission) and by the parties hereto in separate counterparts, each of which when so executed shall be deemed to be an original and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i/>
          <w:sz w:val="20"/>
        </w:rPr>
        <w:t xml:space="preserve">Headings. </w:t>
      </w:r>
      <w:r>
        <w:rPr>
          <w:rFonts w:ascii="Times New Roman" w:hAnsi="Times New Roman"/>
          <w:sz w:val="20"/>
        </w:rPr>
        <w:t xml:space="preserve">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WITHOUT REGARD TO THE CONFLICTS OF LAW RULES THEREOF. </w:t>
      </w:r>
    </w:p>
    <w:p>
      <w:pPr>
        <w:pStyle w:val="TextBody"/>
        <w:bidi w:val="0"/>
        <w:spacing w:before="240" w:after="0"/>
        <w:jc w:val="left"/>
        <w:rPr>
          <w:rFonts w:ascii="Times New Roman" w:hAnsi="Times New Roman"/>
          <w:sz w:val="20"/>
        </w:rPr>
      </w:pPr>
      <w:r>
        <w:rPr>
          <w:rFonts w:ascii="Times New Roman" w:hAnsi="Times New Roman"/>
          <w:i/>
          <w:sz w:val="20"/>
        </w:rPr>
        <w:t xml:space="preserve">Severability. </w:t>
      </w:r>
      <w:r>
        <w:rPr>
          <w:rFonts w:ascii="Times New Roman" w:hAnsi="Times New Roman"/>
          <w:sz w:val="20"/>
        </w:rPr>
        <w:t xml:space="preserve">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i/>
          <w:sz w:val="20"/>
        </w:rPr>
        <w:t xml:space="preserve">Entire Agreement. </w:t>
      </w:r>
      <w:r>
        <w:rPr>
          <w:rFonts w:ascii="Times New Roman" w:hAnsi="Times New Roman"/>
          <w:sz w:val="20"/>
        </w:rPr>
        <w:t xml:space="preserve">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i/>
          <w:sz w:val="20"/>
        </w:rPr>
        <w:t>Third Party Beneficiaries.</w:t>
      </w:r>
      <w:r>
        <w:rPr>
          <w:rFonts w:ascii="Times New Roman" w:hAnsi="Times New Roman"/>
          <w:sz w:val="20"/>
        </w:rPr>
        <w:t xml:space="preserve"> Each Holder shall be a third 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0"/>
        <w:gridCol w:w="80"/>
        <w:gridCol w:w="3532"/>
      </w:tblGrid>
      <w:tr>
        <w:trPr/>
        <w:tc>
          <w:tcPr>
            <w:tcW w:w="4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23"/>
        <w:gridCol w:w="91"/>
        <w:gridCol w:w="3468"/>
      </w:tblGrid>
      <w:tr>
        <w:trPr/>
        <w:tc>
          <w:tcPr>
            <w:tcW w:w="523"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523" w:type="dxa"/>
            <w:tcBorders/>
            <w:vAlign w:val="center"/>
          </w:tcPr>
          <w:p>
            <w:pPr>
              <w:pStyle w:val="TableContents"/>
              <w:bidi w:val="0"/>
              <w:spacing w:before="0" w:after="283"/>
              <w:jc w:val="left"/>
              <w:rPr>
                <w:sz w:val="4"/>
                <w:szCs w:val="4"/>
              </w:rPr>
            </w:pPr>
            <w:r>
              <w:rPr>
                <w:sz w:val="4"/>
                <w:szCs w:val="4"/>
              </w:rPr>
            </w:r>
          </w:p>
        </w:tc>
        <w:tc>
          <w:tcPr>
            <w:tcW w:w="3559" w:type="dxa"/>
            <w:gridSpan w:val="2"/>
            <w:tcBorders/>
            <w:vAlign w:val="center"/>
          </w:tcPr>
          <w:p>
            <w:pPr>
              <w:pStyle w:val="TableContents"/>
              <w:bidi w:val="0"/>
              <w:spacing w:before="0" w:after="283"/>
              <w:jc w:val="left"/>
              <w:rPr>
                <w:sz w:val="4"/>
                <w:szCs w:val="4"/>
              </w:rPr>
            </w:pPr>
            <w:r>
              <w:rPr>
                <w:sz w:val="4"/>
                <w:szCs w:val="4"/>
              </w:rPr>
            </w:r>
          </w:p>
        </w:tc>
      </w:tr>
      <w:tr>
        <w:trPr/>
        <w:tc>
          <w:tcPr>
            <w:tcW w:w="523"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pBdr>
                <w:bottom w:val="single" w:sz="2" w:space="1" w:color="000000"/>
              </w:pBdr>
              <w:bidi w:val="0"/>
              <w:spacing w:before="0" w:after="20"/>
              <w:jc w:val="left"/>
              <w:rPr/>
            </w:pPr>
            <w:r>
              <w:rPr/>
              <w:t> </w:t>
            </w:r>
          </w:p>
        </w:tc>
      </w:tr>
      <w:tr>
        <w:trPr/>
        <w:tc>
          <w:tcPr>
            <w:tcW w:w="523"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Name:</w:t>
            </w:r>
          </w:p>
        </w:tc>
      </w:tr>
      <w:tr>
        <w:trPr/>
        <w:tc>
          <w:tcPr>
            <w:tcW w:w="523"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w:t>
      </w:r>
    </w:p>
    <w:p>
      <w:pPr>
        <w:pStyle w:val="TextBody"/>
        <w:bidi w:val="0"/>
        <w:spacing w:before="0" w:after="0"/>
        <w:jc w:val="center"/>
        <w:rPr>
          <w:rFonts w:ascii="Times New Roman" w:hAnsi="Times New Roman"/>
          <w:b/>
          <w:sz w:val="20"/>
        </w:rPr>
      </w:pPr>
      <w:r>
        <w:rPr>
          <w:rFonts w:ascii="Times New Roman" w:hAnsi="Times New Roman"/>
          <w:b/>
          <w:sz w:val="20"/>
        </w:rPr>
        <w:t xml:space="preserve">6.500% Notes due 2031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final terms of the 6.500% Notes due 2031 and should only be read together with the preliminary offering memorandum, dated September 14, 2026 (the “Preliminary Offering Memorandum”), and supersedes the information in the Preliminary Offering Memorandum to the extent inconsistent with the information in the Preliminary Offering Memorandum. In all other respects, this pricing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120"/>
        <w:gridCol w:w="6922"/>
      </w:tblGrid>
      <w:tr>
        <w:trPr/>
        <w:tc>
          <w:tcPr>
            <w:tcW w:w="3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22"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Sixth Street Lending Partners (the “Issuer”)</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6.500% Notes due 2031</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Ratings (Moody’s/Fitch/S&amp;P)*:</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Baa3 (Stable)/BBB- (Stable)/BBB- (Stable)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Aggregate Principal Amount Offered:</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$750,000,000</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December 15, 2031, unless earlier repurchased or redeemed</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September 14, 2026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Issue Price:</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The Notes will be issued at a price of 98.987% of their principal amount, plus accrued interest, if any, from September 21, 2026.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Coupon (Interest Rate):</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6.500%</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6.736%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T+195 bps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4.375% due August 31, 2031</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Benchmark Treasury Price and Yield:</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98-06+ / 4.786%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283"/>
              <w:jc w:val="left"/>
              <w:rPr/>
            </w:pPr>
            <w:r>
              <w:rPr/>
              <w:t>June 15 and December 15, commencing December 15, 2026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6922" w:type="dxa"/>
            <w:tcBorders/>
          </w:tcPr>
          <w:p>
            <w:pPr>
              <w:pStyle w:val="TableContents"/>
              <w:bidi w:val="0"/>
              <w:spacing w:before="0" w:after="0"/>
              <w:jc w:val="left"/>
              <w:rPr>
                <w:rFonts w:ascii="Times New Roman" w:hAnsi="Times New Roman"/>
                <w:sz w:val="20"/>
              </w:rPr>
            </w:pPr>
            <w:r>
              <w:rPr>
                <w:rFonts w:ascii="Times New Roman" w:hAnsi="Times New Roman"/>
                <w:sz w:val="20"/>
              </w:rPr>
              <w:t>Prior to November 15, 2031 (the “Par Call Date”), equal to the greater of the following amounts, plus, in each case, accrued and unpaid interest thereon to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200"/>
        <w:gridCol w:w="121"/>
        <w:gridCol w:w="6884"/>
      </w:tblGrid>
      <w:tr>
        <w:trPr/>
        <w:tc>
          <w:tcPr>
            <w:tcW w:w="32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884" w:type="dxa"/>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 xml:space="preserve">100% of the principal amount of the Notes to be redeemed; </w:t>
            </w:r>
            <w:r>
              <w:rPr>
                <w:rFonts w:ascii="Times New Roman" w:hAnsi="Times New Roman"/>
                <w:i/>
              </w:rPr>
              <w:t>provided, however</w:t>
            </w:r>
            <w:r>
              <w:rPr>
                <w:rFonts w:ascii="Times New Roman" w:hAnsi="Times New Roman"/>
              </w:rPr>
              <w:t>, that if the Issuer redeems any Notes on or after the Par Call Date, the redemption price for the Notes will be equal to 100% of the principal amount of the Notes to be redeemed, plus accrued and unpaid interest thereon to the date of redemption.</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Change of Control:</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283"/>
              <w:jc w:val="left"/>
              <w:rPr/>
            </w:pPr>
            <w:r>
              <w:rPr/>
              <w:t>Holders have the right to require the Issuer to repurchase the Notes at 100% of their principal amount plus accrued and unpaid interest, if any, in the event of a change of control repurchase event.</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283"/>
              <w:jc w:val="left"/>
              <w:rPr/>
            </w:pPr>
            <w:r>
              <w:rPr/>
              <w:t>September 21, 2026 (T+5)</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Denomination:</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283"/>
              <w:jc w:val="left"/>
              <w:rPr/>
            </w:pPr>
            <w:r>
              <w:rPr/>
              <w:t>$2,000 and integral multiples of $1,000 in excess thereof</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Distribution:</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283"/>
              <w:jc w:val="left"/>
              <w:rPr/>
            </w:pPr>
            <w:r>
              <w:rPr/>
              <w:t>144A and Reg S with registration rights as set forth in the Preliminary Offering Memorandum.</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CUSIP / ISIN:</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0"/>
              <w:jc w:val="left"/>
              <w:rPr>
                <w:rFonts w:ascii="Times New Roman" w:hAnsi="Times New Roman"/>
                <w:sz w:val="20"/>
              </w:rPr>
            </w:pPr>
            <w:r>
              <w:rPr>
                <w:rFonts w:ascii="Times New Roman" w:hAnsi="Times New Roman"/>
                <w:sz w:val="20"/>
              </w:rPr>
              <w:t>144A: 829932AG7 / US829932AG72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Reg S: U82912AE3 / USU82912AE36</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Joint Book-Running Managers:</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M&amp;T Securities,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Regions Securities LLC</w:t>
            </w:r>
          </w:p>
          <w:p>
            <w:pPr>
              <w:pStyle w:val="TableContents"/>
              <w:bidi w:val="0"/>
              <w:spacing w:before="0" w:after="20"/>
              <w:jc w:val="left"/>
              <w:rPr>
                <w:rFonts w:ascii="Times New Roman" w:hAnsi="Times New Roman"/>
                <w:sz w:val="20"/>
              </w:rPr>
            </w:pPr>
            <w:r>
              <w:rPr>
                <w:rFonts w:ascii="Times New Roman" w:hAnsi="Times New Roman"/>
                <w:sz w:val="20"/>
              </w:rPr>
              <w:t>Synovus Securities, Inc.</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700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Co-Managers:</w:t>
            </w:r>
          </w:p>
        </w:tc>
        <w:tc>
          <w:tcPr>
            <w:tcW w:w="121" w:type="dxa"/>
            <w:tcBorders/>
            <w:vAlign w:val="bottom"/>
          </w:tcPr>
          <w:p>
            <w:pPr>
              <w:pStyle w:val="TableContents"/>
              <w:bidi w:val="0"/>
              <w:spacing w:before="0" w:after="283"/>
              <w:jc w:val="left"/>
              <w:rPr/>
            </w:pPr>
            <w:r>
              <w:rPr/>
              <w:t>  </w:t>
            </w:r>
          </w:p>
        </w:tc>
        <w:tc>
          <w:tcPr>
            <w:tcW w:w="6884"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20"/>
              <w:jc w:val="left"/>
              <w:rPr>
                <w:rFonts w:ascii="Times New Roman" w:hAnsi="Times New Roman"/>
                <w:sz w:val="20"/>
              </w:rPr>
            </w:pPr>
            <w:r>
              <w:rPr>
                <w:rFonts w:ascii="Times New Roman" w:hAnsi="Times New Roman"/>
                <w:sz w:val="20"/>
              </w:rPr>
              <w:t>Sixth Street BD,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that delivery of the Notes will be made to investors on or about September 21, 2026, which will be the fifth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prior to the business day before the delivery of the Notes will be required by virtue of the fact that the Notes initially settle in T+5, to specify an alternate settlement arrangement at the time of any such trade to prevent a failed settlement and should consult their advisors.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Notes have not been registered under the Securities Act of 1933, as amended (the “Securities Act”), or any state securities laws. Unless they are registered, any Notes may be offered only in transactions exempt from or not subject to registration under the Securities Act, or any state securities laws. Accordingly, the Notes have been offered only to persons reasonably believed to be qualified institutional buyers as defined in Rule 144A under the Securities Act or to non-U.S. persons outside the United States under Regulation S under the Securities Act.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Issuer before investing. The Preliminary Offering Memorandum contains this and other information about the Issuer and should be read carefully before investing.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the Preliminary Offering Memorandum and in this pricing term sheet is not complete and may be changed. The Preliminary Offering Memorandum and this pricing term sheet are not offers to sell any securities of the Issuer and are not soliciting an offer to buy such securities in any state or jurisdiction where such offer and sale is not permitted. The Issuer, any initial purchaser or any dealer participating in the offering will arrange to send you the Preliminary Offering Memorandum if you request it by calling BofA Securities, Inc. at 1-800-294-1322, Barclays Capital Inc. toll-free at 1-888-603-5847, SMBC Nikko Securities America, Inc. at 1-888-868-6856, TD Securities (USA) LLC at 1-855-495-9846, or Wells Fargo Securities, LLC at 1-800-645-3751.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30620</Words>
  <Characters>164320</Characters>
  <CharactersWithSpaces>194938</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