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22,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000-56455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U.S. 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1 to</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80" w:type="dxa"/>
        <w:tblCellMar>
          <w:top w:w="0" w:type="dxa"/>
          <w:left w:w="0" w:type="dxa"/>
          <w:bottom w:w="0" w:type="dxa"/>
          <w:right w:w="0" w:type="dxa"/>
        </w:tblCellMar>
      </w:tblPr>
      <w:tr>
        <w:trPr>
          <w:trHeight w:val="214"/>
        </w:trPr>
        <w:tc>
          <w:tcPr>
            <w:tcW w:w="6700" w:type="dxa"/>
            <w:vAlign w:val="bottom"/>
          </w:tcPr>
          <w:p>
            <w:pPr>
              <w:jc w:val="center"/>
              <w:ind w:right="297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88-1710161</w:t>
            </w:r>
          </w:p>
        </w:tc>
      </w:tr>
      <w:tr>
        <w:trPr>
          <w:trHeight w:val="148"/>
        </w:trPr>
        <w:tc>
          <w:tcPr>
            <w:tcW w:w="6700" w:type="dxa"/>
            <w:vAlign w:val="bottom"/>
          </w:tcPr>
          <w:p>
            <w:pPr>
              <w:jc w:val="center"/>
              <w:ind w:right="297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1240" w:type="dxa"/>
            <w:vAlign w:val="bottom"/>
          </w:tcPr>
          <w:p>
            <w:pPr>
              <w:jc w:val="center"/>
              <w:ind w:left="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700" w:type="dxa"/>
            <w:vAlign w:val="bottom"/>
          </w:tcPr>
          <w:p>
            <w:pPr>
              <w:jc w:val="center"/>
              <w:ind w:right="2994"/>
              <w:spacing w:after="0"/>
              <w:rPr>
                <w:sz w:val="20"/>
                <w:szCs w:val="20"/>
                <w:color w:val="auto"/>
              </w:rPr>
            </w:pPr>
            <w:r>
              <w:rPr>
                <w:rFonts w:ascii="Times New Roman" w:cs="Times New Roman" w:eastAsia="Times New Roman" w:hAnsi="Times New Roman"/>
                <w:sz w:val="14"/>
                <w:szCs w:val="14"/>
                <w:b w:val="1"/>
                <w:bCs w:val="1"/>
                <w:color w:val="auto"/>
              </w:rPr>
              <w:t>or registration)</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6700" w:type="dxa"/>
            <w:vAlign w:val="bottom"/>
          </w:tcPr>
          <w:p>
            <w:pPr>
              <w:jc w:val="center"/>
              <w:ind w:right="2994"/>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 Dallas, TX</w:t>
            </w:r>
          </w:p>
        </w:tc>
        <w:tc>
          <w:tcPr>
            <w:tcW w:w="12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6700" w:type="dxa"/>
            <w:vAlign w:val="bottom"/>
          </w:tcPr>
          <w:p>
            <w:pPr>
              <w:jc w:val="center"/>
              <w:ind w:right="299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4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2"/>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(469) 621-3001</w:t>
            </w:r>
          </w:p>
        </w:tc>
        <w:tc>
          <w:tcPr>
            <w:tcW w:w="1240" w:type="dxa"/>
            <w:vAlign w:val="bottom"/>
          </w:tcPr>
          <w:p>
            <w:pPr>
              <w:spacing w:after="0"/>
              <w:rPr>
                <w:sz w:val="24"/>
                <w:szCs w:val="24"/>
                <w:color w:val="auto"/>
              </w:rPr>
            </w:pPr>
          </w:p>
        </w:tc>
      </w:tr>
      <w:tr>
        <w:trPr>
          <w:trHeight w:val="238"/>
        </w:trPr>
        <w:tc>
          <w:tcPr>
            <w:tcW w:w="6700" w:type="dxa"/>
            <w:vAlign w:val="bottom"/>
          </w:tcPr>
          <w:p>
            <w:pPr>
              <w:jc w:val="center"/>
              <w:ind w:left="2314"/>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240" w:type="dxa"/>
            <w:vAlign w:val="bottom"/>
          </w:tcPr>
          <w:p>
            <w:pPr>
              <w:spacing w:after="0"/>
              <w:rPr>
                <w:sz w:val="20"/>
                <w:szCs w:val="20"/>
                <w:color w:val="auto"/>
              </w:rPr>
            </w:pPr>
          </w:p>
        </w:tc>
      </w:tr>
      <w:tr>
        <w:trPr>
          <w:trHeight w:val="405"/>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rPr>
              <w:t>with copies to:</w:t>
            </w:r>
          </w:p>
        </w:tc>
        <w:tc>
          <w:tcPr>
            <w:tcW w:w="1240" w:type="dxa"/>
            <w:vAlign w:val="bottom"/>
          </w:tcPr>
          <w:p>
            <w:pPr>
              <w:spacing w:after="0"/>
              <w:rPr>
                <w:sz w:val="24"/>
                <w:szCs w:val="24"/>
                <w:color w:val="auto"/>
              </w:rPr>
            </w:pPr>
          </w:p>
        </w:tc>
      </w:tr>
      <w:tr>
        <w:trPr>
          <w:trHeight w:val="369"/>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Rajib Chanda</w:t>
            </w:r>
          </w:p>
        </w:tc>
        <w:tc>
          <w:tcPr>
            <w:tcW w:w="1240" w:type="dxa"/>
            <w:vAlign w:val="bottom"/>
          </w:tcPr>
          <w:p>
            <w:pPr>
              <w:spacing w:after="0"/>
              <w:rPr>
                <w:sz w:val="24"/>
                <w:szCs w:val="24"/>
                <w:color w:val="auto"/>
              </w:rPr>
            </w:pPr>
          </w:p>
        </w:tc>
      </w:tr>
      <w:tr>
        <w:trPr>
          <w:trHeight w:val="216"/>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Ryan Brizek</w:t>
            </w:r>
          </w:p>
        </w:tc>
        <w:tc>
          <w:tcPr>
            <w:tcW w:w="1240" w:type="dxa"/>
            <w:vAlign w:val="bottom"/>
          </w:tcPr>
          <w:p>
            <w:pPr>
              <w:spacing w:after="0"/>
              <w:rPr>
                <w:sz w:val="18"/>
                <w:szCs w:val="18"/>
                <w:color w:val="auto"/>
              </w:rPr>
            </w:pPr>
          </w:p>
        </w:tc>
      </w:tr>
      <w:tr>
        <w:trPr>
          <w:trHeight w:val="216"/>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Steven Grigoriou</w:t>
            </w:r>
          </w:p>
        </w:tc>
        <w:tc>
          <w:tcPr>
            <w:tcW w:w="1240" w:type="dxa"/>
            <w:vAlign w:val="bottom"/>
          </w:tcPr>
          <w:p>
            <w:pPr>
              <w:spacing w:after="0"/>
              <w:rPr>
                <w:sz w:val="18"/>
                <w:szCs w:val="18"/>
                <w:color w:val="auto"/>
              </w:rPr>
            </w:pPr>
          </w:p>
        </w:tc>
      </w:tr>
      <w:tr>
        <w:trPr>
          <w:trHeight w:val="216"/>
        </w:trPr>
        <w:tc>
          <w:tcPr>
            <w:tcW w:w="6700" w:type="dxa"/>
            <w:vAlign w:val="bottom"/>
          </w:tcPr>
          <w:p>
            <w:pPr>
              <w:jc w:val="center"/>
              <w:ind w:left="2314"/>
              <w:spacing w:after="0"/>
              <w:rPr>
                <w:sz w:val="20"/>
                <w:szCs w:val="20"/>
                <w:color w:val="auto"/>
              </w:rPr>
            </w:pPr>
            <w:r>
              <w:rPr>
                <w:rFonts w:ascii="Times New Roman" w:cs="Times New Roman" w:eastAsia="Times New Roman" w:hAnsi="Times New Roman"/>
                <w:sz w:val="18"/>
                <w:szCs w:val="18"/>
                <w:b w:val="1"/>
                <w:bCs w:val="1"/>
                <w:color w:val="auto"/>
                <w:w w:val="99"/>
              </w:rPr>
              <w:t>Simpson Thacher &amp; Bartlett LLP</w:t>
            </w:r>
          </w:p>
        </w:tc>
        <w:tc>
          <w:tcPr>
            <w:tcW w:w="1240" w:type="dxa"/>
            <w:vAlign w:val="bottom"/>
          </w:tcPr>
          <w:p>
            <w:pPr>
              <w:spacing w:after="0"/>
              <w:rPr>
                <w:sz w:val="18"/>
                <w:szCs w:val="18"/>
                <w:color w:val="auto"/>
              </w:rPr>
            </w:pPr>
          </w:p>
        </w:tc>
      </w:tr>
      <w:tr>
        <w:trPr>
          <w:trHeight w:val="216"/>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rPr>
              <w:t>900 G Street NW</w:t>
            </w:r>
          </w:p>
        </w:tc>
        <w:tc>
          <w:tcPr>
            <w:tcW w:w="1240" w:type="dxa"/>
            <w:vAlign w:val="bottom"/>
          </w:tcPr>
          <w:p>
            <w:pPr>
              <w:spacing w:after="0"/>
              <w:rPr>
                <w:sz w:val="18"/>
                <w:szCs w:val="18"/>
                <w:color w:val="auto"/>
              </w:rPr>
            </w:pPr>
          </w:p>
        </w:tc>
      </w:tr>
      <w:tr>
        <w:trPr>
          <w:trHeight w:val="238"/>
        </w:trPr>
        <w:tc>
          <w:tcPr>
            <w:tcW w:w="6700" w:type="dxa"/>
            <w:vAlign w:val="bottom"/>
          </w:tcPr>
          <w:p>
            <w:pPr>
              <w:jc w:val="center"/>
              <w:ind w:left="2294"/>
              <w:spacing w:after="0"/>
              <w:rPr>
                <w:sz w:val="20"/>
                <w:szCs w:val="20"/>
                <w:color w:val="auto"/>
              </w:rPr>
            </w:pPr>
            <w:r>
              <w:rPr>
                <w:rFonts w:ascii="Times New Roman" w:cs="Times New Roman" w:eastAsia="Times New Roman" w:hAnsi="Times New Roman"/>
                <w:sz w:val="18"/>
                <w:szCs w:val="18"/>
                <w:b w:val="1"/>
                <w:bCs w:val="1"/>
                <w:color w:val="auto"/>
                <w:w w:val="99"/>
              </w:rPr>
              <w:t>Washington, DC 20001</w:t>
            </w:r>
          </w:p>
        </w:tc>
        <w:tc>
          <w:tcPr>
            <w:tcW w:w="1240" w:type="dxa"/>
            <w:vAlign w:val="bottom"/>
          </w:tcPr>
          <w:p>
            <w:pPr>
              <w:spacing w:after="0"/>
              <w:rPr>
                <w:sz w:val="20"/>
                <w:szCs w:val="20"/>
                <w:color w:val="auto"/>
              </w:rPr>
            </w:pPr>
          </w:p>
        </w:tc>
      </w:tr>
    </w:tbl>
    <w:p>
      <w:pPr>
        <w:spacing w:after="0" w:line="15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1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7" w:lineRule="exact"/>
        <w:rPr>
          <w:sz w:val="24"/>
          <w:szCs w:val="24"/>
          <w:color w:val="auto"/>
        </w:rPr>
      </w:pPr>
    </w:p>
    <w:p>
      <w:pPr>
        <w:ind w:left="120" w:right="16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2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8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5"/>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Explanatory Note</w:t>
            </w:r>
          </w:p>
        </w:tc>
        <w:tc>
          <w:tcPr>
            <w:tcW w:w="8140" w:type="dxa"/>
            <w:vAlign w:val="bottom"/>
            <w:gridSpan w:val="18"/>
          </w:tcPr>
          <w:p>
            <w:pPr>
              <w:spacing w:after="0"/>
              <w:rPr>
                <w:sz w:val="24"/>
                <w:szCs w:val="24"/>
                <w:color w:val="auto"/>
              </w:rPr>
            </w:pPr>
          </w:p>
        </w:tc>
        <w:tc>
          <w:tcPr>
            <w:tcW w:w="1580" w:type="dxa"/>
            <w:vAlign w:val="bottom"/>
          </w:tcPr>
          <w:p>
            <w:pPr>
              <w:jc w:val="center"/>
              <w:ind w:left="1171"/>
              <w:spacing w:after="0"/>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94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196"/>
        </w:trPr>
        <w:tc>
          <w:tcPr>
            <w:tcW w:w="88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580" w:type="dxa"/>
            <w:vAlign w:val="bottom"/>
            <w:tcBorders>
              <w:top w:val="single" w:sz="8" w:color="0000EE"/>
            </w:tcBorders>
            <w:gridSpan w:val="3"/>
          </w:tcPr>
          <w:p>
            <w:pPr>
              <w:spacing w:after="0"/>
              <w:rPr>
                <w:sz w:val="17"/>
                <w:szCs w:val="17"/>
                <w:color w:val="auto"/>
              </w:rPr>
            </w:pPr>
          </w:p>
        </w:tc>
        <w:tc>
          <w:tcPr>
            <w:tcW w:w="7320" w:type="dxa"/>
            <w:vAlign w:val="bottom"/>
            <w:gridSpan w:val="14"/>
          </w:tcPr>
          <w:p>
            <w:pPr>
              <w:spacing w:after="0"/>
              <w:rPr>
                <w:sz w:val="17"/>
                <w:szCs w:val="17"/>
                <w:color w:val="auto"/>
              </w:rPr>
            </w:pP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7640" w:type="dxa"/>
            <w:vAlign w:val="bottom"/>
            <w:gridSpan w:val="15"/>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42</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82</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56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6980" w:type="dxa"/>
            <w:vAlign w:val="bottom"/>
            <w:gridSpan w:val="12"/>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20"/>
        </w:trPr>
        <w:tc>
          <w:tcPr>
            <w:tcW w:w="8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8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3660" w:type="dxa"/>
            <w:vAlign w:val="bottom"/>
            <w:gridSpan w:val="4"/>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23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Trustees and Executive Officers</w:t>
            </w:r>
          </w:p>
        </w:tc>
        <w:tc>
          <w:tcPr>
            <w:tcW w:w="6240" w:type="dxa"/>
            <w:vAlign w:val="bottom"/>
            <w:gridSpan w:val="10"/>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90</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6740" w:type="dxa"/>
            <w:vAlign w:val="bottom"/>
            <w:gridSpan w:val="11"/>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5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Trustee Independence</w:t>
            </w:r>
          </w:p>
        </w:tc>
        <w:tc>
          <w:tcPr>
            <w:tcW w:w="3160" w:type="dxa"/>
            <w:vAlign w:val="bottom"/>
            <w:gridSpan w:val="3"/>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88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72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Price of and Dividends on the Registrant’s Common Equity and Related Shareholder Matters</w:t>
            </w:r>
          </w:p>
        </w:tc>
        <w:tc>
          <w:tcPr>
            <w:tcW w:w="1280" w:type="dxa"/>
            <w:vAlign w:val="bottom"/>
          </w:tcPr>
          <w:p>
            <w:pPr>
              <w:spacing w:after="0"/>
              <w:rPr>
                <w:sz w:val="17"/>
                <w:szCs w:val="17"/>
                <w:color w:val="auto"/>
              </w:rPr>
            </w:pPr>
          </w:p>
        </w:tc>
        <w:tc>
          <w:tcPr>
            <w:tcW w:w="1580" w:type="dxa"/>
            <w:vAlign w:val="bottom"/>
          </w:tcPr>
          <w:p>
            <w:pPr>
              <w:jc w:val="center"/>
              <w:ind w:left="1191"/>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Recent Sales of Unregistered Securities</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880" w:type="dxa"/>
            <w:vAlign w:val="bottom"/>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Registrant’s Securities to be Registered</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39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Indemnification of Trustees and Officers</w:t>
            </w:r>
          </w:p>
        </w:tc>
        <w:tc>
          <w:tcPr>
            <w:tcW w:w="4640" w:type="dxa"/>
            <w:vAlign w:val="bottom"/>
            <w:gridSpan w:val="5"/>
          </w:tcPr>
          <w:p>
            <w:pPr>
              <w:spacing w:after="0"/>
              <w:rPr>
                <w:sz w:val="17"/>
                <w:szCs w:val="17"/>
                <w:color w:val="auto"/>
              </w:rPr>
            </w:pP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80" w:type="dxa"/>
            <w:vAlign w:val="bottom"/>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880" w:type="dxa"/>
            <w:vAlign w:val="bottom"/>
          </w:tcPr>
          <w:p>
            <w:pPr>
              <w:spacing w:after="0" w:line="20" w:lineRule="exact"/>
              <w:rPr>
                <w:sz w:val="1"/>
                <w:szCs w:val="1"/>
                <w:color w:val="auto"/>
              </w:rPr>
            </w:pPr>
          </w:p>
        </w:tc>
        <w:tc>
          <w:tcPr>
            <w:tcW w:w="2440" w:type="dxa"/>
            <w:vAlign w:val="bottom"/>
            <w:gridSpan w:val="10"/>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85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64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Exhibits</w:t>
            </w:r>
          </w:p>
        </w:tc>
        <w:tc>
          <w:tcPr>
            <w:tcW w:w="2080" w:type="dxa"/>
            <w:vAlign w:val="bottom"/>
            <w:gridSpan w:val="2"/>
          </w:tcPr>
          <w:p>
            <w:pPr>
              <w:spacing w:after="0"/>
              <w:rPr>
                <w:sz w:val="17"/>
                <w:szCs w:val="17"/>
                <w:color w:val="auto"/>
              </w:rPr>
            </w:pPr>
          </w:p>
        </w:tc>
        <w:tc>
          <w:tcPr>
            <w:tcW w:w="1580" w:type="dxa"/>
            <w:vAlign w:val="bottom"/>
          </w:tcPr>
          <w:p>
            <w:pPr>
              <w:jc w:val="center"/>
              <w:ind w:left="1171"/>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Sixth Street Lending Partners is filing this amendment no. 1 to its registration statement on Form 10 (the “Registration Statement”) with the Securities and Exchange Commission (the “SEC”) under the Securities Exchange Act of 1934, as amended (the “Exchange Act”), on a voluntary basis in order to provide current public information to the investment community and comply with applicable requirements for the possible future quotation or listing of its securities on a national securities exchange or other public trading market. Sixth Street Lending Partners filed the original registration statement on Form 10 on June 28, 2022 to permit it to file an election to be regulated as a business development company (a “BDC”) under the Investment Company Act of 1940 (the “1940 Act”).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Unless indicated otherwise in this Registration Statement or the context requires otherwise, the terms:</w:t>
      </w:r>
    </w:p>
    <w:p>
      <w:pPr>
        <w:spacing w:after="0" w:line="131"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terms “we,” “us,” “our,” and the “Fund” refer to Sixth Street Lending Partners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collectively to Sixth Street Partners, LLC and its subsidiaries and affiliated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and our “investment adviser” refer to Sixth Street Lending Partners Advisers, LLC, our investment adviser;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“Administrator” and our “administrator” refer to Sixth Street Lending Partners Advisers, LLC, which is also our investment adviser;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“shareholders” refers to holders of our common shares of beneficial interest, par value $0.001 per share (the “Common Shares”).</w:t>
      </w:r>
    </w:p>
    <w:p>
      <w:pPr>
        <w:spacing w:after="0" w:line="22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Fund is an emerging growth company as defined in the Jumpstart Our Business Startups Act of 2012 (the “JOBS Act”) and the Fund will take advantage of the extended transition period provided in Section 7(a)(2)(B) of the Securities Act of 1933, as amended (the “Securities Act”).</w:t>
      </w:r>
    </w:p>
    <w:p>
      <w:pPr>
        <w:spacing w:after="0" w:line="162"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Upon the effective date of this Registration Statement, we will be subject to the requirements of Section 13(a) of the Exchange Act, including the rules and regulations promulgated under the Exchange Act, which will require us to file annual reports on Form 10-K, quarterly reports on Form 10-Q, and current reports on Form 8-K. We will also be required to comply with all other obligations of the Exchange Act applicable to issuers filing registration statements pursuant to Section 12(g) of the Exchange Act. Additionally, we will be subject to the proxy rules in Section 14 of the Exchange Act and the Fund, directors, officers, and principal shareholders will be subject to the reporting requirements of Sections 13 and 16 of the Exchange Act.</w:t>
      </w:r>
    </w:p>
    <w:p>
      <w:pPr>
        <w:spacing w:after="0" w:line="168"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filed an election to be regulated as a BDC under the 1940 Act on June 28, 2022. Upon filing the election, we became subject to the 1940 Act requirements applicable to BDCs.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Investing in our shares may be considered speculative and involves a high degree of risk, including the following:</w:t>
      </w:r>
    </w:p>
    <w:p>
      <w:pPr>
        <w:spacing w:after="0" w:line="131"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 investment in our shares is not suitable for you if you might need access to the money you invest in the foreseeable future.</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should not expect to be able to sell your shares regardless of how we perform.</w:t>
      </w:r>
    </w:p>
    <w:p>
      <w:pPr>
        <w:spacing w:after="0" w:line="130" w:lineRule="exact"/>
        <w:rPr>
          <w:rFonts w:ascii="Times New Roman" w:cs="Times New Roman" w:eastAsia="Times New Roman" w:hAnsi="Times New Roman"/>
          <w:sz w:val="18"/>
          <w:szCs w:val="18"/>
          <w:b w:val="1"/>
          <w:bCs w:val="1"/>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are unable to sell your shares, you will be unable to reduce your exposure on any market downturn.</w:t>
      </w:r>
    </w:p>
    <w:p>
      <w:pPr>
        <w:spacing w:after="0" w:line="130" w:lineRule="exact"/>
        <w:rPr>
          <w:rFonts w:ascii="Times New Roman" w:cs="Times New Roman" w:eastAsia="Times New Roman" w:hAnsi="Times New Roman"/>
          <w:sz w:val="18"/>
          <w:szCs w:val="18"/>
          <w:b w:val="1"/>
          <w:bCs w:val="1"/>
          <w:color w:val="auto"/>
        </w:rPr>
      </w:pPr>
    </w:p>
    <w:p>
      <w:pPr>
        <w:ind w:left="1080" w:right="260" w:hanging="424"/>
        <w:spacing w:after="0" w:line="286" w:lineRule="auto"/>
        <w:tabs>
          <w:tab w:leader="none" w:pos="10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do not intend to list our shares on any securities exchange for what may be a significant time, if ever, and we do not expect a secondary market in the shares to develop. Therefore, the Fund’s shares constitute illiquid investments.</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180" w:hanging="424"/>
        <w:spacing w:after="0" w:line="268"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distributions may be funded from unlimited amounts of offering proceeds or borrowings, which may constitute a return of capital and reduce the amount of capital available to us for investment. Any capital returned to you through distributions will be distributed after payment of fees and expenses.</w:t>
      </w:r>
    </w:p>
    <w:p>
      <w:pPr>
        <w:spacing w:after="0" w:line="76" w:lineRule="exact"/>
        <w:rPr>
          <w:rFonts w:ascii="Times New Roman" w:cs="Times New Roman" w:eastAsia="Times New Roman" w:hAnsi="Times New Roman"/>
          <w:sz w:val="18"/>
          <w:szCs w:val="18"/>
          <w:b w:val="1"/>
          <w:bCs w:val="1"/>
          <w:color w:val="auto"/>
        </w:rPr>
      </w:pPr>
    </w:p>
    <w:p>
      <w:pPr>
        <w:ind w:left="1080" w:right="40" w:hanging="424"/>
        <w:spacing w:after="0" w:line="262"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will invest in securities that are rated below investment grade by rating agencies or that would be rated below investment grade if they were rated. Below investment grade securities, which are often referred to as “junk,” have predominantly speculative characteristics with respect to the issuer’s capacity to pay interest and repay principal. They may also be difficult to value and are illiquid.</w:t>
      </w:r>
    </w:p>
    <w:p>
      <w:pPr>
        <w:spacing w:after="0" w:line="81" w:lineRule="exact"/>
        <w:rPr>
          <w:rFonts w:ascii="Times New Roman" w:cs="Times New Roman" w:eastAsia="Times New Roman" w:hAnsi="Times New Roman"/>
          <w:sz w:val="18"/>
          <w:szCs w:val="18"/>
          <w:b w:val="1"/>
          <w:bCs w:val="1"/>
          <w:color w:val="auto"/>
        </w:rPr>
      </w:pPr>
    </w:p>
    <w:p>
      <w:pPr>
        <w:ind w:left="1080" w:right="60" w:hanging="424"/>
        <w:spacing w:after="0" w:line="259"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intend to borrow money, which magnifies the potential for gain or loss and increases the risk of investing in us. Our indebtedness could adversely affect our business, financial condition or results of operations. Holders of our indebtedness would have fixed-dollar claims on our assets that have priority over the claims of our shareholders. If the value of our assets decreases or our total income decreases, leverage will cause our net asset value or net income, respectively, to decline more sharply than it otherwise would have without leverage.</w:t>
      </w:r>
    </w:p>
    <w:p>
      <w:pPr>
        <w:spacing w:after="0" w:line="84" w:lineRule="exact"/>
        <w:rPr>
          <w:rFonts w:ascii="Times New Roman" w:cs="Times New Roman" w:eastAsia="Times New Roman" w:hAnsi="Times New Roman"/>
          <w:sz w:val="18"/>
          <w:szCs w:val="18"/>
          <w:b w:val="1"/>
          <w:bCs w:val="1"/>
          <w:color w:val="auto"/>
        </w:rPr>
      </w:pPr>
    </w:p>
    <w:p>
      <w:pPr>
        <w:ind w:left="1080" w:right="240" w:hanging="424"/>
        <w:spacing w:after="0" w:line="286"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 investment in the Fund is suitable only for sophisticated investors and requires the financial ability and willingness to accept the high risks and lack of liquidity inherent in an investment in the Fund.</w:t>
      </w:r>
    </w:p>
    <w:p>
      <w:pPr>
        <w:spacing w:after="0" w:line="60" w:lineRule="exact"/>
        <w:rPr>
          <w:rFonts w:ascii="Times New Roman" w:cs="Times New Roman" w:eastAsia="Times New Roman" w:hAnsi="Times New Roman"/>
          <w:sz w:val="18"/>
          <w:szCs w:val="18"/>
          <w:b w:val="1"/>
          <w:bCs w:val="1"/>
          <w:color w:val="auto"/>
        </w:rPr>
      </w:pPr>
    </w:p>
    <w:p>
      <w:pPr>
        <w:ind w:left="1080" w:right="180" w:hanging="424"/>
        <w:spacing w:after="0" w:line="286" w:lineRule="auto"/>
        <w:tabs>
          <w:tab w:leader="none" w:pos="10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Fund intends to invest primarily in privately-held companies for which very little public information exists. Such companies are also generally more vulnerable to economic downturns and may experience substantial variations in operating results.</w:t>
      </w:r>
    </w:p>
    <w:p>
      <w:pPr>
        <w:spacing w:after="0" w:line="15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As a result, there is a risk of a substantial loss of your investment. See “</w:t>
      </w:r>
      <w:r>
        <w:rPr>
          <w:rFonts w:ascii="Times New Roman" w:cs="Times New Roman" w:eastAsia="Times New Roman" w:hAnsi="Times New Roman"/>
          <w:sz w:val="18"/>
          <w:szCs w:val="18"/>
          <w:b w:val="1"/>
          <w:bCs w:val="1"/>
          <w:i w:val="1"/>
          <w:iCs w:val="1"/>
          <w:color w:val="auto"/>
        </w:rPr>
        <w:t>Item 1A. Risk Factors</w:t>
      </w:r>
      <w:r>
        <w:rPr>
          <w:rFonts w:ascii="Times New Roman" w:cs="Times New Roman" w:eastAsia="Times New Roman" w:hAnsi="Times New Roman"/>
          <w:sz w:val="18"/>
          <w:szCs w:val="18"/>
          <w:b w:val="1"/>
          <w:bCs w:val="1"/>
          <w:color w:val="auto"/>
        </w:rPr>
        <w:t>” for more information about these and other risks relating to our shares.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Times New Roman" w:cs="Times New Roman" w:eastAsia="Times New Roman" w:hAnsi="Times New Roman"/>
          <w:sz w:val="17"/>
          <w:szCs w:val="17"/>
          <w:color w:val="auto"/>
        </w:rPr>
        <w:t>This Registration Statement contains forward-looking statements that involve substantial known and unknown risks, uncertainties and other factors. Undue reliance should not be placed on such statements. These forward-looking statements are not historical facts, but rather are based on current expectations, estimates and projections about our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w:t>
      </w:r>
    </w:p>
    <w:p>
      <w:pPr>
        <w:spacing w:after="0" w:line="77"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the companies in which we may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investments that we expect to make;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execute our investment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expected financing arrangements and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general interest rate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financing sources and working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cash flows, distributions and dividends, if any, from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conflicts of interest with Sixth Street, the Adviser and its affiliates, and its senior investment team;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effect on the industries in which we may invest;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financial leverage;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or its affiliates to attract and retain highly talented professionals;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BDC and as a regulated investment company (“RIC”) under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Dodd-Frank Act and the rules and regulations issued thereunder;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tax legislation and our tax position;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status of the enterprises in which we may invest.</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1" w:lineRule="exact"/>
        <w:rPr>
          <w:sz w:val="20"/>
          <w:szCs w:val="20"/>
          <w:color w:val="auto"/>
        </w:rPr>
      </w:pPr>
    </w:p>
    <w:p>
      <w:pPr>
        <w:ind w:left="1080" w:right="40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changes in political, economic or industry conditions, and changes in the interest rate environment or other conditions affecting the financial and capital markets, including with respect to changes resulting from or in response to, or potentially even the absence of changes as a result of, the impact of the Coronavirus (“COVID-19”) pandemic;</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duration of the COVID-19 outbreak in the United States as well as worldwide, and the magnitude of its impact and time required for economic recovery, including with respect to the impact of travel restrictions and other isolation and quarantine measures on the ability of the Adviser’s investment professionals to conduct in-person diligence on, and otherwise monitor, existing and future investments;</w:t>
      </w:r>
    </w:p>
    <w:p>
      <w:pPr>
        <w:spacing w:after="0" w:line="85" w:lineRule="exact"/>
        <w:rPr>
          <w:rFonts w:ascii="Times New Roman" w:cs="Times New Roman" w:eastAsia="Times New Roman" w:hAnsi="Times New Roman"/>
          <w:sz w:val="18"/>
          <w:szCs w:val="18"/>
          <w:color w:val="auto"/>
        </w:rPr>
      </w:pPr>
    </w:p>
    <w:p>
      <w:pPr>
        <w:jc w:val="both"/>
        <w:ind w:left="10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the time period required for robust economic recovery therefrom, including the current economic downturn as a result of the impact of the COVID-19 pandemic, which will likely have a material impact on our portfolio companies’ results of operations and financial condition for its duration, which could lead to the loss of some or all of our investments in such portfolio companies and have a material adverse effect on our results of operations and financial condition;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entry into an agreement with a lender, a contraction of available credit and/or an inability to access capital markets or additional sources of liquidity, including as a result of the impact and duration of the COVID-19 pandemic, could have a material adverse effect on our results of operations and financial condition and impair our lending and investment activities;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given that we use leverage as part of our investment strategy;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possible disruption in our or our portfolio companies’ operations due to wars and other forms of conflict, terrorist acts, security operations and catastrophic events such as fires, floods, earthquakes, tornadoes, hurricanes and global health epidemics; and</w:t>
      </w:r>
    </w:p>
    <w:p>
      <w:pPr>
        <w:spacing w:after="0" w:line="65" w:lineRule="exact"/>
        <w:rPr>
          <w:rFonts w:ascii="Times New Roman" w:cs="Times New Roman" w:eastAsia="Times New Roman" w:hAnsi="Times New Roman"/>
          <w:sz w:val="18"/>
          <w:szCs w:val="18"/>
          <w:color w:val="auto"/>
        </w:rPr>
      </w:pPr>
    </w:p>
    <w:p>
      <w:pPr>
        <w:ind w:left="1080" w:right="80" w:hanging="424"/>
        <w:spacing w:after="0" w:line="284"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 this Registration Statement, and in our other filings with the SEC that we make from time to time.</w:t>
      </w:r>
    </w:p>
    <w:p>
      <w:pPr>
        <w:spacing w:after="0" w:line="16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the assumptions could prove to be inaccurate, and as a result, the forward-looking statements based on those assumptions also could be inaccurate. In light of these and other uncertainties, the inclusion of a projection or forward-looking statement in this Registration Statement should not be regarded as a representation by us that our plans and objectives will be achieved. These risks and uncertainties include those described or identified in the section entitled “</w:t>
      </w:r>
      <w:r>
        <w:rPr>
          <w:rFonts w:ascii="Times New Roman" w:cs="Times New Roman" w:eastAsia="Times New Roman" w:hAnsi="Times New Roman"/>
          <w:sz w:val="18"/>
          <w:szCs w:val="18"/>
          <w:i w:val="1"/>
          <w:iCs w:val="1"/>
          <w:color w:val="auto"/>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elsewhere in this Registration Statement. You should not place undue reliance on these forward-looking statements, which apply only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of this Registration Statement. Moreover, we assume no duty and do not undertake to update the forward-looking statements and projections contained in this Registration Statement are excluded from the safe harbor protection provided by Section 27A of the Securities Act and Section 21E of the Exchange Act.</w:t>
      </w:r>
    </w:p>
    <w:p>
      <w:pPr>
        <w:spacing w:after="0" w:line="33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Fund</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are organized as a Delaware statutory trust named Sixth Street Lending Partners. We are a newly-organized, non-diversified, closed-end management investment company that intends to elect to be regulated as a BDC under the 1940 Act. In addition, we expect to elect to be treated as a RIC under Subchapter M of the Code, and we expect to qualify as a RIC annually thereafter. As a BDC and a RIC, we must comply with certain regulatory requirements. See “</w:t>
      </w:r>
      <w:r>
        <w:rPr>
          <w:rFonts w:ascii="Times New Roman" w:cs="Times New Roman" w:eastAsia="Times New Roman" w:hAnsi="Times New Roman"/>
          <w:sz w:val="18"/>
          <w:szCs w:val="18"/>
          <w:i w:val="1"/>
          <w:iCs w:val="1"/>
          <w:color w:val="auto"/>
        </w:rPr>
        <w:t>Item 1. Business—Regulation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Business—Material U.S. Federal Income Tax Considerations.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For additional information on these types of debt investments, refer to </w:t>
      </w:r>
      <w:r>
        <w:rPr>
          <w:rFonts w:ascii="Times New Roman" w:cs="Times New Roman" w:eastAsia="Times New Roman" w:hAnsi="Times New Roman"/>
          <w:sz w:val="18"/>
          <w:szCs w:val="18"/>
          <w:i w:val="1"/>
          <w:iCs w:val="1"/>
          <w:color w:val="auto"/>
        </w:rPr>
        <w:t>“Item 1. Business—Investment Strategy.”</w:t>
      </w:r>
    </w:p>
    <w:p>
      <w:pPr>
        <w:spacing w:after="0" w:line="19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seek to create a portfolio that includes primarily senior secured by primarily investing approximately $200 million to $500 million of capital, on average, in the securities of upper middle-market companies.</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employ leverage as market conditions permit and at the discretion of the Adviser, but in no event will leverage employed exceed the limitations set forth in the 1940 Act. Pursuant to the 1940 Act, we are required to have an asset coverage of at least 150% (i.e., the amount of debt may not exceed two-thirds of the value of our assets). We intend to use leverage in the form of borrowings, including loans from certain financial institutions and the issuance of debt securities. We may also use leverage in the form of the issuance of preferred shares, but do not currently intend to do so. In determining whether to borrow money, we will analyze the maturity, covenant package and rate structure of the proposed borrowings as well as the risks of such borrowings compared to our investment outlook. Any such leverage, if incurred, would be expected to increase the total capital available for investment by us.</w:t>
      </w:r>
    </w:p>
    <w:p>
      <w:pPr>
        <w:spacing w:after="0" w:line="18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expect to conduct private offerings of our Common Shares to investors in reliance on exemptions from the registration requirements of the Securities Act. See “</w:t>
      </w:r>
      <w:r>
        <w:rPr>
          <w:rFonts w:ascii="Times New Roman" w:cs="Times New Roman" w:eastAsia="Times New Roman" w:hAnsi="Times New Roman"/>
          <w:sz w:val="18"/>
          <w:szCs w:val="18"/>
          <w:i w:val="1"/>
          <w:iCs w:val="1"/>
          <w:color w:val="auto"/>
        </w:rPr>
        <w:t>Item 1. Business—The Private Offering</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Fund’s investment adviser, Sixth Street Lending Partners Advisers, LLC (referred to herein as the “Adviser”), is a newly formed Delaware limited liability company that is under common control with Sixth Street. The Adviser was formed for the purpose of serving as investment adviser to the Fund, and does not serve as investment adviser to any other Sixth Street entity. In making investment decisions on behalf of the Fund, the Adviser will utilize and rely on the experience, insights, professional connections, and expertise of individuals at Sixth Street. Accordingly, more information on Sixth Street is provided below.</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Sixth Street is a global investment business with over $60 billion of assets under management across a number of core platforms. Sixth Street conducts its investment activities primarily through the following investment platforms:</w:t>
      </w:r>
    </w:p>
    <w:p>
      <w:pPr>
        <w:spacing w:after="0" w:line="63" w:lineRule="exact"/>
        <w:rPr>
          <w:sz w:val="20"/>
          <w:szCs w:val="20"/>
          <w:color w:val="auto"/>
        </w:rPr>
      </w:pPr>
    </w:p>
    <w:p>
      <w:pPr>
        <w:ind w:left="1080" w:right="8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TAO </w:t>
      </w:r>
      <w:r>
        <w:rPr>
          <w:rFonts w:ascii="Times New Roman" w:cs="Times New Roman" w:eastAsia="Times New Roman" w:hAnsi="Times New Roman"/>
          <w:sz w:val="18"/>
          <w:szCs w:val="18"/>
          <w:color w:val="auto"/>
        </w:rPr>
        <w:t>seeks to generate attractive returns through strategies employed by Sixth Street’s other investment platforms while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as home for between-the-box strategies and adjacent opportunities;</w:t>
      </w:r>
    </w:p>
    <w:p>
      <w:pPr>
        <w:spacing w:after="0" w:line="60"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Opportunities </w:t>
      </w:r>
      <w:r>
        <w:rPr>
          <w:rFonts w:ascii="Times New Roman" w:cs="Times New Roman" w:eastAsia="Times New Roman" w:hAnsi="Times New Roman"/>
          <w:sz w:val="18"/>
          <w:szCs w:val="18"/>
          <w:color w:val="auto"/>
        </w:rPr>
        <w:t>is Sixth Street’s platform for pursuing thematic, control-oriented, actively managed investments exhibiting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downside protection;</w:t>
      </w:r>
    </w:p>
    <w:p>
      <w:pPr>
        <w:spacing w:after="0" w:line="60" w:lineRule="exact"/>
        <w:rPr>
          <w:rFonts w:ascii="Times New Roman" w:cs="Times New Roman" w:eastAsia="Times New Roman" w:hAnsi="Times New Roman"/>
          <w:sz w:val="18"/>
          <w:szCs w:val="18"/>
          <w:color w:val="auto"/>
        </w:rPr>
      </w:pPr>
    </w:p>
    <w:p>
      <w:pPr>
        <w:ind w:left="1080" w:right="300" w:hanging="424"/>
        <w:spacing w:after="0" w:line="268"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Growth </w:t>
      </w:r>
      <w:r>
        <w:rPr>
          <w:rFonts w:ascii="Times New Roman" w:cs="Times New Roman" w:eastAsia="Times New Roman" w:hAnsi="Times New Roman"/>
          <w:sz w:val="18"/>
          <w:szCs w:val="18"/>
          <w:color w:val="auto"/>
        </w:rPr>
        <w:t>focuses on the purchase or origination of investments in non-stressed, growth-oriented issuers or borrowers,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through growth debt, structured equity and stapled debt and equity opportunities, which are in later stages of development as well as those which are post-venture stage but in a comparatively earlier stage of development;</w:t>
      </w:r>
    </w:p>
    <w:p>
      <w:pPr>
        <w:spacing w:after="0" w:line="7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Agriculture </w:t>
      </w:r>
      <w:r>
        <w:rPr>
          <w:rFonts w:ascii="Times New Roman" w:cs="Times New Roman" w:eastAsia="Times New Roman" w:hAnsi="Times New Roman"/>
          <w:sz w:val="18"/>
          <w:szCs w:val="18"/>
          <w:color w:val="auto"/>
        </w:rPr>
        <w:t>focuses on agricultural investment opportunities primarily in the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Specialty Lending </w:t>
      </w:r>
      <w:r>
        <w:rPr>
          <w:rFonts w:ascii="Times New Roman" w:cs="Times New Roman" w:eastAsia="Times New Roman" w:hAnsi="Times New Roman"/>
          <w:sz w:val="18"/>
          <w:szCs w:val="18"/>
          <w:color w:val="auto"/>
        </w:rPr>
        <w:t>is Sixth Street’s Specialty Lending platform, comprised of:</w:t>
      </w:r>
    </w:p>
    <w:p>
      <w:pPr>
        <w:spacing w:after="0" w:line="130" w:lineRule="exact"/>
        <w:rPr>
          <w:rFonts w:ascii="Times New Roman" w:cs="Times New Roman" w:eastAsia="Times New Roman" w:hAnsi="Times New Roman"/>
          <w:sz w:val="18"/>
          <w:szCs w:val="18"/>
          <w:color w:val="auto"/>
        </w:rPr>
      </w:pPr>
    </w:p>
    <w:p>
      <w:pPr>
        <w:ind w:left="2200" w:right="140" w:hanging="545"/>
        <w:spacing w:after="0" w:line="268" w:lineRule="auto"/>
        <w:tabs>
          <w:tab w:leader="none" w:pos="22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Specialty Lending, Inc. </w:t>
      </w:r>
      <w:r>
        <w:rPr>
          <w:rFonts w:ascii="Times New Roman" w:cs="Times New Roman" w:eastAsia="Times New Roman" w:hAnsi="Times New Roman"/>
          <w:sz w:val="18"/>
          <w:szCs w:val="18"/>
          <w:color w:val="auto"/>
        </w:rPr>
        <w:t>(“SLX”) is a New York Stock Exchange-listed, regulated BDC that focuses on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middle market loan origination investment opportunities. SLX’s investment adviser is Sixth Street Specialty Lending Advisers, LLC; and</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2200" w:hanging="545"/>
        <w:spacing w:after="0"/>
        <w:tabs>
          <w:tab w:leader="none" w:pos="22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Specialty Lending Europe </w:t>
      </w:r>
      <w:r>
        <w:rPr>
          <w:rFonts w:ascii="Times New Roman" w:cs="Times New Roman" w:eastAsia="Times New Roman" w:hAnsi="Times New Roman"/>
          <w:sz w:val="18"/>
          <w:szCs w:val="18"/>
          <w:color w:val="auto"/>
        </w:rPr>
        <w:t>focuses on European middle-market loan origination investment opportunities;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Fundamental Strategies </w:t>
      </w:r>
      <w:r>
        <w:rPr>
          <w:rFonts w:ascii="Times New Roman" w:cs="Times New Roman" w:eastAsia="Times New Roman" w:hAnsi="Times New Roman"/>
          <w:sz w:val="18"/>
          <w:szCs w:val="18"/>
          <w:color w:val="auto"/>
        </w:rPr>
        <w:t>seeks to generate attractive risk-adjusted returns across credit cycles primarily through the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secondary stressed credit along with other special situations investments;</w:t>
      </w:r>
    </w:p>
    <w:p>
      <w:pPr>
        <w:spacing w:after="0" w:line="60"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Credit Market Strategies </w:t>
      </w:r>
      <w:r>
        <w:rPr>
          <w:rFonts w:ascii="Times New Roman" w:cs="Times New Roman" w:eastAsia="Times New Roman" w:hAnsi="Times New Roman"/>
          <w:sz w:val="18"/>
          <w:szCs w:val="18"/>
          <w:color w:val="auto"/>
        </w:rPr>
        <w:t>(“Credit Market Strategies”) focuses on the purchase of performing corporate credit and structured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Credit Market Strategies sponsors and manages collateralized loan obligation issuers (“CLOs” and, such CLOs, “Sixth Street-managed CLOs”); funds that invest predominantly in the CLO Equity of Sixth Street-managed CLOs; and separately managed accounts (“SMAs”), funds of one and funds that pursue investment strategies that include acquiring and holding interests in CLO Equity, investment and non-investment grade CLO liabilities, leveraged loans, second lien loans, high yield bonds and other credit investments (collectively, “Credit Market Strategies Entities”);</w:t>
      </w:r>
    </w:p>
    <w:p>
      <w:pPr>
        <w:spacing w:after="0" w:line="87" w:lineRule="exact"/>
        <w:rPr>
          <w:rFonts w:ascii="Times New Roman" w:cs="Times New Roman" w:eastAsia="Times New Roman" w:hAnsi="Times New Roman"/>
          <w:sz w:val="18"/>
          <w:szCs w:val="18"/>
          <w:color w:val="auto"/>
        </w:rPr>
      </w:pPr>
    </w:p>
    <w:p>
      <w:pPr>
        <w:ind w:left="1080" w:right="140" w:hanging="424"/>
        <w:spacing w:after="0" w:line="268"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Infrastructure </w:t>
      </w:r>
      <w:r>
        <w:rPr>
          <w:rFonts w:ascii="Times New Roman" w:cs="Times New Roman" w:eastAsia="Times New Roman" w:hAnsi="Times New Roman"/>
          <w:sz w:val="18"/>
          <w:szCs w:val="18"/>
          <w:color w:val="auto"/>
        </w:rPr>
        <w:t>focuses on investments in companies and for assets in the global infrastructure and renewable energy spaces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in the form of equity, debt, and structured investments. Investments include, but are not limited to, solar, wind, hydroelectric power, conventional power, midstream, and social infrastructure; and</w:t>
      </w:r>
    </w:p>
    <w:p>
      <w:pPr>
        <w:spacing w:after="0" w:line="76" w:lineRule="exact"/>
        <w:rPr>
          <w:rFonts w:ascii="Times New Roman" w:cs="Times New Roman" w:eastAsia="Times New Roman" w:hAnsi="Times New Roman"/>
          <w:sz w:val="18"/>
          <w:szCs w:val="18"/>
          <w:color w:val="auto"/>
        </w:rPr>
      </w:pPr>
    </w:p>
    <w:p>
      <w:pPr>
        <w:ind w:left="1080" w:right="540" w:hanging="424"/>
        <w:spacing w:after="0" w:line="259"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Sixth Street Insurance </w:t>
      </w:r>
      <w:r>
        <w:rPr>
          <w:rFonts w:ascii="Times New Roman" w:cs="Times New Roman" w:eastAsia="Times New Roman" w:hAnsi="Times New Roman"/>
          <w:sz w:val="18"/>
          <w:szCs w:val="18"/>
          <w:color w:val="auto"/>
        </w:rPr>
        <w:t>focuses on strategic partnerships, corporate acquisitions, reinsurance, and insurance company balance sheet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across the global insurance sector. Sixth Street pursues these opportunities through a dedicated team of investment professionals and insurance experts located across North America and Europe. In connection with such opportunities, Sixth Street Insurance provides asset management services to the portfolio investments of certain funds and has, and may continue to enter into, investment management agreements and/or other advisory arrangements in connection therewith.</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190 investment professionals. The Fund expects to benefit from Sixth Street’s wide array of experience.</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Sixth Street manages a series of private investment vehicles, a publicly traded business development company, and, as part of the “Credit Market Strategies” platform, a number of separately managed accounts and collateralized loan obligation (“CLO”) issuers.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Adviser</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Sixth Street Lending Partners Advisers, LLC, or the “Adviser,” is a Delaware limited liability company. The Adviser acts as the Fund’s investment adviser pursuant to an investment advisory agreement (the “Advisory Agreement”) with the Fund, and is a registered investment adviser with the SEC under the Investment Advisers Act of 1940, as amended (the “Advisers Act”).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Adviser sources and manages the Fund’s portfolio through a team of investment professionals (the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will be made by our Investment Review Committee, which includes senior personnel of our Adviser and Sixth Street. The members of our Investment Review Committee currently include Joshua Easterly, Alan Waxman, Brian D’Arcy, Michael Fishman, Michael Griffin, Robert (“Bo”) Stanley and David Stiepleman. However, the members of the Investment Review Committee may change over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June 28, 2022, we entered into the Investment Advisory Agreement with our Adviser. Under the Advisory Agreement, the Adviser provides investment advisory services to us.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Adviser’s services under the Advisory Agreement are not exclusive, and the Adviser is free to furnish similar or other services to others so long as its services to us are not impaired. Under the terms of the Advisory Agreement, we will pay the Adviser a base management fee (the “Management Fee”) and an incentive fee (the “Incentive Fee”). For a discussion of the Management Fee and Incentive Fee payable by us to the Adviser, see “</w:t>
      </w:r>
      <w:r>
        <w:rPr>
          <w:rFonts w:ascii="Times New Roman" w:cs="Times New Roman" w:eastAsia="Times New Roman" w:hAnsi="Times New Roman"/>
          <w:sz w:val="18"/>
          <w:szCs w:val="18"/>
          <w:i w:val="1"/>
          <w:iCs w:val="1"/>
          <w:color w:val="auto"/>
        </w:rPr>
        <w:t>Item 1. Business—Management and Other Agreements</w:t>
      </w:r>
      <w:r>
        <w:rPr>
          <w:rFonts w:ascii="Times New Roman" w:cs="Times New Roman" w:eastAsia="Times New Roman" w:hAnsi="Times New Roman"/>
          <w:sz w:val="18"/>
          <w:szCs w:val="18"/>
          <w:color w:val="auto"/>
        </w:rPr>
        <w:t>.” Our Board monitors the mix and performance of our investments over time and seeks to satisfy itself that the Adviser is acting in our interests and that our fee structure appropriately incentivizes the Adviser to do so.</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with our Adviser and Sixth Street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upper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Sixth Street and its affiliates, including the Fund and the Adviser, are subject to the same sets of compliance policies and procedures, including policies and procedures governing the allocation of investment opportunities, and, accordingly, the Fund believes it will benefit from its connections with, and position within, the overall Sixth Street organization.</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have filed an application with the SEC for an exemptive order to allow us to co-invest, subject to certain conditions, with certain of our affiliates (including affiliates of Sixth Street) in loan origination activities for companies domiciled in the United States and certain “follow-on” investments in such companies. There can be no assurance when or if the SEC will grant us an order in response to our application. Until such time an order is granted, we will not be able to co-invest with our affiliates unless such investment is not prohibited by the 1940 Act.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be able to provide “one-stop” financing to a potential portfolio company,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18"/>
          <w:szCs w:val="18"/>
          <w:i w:val="1"/>
          <w:iCs w:val="1"/>
          <w:color w:val="auto"/>
        </w:rPr>
        <w:t>“Item 1. Business—Regulation as a Business Development Company—Affiliated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Administrator</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Sixth Street Lending Partners Advisers, LLC, (the “Administrator”) serves as our Administrator. The principal executive office of Sixth Street Lending Partners Advisers, LLC, is located at 2100 McKinney Avenue, Suite 1500, Dallas, TX 75201. The Administrator provides the administrative services necessary for us to operate pursuant to an administration agreement between us and the Administrator (the “Administration Agreement”). See “</w:t>
      </w:r>
      <w:r>
        <w:rPr>
          <w:rFonts w:ascii="Times New Roman" w:cs="Times New Roman" w:eastAsia="Times New Roman" w:hAnsi="Times New Roman"/>
          <w:sz w:val="17"/>
          <w:szCs w:val="17"/>
          <w:i w:val="1"/>
          <w:iCs w:val="1"/>
          <w:color w:val="auto"/>
        </w:rPr>
        <w:t>Item 1. Business—Administration Agreement</w:t>
      </w:r>
      <w:r>
        <w:rPr>
          <w:rFonts w:ascii="Times New Roman" w:cs="Times New Roman" w:eastAsia="Times New Roman" w:hAnsi="Times New Roman"/>
          <w:sz w:val="17"/>
          <w:szCs w:val="17"/>
          <w:color w:val="auto"/>
        </w:rPr>
        <w:t>” below for a discussion of the fees and expenses we are required to reimburse to the Administrator.</w:t>
      </w:r>
    </w:p>
    <w:p>
      <w:pPr>
        <w:spacing w:after="0" w:line="16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Administrator, on behalf of us and at our expense, may retain one or more service providers that may also be affiliates of Sixth Street to serve as sub-administrator, custodian, accounting agent, investor services agent, transfer agent or other service provider for us. Any fees we pay, or indemnification obligations we undertake, in respect of the administrator and those other service providers that are Sixth Street affiliates, will be set at arm’s length and approved by the Independent Trustees (as defined below).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Board of Trustees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Overall responsibility for the Fund’s oversight rests with the Board of Trustees of the Fund (the “Board” or “Board of Trustees”). We intend to enter into the Advisory Agreement with the Adviser, pursuant to which the Adviser will manage the Fund on a day-to-day basis. The Board is responsible for overseeing the Adviser and other service providers in our operations in accordance with the provisions of the 1940 Act, the Fund’s Declaration of Trust (the “Declaration of Trust”) and applicable provisions of state and other laws. The Adviser will keep the Board well informed as to the Adviser’s activities on our behalf and our investment operations and provide the Board with additional information as the Board may, from time to time, request. The Board of Trustees is currently composed of seven members, four of whom are trustees who are not “interested persons” of the Fund or the Adviser as defined in the 1940 Act (“Independent Trustees”). The Board of Trustees meets at regularly scheduled quarterly meetings each year. In addition, the Board of Trustees may hold special in-person or telephonic meetings or informal conference calls to discuss specific matters that may arise or require action between regular meetings. As described below, the Board of Trustees has established a Nominating and Corporate Governance Committee and an Audit Committee, and may establish ad hoc committees or working groups from time to time, to assist the Board of Trustees in fulfilling its oversight responsibilities.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will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will seek to create a portfolio that includes primarily senior secured by primarily investing approximately $200 million to $500 million of capital, on average, in the securities of upper middle-market companies.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our business or results of operations. These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intend to employ leverage as market conditions permit and at the discretion of the Adviser, but in no event will leverage employed exceed the limitations set forth in the 1940 Act. Pursuant to the 1940 Act, we are required to have an asset coverage of at least 150% (i.e., the amount of debt may not exceed two-thirds of the value of our assets). We intend to use leverage in the form of borrowings, including loans from certain financial institutions and the issuance of debt securities. We may also use leverage in the form of the issuance of preferred shares, but do not currently intend to do so. In determining whether to borrow money, we will analyze the maturity, covenant package and rate structure of the proposed borrowings as well as the risks of such borrowings compared to our investment outlook. Any such leverage, if incurred, would be expected to increase the total capital available for investment by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Structure of Investments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Investments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77" w:lineRule="exact"/>
        <w:rPr>
          <w:sz w:val="20"/>
          <w:szCs w:val="20"/>
          <w:color w:val="auto"/>
        </w:rPr>
      </w:pPr>
    </w:p>
    <w:p>
      <w:pPr>
        <w:ind w:left="1080" w:right="140" w:hanging="424"/>
        <w:spacing w:after="0" w:line="26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First-lien debt. </w:t>
      </w:r>
      <w:r>
        <w:rPr>
          <w:rFonts w:ascii="Times New Roman" w:cs="Times New Roman" w:eastAsia="Times New Roman" w:hAnsi="Times New Roman"/>
          <w:sz w:val="18"/>
          <w:szCs w:val="18"/>
          <w:color w:val="auto"/>
        </w:rPr>
        <w:t>First-lien debt is typically senior on a lien basis to other liabilities in the issuer’s capital structure and has the benefit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Stand-alone first-lien loans</w:t>
      </w:r>
      <w:r>
        <w:rPr>
          <w:rFonts w:ascii="Times New Roman" w:cs="Times New Roman" w:eastAsia="Times New Roman" w:hAnsi="Times New Roman"/>
          <w:sz w:val="18"/>
          <w:szCs w:val="18"/>
          <w:color w:val="auto"/>
        </w:rPr>
        <w:t>. Stand-alone first-lien loans are traditional first-lien loans. All lenders in the facility have equal rights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that is subject to the first-priority security interest.</w:t>
      </w:r>
    </w:p>
    <w:p>
      <w:pPr>
        <w:spacing w:after="0" w:line="60"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“Last out” first-lien loans. </w:t>
      </w:r>
      <w:r>
        <w:rPr>
          <w:rFonts w:ascii="Times New Roman" w:cs="Times New Roman" w:eastAsia="Times New Roman" w:hAnsi="Times New Roman"/>
          <w:sz w:val="18"/>
          <w:szCs w:val="18"/>
          <w:color w:val="auto"/>
        </w:rPr>
        <w:t>“Last out” first-lien loans have a secondary priority behind super-senior “first out” first-lien loans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0" w:lineRule="exact"/>
        <w:rPr>
          <w:rFonts w:ascii="Times New Roman" w:cs="Times New Roman" w:eastAsia="Times New Roman" w:hAnsi="Times New Roman"/>
          <w:sz w:val="18"/>
          <w:szCs w:val="18"/>
          <w:color w:val="auto"/>
        </w:rPr>
      </w:pPr>
    </w:p>
    <w:p>
      <w:pPr>
        <w:ind w:left="1080" w:right="8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“Unitranche” loans. </w:t>
      </w:r>
      <w:r>
        <w:rPr>
          <w:rFonts w:ascii="Times New Roman" w:cs="Times New Roman" w:eastAsia="Times New Roman" w:hAnsi="Times New Roman"/>
          <w:sz w:val="18"/>
          <w:szCs w:val="18"/>
          <w:color w:val="auto"/>
        </w:rPr>
        <w:t>Unitranche loans combine features of first-lien, second-lien and mezzanine debt, generally in a first-lien position.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76" w:lineRule="exact"/>
        <w:rPr>
          <w:rFonts w:ascii="Times New Roman" w:cs="Times New Roman" w:eastAsia="Times New Roman" w:hAnsi="Times New Roman"/>
          <w:sz w:val="18"/>
          <w:szCs w:val="18"/>
          <w:color w:val="auto"/>
        </w:rPr>
      </w:pPr>
    </w:p>
    <w:p>
      <w:pPr>
        <w:ind w:left="1080" w:right="80" w:hanging="424"/>
        <w:spacing w:after="0" w:line="259"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Second-lien debt. </w:t>
      </w:r>
      <w:r>
        <w:rPr>
          <w:rFonts w:ascii="Times New Roman" w:cs="Times New Roman" w:eastAsia="Times New Roman" w:hAnsi="Times New Roman"/>
          <w:sz w:val="18"/>
          <w:szCs w:val="18"/>
          <w:color w:val="auto"/>
        </w:rPr>
        <w:t>Our second-lien debt may include secured loans, and, to a lesser extent, secured corporate bonds, with a secondary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080" w:right="100" w:hanging="424"/>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“Mezzanine” and “Unsecured” debt. </w:t>
      </w:r>
      <w:r>
        <w:rPr>
          <w:rFonts w:ascii="Times New Roman" w:cs="Times New Roman" w:eastAsia="Times New Roman" w:hAnsi="Times New Roman"/>
          <w:sz w:val="18"/>
          <w:szCs w:val="18"/>
          <w:color w:val="auto"/>
        </w:rPr>
        <w:t>Structurally, mezzanine debt usually ranks subordinate in priority of payment to first-lien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second-lien 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67" w:lineRule="exact"/>
        <w:rPr>
          <w:sz w:val="20"/>
          <w:szCs w:val="20"/>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total return on our investments (including both interest and potential equity appreciation) that compensates us for credit risk;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covenants in connection with our investments that afford our portfolio companies as much flexibility in managing their businesses as possible, consistent with preservation of our capital. We believe that these parameters may serve to limit “downside potential” (i.e., the risk that our portfolio companies may be unable to repay some or all of their obligations to us) in the long run. Covenants that we negotiate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and Other Investments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 In addition, there may be instances where we invest in liquid securities of a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We expect the substantial majority of our investments will not be intermediated and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originated without the assistance of investment banks or other traditional Wall Street sources. Sixth Street has a dedicated team of 33 investment professionals responsible for originating, underwriting, executing and managing the assets of Sixth Street’s direct lending transactions. This team is responsible for sourcing and executing opportunities directly, while leveraging the resources and expertise of the Sixth Street platform.</w:t>
      </w:r>
    </w:p>
    <w:p>
      <w:pPr>
        <w:spacing w:after="0" w:line="18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our Adviser will draw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w:t>
      </w:r>
    </w:p>
    <w:p>
      <w:pPr>
        <w:spacing w:after="0" w:line="174"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will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will seek to combine a rigorous analysis of macroeconomic and market factors with a deep understanding of individual companies and their assets, management and prospects. We believe four factors will distinguish our investment approach:</w:t>
      </w:r>
    </w:p>
    <w:p>
      <w:pPr>
        <w:spacing w:after="0" w:line="85" w:lineRule="exact"/>
        <w:rPr>
          <w:sz w:val="20"/>
          <w:szCs w:val="20"/>
          <w:color w:val="auto"/>
        </w:rPr>
      </w:pPr>
    </w:p>
    <w:p>
      <w:pPr>
        <w:ind w:left="1540" w:hanging="331"/>
        <w:spacing w:after="0" w:line="284"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upper middle-market focus and our Adviser’s integrated position within Sixth Street will allow us to determine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market opportunities and identify relative value.</w:t>
      </w:r>
    </w:p>
    <w:p>
      <w:pPr>
        <w:spacing w:after="0" w:line="63" w:lineRule="exact"/>
        <w:rPr>
          <w:rFonts w:ascii="Times New Roman" w:cs="Times New Roman" w:eastAsia="Times New Roman" w:hAnsi="Times New Roman"/>
          <w:sz w:val="18"/>
          <w:szCs w:val="18"/>
          <w:color w:val="auto"/>
        </w:rPr>
      </w:pPr>
    </w:p>
    <w:p>
      <w:pPr>
        <w:ind w:left="1540" w:right="60" w:hanging="331"/>
        <w:spacing w:after="0" w:line="258"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will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1540" w:hanging="331"/>
        <w:spacing w:after="0" w:line="284"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will perform detailed company-specific analysis focusing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four-tiered investment framework:</w:t>
      </w:r>
    </w:p>
    <w:p>
      <w:pPr>
        <w:spacing w:after="0" w:line="63" w:lineRule="exact"/>
        <w:rPr>
          <w:rFonts w:ascii="Times New Roman" w:cs="Times New Roman" w:eastAsia="Times New Roman" w:hAnsi="Times New Roman"/>
          <w:sz w:val="18"/>
          <w:szCs w:val="18"/>
          <w:color w:val="auto"/>
        </w:rPr>
      </w:pPr>
    </w:p>
    <w:p>
      <w:pPr>
        <w:ind w:left="2200" w:right="260" w:hanging="545"/>
        <w:spacing w:after="0" w:line="257"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will focus on companies with enterprise values above $750 million. When reviewing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 investments, we will seek to invest in businesses with high marginal cash flow, recurring revenue streams and where we believe credit quality will improve over time. We will look for portfolio companies that we think have a sustainable competitive advantage in growing industries or distressed situations. We will also seek companies where our investment will have a low loan-to-value ratio. We currently do not limit our focus to any specific industry and we may invest in larger or smaller companies.</w:t>
      </w:r>
    </w:p>
    <w:p>
      <w:pPr>
        <w:spacing w:after="0" w:line="87" w:lineRule="exact"/>
        <w:rPr>
          <w:rFonts w:ascii="Times New Roman" w:cs="Times New Roman" w:eastAsia="Times New Roman" w:hAnsi="Times New Roman"/>
          <w:sz w:val="18"/>
          <w:szCs w:val="18"/>
          <w:color w:val="auto"/>
        </w:rPr>
      </w:pPr>
    </w:p>
    <w:p>
      <w:pPr>
        <w:ind w:left="2200" w:right="80" w:hanging="545"/>
        <w:spacing w:after="0" w:line="257"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will focus on investing at the top of the capital structure and protecting that position. We intend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carefully diligence and structure investments to include strong investor covenants. As a result, we structure investments with a view to creating opportunities for early intervention in the event of non-performance or stress. In addition, we will seek to retain effective voting control in investments over the loans or particular class of securities in which we invest through maintaining affirmative voting positions or negotiating consent rights that allow us to retain a blocking position. We will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ind w:left="2200" w:hanging="545"/>
        <w:spacing w:after="0" w:line="261"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will focus on, among other deal dynamics, direct origination of investments, where we identify and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85" w:lineRule="exact"/>
        <w:rPr>
          <w:rFonts w:ascii="Times New Roman" w:cs="Times New Roman" w:eastAsia="Times New Roman" w:hAnsi="Times New Roman"/>
          <w:sz w:val="18"/>
          <w:szCs w:val="18"/>
          <w:color w:val="auto"/>
        </w:rPr>
      </w:pPr>
    </w:p>
    <w:p>
      <w:pPr>
        <w:ind w:left="2200" w:right="300" w:hanging="545"/>
        <w:spacing w:after="0" w:line="267" w:lineRule="auto"/>
        <w:tabs>
          <w:tab w:leader="none" w:pos="22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will seek to mitigate non-credit-related risk on our returns in several ways, including call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to protect future payment income. In addition, most of our investments are floating rate in nature, which we believe helps act as a portfolio-wide hedge against inflation.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2200" w:right="80" w:hanging="545"/>
        <w:spacing w:after="0" w:line="267" w:lineRule="auto"/>
        <w:tabs>
          <w:tab w:leader="none" w:pos="2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will rigorously monitor the credit profile of portfolio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aim 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Adviser and Sixth Street focus on tailoring investments that are appropriate for their clients, rather than focusing only on driving investment volume. For example, SLX, the other business development company currently managed by Sixth Street, has only invested in approximately 1.9% of approximately 10,750 potential investment opportunities since inception. We expect that our Advisor will use the same disciplined approach to advising us as Sixth Street has with SLX.</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Carefully constructed portfolio, expect to consist of predominantly senior, floating rate loans across a broad range of industries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borrowers. </w:t>
      </w:r>
      <w:r>
        <w:rPr>
          <w:rFonts w:ascii="Times New Roman" w:cs="Times New Roman" w:eastAsia="Times New Roman" w:hAnsi="Times New Roman"/>
          <w:sz w:val="18"/>
          <w:szCs w:val="18"/>
          <w:color w:val="auto"/>
        </w:rPr>
        <w:t>We believe that we are well-suited to construct a portfolio of predominantly senior, floating rate loans across a broad range of industries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borrowers. We believe that such a portfolio will allow us to generate meaningful investment income, and consequently dividend income, for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shareholders.</w:t>
      </w:r>
    </w:p>
    <w:p>
      <w:pPr>
        <w:spacing w:after="0" w:line="2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seven Sixth Street Partners and eight Sixth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our other BDC, Sixth Street Specialty Lending, Inc., since it began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85"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 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Criteria/Guidelines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Decision Process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investment approach involves, among other things:</w:t>
      </w:r>
    </w:p>
    <w:p>
      <w:pPr>
        <w:spacing w:after="0" w:line="131" w:lineRule="exact"/>
        <w:rPr>
          <w:sz w:val="20"/>
          <w:szCs w:val="20"/>
          <w:color w:val="auto"/>
        </w:rPr>
      </w:pPr>
    </w:p>
    <w:p>
      <w:pPr>
        <w:ind w:left="1540" w:right="320" w:hanging="331"/>
        <w:spacing w:after="0" w:line="282"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the markets, overall macroeconomic environment and how the assessment may impact industry and investment selection;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company-specific research and analysis;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left="120" w:right="500" w:firstLine="440"/>
        <w:spacing w:after="0" w:line="312" w:lineRule="auto"/>
        <w:rPr>
          <w:sz w:val="20"/>
          <w:szCs w:val="20"/>
          <w:color w:val="auto"/>
        </w:rPr>
      </w:pPr>
      <w:r>
        <w:rPr>
          <w:rFonts w:ascii="Times New Roman" w:cs="Times New Roman" w:eastAsia="Times New Roman" w:hAnsi="Times New Roman"/>
          <w:sz w:val="17"/>
          <w:szCs w:val="17"/>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45" w:lineRule="exact"/>
        <w:rPr>
          <w:sz w:val="20"/>
          <w:szCs w:val="20"/>
          <w:color w:val="auto"/>
        </w:rPr>
      </w:pPr>
    </w:p>
    <w:p>
      <w:pPr>
        <w:ind w:left="5540" w:right="360" w:hanging="4331"/>
        <w:spacing w:after="0" w:line="454" w:lineRule="auto"/>
        <w:tabs>
          <w:tab w:leader="none" w:pos="15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analysis of issuer creditworthiness, including a quantitative and qualitative assessment of the issuer’s business; 12</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evaluation of management and its economic incentives;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analysis of business strategy and industry trends;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Process Overview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Origination and Sourcing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substantial majority of our investments will not be intermediated and will be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Adviser’s current sector views and are sourced directly by our Adviser through its network of contacts. We also identify opportunities through our Adviser’s relationships with Sixth Street.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Due Diligence Process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85" w:lineRule="exact"/>
        <w:rPr>
          <w:sz w:val="20"/>
          <w:szCs w:val="20"/>
          <w:color w:val="auto"/>
        </w:rPr>
      </w:pPr>
    </w:p>
    <w:p>
      <w:pPr>
        <w:ind w:left="1540" w:right="70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purpose of the capital requirement, the key personnel and variables, as well as the sources and uses of the proceeds;</w:t>
      </w:r>
    </w:p>
    <w:p>
      <w:pPr>
        <w:spacing w:after="0" w:line="67"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company’s management, including top and middle-level executives, to get an insider’s view of the business, and to probe for potential weaknesses in business prospects;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checking management’s backgrounds and references;</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 detailed review of historical financial performance, including performance through various economic cycles, and the quality of earnings;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customers and vendors to assess both business prospects and standard practices;</w:t>
      </w:r>
    </w:p>
    <w:p>
      <w:pPr>
        <w:spacing w:after="0" w:line="130" w:lineRule="exact"/>
        <w:rPr>
          <w:rFonts w:ascii="Times New Roman" w:cs="Times New Roman" w:eastAsia="Times New Roman" w:hAnsi="Times New Roman"/>
          <w:sz w:val="18"/>
          <w:szCs w:val="18"/>
          <w:color w:val="auto"/>
        </w:rPr>
      </w:pPr>
    </w:p>
    <w:p>
      <w:pPr>
        <w:ind w:left="1540" w:right="120" w:hanging="331"/>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competitive analysis, and comparing the company to its main competitors on an operating, financial, market share and valuation basis;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researching the industry for historic growth trends and future prospects as well as to identify future exit alternatives;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asset value and the ability of physical infrastructure and information systems to handle anticipated growth;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Sixth Street internal resources with institutional knowledge of the company’s business;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legal and regulatory risks and financial and accounting systems and practices.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Selective Investment Process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Issuance of Formal Commitment</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Approval of an investment requires the approval of the Investment Review Committee.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Portfolio Monitoring</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Adviser has a number of methods of evaluating and monitoring the performance of our investments, which may include the following:</w:t>
      </w:r>
    </w:p>
    <w:p>
      <w:pPr>
        <w:spacing w:after="0" w:line="131" w:lineRule="exact"/>
        <w:rPr>
          <w:sz w:val="20"/>
          <w:szCs w:val="20"/>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1" w:lineRule="exact"/>
        <w:rPr>
          <w:sz w:val="20"/>
          <w:szCs w:val="20"/>
          <w:color w:val="auto"/>
        </w:rPr>
      </w:pPr>
    </w:p>
    <w:p>
      <w:pPr>
        <w:jc w:val="both"/>
        <w:ind w:left="1540" w:right="300" w:hanging="331"/>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81"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140" w:hanging="331"/>
        <w:spacing w:after="0" w:line="26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81" w:lineRule="exact"/>
        <w:rPr>
          <w:rFonts w:ascii="Times New Roman" w:cs="Times New Roman" w:eastAsia="Times New Roman" w:hAnsi="Times New Roman"/>
          <w:sz w:val="18"/>
          <w:szCs w:val="18"/>
          <w:color w:val="auto"/>
        </w:rPr>
      </w:pPr>
    </w:p>
    <w:p>
      <w:pPr>
        <w:ind w:left="1540" w:right="180" w:hanging="331"/>
        <w:spacing w:after="0" w:line="25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2" w:lineRule="exact"/>
        <w:rPr>
          <w:rFonts w:ascii="Times New Roman" w:cs="Times New Roman" w:eastAsia="Times New Roman" w:hAnsi="Times New Roman"/>
          <w:sz w:val="18"/>
          <w:szCs w:val="18"/>
          <w:color w:val="auto"/>
        </w:rPr>
      </w:pPr>
    </w:p>
    <w:p>
      <w:pPr>
        <w:ind w:left="1540" w:right="40" w:hanging="331"/>
        <w:spacing w:after="0" w:line="258"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Review Committee</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Significant Managerial Assistance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BDC, we will offer, and must make available upon request, managerial assistance to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We may also receive fees for these services. Our Adviser will provide, or arrange for the provision of, such managerial assistance on our behalf to portfolio companies that request this assistance, subject to reimbursement of any fees or expenses incurred on our behalf by our Adviser in accordance with our Advisory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We will elect to be treated as a BDC under the 1940 Act. As a BDC, we will generally be prohibited from acquiring assets other than Qualifying Assets (as defined herein), unless, after giving effect to any acquisition, at least 70.0% of our total assets are Qualifying Assets. Qualifying Assets generally include securities of eligible portfolio companies, cash, cash equivalents, U.S. government securities and high-quality debt instruments maturing in one year or less from the time of investment. Under the 1940 Act, “eligible portfolio companies” include (1) private U.S. operating companies, (2) public U.S. operating companies whose securities are not listed on a national securities exchange (e.g., the New York Stock Exchange and the Nasdaq Stock Market), and (3) public U.S. operating companies having a market capitalization of less than $250 million. Public U.S. operating companies whose securities are quoted on the over-the-counter bulletin board and through OTC Markets Group Inc. are not listed on a national securities exchange and therefore are eligible portfolio companies.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expect to be treated as a RIC under Subchapter M of the Code, and we expect to qualify as a RIC annually thereafter. A BDC that has elected to be a RIC generally does not incur any U.S. federal income tax so long as the BDC continuously maintains its BDC election in accordance with the 1940 Act, at least 90.0% of the BDC’s gross income each taxable year consists of certain types of qualifying investment income, the BDC satisfies certain asset composition requirements at the close of each quarter of its taxable year, and if the BDC distributes all of its taxable income (including net realized capital gains, if any) to its shareholders on a current basis. The rules applicable to our qualification as a RIC for tax purposes are complex and involve significant practical and technical issues. If we do not qualify as a RIC for U.S. federal income tax purposes or are unable to maintain our qualification for any reason, then we would become subject to regular corporate income tax, which would have a material adverse effect on the amount of after-tax income available for distribution to our shareholders. See “</w:t>
      </w:r>
      <w:r>
        <w:rPr>
          <w:rFonts w:ascii="Times New Roman" w:cs="Times New Roman" w:eastAsia="Times New Roman" w:hAnsi="Times New Roman"/>
          <w:sz w:val="18"/>
          <w:szCs w:val="18"/>
          <w:i w:val="1"/>
          <w:iCs w:val="1"/>
          <w:color w:val="auto"/>
        </w:rPr>
        <w:t>Item 1. Business—Material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intend to timely distribute to our shareholders substantially all of our annual taxable income for each year, except that we may retain certain net capital gains for reinvestment and, depending upon the level of taxable income earned in a year, we may choose to carry forward taxable income for distribution in the following year and pay an applicable U.S. federal excise tax.</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employees. Our day-to-day investment operations are managed by the Adviser, and our Administrator provides services necessary to conduct our business. We pay no compensation directly to any interested director or executive officer of the Fund. The Adviser and Administrator may be reimbursed for certain expenses they incur on our behalf. In addition, pursuant to the Administration Agreement, we pay the Administrator the allocable portion of overhead and other expenses it incurs in performing its obligations.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Private Offering</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intend to offer and sell our Common Shares in a private placement (the “Private Offering”) in the United States under the exemption provided by Section 4(a)(2) of the Securities Act and Regulation D promulgated thereunder, Regulation S under the Securities Act and other exemptions from the registration requirements of the Securities Act. Investors who acquire shares of our Common Shares in our private placement are required to complete, execute and deliver a subscription agreement (a “Subscription Agreement”), and related documentation, which include customary representations and warranties, certain covenants and restrictions and indemnification provisions. Additionally, such investors could be required to provide due diligence information for compliance with certain legal requirements. We could, from time to time, engage placement or distribution agents and incur placement or distribution fees or sales commissions in connection with the private placement of our Common Shares in certain jurisdictions outside the United States. The cost of any such placement or distribution fees could be borne directly or indirectly by an investor or by an affiliate of the Adviser. We will not incur any such fees or commissions if our net proceeds received upon a sale of our Common Shares after such costs would be less than the net asset value per share of our Common Shares.</w:t>
      </w:r>
    </w:p>
    <w:p>
      <w:pPr>
        <w:spacing w:after="0" w:line="194"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initial closing (the “Initial Closing”) occurred on June 30, 2022. Subsequent closings (each, a “Closing”) may occur at the beginning of any calendar quarter (or such other times as may be determined by the Adviser in its discretion) until (and including) the 12-month anniversary date of the Initial Closing, which may be extended for an additional six months by the Adviser (the “Final Closing Date”).</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Pursuant to Subscription Agreements, investors make commitments to purchase Shares (“Capital Commitments”). The Subscription Agreements provide that investors are required to fund capital contributions to purchase Shares (a “Drawdown Purchase”), each time we deliver a drawdown notice, which we deliver at least 10 calendar days prior to the date on which contributions will be due. See </w:t>
      </w:r>
      <w:r>
        <w:rPr>
          <w:rFonts w:ascii="Times New Roman" w:cs="Times New Roman" w:eastAsia="Times New Roman" w:hAnsi="Times New Roman"/>
          <w:sz w:val="18"/>
          <w:szCs w:val="18"/>
          <w:i w:val="1"/>
          <w:iCs w:val="1"/>
          <w:color w:val="auto"/>
        </w:rPr>
        <w:t>“Item 1A. Risk Factors—Risks Related to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Securities—There are severe economic consequences for defaulting shareholders.” </w:t>
      </w:r>
      <w:r>
        <w:rPr>
          <w:rFonts w:ascii="Times New Roman" w:cs="Times New Roman" w:eastAsia="Times New Roman" w:hAnsi="Times New Roman"/>
          <w:sz w:val="18"/>
          <w:szCs w:val="18"/>
          <w:color w:val="auto"/>
        </w:rPr>
        <w:t>Drawdown Purchases will generally be made pro rata,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unfunded Capital Commitments of all investors. However, the Subscription Agreements provide that we retain the right at our discretion to call Drawdown Purchases on a non-pro rata basis so that the assets of the Fund will not be considered “plan assets” under ERISA or the Plan Asset Regulations (each as defined below), or as otherwise necessary or desirable in order to comply with ERISA or any other applicable legal, regulatory, tax or similar regimes. Each Drawdown Purchase is made at a price per Share equal to our most recent quarterly net asset value per Share as determined by our Board, provided that the purchase price is subject to adjustment to the extent required by Section 23 of the 1940 Act (which generally prohibits us from selling Shares at a price below the then-current net asset value per Share as determined within 48 hours, excluding Sundays and holidays, of such sale, subject to certain exceptions). No investor in our private placement will be required to invest more than the total amount of its Capital Commitment.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the Fund enters into a Subscription Agreement with one or more investors after the initial Drawdown Purchase in which the proceeds are used to make investments (the “Effective Date”), each such investor will be required to make a purchase of Common Shares (a “Catch-up Purchase”) on a date to be determined by the Fund that occurs no later than the next succeeding Drawdown Purchase date (the “Catch-up Date”). The aggregate purchase price of the Catch-up Purchase will be equal to an amount necessary to ensure that, upon payment of the aggregate purchase price, such investor will have contributed the same percentage of its Capital Commitment to the Fund as all investors whose subscriptions were accepted at previous closings. Catch-up Purchases will be made at a per-share price equal to the net asset value per common share (adjusted to appropriately reflect revenues and expenses accrued as of the Catch-up Date and such investor’s pro rata portion of the Fund’s initial organizational expenses) as of the close of the last quarter preceding the date of the Catch-up Purchase; provided that the purchase price is subject to adjustment to the extent required by Section 23 of the 1940 Act (which generally prohibits us from selling our Common Shares at a price below the then-current net asset value per common share as determined within 48 hours, excluding Sundays and holidays, of such sale, subject to certain exceptions).</w:t>
      </w:r>
    </w:p>
    <w:p>
      <w:pPr>
        <w:spacing w:after="0" w:line="194"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At the earlier of (i) an Exchange Listing (defined below) and (ii) five years following the Effective Date (the “Commitment Period”), investors will be released from any further obligation to purchase additional Common Shares, except to the extent necessary to (a) pay Fund expenses, including management fees, amounts that may become due under any borrowings or other financings or similar obligations, or indemnity obligations, (b) complete investments in any transactions (1) for which the Adviser has allocated to the Fund, (2) to which the Adviser has committed the Fund to proceed as of the end of the Commitment Period (including investments that are funded in phases), and (3) with deferred purchase price payments, contingent purchase price payments, milestone payments or other phased payments or payments for other staged funding obligations or similar arrangements,</w:t>
      </w:r>
    </w:p>
    <w:p>
      <w:pPr>
        <w:spacing w:after="0" w:line="5" w:lineRule="exact"/>
        <w:rPr>
          <w:sz w:val="20"/>
          <w:szCs w:val="20"/>
          <w:color w:val="auto"/>
        </w:rPr>
      </w:pPr>
    </w:p>
    <w:p>
      <w:pPr>
        <w:ind w:left="120" w:right="60" w:hanging="4"/>
        <w:spacing w:after="0" w:line="252" w:lineRule="auto"/>
        <w:tabs>
          <w:tab w:leader="none" w:pos="3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follow-on investments made in existing portfolio companies within three years from the end of the Commitment Period that, in the aggregate, do not exceed 5% of total commitments and/or (d) fund obligations under any Fund guarantee. Additionally, it is the intent of the Fund that, in the event of an Exchange Listing, shareholders would be subject to lock-up restrictions pursuant to which they would be prohibited from selling Common Shares for a certain period of time after the date of such Exchange Listing. Pursuant to the Subscription Agreement, to effectuate these lock-up restrictions, prospective shareholders will provide the Adviser with a power of attorney authorizing it to execute any such lock-up documentation on their behalf, as applicable.</w:t>
      </w:r>
    </w:p>
    <w:p>
      <w:pPr>
        <w:spacing w:after="0" w:line="19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“Exchange Listing” is a quotation or listing of the Fund’s securities on a national securities exchange (including through an initial public offering) or a sale of all or substantially all of our assets to, or a merger or other liquidity transaction with, an entity in which the Fund’s shareholders receive shares of a publicly-traded company which continues to be managed by the Adviser or an affiliate thereof.</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While the Fund expects each Subscription Agreement to reflect the terms and conditions summarized above, the Fund reserves the right to enter into Subscription Agreements that contain terms and conditions not found in the Subscription Agreements entered into with other investors, subject to applicable law. No investor in the Private Offering will be permitted to make an investment in the Fund on economic terms and conditions that are more favorable than the economic terms and conditions contained in the Subscription Agreements entered into with all other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and Capital Recycling</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Fund generally intends to distribute substantially all of its available earnings annually by paying distributions on a quarterly basis, as determined by the Board in its discretion.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Fund generally retains and reinvests investment proceeds from its portfolio, such as proceeds from the disposition of an investment or the repayment of a loan by a portfolio company. However, following the six-year anniversary of the Effective Date and if no Exchange Listing has occurred, the Fund will cease retaining or reinvesting such proceeds, and will instead distribute the proceeds to shareholders; provided that the Adviser is permitted to retain such proceeds in order to satisfy any expenses of the Fund (or related reserves). For the avoidance of doubt, in the event of an Exchange Listing, the Fund will be under no obligation to cease retaining or reinvesting investment proceeds.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Sixth Street Commitments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aggregate Sixth Street Commitments will be at least 1.5% of aggregate Capital Commitments to the Fund (excluding Sixth Street Commitments) as of the Final Closing Date. The Sixth Street Commitments may be made directly to the Fund or through one or more feeder, parallel, or subsidiary vehicles that invest into or alongside the Fund.</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these purposes, “Sixth Street Commitments” means Capital Commitments of the Adviser, associated persons, other affiliates and “friends and family” of Sixth Street, and any direct or indirect investors in the Adviser.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Prior to any Exchange Listing of the Common Shares that may occur, if our Board determines that there has been a significant adverse change in the regulatory or tax treatment of the Fund or its shareholders that in its judgment makes it inadvisable for the Fund to continue in its present form, then our Board will endeavor to restructure or change the form of the company to preserve (insofar as possible) the overall benefits previously enjoyed by shareholders as a whole or, if our Board determines it appropriate (and subject to any necessary shareholder approvals and applicable requirements of the 1940 Act), (i) cause the Fund to change its form and/or jurisdiction of organization or (ii) wind down and/or liquidate and dissolve the Fund. For example, upon consummation of the Exchange Listing, the Board is able to cause the Fund to reorganize as a Maryland corporation.</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Fund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will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8"/>
          <w:szCs w:val="18"/>
          <w:i w:val="1"/>
          <w:iCs w:val="1"/>
          <w:color w:val="auto"/>
        </w:rPr>
        <w:t>Item 1A. Risk Factors—Risks Related to Our Business and Structure—We operate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a highly competitive market for investment opportunities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 of Investment Opportunities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Sixth Street has obtained an exemptive order (the “Order”) from the SEC that allows the Fund to co-invest alongside Sixth Street affiliates, and permits the Fund greater flexibility to negotiate the terms of co-investments if its Board determines that it would be advantageous for it to do so. This order modifies the prior co-investment exemptive relief order obtained by Sixth Street, which permitted co-investment by Sixth Street Specialty Lending, Inc. (“SLX”) (but not the Fund) alongside Affiliated Funds (defined below) in certain circumstances. We believe that co-investment by us and accounts sponsored or managed by the Adviser and its affiliates will afford us additional investment opportunities and the ability to achieve greater diversification.</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new Order, a “required majority” (as defined in Section 57(o) of the 1940 Act) of our Independent Trustees is required to make certain conclusions in connection with a proposed co-investment transaction, including that (1) the terms of the transaction, including the consideration to be paid, are reasonable and fair to the Fund and its shareholders and do not involve overreaching in respect of the Fund or its shareholders on the part of any person concerned and (2) the transaction is consistent with the interests of the Fund’s shareholders and the Fund’s then-current objectives and strategies.</w:t>
      </w: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We may also co-invest alongside Sixth Street affiliates pursuant to other regulations and interpretations of the 1940 Act, for example if the only terms negotiated as to the investment is price. Subject to the terms of the Order, or, as applicable, other 1940 Act restrictions on co-investments with affiliates, the Adviser will offer us the right to participate in all investment opportunities that it determines meet certain “Board Established Criteria” under the terms of the Order and that are appropriate for us in view of our investment objectives, positions, policies, strategies and restrictions, as well as regulatory requirements and other relevant factors. Such offers are subject to the exception that, in accordance with the Sixth Street’s code of ethics and allocation policies and procedures, we will not participate in each individual opportunity but will, on an overall basis, be entitled to participate equitably with other entities sponsored or managed by Sixth Street. Our Board has approved and will regularly review these allocation policies and procedures.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Adviser and its affiliates have other clients with similar or competing investment objectives, including SLX and other private funds, managed accounts and similar investment vehicles sponsored or managed by Sixth Street or its affiliates (“Affiliated Funds”), that are pursuing an investment strategy similar to ours. Sixth Street has obligations to such Affiliated Funds and certain Affiliated Funds have investment objectives that overlap with those of the Fund.</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To the extent the Fund competes with one or more Affiliated Funds for a particular investment opportunity, Sixth Street will allocate investment opportunities across the entities for which such opportunities are appropriate, consistent with (1) Sixth Street’s internal conflict of interest and allocation policies and procedures, (2) the requirements of the Advisers Act and (3) certain restrictions under the 1940 Act regarding co-investments with affiliates, as modified by no-action relief granted by the SEC as well as the Order, in each case in compliance with the terms and conditions of such no-action relief or the Order. Sixth Street’s allocation policies are intended to ensure that, over time, the Fund generally shares equitably in investment opportunities with other Affiliated Funds, particularly those involving a security with limited supply or involving differing classes of securities of the same issuer that are suitable for us and such other accounts.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Adviser and its affiliates seek to ensure the equitable allocation of investment opportunities when we are able to invest alongside other Affiliated Funds. When we invest alongside Affiliated Funds, investments will be made consistent with Sixth Street’s allocation policies and procedures. Sixth Street will determine separately the amount of any proposed investment to be made by us and eligible Affiliated Funds. If sufficient securities or loan amounts are available to satisfy our and each such Affiliated Fund’s proposed investment, the opportunity will be allocated in accordance with the Adviser’s pre-transaction determination. Where there is an insufficient amount of an investment opportunity to fully satisfy demand by the Fund and other Affiliated Funds, the allocation policy further provides that allocations among us and other accounts will generally be made pro rata based on the Fund’s and each Affiliated Fund’s initial pre-transaction demand. To the extent we do not have available capital and are at or near our targeted leverage ratio, we could receive smaller allocations, if any, on new investment opportunities under Sixth Street’s allocation policy. In situations in which co-investment with other entities sponsored or managed by the Adviser or its affiliates is not permitted or appropriate, such as when, in the absence of exemptive relief described above, we and such other entities would be making different investments in the same issuer, Sixth Street will need to decide whether we or such other entity or entities will proceed with the investment. Sixth Street will make these determinations based on its policies and procedures, which generally require that such opportunities be offered to eligible accounts on a basis that will be fair and equitable over time, including, for example, through random or rotational methods.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Order or as otherwise permitted under the 1940 Act, we expect to co-invest on a concurrent basis with other affiliates of the Adviser, unless doing so is impermissible with existing regulatory guidance, applicable regulations, the terms of any exemptive relief granted to us (including the Order) and our allocation policies and procedures.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Order , the Fund may co-invest alongside other investment funds, partnerships, limited liability companies, corporations or similar investment vehicles, clients or separate account for which, in each case, the Adviser or one or more of its affiliates acts as general partner, manager, managing member, investment adviser, sponsor, or in a similar capacity (collectively, including the Fund, “Sixth Street Clients”). It is anticipated that there will frequently be investment opportunities that Sixth Street becomes aware of that will be appropriate for and of interest to the Fund and one or more Sixth Street Clients, and that these opportunities will be limited in amount, such that demand for a given opportunity among the Fund and other Sixth Street Clients will exceed the amount of the opportunity available for investment. In these circumstances, investment opportunities will be allocated among the Fund and other Sixth Street Clients in accordance with Sixth Street’s Allocation Policies and Procedures, in a manner that that Sixth Street and its affiliates reasonably determine in good faith to be appropriate and which allocates such opportunities in a manner that over time is fair and equitable.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119"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description below of the Advisory Agreement is only a summary and is not necessarily complete. The description set forth below is qualified in its entirety by reference to the Advisory Agreement attached as an exhibit to this Registration Statement.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entered into the Advisory Agreement with our Adviser. Under the Advisory Agreement, the Adviser:</w:t>
      </w:r>
    </w:p>
    <w:p>
      <w:pPr>
        <w:spacing w:after="0" w:line="131" w:lineRule="exact"/>
        <w:rPr>
          <w:sz w:val="20"/>
          <w:szCs w:val="20"/>
          <w:color w:val="auto"/>
        </w:rPr>
      </w:pPr>
    </w:p>
    <w:p>
      <w:pPr>
        <w:ind w:left="1080" w:right="2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our portfolio, the nature and timing of the changes to our portfolio and the manner of implementing those changes;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we make (including performing due diligence on our prospective portfolio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assets we will originate, purchase, retain or sell;</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closes, monitors and administers the investments we make, including the exercise of any rights in our capacity as a lender or equity holder;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Adviser’s services under the Advisory Agreement are not exclusive, and the Adviser is free to furnish similar or other services to others so long as its services to us are not impaired.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Advisory Agreement, we pay the Adviser the Management Fee and may also pay certain Incentive Fees.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Management Fee</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Management Fee will be calculated at an annual rate of 1.25% of the Fund’s gross assets. For services rendered under the Advisory Agreement, the Management Fee will be payable quarterly in arrears. The Management Fee will be calculated based on the average value of the Fund’s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these purposes, “gross assets” means the Fund’s total assets determined on a consolidated basis in accordance with generally accepted accounting principles in the United States (“GAAP”), excluding undrawn commitments but including assets purchased with borrowed amounts. For the first calendar quarter in which the Fund has operations, gross assets will be measured as the average of gross assets at the Drawdown Purchase date and at the end of such first calendar quarter. See </w:t>
      </w:r>
      <w:r>
        <w:rPr>
          <w:rFonts w:ascii="Times New Roman" w:cs="Times New Roman" w:eastAsia="Times New Roman" w:hAnsi="Times New Roman"/>
          <w:sz w:val="18"/>
          <w:szCs w:val="18"/>
          <w:i w:val="1"/>
          <w:iCs w:val="1"/>
          <w:color w:val="auto"/>
        </w:rPr>
        <w:t>“Item 1A. Risk Factors—Risks Related to Our Business and Structure—We intend to borrow money,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magnifies the potential for gain or loss and increases the risk of investing in 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Fee Waiver Prior to Exchange Listing</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Fund’s average aggregate drawn capital (including capital drawn to pay Fund expenses) as of the end of the two most recently completed calendar quarters, appropriately adjusted for any Common Share issuances or repurchases during the current calendar quarter. The fee waiver will terminate if and when the Fund consummates an Exchange Listing.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Incentive Fee</w:t>
      </w:r>
    </w:p>
    <w:p>
      <w:pPr>
        <w:spacing w:after="0" w:line="119"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Incentive Fee will consist of two components that are independent of each other, with the result that one component may be payable even if the other is not. A portion of the Incentive Fee is based on a percentage of our income and a portion is based on a percentage of our capital gains, each as described below.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 Incentive Fee on Pre-Incentive Fee Net Investment Income</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Prior to an Exchange Listing, the first component, payable at the end of each quarter in arrears, equals 100% of the pre-Incentive Fee net investment income in excess of a 1.5% quarterly “hurdle rate,” the calculation of which is further explained below, until the Adviser has received 12.5% of the total pre-Incentive Fee net investment income for that quarter and for pre-Incentive fee net investment income in excess of 1.71% (6.86% annualized) quarterly, 12.5% of all remaining pre-Incentive Fee net investment income for that quarter. The 100% “catch-up” provision for pre-Incentive Fee net investment income in excess of the 1.5% “hurdle rate” (6.0% annualized) is intended to provide the Adviser with an Incentive Fee of 12.5% on all pre-Incentive Fee net investment income when that amount equals 1.71% in a quarter (6.86% annualized), which is the rate at which catch-up is achieved. Once the “hurdle rate” is reached and catch-up is achieved, 12.5% of any pre-Incentive Fee net investment income in excess of 1.71% in any quarter is payable to the Adviser.</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Following an Exchange Listing, 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(7.27% annualized) quarterly, 17.5% of all remaining pre-Incentive Fee net investment income for that quarter. The 100% “catch-up” provision for pre-Incentive Fee net investment income in excess of the 1.5% “hurdle rate” (6.0% annualized) is intended to provide the Adviser with an Incentive Fee of 17.5% on all pre-Incentive fee net investment income when that amount equals 1.82% in a quarter (7.27% annualized), which is the rate at which catch-up is achieved. Once the “hurdle rate” is reached and catch-up is achieved, 17.5% of any pre-Incentive Fee net investment income in excess of 1.82% in any quarter is payable to the Adviser.</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shares,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The Adviser will not be obligated to return cash to the Fund if the Incentive Fee it receives on investments with deferred interest are later determined to be uncollectible. Pre-Incentive Fee net investment income does not include any realized capital gains, realized capital losses or unrealized capital appreciation or depreciation.</w:t>
      </w:r>
    </w:p>
    <w:p>
      <w:pPr>
        <w:spacing w:after="0" w:line="19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To determine whether pre-Incentive Fee net investment income exceeds the hurdle rate, prior to the Exchange Listing, the pre-Incentive Fee net investment income was expressed as a rate of return on an average daily hurdle calculation value. The average daily hurdle calculation value, on any given day, equaled:</w:t>
      </w:r>
    </w:p>
    <w:p>
      <w:pPr>
        <w:spacing w:after="0" w:line="81" w:lineRule="exact"/>
        <w:rPr>
          <w:sz w:val="20"/>
          <w:szCs w:val="20"/>
          <w:color w:val="auto"/>
        </w:rPr>
      </w:pPr>
    </w:p>
    <w:p>
      <w:pPr>
        <w:ind w:left="1540" w:hanging="331"/>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assets as of the end of the calendar quarter immediately preceding the day; plus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capital drawn from investors (or reinvested pursuant to our dividend reinvestment plan) from the beginning of the current quarter to the day; minus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00" w:hanging="331"/>
        <w:spacing w:after="0" w:line="282"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distributions (including Share repurchases) made by us from the beginning of the current quarter to the day (but only to the extent the distributions were not declared and accounted for on our books and records in a previous quarter).</w:t>
      </w:r>
    </w:p>
    <w:p>
      <w:pPr>
        <w:spacing w:after="0" w:line="16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Following an Exchange Listing, for purposes of determining whether pre-Incentive Fee net investment income exceeds the hurdle rate, pre-Incentive Fee net investment income will be expressed as a rate of return on the value of our net assets at the end of the immediately preceding calendar quarter.</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 Incentive Fee on Capital Gains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second component, payable at the end of each fiscal year in arrears, prior to the end of the quarter in which an Exchange Listing is completed equals 12.5%, and following the completion of an Exchange Listing, will equal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the end of the quarter in which an Exchange Listing is completed, the Incentive Fee rate will be 17.5%. The weighted percentage is intended to ensure that for each fiscal year following the completion of an Exchange Listing, the portion of our realized capital gains that accrued prior to the end of the quarter in which this Exchange Listing is completed will be subject to an Incentive Fee rate of 12.5% and the portion of our realized capital gains that accrued following the end of the quarter in which an Exchange Listing is completed will be subject to an Incentive Fee rate of 17.5%. Although unrealized gains that occur after the quarter in which an Exchange Listing occurs will lead to a higher fee accruing for such future unrealized gains than would have accrued prior to the Exchange Listing, at the date of an Exchange Listing, no additional amounts will accrue because the increase in the Incentive Fee rate to 17.5% does not apply to any unrealized gains accrued on our books through the date of an Exchange Listing. We accrue, but do not pay, a Capital Gains Fee with respect to unrealized appreciation because a Capital Gains Fee would be owed to the Adviser if we were to sell the relevant investments and realize a capital gain. The increase in fee rate will also cause a reduction in net asset value in the periods after the quarter in which an Exchange Listing occurs for the same reason.</w:t>
      </w:r>
    </w:p>
    <w:p>
      <w:pPr>
        <w:spacing w:after="0" w:line="19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accrue the Incentive Fee taking into account unrealized gains and losses; however, Section 205(b)(3) of the Advisers Act, as amended, prohibits the Adviser from receiving the payment of fees until those gains are realized, if ever. The fees that are payable under the Advisory Agreement for any partial period will be appropriately prorated.</w:t>
      </w:r>
    </w:p>
    <w:p>
      <w:pPr>
        <w:spacing w:after="0" w:line="176"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entered into an Administration Agreement with our Adviser. Under the terms of the Administration Agreement, the Adviser provides administrative services to us. These services include providing office space, equipment and office services, maintaining financial records, preparing reports to shareholders and reports filed with the SEC, and managing the payment of expenses and the performance of administrative and professional services rendered by others. Certain of these services are reimbursable to the Adviser under the terms of the Administration Agreement. See “— Payment of our Expenses” below. In addition, the Adviser is permitted to delegate its duties under the Administration Agreement to affiliates or third parties and we pay or reimburse the Adviser expenses incurred by any such affiliates or third parties for work done on our behalf.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our trustee receives any compensation from us for his or her services as a trustee.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Directors/Trustees who are not affiliated with the Adviser receive compensation for their services and reimbursement of expenses incurred to attend meetings.</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 of the Declaration of Trust.</w:t>
      </w:r>
    </w:p>
    <w:p>
      <w:pPr>
        <w:spacing w:after="0" w:line="19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United States federal and state securities laws may impose liability under certain circumstances on persons who act in good faith. Nothing in the Advisory Agreement will constitute a waiver or limitation of any rights that we may have under any applicable federal or state securities laws.</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have a license agreement with an affiliate of Sixth Street, pursuant to which we have been granted a non-exclusive license to use the Sixth Street name and logo, for a nominal fee, for so long as the Adviser or one of its affiliates remains our investment adviser. Other than with respect to this limited license, we have no legal right to the “Sixth Street” name or logo.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 of Our Expenses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costs associated with our Investment Team and staff of the Adviser, when and to the extent engaged in providing us investment advisory and management services, are paid for by the Adviser, other than to the extent described below and more specifically provided for in the Advisory Agreement.</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Fund bears all other fees, costs and expenses of our activities, operations, administration and transactions, including but not limited to those relating to:</w:t>
      </w:r>
    </w:p>
    <w:p>
      <w:pPr>
        <w:spacing w:after="0" w:line="67" w:lineRule="exact"/>
        <w:rPr>
          <w:sz w:val="20"/>
          <w:szCs w:val="20"/>
          <w:color w:val="auto"/>
        </w:rPr>
      </w:pPr>
    </w:p>
    <w:p>
      <w:pPr>
        <w:jc w:val="both"/>
        <w:ind w:left="1540" w:right="20" w:hanging="331"/>
        <w:spacing w:after="0" w:line="266"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Fund’s initial private offering of Common Shares (up to an aggregate of 0.10% of total capital commitments to the Fund, it being understood and agreed that the Adviser shall bear all such organizational and offering expenses related to the Fund’s initial private offering of Common Shares in excess of such amount);</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80" w:hanging="331"/>
        <w:spacing w:after="0" w:line="258"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members of our Investment Team, or payable to third parties, in respect of due diligence on prospective portfolio companies and, if necessary, in respect of enforcing the Fund’s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88" w:lineRule="exact"/>
        <w:rPr>
          <w:rFonts w:ascii="Times New Roman" w:cs="Times New Roman" w:eastAsia="Times New Roman" w:hAnsi="Times New Roman"/>
          <w:sz w:val="18"/>
          <w:szCs w:val="18"/>
          <w:color w:val="auto"/>
        </w:rPr>
      </w:pPr>
    </w:p>
    <w:p>
      <w:pPr>
        <w:ind w:left="1540" w:right="80" w:hanging="331"/>
        <w:spacing w:after="0" w:line="312" w:lineRule="auto"/>
        <w:tabs>
          <w:tab w:leader="none" w:pos="1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diligence and research expenses (including an allocable portion of any research or other service that may deemed to be bundled for the benefit of the Fund), as well as the information technology systems used to obtain such research and other information;</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 with the Adviser;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1540" w:right="460" w:hanging="331"/>
        <w:spacing w:after="0" w:line="282"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 fees and expenses;</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1"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5"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0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Fund and the amount of any judgment or settlement paid in connection therewith;</w:t>
      </w:r>
    </w:p>
    <w:p>
      <w:pPr>
        <w:spacing w:after="0" w:line="67" w:lineRule="exact"/>
        <w:rPr>
          <w:rFonts w:ascii="Times New Roman" w:cs="Times New Roman" w:eastAsia="Times New Roman" w:hAnsi="Times New Roman"/>
          <w:sz w:val="18"/>
          <w:szCs w:val="18"/>
          <w:color w:val="auto"/>
        </w:rPr>
      </w:pPr>
    </w:p>
    <w:p>
      <w:pPr>
        <w:ind w:left="1540" w:right="200" w:hanging="331"/>
        <w:spacing w:after="0" w:line="258"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if any, incurred by or on behalf of the Fund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88"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9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Fund bears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Fund (including, in each case, employees of the Administrator or an affiliate) who assist with the preparation, coordination, and administration of the foregoing or provide other “back office” or “middle office” financial or operational services to the Fund. The Fund reimburses the Adviser (or its affiliates) for an allocable portion of the compensation paid by the Adviser (or its affiliates) to such individuals (based on a percentage of time such individuals devote, on an estimated basis, to the business and affairs of the Fund and in acting on behalf of the Fund). Although the Advisory Agreement and Administration Agreement do not specify a timeframe by which the Adviser or its affiliates must be so reimbursed, the Fund expects that it would generally reimburse the Adviser or its affiliates by the end of following quarter in which the expense is recognized.</w:t>
      </w:r>
    </w:p>
    <w:p>
      <w:pPr>
        <w:spacing w:after="0" w:line="17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All of the expenses described above are ultimately borne by our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Termination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Unless terminated earlier as described below, both the Advisory Agreement and Administration Agreement will continue in effect for a period of two years from its effective date. They will remain in effect from year to year thereafter if approved annually by our Board of Trustees or by the affirmative vote of the holders of a majority of our outstanding voting securities, and, in either case, if also approved by a majority of our trustees who are not “interested persons,” as that term is defined in the 1940 Act, of us or our Adviser. Each agreement automatically terminates in the event of its assignment, as defined in the 1940 Act, by the Adviser. Each agreement may be terminated by either party without penalty upon at least 60 days’ written notice to the other party. The holders of a majority of our outstanding voting securities may also terminate each agreement without penalty upon not less than 60 days’ written notice. See </w:t>
      </w:r>
      <w:r>
        <w:rPr>
          <w:rFonts w:ascii="Times New Roman" w:cs="Times New Roman" w:eastAsia="Times New Roman" w:hAnsi="Times New Roman"/>
          <w:sz w:val="18"/>
          <w:szCs w:val="18"/>
          <w:i w:val="1"/>
          <w:iCs w:val="1"/>
          <w:color w:val="auto"/>
        </w:rPr>
        <w:t>“Item 1A. Risk Factors—Risks Related to Our Business and Structure—We are dependent upon management personnel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Adviser, Sixth Street and their affiliates for our future success.”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those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declaration of trust.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 as a Business Development Company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prohibitions and descriptions governing BDCs generally. It does not purport to be a complete description of all of the laws and regulations affecting BDCs.</w:t>
      </w:r>
    </w:p>
    <w:p>
      <w:pPr>
        <w:spacing w:after="0" w:line="158"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Qualifying Assets. </w:t>
      </w:r>
      <w:r>
        <w:rPr>
          <w:rFonts w:ascii="Times New Roman" w:cs="Times New Roman" w:eastAsia="Times New Roman" w:hAnsi="Times New Roman"/>
          <w:sz w:val="18"/>
          <w:szCs w:val="18"/>
          <w:color w:val="auto"/>
        </w:rPr>
        <w:t>Under the 1940 Act, a BDC may not acquire any asset other than assets of the type listed in Section 55(a) of the 1940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are referred to as “Qualifying Assets,” unless, at the time the acquisition is made, Qualifying Assets represent at least 70% of the Fund’s total assets. The principal categories of Qualifying Assets relevant to our business are any of the following:</w:t>
      </w:r>
    </w:p>
    <w:p>
      <w:pPr>
        <w:spacing w:after="0" w:line="80" w:lineRule="exact"/>
        <w:rPr>
          <w:sz w:val="20"/>
          <w:szCs w:val="20"/>
          <w:color w:val="auto"/>
        </w:rPr>
      </w:pPr>
    </w:p>
    <w:p>
      <w:pPr>
        <w:ind w:left="1080" w:right="80" w:hanging="532"/>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transactions not involving any public offering from the issuer of such securities, which issuer (subject to certain limited exceptions) is an Eligible Portfolio Company (as defined below),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organized under the laws of, and has its principal place of business in, the United States;</w:t>
      </w:r>
    </w:p>
    <w:p>
      <w:pPr>
        <w:spacing w:after="0" w:line="130"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investment company (other than a small business investment company wholly owned by the BDC) or a company that would be an investment company but for certain exclusions under the 1940 Act;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of the following:</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any class of securities that is traded on a national securities exchange;</w:t>
      </w:r>
    </w:p>
    <w:p>
      <w:pPr>
        <w:spacing w:after="0" w:line="130" w:lineRule="exact"/>
        <w:rPr>
          <w:rFonts w:ascii="Times New Roman" w:cs="Times New Roman" w:eastAsia="Times New Roman" w:hAnsi="Times New Roman"/>
          <w:sz w:val="18"/>
          <w:szCs w:val="18"/>
          <w:color w:val="auto"/>
        </w:rPr>
      </w:pPr>
    </w:p>
    <w:p>
      <w:pPr>
        <w:ind w:left="2080" w:right="40" w:hanging="533"/>
        <w:spacing w:after="0" w:line="282" w:lineRule="auto"/>
        <w:tabs>
          <w:tab w:leader="none" w:pos="20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class of securities listed on a national securities exchange, but has an aggregate market value of outstanding voting and non-voting common equity of less than $250 million;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2080" w:right="160" w:hanging="533"/>
        <w:spacing w:after="0" w:line="282" w:lineRule="auto"/>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controlled by a BDC or a group of companies including a BDC and the BDC has an affiliated person who is a director of the Eligible Portfolio Company; or</w:t>
      </w:r>
    </w:p>
    <w:p>
      <w:pPr>
        <w:spacing w:after="0" w:line="67" w:lineRule="exact"/>
        <w:rPr>
          <w:rFonts w:ascii="Times New Roman" w:cs="Times New Roman" w:eastAsia="Times New Roman" w:hAnsi="Times New Roman"/>
          <w:sz w:val="18"/>
          <w:szCs w:val="18"/>
          <w:color w:val="auto"/>
        </w:rPr>
      </w:pPr>
    </w:p>
    <w:p>
      <w:pPr>
        <w:ind w:left="2080" w:right="400" w:hanging="533"/>
        <w:spacing w:after="0" w:line="282" w:lineRule="auto"/>
        <w:tabs>
          <w:tab w:leader="none" w:pos="2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small and solvent company having total assets of not more than $4.0 million and capital and surplus of not less than $2.0 million.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Eligible Portfolio Company controlled by the Fund.</w:t>
      </w:r>
    </w:p>
    <w:p>
      <w:pPr>
        <w:spacing w:after="0" w:line="130"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5"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 Eligible Portfolio Company purchased from any person in a private transaction if there is no ready market for such securities and the Fund already owns 60% of the outstanding equity of the Eligible Portfolio Company.</w:t>
      </w:r>
    </w:p>
    <w:p>
      <w:pPr>
        <w:spacing w:after="0" w:line="67"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received in exchange for or distributed on or with respect to securities described in (1) through (4) above, or pursuant to the exercise of warrants or rights relating to such securities.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a BDC must be operated for the purpose of making investments in the types of securities described in (1), (2) or (3) above.</w:t>
      </w:r>
    </w:p>
    <w:p>
      <w:pPr>
        <w:spacing w:after="0" w:line="2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Significant Managerial Assistance. </w:t>
      </w:r>
      <w:r>
        <w:rPr>
          <w:rFonts w:ascii="Times New Roman" w:cs="Times New Roman" w:eastAsia="Times New Roman" w:hAnsi="Times New Roman"/>
          <w:sz w:val="18"/>
          <w:szCs w:val="18"/>
          <w:color w:val="auto"/>
        </w:rPr>
        <w:t>A BDC must have been organized under the laws of, and have its principal place of business in, any state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within the United States. However, in order to count portfolio securities as Qualifying Assets for the purpose of the 70% test, the BDC must either control the issuer of the securities or must offer to make available to the issuer of the securities (other than small and solvent companies described above) significant managerial assistance; except that, where the BDC purchases such securities in conjunction with one or more other persons acting together, one of the other persons in the group may make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Temporary Investments. </w:t>
      </w:r>
      <w:r>
        <w:rPr>
          <w:rFonts w:ascii="Times New Roman" w:cs="Times New Roman" w:eastAsia="Times New Roman" w:hAnsi="Times New Roman"/>
          <w:sz w:val="18"/>
          <w:szCs w:val="18"/>
          <w:color w:val="auto"/>
        </w:rPr>
        <w:t>Pending investment in other types of Qualifying Assets, as described above, our investments may consist of cash,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U.S. government securities or high-quality debt securities maturing in one year or less from the time of investment, which we refer to, collectively, as “temporary investments,” so that 70% of our assets are Qualifying Assets. We may also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Thus, we do not intend to enter into repurchase agreements with a single counterparty in excess of this limit. Our Adviser will monitor the creditworthiness of the counterparties with which we enter into repurchase agreement transactions.</w:t>
      </w:r>
    </w:p>
    <w:p>
      <w:pPr>
        <w:spacing w:after="0" w:line="185" w:lineRule="exact"/>
        <w:rPr>
          <w:sz w:val="20"/>
          <w:szCs w:val="20"/>
          <w:color w:val="auto"/>
        </w:rPr>
      </w:pPr>
    </w:p>
    <w:p>
      <w:pPr>
        <w:ind w:left="120" w:right="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Indebtedness and Senior Securities. </w:t>
      </w:r>
      <w:r>
        <w:rPr>
          <w:rFonts w:ascii="Times New Roman" w:cs="Times New Roman" w:eastAsia="Times New Roman" w:hAnsi="Times New Roman"/>
          <w:sz w:val="17"/>
          <w:szCs w:val="17"/>
          <w:color w:val="auto"/>
        </w:rPr>
        <w:t>The Fund is permitted, under specified conditions, to issue multiple classes of indebtedness and one class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shares senior to the Common Shares if the Fund’s asset coverage, as defined in the 1940 Act, would at least equal 150% immediately after each such issuance. On June 8, our sole initial shareholder approved the adoption of this 150% threshold pursuant to Section 61(a)(2) of the 1940 Act. In addition,</w:t>
      </w:r>
    </w:p>
    <w:p>
      <w:pPr>
        <w:spacing w:after="0" w:line="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while any senior securities remain outstanding, the Fund will be required to make provisions to prohibit any dividend distribution to shareholders or the repurchase of such securities or Common Shares unless the Fund meets the applicable asset coverage ratios at the time of the dividend distribution or repurchase. The Fund will also be permitted to borrow amounts up to 5% of the value of its total assets for temporary or emergency purposes, which borrowings would not be considered senior securities.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Fund expects to employ leverage and otherwise incur indebtedness with respect to its portfolio including entry (directly or indirectly) into one or more credit facilities, including asset-based loan facilities or subscription facilities, and/or enter into other financing arrangements to facilitate investments, the timely payment of expenses and other purposes. The Fund cannot assure investors that it will be able to enter into a credit facility. Investors will indirectly bear the costs associated with the establishment of a credit facility and with any borrowings under a credit facility or otherwise. In connection with a credit facility or other borrowings, lenders may require the Fund to pledge assets and may ask the Fund to comply with positive or negative covenants that could have an effect on Fund operations. The Fund may pledge and may grant a security interest in all of its assets under the terms of any debt instruments that it enters into with lenders. In addition, from time to time, the Fund’s losses on investments may result in the liquidation of other investments held by the Fund.</w:t>
      </w:r>
    </w:p>
    <w:p>
      <w:pPr>
        <w:spacing w:after="0" w:line="188"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Code of Ethics. </w:t>
      </w:r>
      <w:r>
        <w:rPr>
          <w:rFonts w:ascii="Times New Roman" w:cs="Times New Roman" w:eastAsia="Times New Roman" w:hAnsi="Times New Roman"/>
          <w:sz w:val="18"/>
          <w:szCs w:val="18"/>
          <w:color w:val="auto"/>
        </w:rPr>
        <w:t>We and the Adviser have adopted a code of ethics pursuant to Rule 17j-1 under the 1940 Act and Rule 204A-1 under the Advisers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Act, respectively, that establishes procedures for personal investments and restricts certain transactions by our personnel. Our codes of ethics generally do not permit personal investments by our and the Adviser’s personnel in securities that may be purchased or sold by us.</w:t>
      </w:r>
    </w:p>
    <w:p>
      <w:pPr>
        <w:spacing w:after="0" w:line="171"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Compliance Policies and Procedures. </w:t>
      </w:r>
      <w:r>
        <w:rPr>
          <w:rFonts w:ascii="Times New Roman" w:cs="Times New Roman" w:eastAsia="Times New Roman" w:hAnsi="Times New Roman"/>
          <w:sz w:val="18"/>
          <w:szCs w:val="18"/>
          <w:color w:val="auto"/>
        </w:rPr>
        <w:t>We and the Adviser have adopted and implemented written policies and procedures reasonably designed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detect and prevent violation of the federal securities laws and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176"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Sarbanes-Oxley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Sarbanes-Oxley Act imposes a wide variety of new regulatory requirements on publicly-held companies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insiders. Many of these requirements affect us. For example:</w:t>
      </w:r>
    </w:p>
    <w:p>
      <w:pPr>
        <w:spacing w:after="0" w:line="64" w:lineRule="exact"/>
        <w:rPr>
          <w:sz w:val="20"/>
          <w:szCs w:val="20"/>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13a-14 of the 1934 Act, our President and Chief Financial Officer must certify the accuracy of the financial statements contained in our periodic reports;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307 of Regulation S-K, our periodic reports must disclose our conclusions about the effectiveness of our disclosure controls and procedures;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13a-15 of the 1934 Act, our management must prepare a report regarding its assessment of our internal control over financial reporting starting with our annual report on Form 10-K for the fiscal year ending December 31, 2022 and, when we cease to be an emerging growth company (if we are also an accelerated filer or large accelerated filer), must obtain an audit of the effectiveness of internal control over financial reporting performed by our independent registered public accounting firm; and</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material weaknesses.</w:t>
      </w:r>
    </w:p>
    <w:p>
      <w:pPr>
        <w:spacing w:after="0" w:line="176"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JOBS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currently are, and following the completion of this offering expect to remain, an “emerging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as defined in the JOBS Act until the earliest of:</w:t>
      </w:r>
    </w:p>
    <w:p>
      <w:pPr>
        <w:spacing w:after="0" w:line="6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five years measured from the date of the first sale of common equity securities pursuant to an effective registration statement;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first fiscal year in which our annual gross revenues are $1.07 billion or more;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during the preceding three-year period;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we become a “large accelerated filer” as defined in Rule 12b-2 under the 1934 Act, which would occur if the market value of the Common Shares that is held by non-affiliates exceeds $700 million as of any June 30.</w:t>
      </w:r>
    </w:p>
    <w:p>
      <w:pPr>
        <w:spacing w:after="0" w:line="162"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Under the JOBS Act, we are exempt from the provisions of Section 404(b) of the Sarbanes-Oxley Act, which would require that our independent registered public accounting firm provide an attestation report on the effectiveness of our internal control over financial reporting.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 This may increase the risk that material weaknesses or other deficiencies in our internal control over financial reporting go undetected.</w:t>
      </w:r>
    </w:p>
    <w:p>
      <w:pPr>
        <w:spacing w:after="0" w:line="1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Section 7(a)(2)(B) of the 1933 Act and Section 13(a) of the 1934 Act, as amended by Section 102(b) of the JOBS Act, provide that an emerging growth company can take advantage of the extended transition period for complying with new or revised accounting standards. However, pursuant to Section 107 of the JOBS Act, we are choosing to “opt out” of such extended transition period, and as a result, we will comply with new or revised accounting standards on the relevant dates on which adoption of such standards is required for non-emerging growth companies. Our decision to opt out of the extended transition period for complying with new or revised accounting standards is irrevocable.</w:t>
      </w:r>
    </w:p>
    <w:p>
      <w:pPr>
        <w:spacing w:after="0" w:line="179"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Investment Advisers Act of 1940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Adviser is registered as an investment adviser under the U.S. Investment Advisers Act of 1940,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color w:val="auto"/>
        </w:rPr>
        <w:t>Advisers 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U.S. Securities Act of 1933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offer and sale of the Common Shares will not be registered under the Securities Act, in reliance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exemption from registration provided by Section 4(a)(2), Regulation D promulgated thereunder, Regulation S and/or exemptions of similar import in the jurisdictions in which Common Shares are offered and sold. Each purchaser must be (a) an “accredited investor” (as defined in Regulation D promulgated under the Securities Act) or (b) a person that qualifies as a non-U.S. person for purposes of Regulation S under the Securities Act and will be required to represent, among other customary private placement representations, that it is acquiring its Unit for its own account and for investment purposes only and not with a view to resale or distribution.</w:t>
      </w:r>
    </w:p>
    <w:p>
      <w:pPr>
        <w:spacing w:after="0" w:line="18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Other than the registration under the 1934 Act pursuant to the Form 10 Registration Statement, the Common Shares will not be registered under any other securities laws, including state securities or blue sky laws and non-U.S. securities laws.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Common Shares may not be transferred or resold (i) except as permitted under the Limited Liability Company Agreement, (ii) unless they are registered under the Securities Act and under any other applicable securities laws or an exemption from such registration thereunder is available and (iii) only as permitted by any other relevant laws of any applicable jurisdiction.</w:t>
      </w:r>
    </w:p>
    <w:p>
      <w:pPr>
        <w:spacing w:after="0" w:line="172"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will delegate our proxy voting responsibility to our Adviser. The Proxy Voting Policies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Adviser are set forth below. The guidelines are reviewed periodically by the Adviser and our Independent Trustees, and, accordingly, are subject to change.</w:t>
      </w:r>
    </w:p>
    <w:p>
      <w:pPr>
        <w:spacing w:after="0" w:line="17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Adviser will vote all proxies based upon the guiding principle of seeking the maximization of the ultimate long-term economic value of our shareholders’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shareholders or if the circumstances make such an abstention or withholding otherwise advisable and in the best interest of the relevant stockholder(s).</w:t>
      </w:r>
    </w:p>
    <w:p>
      <w:pPr>
        <w:spacing w:after="0" w:line="190"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Proxy Policies. </w:t>
      </w:r>
      <w:r>
        <w:rPr>
          <w:rFonts w:ascii="Times New Roman" w:cs="Times New Roman" w:eastAsia="Times New Roman" w:hAnsi="Times New Roman"/>
          <w:sz w:val="18"/>
          <w:szCs w:val="18"/>
          <w:color w:val="auto"/>
        </w:rPr>
        <w:t>The Adviser’s policies and procedures are reasonably designed to ensure that the Adviser votes proxies in the best interest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and addresses how it will resolve any conflict of interest that may arise when voting proxies and, in so doing, to maximize the value of the investments made by the Fund, taking into consideration the Fund’s investment horizons and other relevant factors. It will review on a case-by-case basis each proposal submitted for a Unitholder vote to determine its impact on the portfolio securities held by its clients. Although the Adviser will generally vote against proposals that may have a negative impact on its clients’ portfolio securities, it may vote for such a proposal if there exists compelling long-term reasons to do so.</w:t>
      </w:r>
    </w:p>
    <w:p>
      <w:pPr>
        <w:spacing w:after="0" w:line="186"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Decisions on how to vote a proxy generally are made by the Adviser. The Investment Committee and the members of the Investment Team covering the applicable security often have the most intimate knowledge of both a company’s operations and the potential impact of a proxy vote’s outcome. Decisions are based on a number of factors which may vary depending on a proxy’s subject matter, but are guided by the general policies described in the proxy policy. In addition, the Adviser may determine not to vote a proxy after consideration of the vote’s expected benefit to clients and the cost of voting the proxy. To ensure that its vote is not the product of a conflict of interest, the Adviser will require the members of the Investment Committee to disclose any personal conflicts of interest they may have with respect to overseeing a Fund’s investment in a particular company.</w:t>
      </w:r>
    </w:p>
    <w:p>
      <w:pPr>
        <w:spacing w:after="0" w:line="169"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Proxy Voting Records. </w:t>
      </w:r>
      <w:r>
        <w:rPr>
          <w:rFonts w:ascii="Times New Roman" w:cs="Times New Roman" w:eastAsia="Times New Roman" w:hAnsi="Times New Roman"/>
          <w:sz w:val="18"/>
          <w:szCs w:val="18"/>
          <w:color w:val="auto"/>
        </w:rPr>
        <w:t>You may obtain information, without charge, regarding how we voted proxies with respect to our portfolio securities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making a written request for proxy voting information to: .</w:t>
      </w:r>
    </w:p>
    <w:p>
      <w:pPr>
        <w:spacing w:after="0" w:line="15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Anti-Money Laundering Requirements</w:t>
      </w:r>
      <w:r>
        <w:rPr>
          <w:rFonts w:ascii="Times New Roman" w:cs="Times New Roman" w:eastAsia="Times New Roman" w:hAnsi="Times New Roman"/>
          <w:sz w:val="17"/>
          <w:szCs w:val="17"/>
          <w:color w:val="auto"/>
        </w:rPr>
        <w:t>. In order to comply with applicable anti-money laundering requirements, the investor must, except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otherwise agreed by the Adviser, represent and warrant in its Subscription Agreement with the Fund that neither the investor, nor any of its affiliates or beneficial owners (i) appears on the Specially Designated Nationals and Blocked Persons List of the OFAC, nor are they otherwise a party with which the Fund is prohibited to deal under the laws of the United States, (ii) appears on the European External Action Service consolidated list of persons, groups and entities subject to EU financial sanctions maintained on behalf of the European Commission, (iii) appears on the Consolidated United Nations Security Council Sanctions List or (iv) is a person identified as a terrorist organization on any other relevant lists maintained by governmental authorities. The investor must also represent and warrant that: (i) if the investor is a natural person, the investor is not a person who is or has been entrusted with prominent public functions, such as Head of State or of government, a senior politician, a senior government, judicial or military official, a senior executive of a state-owned corporation or an important political party official, or a close family member or close associate of such person and</w:t>
      </w:r>
    </w:p>
    <w:p>
      <w:pPr>
        <w:spacing w:after="0" w:line="2" w:lineRule="exact"/>
        <w:rPr>
          <w:sz w:val="20"/>
          <w:szCs w:val="20"/>
          <w:color w:val="auto"/>
        </w:rPr>
      </w:pPr>
    </w:p>
    <w:p>
      <w:pPr>
        <w:ind w:left="380" w:hanging="264"/>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monies used to fund the investment in the Common Shares are not derived from, invested for the benefit of or related in any way to, the</w:t>
      </w:r>
    </w:p>
    <w:p>
      <w:pPr>
        <w:spacing w:after="0" w:line="9" w:lineRule="exact"/>
        <w:rPr>
          <w:rFonts w:ascii="Times New Roman" w:cs="Times New Roman" w:eastAsia="Times New Roman" w:hAnsi="Times New Roman"/>
          <w:sz w:val="18"/>
          <w:szCs w:val="18"/>
          <w:color w:val="auto"/>
        </w:rPr>
      </w:pPr>
    </w:p>
    <w:p>
      <w:pPr>
        <w:ind w:left="120" w:right="18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governments of, or persons within, any country that (a) is under a U.S. embargo enforced by OFAC, (b) has been designated as a “non-cooperative country or territory” by the Financial Action Task Force on Money Laundering or (c) has been designated by the U.S. Secretary of the Treasury as a “primary money laundering concern.” The investor must also represent and warrant that the investor: (i) has conducted thorough due diligence with respect to all of its beneficial owners, (ii) has established the identities of all beneficial owners and the source of each of the beneficial owner’s funds and (iii) will retain evidence of any such identities, any such source of funds and any such due diligence. The investor must also represent and warrant</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that it does not know or have any reason to suspect that (i) the monies used to fund the investor’s investment in the Common Shares have been or will be derived from or related to any illegal activities, including but not limited to, money laundering activities and (ii) the proceeds from the investor’s investment in Common Shares will be used to finance any illegal activities. The investor must also represent and warrant that neither the investor, nor any of its affiliates, nor any person having a direct or indirect beneficial interest in the Common Shares being acquired is (i) a senior foreign political figure (“SFPF”), (ii) an immediate family member of a SFPF (iii) a close associate of a SFPF, (iv) a politically exposed person (a “PEP”), (v) an immediate family member of a PEP or (vi) a close associate of a PEP (each as defined in the Subscription Agreement). The investor must also represent and warrant that to the extent a beneficial owner is a bank, including a branch, agency or office of a bank, that is not physically located in the United States, that the investor has taken and will take reasonable measures to establish that the bank has a physical presence or is an affiliate of a regulated entity. The investor must also represent and warrant that it has determined that the funds being invested by the investor in the Fund do not come from corruption. The investor must also agree, except as otherwise agreed by the Adviser, that pursuant to anti-money laundering laws and regulations, the Adviser may be required or determine that it is necessary and appropriate to collect documentation verifying the investor’s identity and the source of funds used to acquire an Interest before, and from time to time after, acceptance by the Adviser of the Subscription Agreement.</w:t>
      </w:r>
    </w:p>
    <w:p>
      <w:pPr>
        <w:spacing w:after="0" w:line="18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Bank Holding Company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U.S. Bank Holding Company Act of 1956, as amended from time to time, and the rules promulgated thereunder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(collectively, the “BHC Act”), including as modified by the Dodd-Frank Act and the “Volcker Rule” thereunder, contain restrictions on certain investors that are (or that have affiliates or certain interest in any entity that is) a bank or a bank-related entity and/or have a connection to the U.S. in that regard from making and holding certain interests in private investment funds. Common Shares in the Fund are not freely transferable, are not readily tradable on any exchange or market, and there are generally no redemption or withdrawal rights. As a result, Common Shares must be held on a long-term basis and the prospective investor should carefully review and familiarize itself with these rules and regulations and consult with its own counsel on how the Volcker Rule, the Dodd-Frank Act and the BHC Act may impact the investor, including as a result of its investment in the Fund.</w:t>
      </w:r>
    </w:p>
    <w:p>
      <w:pPr>
        <w:spacing w:after="0" w:line="183" w:lineRule="exact"/>
        <w:rPr>
          <w:sz w:val="20"/>
          <w:szCs w:val="20"/>
          <w:color w:val="auto"/>
        </w:rPr>
      </w:pPr>
    </w:p>
    <w:p>
      <w:pPr>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Privacy Principles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endeavor to maintain the privacy of our shareholders and to safeguard their non-public personal information.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information is provided to help shareholders understand what non-public personal information we collect, how we protect that information and why, in certain cases, we may share that information with select other parties.</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collect non-public personal information about shareholders from our Subscription Agreements or other forms, such as name, address, account number and the types and amounts of investments, and information about transactions with us or our affiliates, such as participation in other investment programs, ownership of certain types of accounts or other account data and activity. We may disclose the non-public personal information that we collect from our shareholders or former shareholders, as described above, to our affiliates and service providers and as allowed by applicable law or regulation. Any party that receives this information from us is permitted to use it only for the services required by us and as allowed by applicable law or regulation, and is not permitted to share or use this information for any other purpose. We permit access only by authorized personnel who need access to that non-public personal information to provide services to us and our shareholders. We also maintain physical, electronic and procedural safeguards for non-public personal information that are designed to comply with applicable law.</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our privacy policy, we provide a clear and conspicuous notice to each investor that details our privacy policies and procedures at the time of the investor’s subscription. We will post our privacy policy on our website and promptly update the policy with any amendments.</w:t>
      </w:r>
    </w:p>
    <w:p>
      <w:pPr>
        <w:spacing w:after="0" w:line="158"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EU General Data Protection Regulation</w:t>
      </w:r>
      <w:r>
        <w:rPr>
          <w:rFonts w:ascii="Times New Roman" w:cs="Times New Roman" w:eastAsia="Times New Roman" w:hAnsi="Times New Roman"/>
          <w:sz w:val="18"/>
          <w:szCs w:val="18"/>
          <w:color w:val="auto"/>
        </w:rPr>
        <w:t>. The EU General Data Protection Regulation (Regulation 2016/679) (the “GDPR”) establishes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the protection of natural persons with regard to the processing of personal data and to the free movement of personal data. Prospective shareholders should note that it is expected that they will provide Personal Data (as defined in the GDPR and which may include special categories of Personal Data pursuant to Articles 8 and 9 thereof), as part of their subscription to the Fund and in their interactions with the Fund, its affiliates, and/or delegates. The Fund may obtain Personal Data concerning shareholders and prospective shareholders from internal and external sources.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Fund has prepared a GDPR privacy statement for shareholders (the “GDPR Privacy Statement”), which is available upon request. Before subscribing to the Fund, all shareholders and prospective shareholders are encouraged to carefully review the GDPR Privacy Statement, which includes detailed information concerning the control and processing of their personal data.</w:t>
      </w:r>
    </w:p>
    <w:p>
      <w:pPr>
        <w:spacing w:after="0" w:line="172"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(“ESG”) Considerations and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Although Sixth Street does not currently manage any funds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dedicated to ESG or impact investing, Sixth Street nonetheless seeks to cultivate a culture of responsible stewardship of capital and is subject to increasing focus by both regulators and investors on ESG matters, including as a result of recent laws and regulations applicable to our investors which impose certain disclosure obligations on Sixth Street and the Fund.</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Currently, we have adopted a responsible investment policy under which we assess ESG matters together with financial criteria as part of our investment process when applicable and have developed procedures applicable to transaction underwriting and monitoring which are informed by the United Nations-supported Principles for Responsible Investment, however both Sixth Street’s and the wider alternative investment industry’s approach to ESG matters is still evolving and accordingly we may face unforeseen difficulties in implementing our policy or effectively measuring the success of our efforts.</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the extent that investors require us, when evaluating potential investment opportunities, to consider or place material or particular emphasis on ESG-related matters or an investment’s potential to achieve a positive social or environmental impact, we may be influenced to consider an opportunity set for potential investments that is smaller than it would otherwise be absent such considerations (e.g., if seeking to make investments solely on the basis of financial returns), and we may forgo opportunities that are attractive from a financial perspective as a result of such considerations. In addition, although Sixth Street believes that ESG factors have the potential to affect performance, and can in certain circumstances enhance a portfolio investment’s profitability or financial returns, it is possible that our or a portfolio investment’s dual focus on financial success and ESG matters will from time to time influence us or the portfolio investment to make decisions that favor one goal at the expense of the other.</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Finally, ESG continues to be an area of increased regulatory attention. For example, EU legislators are adopting new rules to standardize the definition of environmentally sustainable investing, and the SEC has examined the methodology used by investment funds pursuing impact or ESG investment strategies for determining socially responsible investments. On March 21, 2022, the SEC proposed rule amendments that would require a domestic or foreign registrant (i.e., a public company) to include certain standardized climate-related information in its registration statements and periodic reports. Such rule amendments, if adopted, could impact the Fund in a variety of ways, particularly with respect to its investments in public companies. In addition, on May 25, 2022, the SEC proposed new rules regarding enhanced disclosures by certain investment advisers and investment companies regarding ESG. If the rules are adopted as proposed, we believe that the Fund will be an “integration fund” because we integrate ESG factors alongside non-ESG factors in our investment decisions. It is unclear whether any rules or amendments in this area will ultimately be adopted, and if so, what the scope and timing of any such final rules or amendments would be. If adopted, such rules or amendments could apply not only in respect of certain issuers or borrowers in which the Fund holds portfolio investments, but also the Fund and/or the Adviser itself, and any new regulations could adversely impact the Fund and returns to investors, as further described below.</w:t>
      </w:r>
    </w:p>
    <w:p>
      <w:pPr>
        <w:spacing w:after="0" w:line="192"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If we fail to take appropriate measures or follow best practices, regulators disagree with the procedures or standards used by Sixth Street, the Fund or portfolio investments for ESG investing and reporting, or new or amended regulation or legislation, if adopted requires a methodology of measuring or disclosing ESG impact or related matters that is different from our current practice, we may be in breach of applicable ESG-related laws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regulations and Sixth Street may suffer reputational damage and the Fund could be adversely affected (including as a result of fines and other financial losses incurred by portfolio investments). In addition, we would expect new or additional ESG-related requirements, if adopted, to likely increase compliance costs for issuers or borrowers in which the Fund holds portfolio investments and/or the Fund, which could impact potential returns to investors.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Sustainability Risks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sustainability requirements imposed by jurisdictions in which Sixth Street does business and/or in which the Fund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marketed, including the EU Sustainable Finance Disclosure Regulation (2019/2088) (the “SFDR”), may result in additional compliance costs, disclosure obligations or other implications or restrictions on the Fund or on Sixth Street. Under such requirements, Sixth Street may be required to classify itself or the Fund against certain criteria, some of which can be open to subjective interpretation. Sixth Street’s view on the appropriate classification may develop over time, including in response to statutory or regulatory guidance or changes in industry approach to classification. These sustainability requirements, and any changes that Sixth Street may make to the Fund’s classification thereunder from time to time, may require further disclosures by Sixth Street or the Adviser and may require that Sixth Street implement new processes to capture data about the Fund or its investments. Costs incurred as a result of such data gathering and reporting processes will be borne by the Fund.</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Sustainable Finance Taxonomy Regulation (“Taxonomy”)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Taxonomy is designed to create a benchmark and framework for green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 that investors do not need to conduct their own due diligence with regards to a financial products’ environmental sustainability. The regime came into force on July 12, 2020 and is expected to apply in practice from January 1, 2022 (at the earliest). Taxonomy amends the SFDR to require fund managers to disclose either: (i) information on how and to what extent the investments that underlie their products support economic activities that meet the four tests for environmental sustainability under the Taxonomy; or (ii) for financial products that do not invest in taxonomy-compliant activities, a statement that they do not take the Taxonomy into account.</w:t>
      </w:r>
    </w:p>
    <w:p>
      <w:pPr>
        <w:spacing w:after="0" w:line="18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order to comply with the four tests for environmental sustainability, an economic activity must: (i) contribute substantially to at least one of the environmental objectives listed in the Taxonomy; (ii) “do no significant harm” to any of the other environmental objectives listed in the Taxonomy;</w:t>
      </w:r>
    </w:p>
    <w:p>
      <w:pPr>
        <w:ind w:left="120" w:hanging="4"/>
        <w:spacing w:after="0" w:line="260" w:lineRule="auto"/>
        <w:tabs>
          <w:tab w:leader="none" w:pos="4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carried out in compliance with minimum social and governance safeguards; and (iv) comply with technical screening criteria to be adopted under the Taxonomy.</w:t>
      </w:r>
    </w:p>
    <w:p>
      <w:pPr>
        <w:spacing w:after="0" w:line="18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Compliance with the Taxonomy related rules in due course is expected to result in increased legal, compliance, restrictions, reporting and other associated costs and expenses which will be borne by the Fund.</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Reporting Obligations. </w:t>
      </w:r>
      <w:r>
        <w:rPr>
          <w:rFonts w:ascii="Times New Roman" w:cs="Times New Roman" w:eastAsia="Times New Roman" w:hAnsi="Times New Roman"/>
          <w:sz w:val="18"/>
          <w:szCs w:val="18"/>
          <w:color w:val="auto"/>
        </w:rPr>
        <w:t>We will furnish our shareholders with annual reports containing audited financial statements, quarterly reports, and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periodic reports as we determine to be appropriate or as may be required by law. We will file a Form 10 Registration Statement with the SEC voluntarily and establish the Fund as a reporting company under the 1934 Act. Upon the effectiveness of the Form 10 Registration Statement, we will be required to comply with all periodic reporting, proxy solicitation and other applicable requirements under the 1934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Shareholders and the public may access the Fund’s public filings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obtain information by calling the SEC at (202) 551-8090.</w:t>
      </w:r>
    </w:p>
    <w:p>
      <w:pPr>
        <w:spacing w:after="0" w:line="22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ERISA. </w:t>
      </w:r>
      <w:r>
        <w:rPr>
          <w:rFonts w:ascii="Times New Roman" w:cs="Times New Roman" w:eastAsia="Times New Roman" w:hAnsi="Times New Roman"/>
          <w:sz w:val="18"/>
          <w:szCs w:val="18"/>
          <w:color w:val="auto"/>
        </w:rPr>
        <w:t>The Fund intends to conduct affairs so that its assets should not be deemed to constitute “plan assets” under the Employee Retirement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Security Act of 1974, as amended (“ERISA”) and certain U.S. Department of Labor regulations promulgated thereunder, as modified by Section 3(42) of ERISA (the “Plan Asset Regulations”). In this regard, until such time, if any, as the Common Shares are considered “publicly-offered securities” within the meaning of the Plan Asset Regulations, the Fund intends to limit investment in the Common Shares by “benefit plan investors” to less than 25% of the total value of the Common Shares, within the meaning of the Plan Asset Regulations.</w:t>
      </w:r>
    </w:p>
    <w:p>
      <w:pPr>
        <w:spacing w:after="0" w:line="183"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In addition, each prospective investor that is, or is acting on behalf of any (i) “employee benefit plan” (within the meaning of Section 3(3) of ERISA) that is subject to Title I of ERISA, (ii) “plan” described in Section 4975 of the Code that is subject to Section 4975 of the Code (including, for example, an individual retirement account and a “Keogh” plan), (iii) plan, account or other arrangement that is subject to the provisions of any other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state, local, non-U.S. or other laws or regulations that are similar to such provisions of ERISA or the Code (collectively, “Similar Laws”), or</w:t>
      </w:r>
    </w:p>
    <w:p>
      <w:pPr>
        <w:spacing w:after="0" w:line="27" w:lineRule="exact"/>
        <w:rPr>
          <w:sz w:val="20"/>
          <w:szCs w:val="20"/>
          <w:color w:val="auto"/>
        </w:rPr>
      </w:pPr>
    </w:p>
    <w:p>
      <w:pPr>
        <w:ind w:left="120" w:right="20" w:hanging="4"/>
        <w:spacing w:after="0" w:line="253" w:lineRule="auto"/>
        <w:tabs>
          <w:tab w:leader="none" w:pos="4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 whose underlying assets are considered to include the assets of any of the foregoing described in clauses (i), (ii) and (iii) (each of the foregoing described in clauses (i), (ii), (iii) and (iv) referred to as a “Plan”), must independently determine that the Common Shares are an appropriate investment for the Plan, taking into account its obligations under ERISA, the Code and applicable Similar Laws, and the facts and circumstances of each investing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will adopt a dividend reinvestment plan, pursuant to which the Fund will reinvest all cash dividends or distributions declared by the Board on behalf of investors who do not elect to receive their cash dividends or distributions in cash as provided below. As a result, if the Board authorizes, and the Fund declares, a cash dividend or distribution, then shareholders who have not elected to “opt out” of the dividend reinvestment plan will have their cash dividends or distributions automatically reinvested in additional Common Shares as described below.</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Those shareholders whose Common Shares are held by a broker or other financial intermediary may receive cash dividends and other distributions in cash by notifying their broker or other financial intermediary of their election.</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Under the plan, no action is required on the part of a registered shareholder to have its cash dividend or other distribution reinvested in Common Shares. A registered shareholder is able to elect to receive an entire cash dividend or distribution in cash by notifying State Street Bank and Trust Company (“State Street”), the plan administrator, in writing, so that notice is received by the plan administrator no later than 10 days prior to the record date for the cash dividend or distributions to the shareholders. The plan administrator has set up an account for Common Shares acquired through the plan for each shareholder who has not elected to receive cash dividends or distributions in cash and hold the Common Shares in non-certificated form.</w:t>
      </w:r>
    </w:p>
    <w:p>
      <w:pPr>
        <w:spacing w:after="0" w:line="16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Fund expects to use primarily newly issued Common Shares to implement the plan. Common Shares issued under the dividend reinvestment plan will not reduce outstanding Capital Commitments.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an Exchange Listing, a participating shareholder will receive an amount of Common Shares equal to the total dollar amount of the dividend or distribution on that participant’s Common Shares divided by the NAV per Common Share as of the last day of the Fund’s fiscal quarter immediately preceding the date such distribution was declared, provided that in the event a distribution is declared on the last day of a fiscal quarter, the NAV shall be deemed to be the NAV per Common Share as of such day.</w:t>
      </w:r>
    </w:p>
    <w:p>
      <w:pPr>
        <w:spacing w:after="0" w:line="180"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Following an Exchange Listing, a participating shareholder will receive an amount of Common Shares equal to the total dollar amount of the dividend or distribution on that participant’s Common Shares divided by the market price per Common Share at the close of regular trading on the applicable stock exchange on the payment date of a distribution, subject to the adjustments described below.</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an Exchange Listing, the market price per Common Share on a particular date will be the closing price for such Common Shares on the applicable stock exchange on such date or, if no sale is reported for such date, at the average of their reported bid and asked prices. However, if the market price per Common Share exceeds the most recently computed net asset value per Common Share, the Fund will issue Common Shares at the greater of (i) the most recently computed net asset value per Common Share and (ii) 95% of the current market price per Common Share (or such lesser discount to the current market price per Share that still exceeds the most recently computed net asset value per Common Share).</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 are no brokerage charges or other charges to shareholders who participate in the plan. The plan is terminable by the Fund upon notice in writing mailed to each shareholder of record at least 30 days prior to any record date for the payment of any cash dividend or distribution by the Fund. If a participant elects by written notice to the plan administrator to have the plan administrator sell part or all of the Common Shares held by the plan administrator in the participant’s account and remit the proceeds to the participant, the plan administrator is authorized to deduct a $15.00 transaction fee plus a brokerage commission from the proceeds.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Common Shares. This summary deals only with shareholders that hold their shares as capital assets. This summary does not purport to be a complete description of the income tax considerations applicable to such an investment. For example, we have not described tax consequences that may be relevant to certain types of shareholders that are subject to special treatment under U.S. federal income tax laws, including:</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Common Shares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 our Common Shares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Shares on behalf of another person as a nominee;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(as defined below) who have a “functional currency” other than the U.S. dollar.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or any state, local or foreign tax consequences.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shareholders in light of their personal circumstances.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shareholder” is a beneficial owner of our Common Shares that is, for U.S. federal income tax purposes, an individual who is a citizen or resident of the United States or a domestic corporation or otherwise subject to U.S. federal income tax on a net income basis in respect of our Common Shares.</w:t>
      </w:r>
    </w:p>
    <w:p>
      <w:pPr>
        <w:spacing w:after="0" w:line="176" w:lineRule="exact"/>
        <w:rPr>
          <w:sz w:val="20"/>
          <w:szCs w:val="20"/>
          <w:color w:val="auto"/>
        </w:rPr>
      </w:pPr>
    </w:p>
    <w:p>
      <w:pPr>
        <w:jc w:val="center"/>
        <w:ind w:left="540" w:right="340"/>
        <w:spacing w:after="0" w:line="454" w:lineRule="auto"/>
        <w:rPr>
          <w:sz w:val="20"/>
          <w:szCs w:val="20"/>
          <w:color w:val="auto"/>
        </w:rPr>
      </w:pPr>
      <w:r>
        <w:rPr>
          <w:rFonts w:ascii="Times New Roman" w:cs="Times New Roman" w:eastAsia="Times New Roman" w:hAnsi="Times New Roman"/>
          <w:sz w:val="18"/>
          <w:szCs w:val="18"/>
          <w:color w:val="auto"/>
        </w:rPr>
        <w:t>A “Non-U.S. shareholder” is a beneficial owner of our Common Shares that is not a U.S. shareholder and not an entity taxed as a partnership. 35</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BDC, we intend to elect to be treated as a RIC for U.S. federal income tax purposes. Our status as a RIC will enable us to deduct qualifying distributions to our shareholders,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Common Shares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540" w:right="80" w:hanging="331"/>
        <w:spacing w:after="0" w:line="261"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540" w:right="20" w:hanging="331"/>
        <w:spacing w:after="0" w:line="266" w:lineRule="auto"/>
        <w:tabs>
          <w:tab w:leader="none" w:pos="1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may earn various fees which will not be treated as qualifying income for purposes of the 90% gross income test. We may also earn other types of income that will not be treated as qualifying income for purposes of the 90% gross income test.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“Item 1. Business—Dividend Reinvestment Plan” for a description of our dividend policy. One or more of the considerations described below, however, could result in the deferral of dividend distributions until the end of the fiscal year:</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Taxation of U.S. Shareholders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shareholders as ordinary income to the extent made out of our current or accumulated earnings and profits. To the extent that such distributions paid by us to non-corporate U.S. shareholders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shareholders. Distributions derived from our net capital gains (which generally is the excess of our net long-term capital gain over net short-term capital loss) which we have reported as capital gain dividends will be taxable to U.S. shareholders as long-term capital gain regardless of how long particular U.S. shareholders have held their shares. Distributions in excess of our current and accumulated earnings and profits first will reduce a U.S. shareholder’s adjusted tax basis in such U.S. shareholder’s Common Shares and, after the adjusted tax basis is reduced to zero, will constitute capital gains to such U.S. shareholder.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shareholders of record on a specified date in such a month, which are actually paid during January of the following calendar year, will be treated as if paid by us and received by such shareholders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1080" w:right="4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shareholder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intend to adopt a dividend reinvestment plan that will allow shareholders to elect to receive dividends in the form of additional shares instead of in cash. If a U.S. shareholder reinvests dividends in additional shares, such U.S. shareholder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shareholder will be required to include his, her or its share of the deemed distribution in income as if it had been distributed to the U.S. shareholder, and the U.S. shareholder will be entitled to claim a credit equal to his, her or its allocable share of the tax paid on the deemed distribution by us. The amount of the deemed distribution net of such tax will be added to the U.S. shareholder’s tax basis for their Common Shares. Since we expect to pay tax on any retained capital gains at our regular corporate tax rate, and since that rate is in excess of the maximum rate currently payable by individuals on long-term capital gains, the amount of tax that individual shareholders will be treated as having paid and for which they will receive a credit will exceed the tax they owe on the retained net capital gains. Such excess generally may be claimed as a credit against the U.S. shareholder’s other federal income tax obligations or may be refunded to the extent it exceeds a shareholder’s liability for federal income tax. A shareholder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shareholders prior to the expiration of 60 days after the close of the relevant taxable year. We cannot treat any of our investment company taxable income as a “deemed distribution.”</w:t>
      </w:r>
    </w:p>
    <w:p>
      <w:pPr>
        <w:spacing w:after="0" w:line="187"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If an investor purchases Common Shares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4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 U.S. shareholder sells or otherwise disposes of Common Shares, the U.S. shareholder will recognize gain or loss equal to the difference between its adjusted tax basis in the shares sold or 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Common Shares may be disallowed if other Common Shares are purchased (whether through reinvestment of distributions or otherwise) within 30 days before or after the disposition.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shareholders, as promptly as possible after the end of each calendar year, a notice detailing, on a per share and per distribution basis, the amounts of such distributions includible in such U.S. shareholder’s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shareholder’s particular situation.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applicable U.S. Treasury regulations, if a U.S. shareholder recognizes a loss with respect to our Common Shares of $2 million or more for a non-corporate U.S. shareholder or $10 million or more for a corporate U.S. shareholder in any single taxable year (or a greater loss over a combination of years), the U.S. shareholder must file with the IRS a disclosure statement on Form 8886. Direct U.S. shareholders of portfolio securities are in many cases exempted from this reporting requirement, but under current guidance, U.S. shareholders of a RIC are not exempted. Future guidance may extend the current exception from this reporting requirement to U.S. shareholders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shareholders should consult their own tax advisers to determine the applicability of these U.S. Treasury regulations in light of their individual circumstances.</w:t>
      </w:r>
    </w:p>
    <w:p>
      <w:pPr>
        <w:spacing w:after="0" w:line="19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shareholder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shareholder’s federal income tax liability, provided the appropriate information is timely furnished to the IRS.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Shareholders on Deductions for Certain Fees and Expenses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unclear whether we will be treated as a “publicly offered regulated investment company” (within the meaning of Section 67 of the Code). If we are not treated as such for any calendar year, then, for purposes of computing the taxable income of U.S. shareholders that are individuals, trusts or estates, (i) our earnings will be computed without taking into account such U.S. shareholders’ allocable shares of the Management and Incentive Fees paid to our investment adviser and certain of our other expenses, (ii) each such U.S. shareholder will be treated as having received or accrued a dividend from us in the amount of such U.S. shareholder’s allocable share of these fees and expenses for the calendar year, (iii) each such U.S. shareholder will be treated as having paid or incurred such U.S. shareholder’s allocable share of these fees and expenses for the calendar year and (iv) each such U.S. shareholder’s allocable share of these fees and expenses will be treated as miscellaneous itemized deductions by such U.S. shareholder.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Taxation of Tax-Exempt U.S. Shareholders</w:t>
      </w:r>
    </w:p>
    <w:p>
      <w:pPr>
        <w:spacing w:after="0" w:line="229"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A U.S. shareholder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shareholder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shareholder will not be subject to U.S. taxation solely as a result of such shareholder’s ownership of our shares and receipt of dividends that we pay. In addition, under current law, if we incur indebtedness, such indebtedness will not be attributed to portfolio investors in our Common Shares. Therefore, a tax-exempt U.S. shareholder will not be treated as earning income from “debt-financed property” and dividends we pay will not be treated as “unrelated debt-financed income” solely as a result of indebtedness that we incur.</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Taxation of Non-U.S. Shareholders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Whether an investment in the Common Shares is appropriate for a Non-U.S. shareholder will depend upon that person’s particular circumstances. An investment in the Common Shares by a Non-U.S. shareholder may have adverse tax consequences as compared to a direct investment in the assets in which we will invest. Non-U.S. shareholders should consult their tax advisors before investing in our Common Shares.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shareholder will be subject to U.S. withholding tax at a 30% rate to the extent of our current or accumulated earnings and profits unless (i) such dividends qualify for the pass-through rules described below, and such shareholder could have received the underlying income free of tax; (ii) such shareholder qualifies for, and complies with the procedures for claiming, an exemption or reduced rate under an applicable income tax treaty; or (iii) such shareholder qualifies, and complies with the procedures for claiming, an exemption by reason of its status as a foreign government-related entity.</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Non-U.S. shareholders generally are not subject to U.S. federal income tax on capital gains realized on the sale of our shares or on actual or deemed distributions of our net capital gains. If we distribute our net capital gains in the form of deemed rather than actual distributions, a Non-U.S. shareholder will be entitled to a U.S. federal income tax credit or tax refund equal to the shareholder’s allocable share of the tax we pay on the capital gains deemed to have been distributed. To obtain the refund, the Non-U.S. shareholder must obtain a U.S. taxpayer identification number and file a U.S. federal income tax return, even if the Non-U.S. shareholder would not otherwise be required to obtain a U.S. taxpayer identification number or file a U.S. federal income tax return.</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shareholder,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shareholder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shareholders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 We will disclose information regarding our dividend distributions relevant for shareholder tax characteristics on an annual basis.</w:t>
      </w:r>
    </w:p>
    <w:p>
      <w:pPr>
        <w:spacing w:after="0" w:line="19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shareholder must comply with the U.S. tax certification requirements described below. A Non-U.S. shareholder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intend to adopt a dividend reinvestment plan that will allow shareholders to elect to receive dividends in the form of additional shares instead of in cash. If a Non-U.S. shareholder reinvests dividends in additional shares, such Non-U.S. shareholder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Shares. The Non-U.S. shareholder will have an adjusted tax basis in the additional Common Shares purchased through the dividend reinvestment plan equal to the amount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reinvested distribution. The additional shares will have a new holding period commencing on the day following the day on which the shares are credited to the Non-U.S. shareholder’s account.</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case of distributions made by the Fund (other than capital gain dividends), additional requirements will apply to Non-U.S. shareholders that are considered for U.S. federal income tax purposes to be a foreign financial institution or non-financial foreign entity, as well as to Non-U.S. shareholders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shareholders who are otherwise eligible for an exemption from, or reduction of, U.S. federal withholding taxes on such distributions may only be reclaimed by such Non-U.S. shareholders by timely filing a U.S. tax return with the IRS to claim the benefit of such exemption or reduction.</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shareholder will not be considered to be engaged in the conduct of a business in the United States solely by reason of its ownership in a RIC. Certain special rules apply to a Non-U.S. shareholder that is an entity qualifying for tax exemption under Section 892 of the Code. Such a Non-U.S. shareholders will generally not be treated as engaged in “commercial activity” merely by virtue of its ownership of our Common Shares and will generally be exempt from withholding tax on dividends received on Common Shares. Certain special rules apply to such Non-U.S. shareholders if we qualify as a U.S. real property holding corporation. We do not expect these special rules to apply but there cannot be any assurance thereof.</w:t>
      </w:r>
    </w:p>
    <w:p>
      <w:pPr>
        <w:spacing w:after="0" w:line="187"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Non-U.S. shareholders should consult their own tax advisors with respect to the U.S. federal income tax and withholding tax, and state, local and foreign tax consequences of an investment in the Common Shares.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shareholder, provided the Non-U.S. shareholder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shareholder and certain conditions are met, or such holder otherwise establishes an exemption. Payment by a United States office of a broker of the proceeds of a sale of our shares will be subject to both backup withholding and information reporting unless the Non-U.S. shareholder certifies its status that it is not a United States person under penalties of perjury or otherwise establishes an exemption. Backup withholding is not an additional tax. Any amounts withheld from payments made to a Non-U.S. shareholder may be refunded or credited against such shareholder’s U.S. federal income tax liability, if any, provided that the required information is timely furnished to the IRS.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only a summary of the principal risks that may materially adversely affect our business, financial condition, results of operations and cash flows. The following summary should be read in conjunction with the complete discussion of risk factors we face, which are set forth below under “-Risk Factors.”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Related to Our Business and Structure</w:t>
      </w:r>
    </w:p>
    <w:p>
      <w:pPr>
        <w:spacing w:after="0" w:line="133"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new company and have no operating history.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Trustees may amend our Declaration of Trust without prior shareholder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Sixth Street and their affiliates for our future success.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liability is limited under the Advisory Agreement, and we are required to indemnify the Adviser against certain liabilities, which may lead the Adviser to act in a riskier manner on our behalf than it would when acting for its own account.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81"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non-diversified investment company within the meaning of the 1940 Act, and therefore we are not limited with respect to the proportion of our assets that may be invested in securities of a single issuer.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are limited in their ability to make significant investments in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shareholder approval.</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of our debt investments to our portfolio companies and our indebtedness that extend beyond 2023 might be subject to change based on recent regulatory changes.</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Declaration of Trust includes exclusive forum and jury trial waiver provisions that could limit a shareholder’s ability to bring a claim, make it more expensive or inconvenient for a shareholder to bring a claim, or, if such provisions are deemed inapplicable or unenforceable by a court, cause the Fund to incur additional costs associated with such action.</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is likely to materially and adversely affect our portfolio companies and the results of our operations, including our financial results.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state of the economy and financial markets increases the likelihood of adverse effects on our financial position and results of operations.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Related to Our Portfolio Company Investments</w:t>
      </w:r>
    </w:p>
    <w:p>
      <w:pPr>
        <w:spacing w:after="0" w:line="133"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upper middle market companies involves a number of significant risks, any one of which could have a material adverse effect on our operating results.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strategy focused primarily on privately-held companies presents certain challenges, including, but not limited to, the lack of available information about these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securitize certain of our investments, which may subject us to certain structured financing risks.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expected returns on our invested capital.</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special risks associated with bankruptcy cases.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we will be able to obtain various required licenses in U.S. states or in any other jurisdiction where they may be required in the future.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expose ourselves to risks when we engage in hedging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may be highly leveraged.</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structure applicable to derivatives imposed by the Dodd-Frank Act may affect our ability to use over-the-counter (“OTC”) derivatives for hedging purposes.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cease to be eligible for an exemption from regulation as a commodity pool operator, our compliance expenses could increase substantially.</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risks associated with holding debt obligations that have original issue discount or payment-in-kind interest.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Risks Related to Our Securities</w:t>
      </w:r>
    </w:p>
    <w:p>
      <w:pPr>
        <w:spacing w:after="0" w:line="133"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in our Common Shares will have limited liquidity.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Shares may not receive dividends or that our dividends may not grow over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investors will be subject to Exchange Act filing requirements.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securities may involve a high degree of risk.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will experience dilution in their ownership percentage if they opt out of our dividend reinvestment plan.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Risk Factors</w:t>
      </w:r>
    </w:p>
    <w:p>
      <w:pPr>
        <w:spacing w:after="0" w:line="133" w:lineRule="exact"/>
        <w:rPr>
          <w:sz w:val="20"/>
          <w:szCs w:val="20"/>
          <w:color w:val="auto"/>
        </w:rPr>
      </w:pPr>
    </w:p>
    <w:p>
      <w:pPr>
        <w:ind w:left="1080" w:right="6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Shares and our ability to pay dividends.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ectPr>
          <w:pgSz w:w="11900" w:h="16838" w:orient="portrait"/>
          <w:cols w:equalWidth="0" w:num="1">
            <w:col w:w="11100"/>
          </w:cols>
          <w:pgMar w:left="320" w:top="455" w:right="479" w:bottom="285" w:gutter="0" w:footer="0" w:header="0"/>
        </w:sectPr>
      </w:pP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285"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number of significant risks. The following information is a discussion of the material risk factors associated with an investment in our Common Shares specifically, as well as those factors generally associated with an investment in a company with investment objectives, investment policies, capital structure or trading markets similar to ours. In addition to the other information contained in this prospectus, you should consider carefully the following information before making an investment in our Common Shares. The risks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cases, the NAV of our Common Shares could decline, and you may lose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Structure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 new company and have no operating history.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newly formed, and will not have conducted any business activities prior to the completion of this offering. As a result, we have no financial information on which an investor can evaluate an investment in our company or our prior performance. We are subject to all of the business risks and uncertainties associated with any new business, including the risk that we will not achieve our investment objective and that the value of an investor’s investment could decline substantially or an investor’s investment could become worthless. We anticipate that it will take multiple years to invest substantially all of the capital commitments received by us from this offering due to the time necessary to identify, evaluate, structure, negotiate and close suitable investments in private middle-market companies. To the extent required to comply with diversification requirements during the startup period, we will use funds to invest in temporary investments, such as cash, cash equivalents, U.S. government securities and other high-quality debt investments that mature in one year or less, which we expect will earn yields substantially lower than the interest, dividend or other income that we anticipate receiving in respect of suitable portfolio investments. We may not be able to pay any significant dividends during this period, and any such dividends may be substantially lower than the dividends we expect to pay when our portfolio is fully invested.</w:t>
      </w:r>
    </w:p>
    <w:p>
      <w:pPr>
        <w:spacing w:after="0" w:line="19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pay a management fee to the Adviser throughout this interim period. If the management fee and our other expenses exceed the return on the temporary investments, our equity capital will be eroded.</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Fund is a non-diversified, closed-end management investment company, that will elect to be regulated as a BDC, with no operating history. As a result, prospective investors have no track record or history on which to base their investment decision. We are subject to the business risks and uncertainties associated with recently formed businesses, including the risk that we will not achieve our investment objective and the value of a shareholder’s investment could decline substantially or become worthless. While we believe that the past professional experiences of the Adviser’s investment team, including investment and financial experience of the Adviser’s senior management, will increase the likelihood that the Adviser will be able to manage the Fund successfully, there can be no assurance that this will be the case.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Trustees may amend our Declaration of Trust without prior shareholder approval.</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Board of Trustees may, without shareholder vote (subject to certain exceptions) amend or otherwise supplement the Declaration of Trust, including without limitation to classify the Board of Trustees, to impose advance notice provisions for Trustee nominations or for shareholder proposals and to require super-majority approval of transactions with significant shareholders or other provisions that may be characterized as anti-takeover in nature. See </w:t>
      </w:r>
      <w:r>
        <w:rPr>
          <w:rFonts w:ascii="Times New Roman" w:cs="Times New Roman" w:eastAsia="Times New Roman" w:hAnsi="Times New Roman"/>
          <w:sz w:val="18"/>
          <w:szCs w:val="18"/>
          <w:i w:val="1"/>
          <w:iCs w:val="1"/>
          <w:color w:val="auto"/>
        </w:rPr>
        <w:t>“Item 11. Description of Registrant’s Securities to be Registered—Delaware Law and Certain Declaration of Trust Provisions—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Declaration of Trust; No Approval by Shareholders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management personnel of the Adviser, Sixth Street and their affiliates for our future success.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addition, we cannot assure investors that the Adviser will remain our investment adviser or that we will continue to have access to Sixth Street or its investment professionals. The Advisory Agreement may be terminated by either party without penalty on 60 days’ written notice to the other party. The holders of a majority of our outstanding voting securities may also terminate the Advisory Agreement without penalty on 60 days’ written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Regulations governing our operation as a BDC affect our ability to, and the way in which we, raise additional capital.</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shareholders. The 1940 Act limits our ability to incur borrowings and issue debt securities and preferred shares, which we refer to as senior securities, requiring that after any borrowing or issuance the ratio of total assets (less total liabilities other than indebtedness) to total indebtedness plus preferred shares, is at least 150%.</w:t>
      </w:r>
    </w:p>
    <w:p>
      <w:pPr>
        <w:spacing w:after="0" w:line="16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shareholders. If we borrow money or issue senior securities, we will be exposed to typical risks associated with leverage, including an increased risk of loss.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we issue preferred shares, the preferred shares would rank senior to Common Shares in our capital structure. Preferred shareholders would have separate voting rights on certain matters and may have other rights, preferences or privileges more favorable than those of our common shareholders. The issuance of preferred shares could have the effect of delaying, deferring or preventing a transaction or a change of control that might involve a premium price for holders of our Common Shares or otherwise be in the best interest of holders of our Common Shares. Holders of our Common Shares will directly or indirectly bear all of the costs associated with offering and servicing any preferred shares that we issue. In addition, any interests of preferred shareholders may not necessarily align with the interests of holders of our Common Shares and the rights of holders of shares of preferred shares to receive dividends would be senior to those of holders of our Common Shares.</w:t>
      </w:r>
    </w:p>
    <w:p>
      <w:pPr>
        <w:spacing w:after="0" w:line="18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Our Board may decide to issue additional Common Shares to finance our operations rather than issuing debt or other senior securities. However, we generally are not able to issue and sell our Common Shares at a price below net asset value per share. We may, however, elect to issue and sell our Common Shares, or warrants, options or rights to acquire our Common Shares, at a price below the then-current net asset value of our Common Shares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our Board determines that the sale is in the Fund’s best interest and the best interests of the Fund’s shareholders, and the Fund’s shareholders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our Common Shares at a price below net asset value per share, existing shareholders will experience net asset value dilution. This dilution would occur as a result of the sale of shares at a price below the then current net asset value per share and would cause a proportionately greater decrease in the shareholders’ interest in our earnings and assets and their voting interest in us than the increase in our assets resulting from such issuance. As a result of any such dilution, our market price per share may decline. Because the number of Common Shares that could be so issued and the timing of any issuance is not currently known, the actual dilutive effect cannot be predicted.</w:t>
      </w:r>
    </w:p>
    <w:p>
      <w:pPr>
        <w:spacing w:after="0" w:line="188"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8"/>
          <w:szCs w:val="18"/>
          <w:i w:val="1"/>
          <w:iCs w:val="1"/>
          <w:color w:val="auto"/>
        </w:rPr>
        <w:t>Risks Related to Our Portfolio Company Investments—We may securitize certain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which may subject us to certain structured financing risks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intend to borrow money, which magnifies the potential for gain or loss and increases the risk of investing in us.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As part of our business strategy, we intend to borrow from and may in the future issue senior debt securities to banks, insurance companies and other lenders. Holders of these loans or senior securities would have fixed-dollar claims on our assets that have priority over the claims of our shareholders.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Shares.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8"/>
          <w:szCs w:val="18"/>
          <w:i w:val="1"/>
          <w:iCs w:val="1"/>
          <w:color w:val="auto"/>
        </w:rPr>
        <w:t>“—Risks Related to Our Business and Structure—Even in the event the value of an investor’s investment declines,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Fee and, in certain circumstances, the Incentive Fee will still be payable to the Adviser</w:t>
      </w:r>
      <w:r>
        <w:rPr>
          <w:rFonts w:ascii="Times New Roman" w:cs="Times New Roman" w:eastAsia="Times New Roman" w:hAnsi="Times New Roman"/>
          <w:sz w:val="18"/>
          <w:szCs w:val="18"/>
          <w:color w:val="auto"/>
        </w:rPr>
        <w:t>.” The amount of leverage that we employ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 on our Adviser’s and our Board’s assessment of market and other factors at the time of any proposed borrowing. We cannot assure investors that we will be able to obtain credit at all or on terms acceptable to us.</w:t>
      </w:r>
    </w:p>
    <w:p>
      <w:pPr>
        <w:spacing w:after="0" w:line="192"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intend to enter into credit facilities or issue debt pursuant to indentures that may impose financial and operating covenants that restrict our business activities, remedies on default and similar matters. Our compliance with these covenants depends on many factors, some of which are beyond our control.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business, financial condition or results of operations.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cannot assure investors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investors that we will be able to refinance any of our indebtedness on commercially reasonable terms or at all. If we cannot service our indebtedness, we may have to take actions such as selling assets or seeking additional equity. We cannot assure investors that any such actions, if necessary, could be effected on commercially reasonable terms or at all, or on terms that would not be disadvantageous to our shareholders or on terms that would not require us to breach the terms and conditions of our existing or future debt agreements.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Legislation allows us to incur additional leverage.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shareholder approvals under the SBCAA and satisfaction of certain other conditions. Our initial shareholder is expected to approve the lower asset coverage ratio prior to the completion of our initial offering.</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a result, investors may face increased investment risk. We may not be able to implement our strategy to utilize additional leverage successfully. See “ </w:t>
      </w:r>
      <w:r>
        <w:rPr>
          <w:rFonts w:ascii="Times New Roman" w:cs="Times New Roman" w:eastAsia="Times New Roman" w:hAnsi="Times New Roman"/>
          <w:sz w:val="18"/>
          <w:szCs w:val="18"/>
          <w:i w:val="1"/>
          <w:iCs w:val="1"/>
          <w:color w:val="auto"/>
        </w:rPr>
        <w:t>—We operate in a highly competitive environment for investment opportunities</w:t>
      </w:r>
      <w:r>
        <w:rPr>
          <w:rFonts w:ascii="Times New Roman" w:cs="Times New Roman" w:eastAsia="Times New Roman" w:hAnsi="Times New Roman"/>
          <w:sz w:val="18"/>
          <w:szCs w:val="18"/>
          <w:color w:val="auto"/>
        </w:rPr>
        <w:t xml:space="preserve">.” Any impact on returns or equity or our business associated with additional leverage may not outweigh the additional risk. See “ </w:t>
      </w:r>
      <w:r>
        <w:rPr>
          <w:rFonts w:ascii="Times New Roman" w:cs="Times New Roman" w:eastAsia="Times New Roman" w:hAnsi="Times New Roman"/>
          <w:sz w:val="18"/>
          <w:szCs w:val="18"/>
          <w:i w:val="1"/>
          <w:iCs w:val="1"/>
          <w:color w:val="auto"/>
        </w:rPr>
        <w:t>—We borrow money, which magnifies the potential for gain or loss and increases the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investing in us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default under our future credit facilities.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event we default under a credit facility or other borrowings, our business could be adversely affected as we may be forced to sell a portion of our investments quickly and prematurely at what may be disadvantageous prices to us in order to meet our outstanding payment obligations and/or support working capital requirements under such credit facility, any of which would have a material adverse effect on our business, financial condition, results of operations and cash flows. In addition, following any such default, the agent for the lenders under such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Provisions in a credit facility may limit our investment discretion.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credit facility may be backed by all or a portion of our loans and securities on which the lenders will have a security interest. We may pledge up to 100% of our assets and may grant a security interest in all of our assets under the terms of any debt instrument we enter into with lenders. We expect that any security interests we grant will be set forth in a pledge and security agreement and evidenced by the filing of financing statements by the agent for the lenders. In addition, we expect that the custodian for our securities serving as collateral for such loan would include in its electronic systems notices indicating the existence of such security interests and, following notice of occurrence of an event of default, if any, and during its continuance, will only accept transfer instructions with respect to any such securities from the lender or its designee. If we were to default under the terms of any debt instrument, the agent for the applicable lenders would be able to assume control of the timing of disposition of any or all of our assets securing such debt, which would have a material adverse effect on our business, financial condition, results of operations and cash flows.</w:t>
      </w:r>
    </w:p>
    <w:p>
      <w:pPr>
        <w:spacing w:after="0" w:line="192"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In addition, any security interests and/or negative covenants required by a credit facility may limit our ability to create liens on assets to secure additional debt and may make it difficult for us to restructure or refinance indebtedness at or prior to maturity or obtain additional debt or equity financing. In addition, if our borrowing base under a credit facility were to decrease, we may be required to secure additional assets in an amount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sufficient to cure any borrowing base deficiency. In the event that all of our assets are secured at the time of such a borrowing base deficiency, we could be required to repay advances under a credit facility or make deposits to a collection account, either of which could have a material adverse impact on our ability to fund future investments and to make distributions.</w:t>
      </w:r>
    </w:p>
    <w:p>
      <w:pPr>
        <w:spacing w:after="0" w:line="176"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we may be subject to limitations as to how borrowed funds may be used, which may include restrictions on geographic and industry concentrations, loan size, payment frequency and status, average life, collateral interests and investment ratings, as well as regulatory restrictions on leverage which may affect the amount of funding that may be obtained. There may also be certain requirements relating to portfolio performance, including required minimum portfolio yield and limitations on delinquencies and charge-offs, a violation of which could limit further advances and, in some cases, result in an event of default. An event of default under a credit facility could result in an accelerated maturity date for all amounts outstanding thereunder, which could have a material adverse effect on our business and financial condition. This could reduce our liquidity and cash flow and impair our ability to grow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 for investment opportunities.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Other public and private entities, including commercial banks, commercial financing companies, other BDCs and insurance companies, compete with us to make the types of investments that we make in upper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investors that we will be able to identify and make investments that are consistent with our investment objective. The competitive pressures we face could have a material adverse effect on our ability to achieve our investment objective.</w:t>
      </w: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source investments, access financing or manage future growth effectively, we may be unable to achieve our investment objective.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in the event the value of an investor’s investment declines, the Management Fee and, in certain circumstances, the Incentive Fee will still be payable to the Adviser.</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Even in the event the value of an investor’s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However, prior to any Exchange Listing that may occur, the Adviser has waived its right to receive management fees in excess of the sum of 1.00% of the Fund’s average aggregate drawn capital (including capital drawn to pay Fund expenses) as of the end of the two most recently completed calendar quarters, appropriately adjusted for any Common Share issuances or repurchases during the current calendar quarter. The fee waiver will terminate if and when the Fund consummates an Exchange Listing. In addition, the Management Fee is payable regardless of whether the value of our gross assets or an investor’s investment have decreased. The use of increased leverage may increase the likelihood of default, which would disfavor holders of our Common Shares. Given the subjective nature of the investment decisions that our Adviser will make on our behalf, we may not be able to monitor this potential conflict of interest.</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291"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5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shareholders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investors that we will be able to sell our investments and thereby fund our operating expenses.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5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investors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89"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distribute (or be treated as distributing) dividends for tax purposes in each taxable year equal to at least 90% of each of:</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tax-exempt income for that taxable year.</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85" w:lineRule="exact"/>
        <w:rPr>
          <w:sz w:val="20"/>
          <w:szCs w:val="20"/>
          <w:color w:val="auto"/>
        </w:rPr>
      </w:pPr>
    </w:p>
    <w:p>
      <w:pPr>
        <w:ind w:left="1080" w:right="1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derive at least 90% of our gross income for each taxable year from dividends, interest, gains from the sale of or other disposition of stock or securities or similar sources.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Adviser and its affiliates, officers and employees may face certain conflicts of interest.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the Adviser’s allocation policy, Sixth Street and its affiliates will refer upper middle-market loan origination activities for companies domiciled in the United States to us, though we will not necessarily be entitled to the full amount of any such investment opportunities, and conduct those activities through the Fund. The Adviser will determine whether it would be permissible, advisable or otherwise appropriate for the Fund to pursue a particular investment opportunity allocated to the Fund.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the Fund’s best interest or the best interests of the Fund’s shareholders.</w:t>
      </w:r>
    </w:p>
    <w:p>
      <w:pPr>
        <w:spacing w:after="0" w:line="189" w:lineRule="exact"/>
        <w:rPr>
          <w:sz w:val="20"/>
          <w:szCs w:val="20"/>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and may organize other separate investment platforms, such as Sixth Street Specialty Lending Europe, aimed specifically at European middle-market loan originations and may in the future organize vehicles aimed at other loan origination opportunities. Our ability to pursue investment opportunities that may be suitable or desirable for us, either including or</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outside of, upper middle-market loan originations for companies domiciled in the United States is subject to Sixth Street’s allocation policy.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280"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shareholder approval.</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Adviser has the right, under the Advisory Agreement and the Administration Agreement, to resign at any time on 60 days’ written notice, regardless of whether we have found a replacement. In addition, our Board has the authority to remove the Adviser for any reason or for no reason, or may choose not to renew the Advisory Agreement and the Administration Agreement. Furthermore, the Advisory Agreement automatically terminates in the event of its assignment, as defined in the 1940 Act, by the Adviser. If the Adviser resigns or is terminated, or if we do not obtain the requisite approvals of shareholders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Shares may decline.</w:t>
      </w:r>
    </w:p>
    <w:p>
      <w:pPr>
        <w:spacing w:after="0" w:line="18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new Advisory Agreement would be subject to approval by our shareholders.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Adviser’s liability is limited under the Advisory Agreement, and we are required to indemnify the Adviser against certain liabilities, which may lead the Adviser to act in a riskier manner on our behalf than it would when acting for its own account.</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Adviser has not assumed any responsibility to us other than to render the services described in the Advisory Agreement, and it will not be responsible for any action of our Board in declining to follow the Adviser’s advice or recommendations. Pursuant to the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time and resources that individuals employed by the Adviser devote to us may be diverted and we may face additional competition due to the fact that individuals employed by the Adviser are not prohibited from raising money for or managing other entities that make the same types of investments that we target.</w:t>
      </w:r>
    </w:p>
    <w:p>
      <w:pPr>
        <w:spacing w:after="0" w:line="6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280"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we cannot be certain if the reduced disclosure requirements applicable to emerging growth companies will make our securities less attractive to investors.</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are and we will remain an “emerging growth company” as defined in the JOBS Act until the earlier of (a) the last day of the fiscal year</w:t>
      </w:r>
    </w:p>
    <w:p>
      <w:pPr>
        <w:spacing w:after="0" w:line="27" w:lineRule="exact"/>
        <w:rPr>
          <w:sz w:val="20"/>
          <w:szCs w:val="20"/>
          <w:color w:val="auto"/>
        </w:rPr>
      </w:pPr>
    </w:p>
    <w:p>
      <w:pPr>
        <w:ind w:left="340" w:hanging="224"/>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fifth anniversary of the completion of the initial offering, (ii) in which we have total annual gross revenue of at least $1 billion, or</w:t>
      </w:r>
    </w:p>
    <w:p>
      <w:pPr>
        <w:spacing w:after="0" w:line="9" w:lineRule="exact"/>
        <w:rPr>
          <w:rFonts w:ascii="Times New Roman" w:cs="Times New Roman" w:eastAsia="Times New Roman" w:hAnsi="Times New Roman"/>
          <w:sz w:val="18"/>
          <w:szCs w:val="18"/>
          <w:color w:val="auto"/>
        </w:rPr>
      </w:pPr>
    </w:p>
    <w:p>
      <w:pPr>
        <w:ind w:left="120" w:right="20" w:hanging="4"/>
        <w:spacing w:after="0" w:line="252" w:lineRule="auto"/>
        <w:tabs>
          <w:tab w:leader="none" w:pos="4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are deemed to be a large accelerated filer, which means the market value of our Common Shares that is held by non-affiliates exceeds $700 million as of the prior June 30th, and (b) the date on which we have issued more than $1.07 billion in non-convertible debt during the prior three-year period. For so long as we remain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We cannot predict if investors will find our Common Shares less attractive because we will rely on some or all of these exemptions.</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such extended transition periods.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status as an “emerging growth company” under the JOBS Act may make it more difficult to raise capital as and when we need it.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Because of the exemptions from various reporting requirements provided to us as an “emerging growth company” and because we will have an extended transition period for complying with new or revised financial accounting standards, we may be less attractive to investors and it may be difficult for us to raise additional capital as and when we need it. Investors may be unable to compare our business with other companies in our industry if they believe that our financial accounting is not as transparent as other companies in our industry. If we are unable to raise additional capital as and when we need it, our financial condition and results of operations may be materially and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expend significant financial and other resources to comply with the requirements of being a public reporting entity.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will be subject to the reporting requirements of the Exchange Act and requirements of the Sarbanes-Oxley Act. The Exchange Act requires that we file annual, quarterly and current reports with respect to our business and financial condition. The Sarbanes-Oxley Act requires that we maintain effective disclosure controls and procedures and internal controls over financial reporting, which are discussed below. In order to maintain and improve the effectiveness of our disclosure controls and procedures and internal controls, significant resources and management oversight are required. We have implemented procedures, processes, policies and practices for the purpose of addressing the standards and requirements applicable to public companies. These activities may divert management’s attention from other business concerns, which could have a material adverse effect on our business, financial condition, results of operations and cash flows.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The systems and resources necessary to comply with public company reporting requirements will increase further once we cease to be an “emerging growth company” under the JOBS Act. As long as we remain an emerging growth company, we intend to take advantage of certain exemptions from various reporting requirements that are applicable to other public companies, including, but not limited to, not being required to comply with the auditor attestation requirements of Section 404 of the Sarbanes-Oxley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our status as a BDC would reduce our operating flexibility.</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quarterly results.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depends upon the development and maintenance of strong referral relationships with other asset managers and investment banking firms.</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substantially dependent on our informal relationships, which we use to help identify and gain access to investment opportunities. If we fail to maintain our relationships with key firms, or if we fail to establish strong referral relationships with other firms or other sources of investment opportunities, we will not be able to grow our portfolio of investments and achieve our investment objective. In addition, persons with whom we have informal relationships are not obligated to inform us of investment opportunities, and therefore such relationships may not lead to the origination of debt or other investments. Any loss or diminishment of such relationships could effectively reduce our ability to identify attractive portfolio companies that meet our investment criteria, either for direct debt investments or secondary transactions.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are limited in their ability to make significant investments in us.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Investment companies regulated under the 1940 Act are restricted from acquiring directly or through a controlled entity more than 3% of our total outstanding voting shares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non-diversified investment company within the meaning of the 1940 Act, and therefore we are not limited with respect to the proportion of our assets that may be invested in securities of a single issuer.</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Under the 1940 Act, a “diversified” investment company is required to invest at least 75% of the value of its total assets in cash and cash items, government securities, securities of other investment companies and other securities limited in respect of any one issuer to an amount not greater than 5% of the value of the total assets of such company and no more than 10% of the outstanding voting securities of such issuer. As a non-diversified investment company, we are not subject to this requirement. To the extent that we assume large positions in the securities of a small number of issuers, or within a particular industry,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or to a general downturn in the economy.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Adviser will endeavor to build and manage a diversified portfolio of investments with representation in various industries and economic sectors, geographic regions and deal types which may include growth financings and recapitalizations. Despite the foregoing objectives, the Fund may be concentrated in certain industries and/or economic sectors, geographic regions and/or deal types. The Fund also may be more concentrated than other funds with similar diversification objectives.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However, we will be subject to the diversification requirements applicable to RICs under Subchapter M of the Code, which include single issuer concentration limits. See “</w:t>
      </w:r>
      <w:r>
        <w:rPr>
          <w:rFonts w:ascii="Times New Roman" w:cs="Times New Roman" w:eastAsia="Times New Roman" w:hAnsi="Times New Roman"/>
          <w:sz w:val="18"/>
          <w:szCs w:val="18"/>
          <w:i w:val="1"/>
          <w:iCs w:val="1"/>
          <w:color w:val="auto"/>
        </w:rPr>
        <w:t>Item 1. Business—Material U.S. Federal Income Tax Considerations.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Fund may be restricted from initiating transactions as a result of the receipt of material non-public information.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Sixth Street funds and investment platforms regularly obtain non-public information regarding various target companies and other investment opportunities. In general, Sixth Street imputes non-public information received by one investment team within Sixth Street to all other investment professionals. As Sixth Street and affiliated professionals may acquire confidential or material nonpublic information (“MNPI”), the Fund and/or other Affiliated Funds may be restricted from initiating transactions in certain securities, including, as a result of the receipt of MNPI by another investment team or professional within Sixth Street.</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Non-public information received by one investment team within Sixth Street is likely to restrict trading on a firm-wide basis. As a result, the Fund may, in certain circumstances, decline to receive non-public information regarding a company.</w:t>
      </w:r>
    </w:p>
    <w:p>
      <w:pPr>
        <w:spacing w:after="0" w:line="162"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Further, non-disclosure agreements associated with transactions (including transactions entered into by other Affiliated Funds) often contain contractual trading restrictions, including standstill and non-circumvent provisions, which could prevent the Fund from acquiring or disposing of investments in an issuer, potentially for extended periods. Such agreements could also restrict the Fund’s ability to share certain information with shareholders relevant to the Fund or its portfolio investments.</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Separately, certain counterparties may disqualify the Fund from transacting with such counterparties or their affiliates as a result of the activities of other businesses of Sixth Street and its affiliates.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during a transitional period, despite taking certain steps designed to facilitate physical and electronic separation, Sixth Street and TPG will continue to occupy certain shared physical premises and Sixth Street or its affiliates will utilize certain limited information technology services provided by TPG. As a result of these arrangements, and despite the implementation of a permanent information barrier between Sixth Street and TPG, there is a heightened risk that Sixth Street or TPG (or certain of their respective affiliates) may be imputed with non-public information received by the other. Although TPG is not affiliated with Sixth Street, many of the considerations described above apply with respect to the information barrier in place between Sixth Street and TPG, in particular that in certain circumstances the Fund may face restrictions on its activities as a result of non-public or otherwise confidential information received from TPG.</w:t>
      </w:r>
    </w:p>
    <w:p>
      <w:pPr>
        <w:spacing w:after="0" w:line="293" w:lineRule="exact"/>
        <w:rPr>
          <w:sz w:val="20"/>
          <w:szCs w:val="20"/>
          <w:color w:val="auto"/>
        </w:rPr>
      </w:pPr>
    </w:p>
    <w:p>
      <w:pPr>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6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Fund’s information and technology systems and those of its Adviser, affiliates, and third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party service providers are, just as with other companies, vulnerable to potential damage or interruption, including but not limited to, from computer viruses, network failures, computer and telecommunication failures, infiltration by unauthorized persons and security breaches, usage errors by their respective professionals, power outages and catastrophic events such as fires, tornadoes, floods, hurricanes and earthquakes.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Although Sixth Street and the Fund have implemented, and the Fund’s portfolio companies and third-party service providers likely will have implemented, various measures designed to manage risks relating to these types of events, if these systems are compromised, become inoperable for extended periods of time or cease to function properly, it may be necessary for Sixth Street, the Funds and/or a portfolio companies in which the Fund has an investment to make a significant investment to fix or replace them. In addition, we may be required to expend significant additional resources to modify our protective 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along with our increased awareness of the nature and extent of a risk of a cyber-incident, may be ineffective and do not guarantee that a cyber-incident will not occur or that our financial results, operations or confidential information will not be negatively impacted by such an incident.</w:t>
      </w:r>
    </w:p>
    <w:p>
      <w:pPr>
        <w:spacing w:after="0" w:line="19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Additionally, investments of Sixth Street’s funds, including the Fund,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83"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A cybersecurity breach may cause the Fund to lose proprietary information, suffer data corruption or expose information to misuse. Sensitive information which may be breached in the event of a cybersecurity threat includes, without limitation, information regarding the Fund’s investment activities and shareholders. Cybersecurity breaches of Sixth Street’s and the Fund’s third-party service providers or portfolio investments may also subject the Fund to many of the same risks associated with direct cybersecurity breaches. If such events were to materialize, they could, among other things, (i) lead to losses of sensitive information or capabilities essential to Sixth Street’s, the Fund’s, and/or the Fund’s portfolio company’s operations,</w:t>
      </w:r>
    </w:p>
    <w:p>
      <w:pPr>
        <w:spacing w:after="0" w:line="3" w:lineRule="exact"/>
        <w:rPr>
          <w:sz w:val="20"/>
          <w:szCs w:val="20"/>
          <w:color w:val="auto"/>
        </w:rPr>
      </w:pPr>
    </w:p>
    <w:p>
      <w:pPr>
        <w:ind w:left="120" w:right="160" w:hanging="4"/>
        <w:spacing w:after="0" w:line="255" w:lineRule="auto"/>
        <w:tabs>
          <w:tab w:leader="none" w:pos="3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material adverse effect on Sixth Street’s, the Fund’s and/or the portfolio company’s reputations, financial positions, results of operations or cash flows, (iii) lead to financial losses from remedial actions, loss of business or potential liability, or (iv) lead to the disclosure of Fund shareholders’ personal information or other sensitive information.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The failure of these systems and/or of disaster recovery plans for any reason could cause significant interruptions in Sixth Street’s, the Fund’s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Fund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investment objective, operating policies and strategies without prior notice or shareholder approval.</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Board has the authority to change our investment objective and modify or waive certain of our operating policies and strategies without prior notice (except as required by the 1940 Act) and without shareholder approval. However, absent shareholder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Shares. Nevertheless, the effects may adversely affect our business and impact our ability to pay dividends.</w:t>
      </w:r>
    </w:p>
    <w:p>
      <w:pPr>
        <w:spacing w:after="0" w:line="28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interest rates of our debt investments to our portfolio companies and any indebtedness that we may incur that extends beyond 2023 might be subject to change based on recent regulatory changes.</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Changes in the method of determining LIBOR, or the replacement of LIBOR with an alternative reference rate, may adversely affect our debt investments.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31, 2021, GBP, CHF, EUR and JPY LIBOR, as well as 1-week and 2-month tenors of USD LIBOR were discontinued. The UK Financial Conduct Authority (“FCA”), which regulates LIBOR, has noted in a March 5, 2021 announcement that June 30, 2023 is the cessation date for the other five tenors (overnight, 1-month, 3-month, 6-month, and 12-month). The FCA also plans to publish “synthetic” 1-month, 3-month and 6-month rates for GBP and JPY LIBOR for a limited time. New York State legislation was signed into law to aid “tough legacy” LIBOR contracts. Other legislative solutions are being pursued at the Federal level in the U.S., however, there continues to be uncertainty regarding the scope and timing of such legislation. To accelerate the transition away from LIBOR, the Federal Reserve Board (the U.S. Federal Reserve System or the “FRS”), Federal Deposit Insurance Corporation and the Office of the Comptroller of the Currency issued joint supervisory guidance to cease entering into new contracts referencing USD LIBOR after December 31, 2021 (note there are limited exceptions related to derivative product use).</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an alternative to LIBOR, the FRS, in conjunction with the Alternative Reference Rates Committee, a steering committee comprised of large U.S. financial institutions, has recommended replacing U.S.-dollar LIBOR with the Secured Overnight Financing Rate (“SOFR”), a new index calculated by short-term repurchase agreements, backed by Treasury securities. Abandonment of or modifications to LIBOR could have adverse impacts on newly issued financial instruments and our existing financial instruments which reference LIBOR. While some instruments may contemplate a scenario where LIBOR is no longer available by providing for an alternative rate setting methodology, not all instruments may have such provisions and there is significant uncertainty regarding the effectiveness of any such alternative methodologies. Abandonment of or modifications to LIBOR could lead to significant short-term and long-term uncertainty and market instability. We and our portfolio companies may need to amend or restructure our LIBOR-based debt instruments, if any, and any related hedging arrangements that extend beyond June 30, 2023, depending on the existing contractual provisions (i.e., fallback language). Such amendments and restructurings may be difficult, costly and time consuming. In addition, from time to time we invest in floating rate loans and investment securities whose interest rates are indexed to LIBOR. Uncertainty as to the nature of alternative reference rates and as to potential changes or other reforms to LIBOR, or any changes announced with respect to such reforms, may result in a sudden or prolonged increase or decrease in the reported LIBOR rates and the value of LIBOR-based loans and securities, including those of other issuers we may in the future own. It remains uncertain how such changes would be implemented and the effects such changes would have on us, issuers of instruments in which we invest and financial markets generally.</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expected discontinuation of LIBOR could have a significant impact on our business. There could be significant operational challenges for the transition away from LIBOR including, but not limited to, amending loan agreements with borrowers on investments that may have not been modified with fallback language and adding effective fallback language to new agreements in the event that LIBOR is discontinued before maturity. Beyond these challenges, we anticipate there may be additional risks to our current processes and information systems that will need to be identified and evaluated by us. Due to the uncertainty of the replacement for LIBOR, the potential effect of any such event on our cost of capital and net investment income cannot yet be determined. In addition, the cessation of LIBOR could:</w:t>
      </w:r>
    </w:p>
    <w:p>
      <w:pPr>
        <w:spacing w:after="0" w:line="93" w:lineRule="exact"/>
        <w:rPr>
          <w:sz w:val="20"/>
          <w:szCs w:val="20"/>
          <w:color w:val="auto"/>
        </w:rPr>
      </w:pPr>
    </w:p>
    <w:p>
      <w:pPr>
        <w:ind w:left="1080" w:right="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impact the pricing, liquidity, value of, return on and trading for a broad array of financial products, including any LIBOR-linked securities, loans and derivatives that may be included in our assets and liabilities;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extensive changes to documentation that governs or references LIBOR or LIBOR-based products, including, for example, pursuant to time-consuming renegotiations of documentation to modify the terms of investments;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inquiries or other actions from regulators in respect of our preparation and readiness for the replacement of LIBOR with one or more alternative reference rates;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disputes, litigation or other actions with portfolio companies, or other counterparties, regarding the interpretation and enforceability of provisions in our LIBOR-based investments, such as fallback language 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85"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transition and/or development of appropriate systems and analytics to effectively transition our risk management processes from LIBOR-based products to those based on one or more alternative reference rates, which may prove challenging given the limited history of the proposed alternative reference rates;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additional costs in relation to any of the above factors.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There is no guarantee that a transition from LIBOR to an alternative will not result in financial market disruptions, significant increases in benchmark rates, or borrowing costs to borrowers, any of which could have a material adverse effect on our business, result of operations, financial condition, and unit price. In addition, the transition to a successor rate could potentially cause (i) increased volatility or illiquidity in markets for instruments that currently rely on LIBOR, (ii) a reduction in the value of certain instruments that will be held by the Fund, or (iii) reduced effectiveness of related Fund transactions, such as hedging. It remains uncertain how such changes would be implemented and the effects such changes would have on the Fund, issuers of instruments in which the Fund invests and financial markets generally.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including the Tax Cuts and Jobs Act may adversely affect our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Recent changes to U.S. tax laws, including the Tax Cuts and Jobs Act enacted on December 22, 2017 (“Tax Reform”) and the Coronavirus Aid, Relief, and Economic Security Act enacted on March 27, 2020 (the “CARES Act”)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Further changes could be made under the new Presidential administration in the United States. Such changes to the tax laws, including changes to interest deductibility, utility of net operating losses and other provisions of Tax Reform or of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and other changes in tax laws on the loan market and about the tax consequences of an investment in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United Kingdom’s exit from the European Union may create significant risks and uncertainty for global markets and the Fund’s investments.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U.K. formally left the E.U. on January 31, 2020, followed by an implementation period which expired on December 31, 2020. During the implementation period, on December 30, 2020, the U.K. and the E.U. signed a trade and cooperation agreement (the “TCA”) to govern their on-going relationship. The TCA was officially ratified by the U.K. Parliament on December 30, 2020, and was ratified by the E.U. Parliament and Council on April 27, 2021. The TCA entered into force on May 1, 2021.</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Although it is probable that any adverse effects flowing from the U.K.’s withdrawal from the E.U. will principally affect the U.K. (and those having an economic interest in, or connected to, the U.K.), given the size and global significance of the U.K.’s economy, the impact of the withdrawal is unpredictable and likely to be an ongoing source of instability, produce significant currency fluctuations, and/or have other adverse effects on international markets, international trade agreements and/or other existing cross-border cooperation arrangements (whether economic, tax, fiscal, legal, regulatory or otherwise). The withdrawal of the U.K. from the E.U. could therefore adversely affect us. In addition, although it seems less likely now than at the time of Britain’s referendum, the withdrawal of the U.K. from the E.U. could have a further destabilizing effect if any other member states were to consider withdrawing from the E.U., presenting similar and/or additional potential risks and consequences to our business and financial results.</w:t>
      </w:r>
    </w:p>
    <w:p>
      <w:pPr>
        <w:spacing w:after="0" w:line="293"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SEC’s Regulation Best Interest may negatively impact our ability to raise capital, which would harm our ability to achieve our investment objectives.</w:t>
      </w:r>
    </w:p>
    <w:p>
      <w:pPr>
        <w:spacing w:after="0" w:line="5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Broker-dealers must comply with Regulation Best Interest, which, among other requirements, enhances the prior standard of conduct for broker-dealers and natural persons who are associated persons of a broker-dealer when recommending to a retail customer any securities transaction or investment strategy involving securities to a retail customer. The impact of Regulation Best Interest on broker-dealers participating in our private offering of Common Shares cannot be determined at this time, but it may negatively impact whether broker-dealers and their associated persons recommend the offering to retail customers. If Regulation Best Interest reduces our ability to raise capital in the offering, it would harm our ability to create a diversified portfolio of investments and achieve our investment objectives and would result in our fixed operating costs representing a larger percentage of our gross income.</w:t>
      </w:r>
    </w:p>
    <w:p>
      <w:pPr>
        <w:spacing w:after="0" w:line="29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Declaration of Trust includes exclusive forum and jury trial waiver provisions that could limit a shareholder’s ability to bring a claim, make it more expensive or inconvenient for a shareholder to bring a claim, or, if such provisions are deemed inapplicable or unenforceable by a court, cause the Fund to incur additional costs associated with such action.</w:t>
      </w:r>
    </w:p>
    <w:p>
      <w:pPr>
        <w:spacing w:after="0" w:line="6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Declaration of Trust provides that, to the fullest extent permitted by law, unless we consent in writing to the selection of an alternative forum, the sole and exclusive forum for (i) any derivative action or proceeding brought on behalf of the Fund, (ii) any action asserting a claim of breach of a duty owed by any trustee, officer or other agent of the Fund to the Fund or our shareholders, (iii) any action asserting a claim arising pursuant to any provision of Title 12 of the Delaware Code, Delaware statutory or common law, our Declaration of Trust, or (iv) any action asserting a claim governed by the internal affairs doctrine shall be the Court of Chancery of the State of Delaware or, if such court does not have subject matter jurisdiction thereof, any other court in the State of Delaware with subject matter jurisdiction. As a result, there is a risk that investors in the Fund may find it inconvenient or expensive to bring a claim against us or our trustees, officers or other agents. However, these exclusive forum provisions do not apply to claims arising under the federal securities laws.</w:t>
      </w:r>
    </w:p>
    <w:p>
      <w:pPr>
        <w:spacing w:after="0" w:line="192"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our Declaration of Trust provides that no shareholder may maintain a derivative action on behalf of the Fund unless holders of a certain percentage of the outstanding shares, as disclosed in our Declaration of Trust, join in the bringing of such action. These provisions of our Declaration of Trust may make it more difficult for shareholders to bring a derivative action than a company without such provisions.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Declaration of Trust also includes an irrevocable waiver of the right to trial by jury in all such claims, suits, actions and proceedings. Any person purchasing or otherwise acquiring any of our Common Shares shall be deemed to have notice of and to have consented to these provisions of our Declaration of Trust. These provisions may limit a shareholder’s ability to bring a claim in a judicial forum or in a manner that it finds favorable for disputes with the Fund or the Fund’s trustees or officers, which may discourage such lawsuits. Alternatively, if a court were to find the exclusive forum provision or the jury trial waiver provision to be inapplicable or unenforceable in an action, we may incur additional costs associated with resolving such action in other jurisdictions or in other manners, which could have a material adverse effect on our business, financial condition and results of operations.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Notwithstanding any of the foregoing, neither we nor any of our investors are permitted to waive compliance with any provision of the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securities laws and the rules and regulations promulgated thereunder.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shareholder approval is required for certain mergers.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Board of Trustees may undertake to approve mergers between us and certain other funds or vehicles. Subject to the requirements of the 1940 Act, such mergers will not require shareholder approval so investors will not be given an opportunity to vote on these matters unless such mergers are reasonably anticipated to result in a material dilution of the NAV per share of the Fund. These mergers may involve funds managed by affiliates of the Adviser. The Board of Trustees may also convert the form and/or jurisdiction of organization, including to take advantage of laws that are more favorable to maintaining board control in the face of dissident shareholders.</w:t>
      </w:r>
    </w:p>
    <w:p>
      <w:pPr>
        <w:spacing w:after="0" w:line="28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is likely to materially and adversely affect our portfolio companies and the results of our operations, including our financial results.</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late 2019 and early 2020, the novel coronavirus SARS-CoV-2 and related respiratory disease COVID-19 emerged in China and spread rapidly across the world, including to the United States. This outbreak has led to, and for an unknown and potentially significant period of time will continue to lead to, disruptions in local, regional, national and global markets and economies affected thereby. To date, cross border commercial activity and market sentiment have been negatively impacted by the outbreak and government and other measures seeking to contain its spread. With respect to the U.S. credit markets, and upper middle market loans and the businesses of our portfolio companies in particular, this outbreak has resulted in, and is likely to continue to result in, among other things,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rapidly evolving proposals and/or actions by state and federal governments to address problems being experienced by the markets and by businesses and the economy in general which will not necessarily adequately address the problems facing the loan market and upper middle market businesses; and liquidity issues. While these effects are hoped to be temporary, some effects could be persistent or even permanent. We cannot predict when, or if, the impacts of the COVID-19 pandemic may lessen, including whether new variants will emerge and how severe they will be. As a result, these conditions could result in (i) increased draws by some eligible borrowers on revolving lines of credit and/or (ii) increased requests by some borrowers for amendments and waivers of their credit agreements to avoid default, increased defaults by such borrowers and/or increased difficulty in obtaining refinancing at the maturity dates of their loans. Further, volatility and disruption of these markets has led to greater volatility in pricing and spreads, and may lead to difficulty in valuing loans during these periods. This outbreak and its effects are having, and the effects of any future outbreaks could have, an adverse impact on our portfolio companies and us and on the markets and the economy in general, and that impact could be material.</w:t>
      </w:r>
    </w:p>
    <w:p>
      <w:pPr>
        <w:spacing w:after="0" w:line="19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From an operational perspective, the effects of the COVID-19 pandemic could materially and adversely disrupt our business operations and the operations of the Adviser, including the guidelines and restrictions put in place by federal, state and local governments that may cause a potentially significant duration of remote working.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Moreover, the effects of the COVID-19 pandemic may heighten the other risk factors described herein. It is currently impossible to determine the scope of this or any future outbreak, how long any such outbreak, market disruption, volatility or uncertainty may last, the effect any governmental actions will have or the full potential impact on us, the Adviser and our portfolio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and Supply Chain Risk</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Inflation and rapid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Fund’s returns.</w:t>
      </w:r>
    </w:p>
    <w:p>
      <w:pPr>
        <w:spacing w:after="0" w:line="183"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Economic activity has continued to accelerate across sectors and regions. Nevertheless, due to global supply chain issues, a rise in energy prices and strong consumer demand as economies continue to reopen, inflation is showing signs of acceleration in the U.S. and globally. Inflation is likely to continue in the near to medium-term, particularly in the U.S., with the possibility that monetary policy may tighten in response. Persistent inflationary pressures could affect our obligors’ profit margins.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Fund’s portfolio investments. For example, existing and any additional supply chain and other laws, regulations, or executive orders by either country that restrict or prohibit transactions or impose requirements or limitations on business could impair the ability of U.S.-based companies (in which the Fund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Funds and their portfolio investments.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disruption, volatility and uncertainty in the capital markets and in the economy generally.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U.S. capital markets have experienced extreme volatility and disruption following the spread of COVID-19 in the United States and globally.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state of the economy and financial markets increases the likelihood of adverse effects on our financial position and results of operations.</w:t>
      </w:r>
    </w:p>
    <w:p>
      <w:pPr>
        <w:spacing w:after="0" w:line="5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The U.S. and global capital markets experienced extreme volatility and disruption in recent years, leading to periods of recessionary conditions and depressed levels of consumer and commercial spending. For instance,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the transition of presidential power in the United States, has led to disruption and instability in the global markets. Disruptions in the capital markets increased the spread between the yields realized on risk-free and higher risk securities, resulting in illiquidity in parts of the capital markets. We cannot assure investors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9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89"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receipt of a reduced level of interest income from our portfolio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value of collateral securing some of our loans and the value of our equity investments;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losses or charge-offs related to our investments.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Uncertainty about financial stability could have a significant adverse effect on our business, results of operations and financial condition.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Shares.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after raising the target range for the federal funds rate in 2017 and 2018, the Federal Reserve lowered the target rate three times in 2019 and two times in 2020. In December 2021, the Federal Reserve indicated that it intends to increase the target range for the federal fund rates in 2022. Further changes in key economic indicators, such as the unemployment rate or inflation, could lead to changes to the target range for the federal funds rate that may cause instability or may negatively impact our ability to access the debt markets on favorable terms.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As a result of the 2020 U.S. election, the Democratic Party currently controls the executive branch of government, the Senate, and the House of Representatives. The Democratic Party’s consolidation of power, while a bare majority in the Senate, makes it more likely that legislation may be adopted that could significantly affect the regulation of U.S. financial markets. Areas subject to potential change or amendment include the Wall Street Reform and Consumer Protection Act, or the Dodd-Frank Act, and the authority of the Federal Reserve and the Financial Stability Oversight Council. These or other regulatory changes could result in greater regulation of nonbank lenders such as us. The United States may also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Economic recessions or downturns could impair our portfolio companies and harm our operating results.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Portfolio Company Investments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very risky and highly speculative.</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primarily invest in first-lien debt, second-lien debt, mezzanine and unsecured debt or equity or other securities issued by upper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First-Lien Debt</w:t>
      </w:r>
      <w:r>
        <w:rPr>
          <w:rFonts w:ascii="Times New Roman" w:cs="Times New Roman" w:eastAsia="Times New Roman" w:hAnsi="Times New Roman"/>
          <w:sz w:val="18"/>
          <w:szCs w:val="18"/>
          <w:color w:val="auto"/>
        </w:rPr>
        <w:t>. When we make a first-lien loan, we generally take a security interest in the available assets of the portfolio company,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Second-Lien and Mezzanine Debt</w:t>
      </w:r>
      <w:r>
        <w:rPr>
          <w:rFonts w:ascii="Times New Roman" w:cs="Times New Roman" w:eastAsia="Times New Roman" w:hAnsi="Times New Roman"/>
          <w:sz w:val="18"/>
          <w:szCs w:val="18"/>
          <w:color w:val="auto"/>
        </w:rPr>
        <w:t>. Our investments in second-lien and mezzanine debt generally are subordinated to senior loans and will either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junior security interests or be unsecured. As such, other creditors may rank senior to us in the event of insolvency. This may result in greater risk and loss of principal.</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and Other Investments. </w:t>
      </w:r>
      <w:r>
        <w:rPr>
          <w:rFonts w:ascii="Times New Roman" w:cs="Times New Roman" w:eastAsia="Times New Roman" w:hAnsi="Times New Roman"/>
          <w:sz w:val="18"/>
          <w:szCs w:val="18"/>
          <w:color w:val="auto"/>
        </w:rPr>
        <w:t>When we invest in first-lien debt, second-lien debt or mezzanine debt, we may acquire equity securities,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Preferred Shares. </w:t>
      </w:r>
      <w:r>
        <w:rPr>
          <w:rFonts w:ascii="Times New Roman" w:cs="Times New Roman" w:eastAsia="Times New Roman" w:hAnsi="Times New Roman"/>
          <w:sz w:val="18"/>
          <w:szCs w:val="18"/>
          <w:color w:val="auto"/>
        </w:rPr>
        <w:t>To the extent we invest in preferred securities, we may incur particular risks, including:</w:t>
      </w:r>
    </w:p>
    <w:p>
      <w:pPr>
        <w:spacing w:after="0" w:line="133" w:lineRule="exact"/>
        <w:rPr>
          <w:sz w:val="20"/>
          <w:szCs w:val="20"/>
          <w:color w:val="auto"/>
        </w:rPr>
      </w:pPr>
    </w:p>
    <w:p>
      <w:pPr>
        <w:ind w:left="1080" w:right="1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investments generally involve a number of significant risks, including:</w:t>
      </w:r>
    </w:p>
    <w:p>
      <w:pPr>
        <w:spacing w:after="0" w:line="131" w:lineRule="exact"/>
        <w:rPr>
          <w:sz w:val="20"/>
          <w:szCs w:val="20"/>
          <w:color w:val="auto"/>
        </w:rPr>
      </w:pPr>
    </w:p>
    <w:p>
      <w:pPr>
        <w:ind w:left="1080" w:right="14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Adviser may, in the ordinary course of business, be named as defendants in litigation arising from our investments in the portfolio companies;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158"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Subordinated Debt</w:t>
      </w:r>
      <w:r>
        <w:rPr>
          <w:rFonts w:ascii="Times New Roman" w:cs="Times New Roman" w:eastAsia="Times New Roman" w:hAnsi="Times New Roman"/>
          <w:sz w:val="18"/>
          <w:szCs w:val="18"/>
          <w:color w:val="auto"/>
        </w:rPr>
        <w:t>. Our subordinated debt investments will generally rank junior in priority of payment to senior debt and will generally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unsecured. This may result in a heightened level of risk and volatility or a loss of principal, which could lead to the loss of the entire investment. These investments may involve additional risks that could adversely affect our investment returns. To the extent interest payments associated with such debt are deferred, such debt may be subject to greater fluctuations in valuations, and such debt could subject us and our shareholders to non-cash income. Because we will not receive any principal repayments prior to the maturity of some of our subordinated debt investments, such investments will be of greater risk than amortizing loans.</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Non-U.S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Securities</w:t>
      </w:r>
      <w:r>
        <w:rPr>
          <w:rFonts w:ascii="Times New Roman" w:cs="Times New Roman" w:eastAsia="Times New Roman" w:hAnsi="Times New Roman"/>
          <w:sz w:val="18"/>
          <w:szCs w:val="18"/>
          <w:color w:val="auto"/>
        </w:rPr>
        <w:t>. We may invest in non-U.S. securities, which may include securities denominated in U.S. dollars or in non-U.S. currencies,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extent permitted by the 1940 Act. Because evidence of ownership of such securities usually is held outside the United States, we would be subject to additional risks if we invested in non-U.S. securities, which include possible adverse political and economic developments, seizure or nationalization of foreign deposits and adoption of governmental restrictions, which might adversely affect or restrict the payment of principal and interest on the non-U.S. securities to shareholders located outside the country of the issuer, whether from currency blockage or otherwise. Because non-U.S. securities may be purchased with and payable in foreign currencies, the value of these assets as measured in U.S. dollars may be affected unfavorably by changes in currency rates and exchange control regulations.</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Junior, Unsecured Securities. </w:t>
      </w:r>
      <w:r>
        <w:rPr>
          <w:rFonts w:ascii="Times New Roman" w:cs="Times New Roman" w:eastAsia="Times New Roman" w:hAnsi="Times New Roman"/>
          <w:sz w:val="18"/>
          <w:szCs w:val="18"/>
          <w:color w:val="auto"/>
        </w:rPr>
        <w:t>Our strategy may entail acquiring securities that are junior or unsecured instruments. While this approach can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facilitate obtaining control and then adding value through active management, it also means that certain of the Fund’s investments may be unsecured. If a portfolio company becomes financially distressed or insolvent and does not successfully reorganize, we will have no assurance (compared to those distressed securities investors that acquire only fully collateralized positions) that we will recover any of the principal that we have invested. Similarly, investments in “last out” pieces of unitranche loans will be similar to second lien loans in that such investments will be junior in priority to the “first out” piece of the same unitranche loan with respect to payment of principal, interest and other amounts. Consequently, the fact that debt is secured does not guarantee that we will receive principal and interest payments according to the debt’s terms, or at all, or that we will be able to collect on the debt should it be forced to enforce its remedies.</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While such junior or unsecured investments may benefit from the same or similar financial and other covenants as those enjoyed by the indebtedness ranking more senior to such investments and may benefit from cross-default provisions and security over the issuer’s assets, some or all of such terms may not be part of particular investments. Moreover, our ability to influence an issuer’s affairs, especially during periods of financial distress or following insolvency, is likely to be substantially less than that of senior creditors. For example, under typical subordination terms, senior creditors are able to block the acceleration of the junior debt or the exercise by junior debt holders of other rights they may have as creditors. Accordingly, we may not be able to take steps to protect investments in a timely manner or at all, and there can be no assurance that our rate of return objectives or any particular investment will be achieved. In addition, the debt securities in which we will invest may not be protected by financial covenants or limitations upon additional indebtedness, may have limited liquidity and are not expected to be rated by a credit rating agency.</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Early repayments of our investments may have a material adverse effect on our investment objectives. In addition, depending on fluctuations of the equity markets and other factors, warrants and other equity investments may become worthless.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attempts to provide downside protection through contractual or structural terms with respect to our investments will achieve their desired effect and potential investors should regard an investment in us as being speculative and having a high degree of risk. Furthermore, we have limited flexibility to negotiate terms when purchasing newly issued investments in connection with a syndication of mezzanine or certain other junior or subordinated investments or in the secondary market.</w:t>
      </w:r>
    </w:p>
    <w:p>
      <w:pPr>
        <w:spacing w:after="0" w:line="176"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“Covenant-lite” Obligations</w:t>
      </w:r>
      <w:r>
        <w:rPr>
          <w:rFonts w:ascii="Times New Roman" w:cs="Times New Roman" w:eastAsia="Times New Roman" w:hAnsi="Times New Roman"/>
          <w:sz w:val="18"/>
          <w:szCs w:val="18"/>
          <w:color w:val="auto"/>
        </w:rPr>
        <w:t>. We may invest in, or obtain exposure to, obligations that may be “covenant- lite,” which means such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lack certain financial maintenance covenants. While these loans may still contain other collateral protections, a covenant-lite loan may carry more risk than a covenant-heavy loan made by the same borrower, as it does not require the borrower to provide affirmation that certain specific financial tests have been satisfied on a routine basis as is required under a covenant-heavy loan agreement. Should a loan we hold begin to deteriorate in quality, our ability to negotiate with the borrower may be delayed under a covenant-lite loan compared to a loan with full maintenance covenants. This may in turn delay our ability to seek to recover its investment.</w:t>
      </w:r>
    </w:p>
    <w:p>
      <w:pPr>
        <w:spacing w:after="0" w:line="182"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Restructurings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in companies operating in workout or bankruptcy modes present additional legal risks, including fraudulent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conveyance, voidable preference and equitable subordination risks. The level of analytical sophistication, both financial and legal, necessary for successful investment in companies experiencing significant business and financial difficulties is unusually high. There is no assurance that we will correctly evaluate the value of the assets collateralizing our loans or the prospects for a successful reorganization or similar action.</w:t>
      </w:r>
    </w:p>
    <w:p>
      <w:pPr>
        <w:spacing w:after="0" w:line="284"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in upper middle market companies involves a number of significant risks, any one of which could have a material adverse effect on our operating results.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Investments in upper middle market companies involve the same risks that apply generally to investments in larger, more established companies.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such investments have more pronounced risks in that upper middle market companies:</w:t>
      </w:r>
    </w:p>
    <w:p>
      <w:pPr>
        <w:spacing w:after="0" w:line="112" w:lineRule="exact"/>
        <w:rPr>
          <w:sz w:val="20"/>
          <w:szCs w:val="20"/>
          <w:color w:val="auto"/>
        </w:rPr>
      </w:pPr>
    </w:p>
    <w:p>
      <w:pPr>
        <w:jc w:val="both"/>
        <w:ind w:left="1080" w:right="20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limited financial resources and may be unable to meet their obligations under their debt securities that we hold, which may be accompanied by a deterioration in the value of any collateral and a reduction in the likelihood of us realizing on any guarantees we may have obtained in connection with our investment;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shorter operating histories, narrower product lines and smaller market shares than larger businesses, which tends to render them more vulnerable to competitors’ actions and changing market conditions, as well as general economic downturns;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58"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Trustees and members of the Adviser may, in the ordinary course of business, be named as defendants in litigation arising from our investments in the portfolio companies; and</w:t>
      </w:r>
    </w:p>
    <w:p>
      <w:pPr>
        <w:spacing w:after="0" w:line="88"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have difficulty accessing the capital markets to meet future capital needs, which may limit their ability to grow or to repay their outstanding indebtedness upon maturity.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investment strategy focused primarily on privately-held companies presents certain challenges, including, but not limited to, the lack of available information about these companies.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intend to invest primarily in privately-held companies. Investments in private companies may pose greater risks than investments in public companies. First, private companies have reduced access to the capital markets, resulting in diminished capital resources and the ability to withstand financial distress. Second, the depth and breadth of experience of management in private companies tends to be less than that at public companies, which makes such companies more likely to depend on the management talents and efforts of a smaller group of persons and/or persons with less depth and breadth of experience. Therefore, the decisions made by such management teams and/or the death, disability, resignation or termination of one or more of these persons could have a material adverse impact on our investments and, in turn, on us. Third, the investments themselves tend to be less liquid. As such, we may have difficulty exiting an investment promptly or at a desired price prior to maturity or outside of a normal repayment schedule. As a result, the relative lack of liquidity and the potential diminished capital resources of our target portfolio companies may affect our investment returns. Fourth, little public information generally exists about private companies. Further, these companies may not have third-party debt ratings or audited financial statements. We must therefore rely on the ability of the Adviser to obtain adequate information through due diligence to evaluate the creditworthiness and potential returns from investing in these companies. The Adviser would typically assess an investment in a portfolio company based on the Adviser’s estimate of the portfolio company’s earnings and enterprise value, among other factors, and these estimates may be based on limited information and may otherwise be inaccurate, causing the Adviser to make different investment decisions than it may have made with more complete information. These companies and their financial information will generally not be subject to the Sarbanes-Oxley Act and other rules that govern public companies. If we are unable to determine all material information about these companies, we may not make a fully informed investment decision, and we may lose money on our investments.</w:t>
      </w:r>
    </w:p>
    <w:p>
      <w:pPr>
        <w:spacing w:after="0" w:line="299"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Investments are valued at the end of each fiscal quarter. Substantially all of our investments are expected to be in loans that do not have readily ascertainable market prices. Assets that are not publicly traded or whose market prices are not readily available are valued at fair value as determined in good faith by the Board, which is supported by the valuation committee of our Adviser and by the audit committee of our Board. The Board intends to retain independent providers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lack of liquidity in our investments may adversely affect our business.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securitize certain of our investments, which may subject us to certain structured financing risks.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were to create a CLO or other securitization vehicle, we would depend on distributions from the vehicle to pay dividends to our shareholders.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investors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shareholders.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87"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7"/>
          <w:szCs w:val="17"/>
          <w:i w:val="1"/>
          <w:iCs w:val="1"/>
          <w:color w:val="auto"/>
        </w:rPr>
        <w:t>Item 1. Business—Regulation as a Business Development Company.”</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6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changes in interest rates.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majority of our debt investments are based on floating rates, such as LIBOR, EURIBOR, the Federal Funds Rate, the Prime Rate or the SOFR. General interest rate fluctuations may have a substantial negative impact on our investments, the value of our Common Shares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Shares less attractive if we are not able to increase our dividend rate, which could reduce the value of our Common Shares.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Economic Conditions—Uncertainty about financial stability could have a significant adverse effect on our business, results of operations and financial condition.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may use interest rate risk management techniques in an effort to limit our exposure to interest rate fluctuations. These techniques may include various interest rate hedging activities to the extent permitted by the 1940 Act. See “ </w:t>
      </w:r>
      <w:r>
        <w:rPr>
          <w:rFonts w:ascii="Times New Roman" w:cs="Times New Roman" w:eastAsia="Times New Roman" w:hAnsi="Times New Roman"/>
          <w:sz w:val="18"/>
          <w:szCs w:val="18"/>
          <w:i w:val="1"/>
          <w:iCs w:val="1"/>
          <w:color w:val="auto"/>
        </w:rPr>
        <w:t>—Risks Related to Our Portfolio Company Investments—We expose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ourselves to risks when we engage in hedging transactions.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realize expected returns on our invested capital.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By originating loans to companies that are experiencing significant financial or business difficulties, we may be exposed to distressed lending risks.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investors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93"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companies in some cases may incur debt or issue equity securities that rank equally with, or senior to, our investments in those companies.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special risks associated with bankruptcy cases.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investors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make follow-on investments in our portfolio companies could impair the value of our investments.</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Following an initial investment in a portfolio company, we may make additional investments in that portfolio company as “follow-on” investments to:</w:t>
      </w:r>
    </w:p>
    <w:p>
      <w:pPr>
        <w:spacing w:after="0" w:line="67" w:lineRule="exact"/>
        <w:rPr>
          <w:sz w:val="20"/>
          <w:szCs w:val="20"/>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maintain in whole or in part our equity ownership percentage;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warrants, options or convertible securities that were acquired in the original or subsequent financing;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preserve or enhance the value of our investment</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enter into transactions with our affiliates is restricted.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Fund is prohibited under the 1940 Act from participating in certain transactions with certain of our affiliates without the prior approval of our Independent Trustees and, in some cases, exemptive relief from the SEC. Any person that owns, directly or indirectly, 5% or more of our outstanding voting securities is our affiliate for purposes of the 1940 Act, and the Fund is generally prohibited from buying or selling any security from or to such affiliate, absent the prior approval of our Independent Trustees. The 1940 Act also prohibits certain “joint” transactions with certain of our affiliates, which could include investments in the same portfolio company (whether at the same or different times), without prior approval of our Independent Trustees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decision by Sixth Street, our Adviser or their affiliates to allocate an opportunity to another entity could cause us to forgo an investment opportunity that we otherwise would have made. Absent an exemptive order from the SEC,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3" w:lineRule="exact"/>
        <w:rPr>
          <w:sz w:val="20"/>
          <w:szCs w:val="20"/>
          <w:color w:val="auto"/>
        </w:rPr>
      </w:pPr>
    </w:p>
    <w:p>
      <w:pPr>
        <w:ind w:left="120" w:right="680" w:firstLine="440"/>
        <w:spacing w:after="0" w:line="261" w:lineRule="auto"/>
        <w:rPr>
          <w:sz w:val="20"/>
          <w:szCs w:val="20"/>
          <w:color w:val="auto"/>
        </w:rPr>
      </w:pPr>
      <w:r>
        <w:rPr>
          <w:rFonts w:ascii="Times New Roman" w:cs="Times New Roman" w:eastAsia="Times New Roman" w:hAnsi="Times New Roman"/>
          <w:sz w:val="18"/>
          <w:szCs w:val="18"/>
          <w:color w:val="auto"/>
        </w:rPr>
        <w:t>Although, as a general matter, Section 17 of the 1940 Act restricts the ability of registered investment companies and BDCs to engage in transactions with “affiliated persons,” investment companies and BDCs may rely on historical interpretations of the 1940 Act or regulations promulgated under Section 17 to engage in such transactions in certain limited circumstances, or alternatively may apply to the SEC for an individualized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exemptive order that permits a broader range of affiliated transactions (commonly known as a “co-investment order”), subject to a variety of conditions and requirements to be found in each such co-investment order. The existing BDC managed by Sixth Street, Sixth Street Specialty Lending, Inc. (“SLX”), is currently subject to such an order. In addition, Sixth Street has applied to the SEC to obtain an amended co-investment order (the “Amended Order”) that would replace the existing order and that would also apply to the Fund, as well as SLX and any future BDC or other investment company sponsored by Sixth Street. If such Amended Order is obtained, pursuant to and subject to the requirements of the order, the Fund will be permitted to co-invest alongside Sixth Street Clients in a broader range of affiliated transactions.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Pursuant to the Amended Order, any potential co-investment transaction that meets the Fund’s investment objectives and strategies, or criteria established by the Board (“Board-Established Criteria”), must be made available to the Fund, though, as discussed below, the Fund will not have priority over other Sixth Street Clients when investing in opportunities made available to it. The Board-Established Criteria are required to be consistent with the Fund’s objectives and strategies. If no Board-Established Criteria are in effect, then the all potential co-investment transactions that fall within the Fund’s then-current investment objectives and strategies will be made so available to the Fund. Any Board-Established Criteria established by the Board will be objective and testable, meaning that they will be based on observable information, such as industry/sector of the issuer, minimum EBITDA of the issuer, or asset class of the investment opportunity or required commitment size – and not on characteristics that involve a discretionary assessment. The Board has yet to approve any Board-Established Criteria. The Adviser may from time to time recommend criteria for the Board’s consideration, but Board-Established Criteria will only become effective if approved by a majority of the Fund’s Independent Trustees. The Independent Trustees may at any time rescind, suspend or qualify its approval of any Board-Established Criteria, though it is anticipated that, under normal circumstances, the Board would not modify these criteria more often than quarterly.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acquisitions or strategic investments that we pursue are subject to risks and uncertainties.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may be required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investors that we will maintain or obtain all of the licenses that we need on a timely basis. We also are and will be subject to various information and other requirements to maintain and obtain these licenses, and we cannot assure investors that we will satisfy those requirements. Our failure to maintain or obtain licenses that we require, now or in the future, might restrict investment options and have other adverse consequences.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in foreign companies may involve significant risks in addition to the risks inherent in U.S. investments.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Brexit could also have negative impacts on both the U.K. economy and the economies of other countries in Europe. In addition, interest income derived from loans to foreign companies is not eligible to be distributed to our non-U.S. shareholders free from withholding taxes.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investors that such strategies will be effective or without risk to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expose ourselves to risks when we engage in hedging transactions.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may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success of our hedging strategy will depend on our ability to correctly identify appropriate exposures for hedging, such as currency exchange rate risk and interest rate risk related to specific portfolio companies. We may enter into fixed-to-floating interest rate swaps to continue to align the interest rates of our liabilities with our investment portfolio, which we expect to consist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securities is likely to fluctuate as a result of factors not related to currency fluctuations. Income derived from hedging transactions also is not eligible to be distributed to non-U.S. shareholders free from withholding taxes. Changes to the regulations applicable to the financial instruments we use to accomplish our hedging strategy could affect the effectiveness of that strategy.</w:t>
      </w:r>
    </w:p>
    <w:p>
      <w:pPr>
        <w:spacing w:after="0" w:line="176"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Finally, the SEC has recently adopted Rule 18f-4, which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anticipated use of derivatives primarily for interest rate hedging purposes, we expect to qualify as a limited derivatives user under the rule. However, we cannot assure investors that we will be treated as a limited derivatives user or that our approach to our use of derivatives will not change.</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structure applicable to derivatives imposed by the Dodd-Frank Act may affect our ability to use over-the-counter (“OTC”) derivatives for hedging purposes.</w:t>
      </w:r>
    </w:p>
    <w:p>
      <w:pPr>
        <w:spacing w:after="0" w:line="51"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94"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cease to be eligible for an exemption from regulation as a commodity pool operator, our compliance expenses could increase substantially.</w:t>
      </w:r>
    </w:p>
    <w:p>
      <w:pPr>
        <w:spacing w:after="0" w:line="121" w:lineRule="exact"/>
        <w:rPr>
          <w:sz w:val="20"/>
          <w:szCs w:val="20"/>
          <w:color w:val="auto"/>
        </w:rPr>
      </w:pPr>
    </w:p>
    <w:p>
      <w:pPr>
        <w:jc w:val="both"/>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Adviser intends to file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67"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regulated by the SEC as a BDC;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 our trading in CFTC-regulated derivatives within specified thresholds;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shareholders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shareholders. These and other issues will be considered by us, to the extent determined necessary, so that we aim to minimize the level of any U.S. federal income or excise tax that we would otherwise incur.</w:t>
      </w:r>
    </w:p>
    <w:p>
      <w:pPr>
        <w:spacing w:after="0" w:line="292"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not treated as a publicly offered regulated investment company, certain U.S. shareholders will be treated as having received a dividend from us in the amount of such U.S. shareholders’ allocable share of the Management and Incentive Fees paid to our investment adviser and certain of our other expenses, and these fees and expenses will be treated as miscellaneous itemized deductions of such U.S. shareholders.</w:t>
      </w:r>
    </w:p>
    <w:p>
      <w:pPr>
        <w:spacing w:after="0" w:line="6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expect to be treated as a “publicly offered regulated investment company” as a result of our Common Shares being treated as regularly traded on an established securities market. However, we cannot assure investors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shareholder that is an individual, trust or estate will be treated as having received a dividend from us in the amount of such U.S. shareholder’s allocable share of the Management Fees and Incentive Fees paid to our Adviser and certain of our other expenses for the calendar year, and these fees and expenses will be treated as miscellaneous itemized deductions of such U.S. shareholder. Miscellaneous itemized deductions generally are not deductible by individuals, trusts or estates for taxable years beginning after December 31, 2017 and before January 1, 2026.</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certain risks associated with holding debt obligations that have original issue discount or payment-in-kind interest.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 In addition, market prices of OID instruments are more volatile because they are affected to a greater extent by interest rate changes than instruments that pay interest periodically in cash</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accounting purposes, any cash dividends to shareholders representing OID income are not treated as coming from paid-in capital, even if the cash to pay them comes from the proceeds of issuances of our Common Shares. As a result, despite the fact that a dividend representing OID income could be paid out of amounts invested by our shareholders, the 1940 Act does not require that shareholders be given notice of this fact by reporting it as a return of capital.</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investment in our Common Shares will have limited liquidity.</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Common Shares constitute illiquid investments for which there is not a secondary market and, unless we consummate an Exchange Listing, none is expected to develop. Investment in the Fund is suitable only for sophisticated investors and requires the financial ability and willingness to accept the high risks and lack of liquidity inherent in an investment in the Fund. A shareholder generally may not sell, assign or transfer its Common Shares without prior written consent of the Adviser, which the Adviser may grant or withhold in its sole discretion. Except in limited circumstances for legal or regulatory purposes, shareholders are not entitled to redeem their shares. Shareholders must be prepared to bear the economic risk of an investment in our Common Shares for an extended period of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Shares may not receive dividends or that our dividends may not grow over time.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pay dividends on a quarterly basis to our shareholders out of assets legally available for distribution. We cannot assure investors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herein.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 </w:t>
      </w:r>
      <w:r>
        <w:rPr>
          <w:rFonts w:ascii="Times New Roman" w:cs="Times New Roman" w:eastAsia="Times New Roman" w:hAnsi="Times New Roman"/>
          <w:sz w:val="18"/>
          <w:szCs w:val="18"/>
          <w:i w:val="1"/>
          <w:iCs w:val="1"/>
          <w:color w:val="auto"/>
        </w:rPr>
        <w:t>—Risks Related to Our Portfolio Company Investments—There are certain risks associated with holding debt obligations that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issue discount or payment-in-kind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shareholders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shareholder’s tax basis in his or her shares and then as capital gain. Reducing a shareholder’s tax basis will have the effect of increasing his or her gain (or reducing loss) on a subsequent sale of shares.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the upper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shareholders.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investors will be subject to Exchange Act filing requirements.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Times New Roman" w:cs="Times New Roman" w:eastAsia="Times New Roman" w:hAnsi="Times New Roman"/>
          <w:sz w:val="17"/>
          <w:szCs w:val="17"/>
          <w:color w:val="auto"/>
        </w:rPr>
        <w:t>Because our Common Shares will be registered under the Exchange Act, ownership information for any person who beneficially owns 5% or more of our Common Shares will have to be disclosed in a Schedule 13G or other filings with the SEC. Beneficial ownership for these purposes is determined in accordance with the rules of the SEC, and includes having voting or investment power over the securities. In some circumstances, our shareholders who choose to reinvest their dividends may see their percentage stake in the Fund increased to more than 5%, thus triggering this filing requirement. Each shareholder is responsible for determining their filing obligations and preparing the filings. In addition, our shareholders who hold more than 10% of a class of our Common Shares may be subject to Section 16(b) of the Exchange Act, which recaptures for the benefit of the Fund profits from the purchase and sale of registered stock (and securities convertible or exchangeable into such registered stock) within a six-month period.</w:t>
      </w:r>
    </w:p>
    <w:p>
      <w:pPr>
        <w:spacing w:after="0" w:line="171"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Shareholders will bear the responsibility for making all Exchange Act filings to which they may be subject, and are responsible for monitoring their ownership in the Fund. Shareholders who fail to make required Exchange Act filings may face enforcement actions and fines from the SEC.</w:t>
      </w:r>
    </w:p>
    <w:p>
      <w:pPr>
        <w:spacing w:after="0" w:line="244"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distributions to shareholders may be funded from expense reimbursements or waivers of investment advisory fees, some of which are subject to repayment pursuant to our Expense Support and Conditional Reimbursement Agreement.</w:t>
      </w:r>
    </w:p>
    <w:p>
      <w:pPr>
        <w:spacing w:after="0" w:line="51"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Substantial portions of our distributions may be funded through the reimbursement of certain expenses by our Adviser and its affiliates, including through the waiver of certain investment advisory fees by our Adviser. Any such distributions funded through expense reimbursements or waivers of advisory fees will not be based on our investment performance, and can only be sustained if we achieve positive investment performance in future periods and/or our Adviser and its affiliates continue to make such reimbursements or waivers of such fees. Our future repayments of amounts reimbursed or waived by our Adviser or its affiliates will reduce the distributions that shareholders would otherwise receive in the future. There can be no assurance that we will achieve the performance necessary to be able to pay distributions at a specific rate or at all. Our Adviser and its affiliates have no obligation to waive advisory fees or otherwise reimburse expenses in future periods, except as otherwise disclosed under the terms of this offering.</w:t>
      </w:r>
    </w:p>
    <w:p>
      <w:pPr>
        <w:spacing w:after="0" w:line="275"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unrealized losses we experience on our portfolio may be an indication of future realized losses, which could reduce our income available for distribution.</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BDC, we are required to carry our investments at the fair value as determined in good faith pursuant to procedures adopted by, and under the oversight of, our Board of Trustees. Decreases in the fair value of our investments relative to amortized cost will be recorded as unrealized depreciation. Any unrealized losses in our portfolio could be an indication of a portfolio company’s inability to meet its repayment obligations to us with respect to the affected loans. This could result in realized losses in the future and ultimately in reductions of our income available for distribution in future periods. In addition, decreases in the fair value of our investments will reduce our NAV.</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severe economic consequences for defaulting shareholders.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shareholders fail to fund their commitment obligations or to make required capital contributions when due, the Fund’s ability to complete its investment program or otherwise continue operations may be substantially impaired. A shareholder’s failure to fund such amounts when due causes that shareholder to become a defaulting shareholder. A defaulting shareholder will have ten business days to cure its deficiency following the required funding date, after which the defaulting shareholder will forfeit its right to participate in future investments and 50% of its Common Shares will be transferred to the non-defaulting shareholders on a pro rata basis. If a substantial number of shareholders become defaulting shareholders, this may severely limit opportunities for investment diversification and would likely reduce returns to the Fund and restrict the Fund’s ability to meet loan obligations. Any single defaulting shareholder could cause substantial costs to be incurred by the Fund if such default causes the Fund to fail to meet its contractual obligations or if the Fund must pursue remedial action against such shareholder.</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Fund fails to meet its contractual obligations related to a portfolio investment due to a defaulting shareholder, the relevant portfolio company may have a cause of action against the Fund, which may include a claim against assets of the Fund other than the Fund’s interest in such portfolio company. A creditor of the Fund (including a portfolio company with respect to which the Fund has failed to meet its contractual obligations) will not be bound to satisfy its claims from the assets attributable to a particular portfolio investment and such creditor generally may seek to satisfy its claims from the assets of the Fund as a whole. As a result, if a creditor’s claims relating to a particular portfolio investment exceed the net assets attributable to that portfolio investment, the remaining assets of the Fund will likely be subject to such claim.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will experience dilution in their ownership percentage if they opt out of our dividend reinvestment plan.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shareholders who have not opted out of our dividend reinvestment plan will have their cash distributions automatically reinvested in additional Common Shares,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Business—Dividend Reinvestment Plan” for a description of our dividend policy and obligations.</w:t>
      </w:r>
    </w:p>
    <w:p>
      <w:pPr>
        <w:spacing w:after="0" w:line="183"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after an Exchange Listing will be determined based on the market price of our Common Shares,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our Common Shares than the number of shares associated with the market price of our Common Shares, resulting in dilution for other shareholders. Shareholders that opt out of our dividend reinvestment plan will experience dilution in their ownership percentage of our Common Shares over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for certain benefit plan investors.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intend to conduct our affairs so that our assets should not be deemed to constitute “plan assets” under ERISA and the Plan Asset Regulations. In this regard, until such time, if any, as our Common Shares are considered “publicly-offered securities” within the meaning of the Plan Asset Regulations, we intend to limit investment in our Common Shares by “benefit plan investors” (“Benefit Plan Investors”) to less than 25% of the total value of our Common Shares (within the meaning of the Plan Asset Regulations).</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notwithstanding our intent, the assets of the Fund were deemed to constitute “plan assets” of any shareholder that is a Benefit Plan Investor under ERISA or the Plan Asset Regulations, this would result, among other things, in (i) the application of the prudence and other fiduciary responsibility standards of ERISA to investments made by the Fund, and (ii) the possibility that certain transactions in which the Fund might seek to engage could constitute “prohibited transactions” under ERISA and the Code. If a prohibited transaction occurs for which no exemption is available, the Adviser and/or any other fiduciary that has engaged in the prohibited transaction could be required to (i) restore to the Benefit Plan Investor any profit realized on the transaction and (ii) reimburse the Benefit Plan Investor for any losses suffered by the Benefit Plan Investor as a result of the investment. In addition, each disqualified person (within the meaning of Section 4975 of the Code) involved could be subject to an excise tax equal to 15% of the amount involved in the prohibited transaction for each year the transaction continues and, unless the transaction is corrected within statutorily required periods, to an additional tax of 100%. The fiduciary of a benefit plan investor who decides to invest in the Fund could, under certain circumstances, be liable for prohibited transactions or other violations as a result of their investment in the Fund or as co-fiduciaries for actions taken by or on behalf of the Fund or the Adviser. With respect to a benefit plan investor that is an individual retirement account (an “IRA”) that invests in the Fund, the occurrence of a prohibited transaction involving the individual who established the IRA, or his or her beneficiaries, would cause the IRA to lose its tax-exempt status. In addition, to the extent that the Fund represents and/or covenants to any contractual counterparty that (1) the assets of the Fund are not assets of the Benefit Plan Investors that invest in the Fund and/or (2) the transactions entered into between the Fund and the Benefit Plan Investor that invest in the Fund do not constitute “prohibited transactions” under ERISA and the Code, and the applicable representation is untrue and/or the applicable covenant is not met, additional liabilities may be incurred, including as a result of the unwinding of the applicable contract.</w:t>
      </w:r>
    </w:p>
    <w:p>
      <w:pPr>
        <w:spacing w:after="0" w:line="195" w:lineRule="exact"/>
        <w:rPr>
          <w:sz w:val="20"/>
          <w:szCs w:val="20"/>
          <w:color w:val="auto"/>
        </w:rPr>
      </w:pPr>
    </w:p>
    <w:p>
      <w:pPr>
        <w:ind w:left="120" w:right="740" w:firstLine="440"/>
        <w:spacing w:after="0" w:line="276" w:lineRule="auto"/>
        <w:rPr>
          <w:sz w:val="20"/>
          <w:szCs w:val="20"/>
          <w:color w:val="auto"/>
        </w:rPr>
      </w:pPr>
      <w:r>
        <w:rPr>
          <w:rFonts w:ascii="Times New Roman" w:cs="Times New Roman" w:eastAsia="Times New Roman" w:hAnsi="Times New Roman"/>
          <w:sz w:val="17"/>
          <w:szCs w:val="17"/>
          <w:color w:val="auto"/>
        </w:rPr>
        <w:t>Accordingly, until such time, if any, as our Common Shares constitute “publicly traded securities” within the meaning of the Plan Asset Regulations, we have the power, among other things, to (a) reject, in whole or in part, the subscription of any prospective investor to the Fund;</w:t>
      </w:r>
    </w:p>
    <w:p>
      <w:pPr>
        <w:spacing w:after="0" w:line="1" w:lineRule="exact"/>
        <w:rPr>
          <w:sz w:val="20"/>
          <w:szCs w:val="20"/>
          <w:color w:val="auto"/>
        </w:rPr>
      </w:pPr>
    </w:p>
    <w:p>
      <w:pPr>
        <w:ind w:left="120" w:right="40" w:hanging="4"/>
        <w:spacing w:after="0" w:line="253" w:lineRule="auto"/>
        <w:tabs>
          <w:tab w:leader="none" w:pos="3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consent to the transfer of Common Shares, including in circumstances where the Adviser determines necessary or desirable in order to facilitate compliance with ERISA or the Plan Asset Regulations; (c) restrict participation in the dividend reinvestment program such that Benefit Plan Investors are not permitted to participate, and (c) call Drawdown Purchases on a non-pro rata basis, and all Common Shares of the Fund shall be subject to such terms and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warehousing transactions</w:t>
      </w:r>
    </w:p>
    <w:p>
      <w:pPr>
        <w:spacing w:after="0" w:line="121"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one or more warehousing transactions. We may not be able to consummate or realize the anticipated benefits from any such warehousing transaction. Under a warehousing transaction, we may agree to purchase assets from a warehouse provider at prices based on cost plus adjustments designed to give such warehousing provider the economic benefits of accrued but unpaid interest and structuring fees and original issue discount, while such warehouse provider holds the assets. As a result, we generally will not receive any benefit of holding the investments in a warehouse until we have acquired such assets from such warehouse provider, and certain benefits of the acquisition of the assets (such as discounted purchase prices resulting from structuring fees or original issue discount), may have deteriorated by the time we acquire the assets.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Purchases of assets from a warehouse provider will be at prices determined under the warehousing transaction regardless of the assets’ market prices at the time of such purchase. As a result, we may pay more or less than the current market value of such assets when we acquire them. We may be required to purchase such assets even if they are in default.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raise sufficient funds to purchase all of the assets in a warehouse. In that case, we will be obligated to, or to cause an affiliate to, assume management of such assets on behalf of the warehouse provider (including by transferring such assets to a different fund vehicle) and to cause the terms governing such fund vehicle to be substantially similar to fund vehicles of the same type that warehouse provider has invested in with the Fund or such affiliate, with economics more favorable to or substantially similar to the economics that the warehouse provider would have paid to the Fund as an investor in the Fund on an aggregate basis. Additionally, even if we have sufficient funds to purchase the assets in a warehouse, we may not have sufficient funds to make other investments. We may also borrow to obtain funds necessary to purchase assets from a warehouse.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information systems and systems failures could significantly disrupt our business, which may, in turn, negatively affect the market price of our Common Shares and our ability to pay dividends.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business is highly dependent on the communications and information systems of the Adviser, its affiliates and third parties, including certain limited TPG-provided services (such as certain information technology services utilized by the Adviser on our behalf). Further, in the ordinary course of our business we or the Adviser engage certain third 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sudden electrical or telecommunications outages;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tornadoes and hurricanes;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pandemics;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arising from local or larger scale political or social matters, including terrorist 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due to idiosyncratic issues at specific providers;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These events, in turn, could have a material adverse effect on our operating results and negatively affect our ability to pay dividends to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may adversely affect our business.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8"/>
          <w:szCs w:val="18"/>
          <w:i w:val="1"/>
          <w:iCs w:val="1"/>
          <w:color w:val="auto"/>
        </w:rPr>
        <w:t>Risks Related to our Portfolio Company Investments.”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Russian invasion of Ukraine may have a material adverse impact on us and our portfolio companies.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Commencing in 2021, Russian President Vladimir Putin ordered the Russian military to begin massing thousands of military personnel and equipment near its border with Ukraine and in Crimea, representing the largest mobilization since the illegal annexation of Crimea in 2014. President Putin has initiated troop movements into the eastern portion of Ukraine and continues to threaten an all-out invasion of Ukraine. On February 22, 2022, the United States and several European nations announced sanctions against Russia in response to Russia’s actions. On February 24, 2022, President Putin commenced a full-scale invasion of Russia’s pre-positioned forces into Ukraine, which could have a negative impact on the economy and business activity globally (including in the countries in which the Fund invests), and therefore could adversely affect the performance of the Fund’s investments. Furthermore, the conflict between the two nations and the varying involvement of the United States and other NATO countries could preclude prediction as to their ultimate adverse impact on global economic and market conditions, and, as a result, presents material uncertainty and risk with respect to the Fund and the performance of its investments or operations, and the ability of the Fund to achieve its investment objectives. Additionally, to the extent that third parties, investors, or related customer bases have material operations or assets in Russia or Ukraine, they may have adverse consequences related to the ongoing conflict.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effect of global climate change may adversely affect our business and impact the operations of our portfolio companies.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94"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Further, significant physical effects of climate change including extreme weather events such as hurricanes or floods, can also have an adverse impact on certain of our portfolio companies and investments, especially our portfolio companies that rely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Income Tax Risks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corporate-level income tax if we are unable to qualify as a RIC under Subchapter M of the Code or to satisfy RIC distribution requirements.</w:t>
      </w:r>
    </w:p>
    <w:p>
      <w:pPr>
        <w:spacing w:after="0" w:line="51" w:lineRule="exact"/>
        <w:rPr>
          <w:sz w:val="20"/>
          <w:szCs w:val="20"/>
          <w:color w:val="auto"/>
        </w:rPr>
      </w:pPr>
    </w:p>
    <w:p>
      <w:pPr>
        <w:jc w:val="both"/>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To obtain and maintain RIC tax treatment under Subchapter M of the Code, we must, among other things, meet annual distribution, income source and asset diversification requirements. If we do not qualify for or maintain RIC tax treatment for any reason and are subject to corporate income tax, the resulting corporate taxes could substantially reduce our net assets, the amount of income available for distribution and the amount of our distributions.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paying our required distributions if we recognize income before or without receiving cash representing such income.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federal income tax purposes, we may be required to recognize taxable income in circumstances in which we do not receive a corresponding payment in cash. For example, if we hold debt obligations that are treated under applicable tax rules as having original issue discount (such as zero coupon securities, debt instruments with PIK interest or, in certain cases, increasing interest rates or debt instruments that were issued with warrants),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or we may engage in transactions, including debt modifications or exchanges, that require us to recognize income without the corresponding receipt of cash. We anticipate that a portion of our income may constitute original issue discount or other income required to be included in taxable income prior to receipt of cash. Further, we may elect to amortize market discount and include such amounts in our taxable income in the current year, instead of upon disposition, as an election not to do so would limit our ability to deduct interest expenses for tax purposes.</w:t>
      </w:r>
    </w:p>
    <w:p>
      <w:pPr>
        <w:spacing w:after="0" w:line="19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Because any original issue discount or other amounts accrued will be included in our investment company taxable income for the year of the accrual, we may be required to make a distribution to our shareholders in order to satisfy the annual distribution requirement, even though we will not have received any corresponding cash amount. As a result, we may have difficulty meeting the annual distribution requirement necessary to qualify for and maintain RIC tax treatment under Subchapter M of the Code. We may have to sell some of our investments at times and/or at prices we would not consider advantageous, raise additional debt or equity capital or forgo new investment opportunities for this purpose. If we are not able to obtain cash from other sources, we may not qualify for or maintain RIC tax treatment and thus become subject to corporate-level income tax.</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qualify as a “publicly offered regulated investment company,” as defined in the Code, a non-corporate shareholder will be taxed as though it received a distribution of some of our expenses.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 “publicly offered regulated investment company” or “publicly offered RIC” is a RIC whose shares are either (i) continuously offered pursuant to a public offering within the meaning of Section 4 of the 1933 Act, (ii) regularly traded on an established securities market or (iii) held by at least 500 persons at all times during the taxable year. While we generally expect to qualify as a RIC, we anticipate that we will not qualify as a publicly offered RIC immediately after the commencement of the Private Offering, although we may qualify as a publicly offered RIC upon the completion of the Private Offering. If we are a RIC that is not a publicly offered RIC for any period, a non-corporate shareholder’s allocable portion of our affected expenses, including our Management Fees, will be treated as an additional distribution to the shareholder and will be treated as miscellaneous itemized deductions that are deductible only to the extent permitted by applicable law. Under current law, such expenses will not be deductible by any such shareholder for tax years that begin prior to January 1, 2026 and are deductible subject to limitation thereafter.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of our investments may be subject to corporate-level income tax.</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invest in certain debt and equity investments through taxable subsidiaries and the taxable income of these taxable subsidiaries will be subject to federal and state corporate income taxes. We may invest in certain foreign debt and equity investments which could be subject to foreign taxes (such as income tax, withholding and value added taxes).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portfolio investments may present special tax issues.</w:t>
      </w:r>
    </w:p>
    <w:p>
      <w:pPr>
        <w:spacing w:after="0" w:line="12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Fund expects to invest in debt securities that are rated below investment grade by rating agencies or that would be rated below investment grade if they were rated. Investments in these types of instruments may present special tax issues for the Fund. U.S. federal income tax rules are not entirely clear about issues such as when the Fund may cease to accrue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to preserve its status as a RIC and to distribute sufficient income to not become subject to U.S. federal income tax.</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tax changes could adversely affect investors.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any time, the federal income tax laws governing RICs or the administrative interpretations of those laws or regulations may be amended. Any of those new laws, regulations or interpretations may take effect retroactively and could adversely affect the taxation of us or our shareholders. Therefore, changes in tax laws, regulations or administrative interpretations or any amendments thereto could diminish the value of an investment in our Common Shares or the value or the resale potential of our investments.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shareholders may be subject to U.S. dividend withholding tax on our distributions.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shareholder will be subject to U.S. federal dividend withholding tax on our distributions unless a withholding tax exemption applies. A shareholder may also be subject to U.S. federal withholding tax if it does not comply with applicable U.S. tax requirements to certify its status for U.S. tax purposes. Amounts that are withheld, to the extent in excess of the shareholder’s U.S. federal income tax liability, can generally be recovered by filing a U.S. federal income tax return; however, the administrative burden and cost of filing such a U.S. federal income tax return may outweigh the benefit of recovering such amounts.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Discussion of Management’s Expected Operating Plans</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this section contains forward-looking statements that involve risks and uncertainties. See “Item 1A. Risk Factors” and “Forward-Looking Statements” for a discussion of the uncertainties, risks and assumptions associated with these statements. You should read the following discussion in conjunction with the financial statements and related notes and other financial information appearing elsewhere in this Registration Statement.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were organized under the laws of the State of Delaware on April 5, 2022. We have elected to be treated as a BDC under the 1940 Act, and expect to elect to be treated as a RIC for federal income tax purposes as soon as reasonably practical. As such, we are required to comply with various regulatory requirements, such as the requirement to invest at least 70% of our assets in Qualifying Assets, source of income limitations, asset diversification requirements, and the requirement to distribute annually at least 90% of our investment company taxable income and tax-exempt interest.</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Fund bears, among other expenses and costs, the cost of our organization and offering. All costs incurred by the Fund in connection with its initial private offering and organization have been advanced by the Adviser subject to recoupment. The Fund’s initial private offering and organizational costs will be amortized over the 36 months beginning on the commencement of operations.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actual organization and offering costs incurred exceed 0.10% of the Fund’s total Capital Commitments, the Adviser or its affiliates will bear the excess costs. To the extent that the Fund’s Capital Commitments later increase, the Adviser or its affiliates may be reimbursed for past payments of excess organization and offering costs made on the Fund’s behalf, provided that the total organization and offering costs borne by the Fund do not exceed 0.10% of total Capital Commitments and provided further that the Adviser or its affiliates may not be reimbursed for payment of excess organization and offering expenses that were incurred more than three years prior to the proposed reimbursement. Any sales load, platform fees, servicing fees or similar fees or expenses charged directly to an investor in an offering by a placement agent or similar party will not be considered organization or offering expenses of the Fund for purposes of the Fund’s cap on organization and offering expenses.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plan to generate revenue primarily in the form of interest income from the debt investments we hold. In addition, we may generate income from dividends on direct equity investments, capital gains on the sale of investments and various loan origination and other fees. We expect most of our debt investments will be floating rate in nature. Interest on debt investments is generally payable quarterly or semiannually. Some of our investments may provide for deferred interest payments or PIK interest. The principal amount of the debt investments and any accrued but unpaid PIK interest generally will become due at the maturity date. In addition, we may generate revenue in the form of prepayment and other fees in connection with transactions. Loan origination fees, original issue discount and market discount or premium will be capitalized, and we will accrete or amortize such amounts as interest income. We will record prepayment premiums on debt investments as interest income when earned. Dividend income on equity investments will be recorded on the record date for private portfolio companies or on the ex-dividend date for publicly traded portfolio companies. In addition, we may generate revenue in the form of commitment, amendment, structuring, syndication or due diligence fees, fees for providing managerial assistance to our portfolio companies, and consulting fees.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costs associated with our Investment Team and staff of the Adviser, when and to the extent engaged in providing us investment advisory and management services, are paid for by the Adviser, other than to the extent described below and more specifically provided for in the Advisory Agreement.</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Fund bears all other fees, costs and expenses of our activities, operations, administration and transactions, including but not limited to those relating to:</w:t>
      </w:r>
    </w:p>
    <w:p>
      <w:pPr>
        <w:spacing w:after="0" w:line="67" w:lineRule="exact"/>
        <w:rPr>
          <w:sz w:val="20"/>
          <w:szCs w:val="20"/>
          <w:color w:val="auto"/>
        </w:rPr>
      </w:pPr>
    </w:p>
    <w:p>
      <w:pPr>
        <w:jc w:val="both"/>
        <w:ind w:left="1080" w:right="8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 related to the Fund’s initial private offering of Common Shares (up to an aggregate of 0.10% of total capital commitments to the Fund, it being understood and agreed that the Adviser shall bear all such organizational and offering expenses related to the Fund’s initial private offering of Common Shares in excess of such amount);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including travel expenses, incurred by the Adviser, or members of our Investment Team, or payable to third parties, in respect of due diligence on prospective portfolio companies and, if necessary, in respect of enforcing the Fund’s rights with respect to investments in existing portfolio companies, including, among others, professional fees (including, without limitation, the fees and expenses of consultants and experts) and fees and expenses relating to, or associated with, evaluating, monitoring, researching and performing due diligence on investments and prospective investments</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and research expenses (including an allocable portion of any research or other service that may deemed to be bundled for the benefit of the Fund), as well as the information technology systems used to obtain such research and other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Shares and other securities, including registration and listing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Common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 with the Adviser;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derivatives and hedging;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governmental fees;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Trustee fees and expenses;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and chief compliance officer and their respective staffs;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shareholders (including printing and mailing costs), the costs of any shareholders’ meetings and the compensation of investor relations personnel responsible for the preparation of the foregoing and related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and officers/errors and omissions liability insurance, and any other insurance premiums;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and related costs, including costs related to software, hardware and other technological systems (including specialty and custom software);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in connection with any claim, litigation, arbitration, mediation, government investigation or dispute in connection with the business of the Fund and the amount of any judgment or settlement paid in connection therewith;</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if any, incurred by or on behalf of the Fund in developing, negotiating and structuring prospective or potential investments that are not ultimately made, including, without limitation any reverse termination fees and any liquidated damages, commitment fees that become payable in connection with any proposed investment that is not ultimately made, forfeited deposits or similar payments, including expenses relating to unconsummated investments that may have been attributable to co-investors had such investments been consummated;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40" w:hanging="424"/>
        <w:spacing w:after="0" w:line="25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costs, including all fees, costs and expenses incurred in sourcing, evaluating, developing, negotiating, structuring, trading (including trading errors), settling, monitoring and holding prospective or actual investments or investment strategies including, without limitation, any financing, legal, filing, auditing, tax, accounting, compliance, loan administration, travel, meals, accommodations and entertainment, advisory, consulting, engineering, data-related and other professional fees, costs and expenses in connection therewith (to the extent the Adviser is not reimbursed by a prospective or actual issuer of the applicable investment or other third parties or capitalized as part of the acquisition price of the transaction);</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Fund bears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Fund (including, in each case, employees of the Administrator or an affiliate) who assist with the preparation, coordination, and administration of the foregoing or provide other “back office” or “middle office” financial or operational services to the Fund. The Fund reimburses the Adviser (or its affiliates) for an allocable portion of the compensation paid by the Adviser (or its affiliates) to such individuals (based on a percentage of time such individuals devote, on an estimated basis, to the business and affairs of the Fund and in acting on behalf of the Fund).</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from time to time, the Adviser pays amounts owed by us to third-party providers of goods or services. We subsequently reimburse the Adviser for those amounts paid on our behalf.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All of the expenses described above are ultimately borne by our shareholders.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 Support and Conditional Reimbursement Agreement</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an Expense Support and Conditional Reimbursement Agreement (the “Expense Support Agreement”) with the Adviser. The Adviser may elect to pay certain of our expenses on our behalf (each, an “Expense Payment”), provided that no portion of the payment will be used to pay any interest expense or shareholder servicing and/or distribution fees of the Fund. Any Expense Payment that the Adviser has committed to pay must be paid by the Adviser to us in any combination of cash or other immediately available funds no later than forty-five days after such commitment was made in writing, and/or offset against amounts due from us to the Adviser or its affiliates.</w:t>
      </w:r>
    </w:p>
    <w:p>
      <w:pPr>
        <w:spacing w:after="0" w:line="183"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Following any calendar month in which Available Operating Funds (as defined below) exceed the cumulative distributions accrued to the Fund’s shareholders based on distributions declared with respect to record dates occurring in such calendar month (the amount of such excess being hereinafter referred to as “Excess Operating Funds”), we shall pay such Excess Operating Funds, or a portion thereof, to the Adviser until such time as all Expense Payments made by the Adviser to the Fund within three years prior to the last business day of such calendar month have been reimbursed. Any payments required to be made by the Fund shall be referred to herein as a “Reimbursement Payment.” Available Operating Funds means the sum of</w:t>
      </w:r>
    </w:p>
    <w:p>
      <w:pPr>
        <w:spacing w:after="0" w:line="3" w:lineRule="exact"/>
        <w:rPr>
          <w:sz w:val="20"/>
          <w:szCs w:val="20"/>
          <w:color w:val="auto"/>
        </w:rPr>
      </w:pPr>
    </w:p>
    <w:p>
      <w:pPr>
        <w:jc w:val="both"/>
        <w:ind w:left="120" w:hanging="4"/>
        <w:spacing w:after="0" w:line="255" w:lineRule="auto"/>
        <w:tabs>
          <w:tab w:leader="none" w:pos="3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investment company taxable income (including net short-term capital gains reduced by net long-term capital losses), (ii) our net capital gains (including the excess of net long-term capital gains over net short-term capital losses) and (iii) dividends and other distributions paid to us on account of investments in portfolio companies (to the extent such amounts listed in clause (iii) are not included under clauses (i) and (ii) above).</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 Reimbursement Payment for any month will be made if: (1) the “Effective Rate of Distributions Per Share” (as defined below) declared by us at the time of such Reimbursement Payment is less than the Effective Rate of Distributions Per Share at the time the Expense Payment was made to which such Reimbursement Payment relates, or (2) our “Operating Expense Ratio” (as defined below) at the time of such Reimbursement Payment is greater than the Operating Expense Ratio at the time the Expense Payment was made to which such Reimbursement Payment relates. Pursuant to the Expense Support Agreement, “Effective Rate of Distributions Per Share” means the annualized rate (based on a 365 day year) of regular cash distributions per share exclusive of returns of capital, distribution rate reductions due to distribution and shareholder fees, and declared special dividends or special distributions, if any. The “Operating Expense Ratio” is calculated by dividing Operating Expenses, less organizational and offering expenses, base management and incentive fees owed to Adviser, and interest expense, by our net assets.</w:t>
      </w:r>
    </w:p>
    <w:p>
      <w:pPr>
        <w:spacing w:after="0" w:line="19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Fund’s obligation to make a Reimbursement Payment shall automatically become a liability of the Fund on the last business day of the applicable calendar month, except to the extent the Adviser has waived its right to receive such payment for the applicable month.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Hedging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Fund may, but is not required to, enter into interest rate, foreign exchange or other derivative agreements to hedge interest rate, currency, credit or other risks, but the Fund does not generally intend to enter into any such derivative agreements for speculative purposes. Any derivative agreements entered into for speculative purposes are not expected to be material to the Fund’s business or results of operations. These hedging activities, which will be in compliance with applicable legal and regulatory requirements, may include the use of futures, options and forward contracts. The Fund will bear the costs incurred in connection with entering into, administering and settling any such derivative contracts. There can be no assurance any hedging strategy the Fund employs will be successful.</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Fund intends to qualify as a “limited derivatives user” under new SEC Rule 18f-4 under the 1940 Act, which will require the Fund to limit its derivatives exposure to 10% of its net assets at any time, excluding certain currency and interest rate hedging transactions.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intend to generate cash primarily from the net proceeds of any offering of our Common Shares and from cash flows from interest and fees earned from our investments and principal repayments and proceeds from sales of our investments and borrowings from banks or other lenders. We will seek to enter into any bank debt, credit facility or other financing arrangements on at least customary and market terms; however, we cannot assure you we will be able to do so. Our primary use of cash will be investments in portfolio companies, payments of our expenses and payment of cash distributions to our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p>
      <w:pPr>
        <w:spacing w:after="0" w:line="12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Loan originations are recorded on the date of the binding commitment, which is generally the funding date. Investment transactions purchased on a secondary basis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6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expected to be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our investments, including and in combination of:</w:t>
      </w:r>
    </w:p>
    <w:p>
      <w:pPr>
        <w:spacing w:after="0" w:line="67"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enterprise value of a portfolio company (that is, the total fair value of the portfolio company’s net debt and equity);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realizable value of any collateral;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company’s ability to make payments based on its earnings and cash flow;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the portfolio company does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of the portfolio company’s securities to any similar publicly traded securities;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changes in the interest rate environment and the credit markets that may affect the price at which similar investments may be made in the future.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1080" w:right="3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7" w:lineRule="exact"/>
        <w:rPr>
          <w:rFonts w:ascii="Times New Roman" w:cs="Times New Roman" w:eastAsia="Times New Roman" w:hAnsi="Times New Roman"/>
          <w:sz w:val="18"/>
          <w:szCs w:val="18"/>
          <w:color w:val="auto"/>
        </w:rPr>
      </w:pPr>
    </w:p>
    <w:p>
      <w:pPr>
        <w:ind w:left="1080" w:right="126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Agreed-upon valuation recommendations are presented to the Audit Committee.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conduct this valuation process on a quarterly basis.</w:t>
      </w:r>
    </w:p>
    <w:p>
      <w:pPr>
        <w:spacing w:after="0" w:line="225" w:lineRule="exact"/>
        <w:rPr>
          <w:sz w:val="20"/>
          <w:szCs w:val="20"/>
          <w:color w:val="auto"/>
        </w:rPr>
      </w:pPr>
    </w:p>
    <w:p>
      <w:pPr>
        <w:jc w:val="both"/>
        <w:ind w:left="120" w:right="1020" w:firstLine="440"/>
        <w:spacing w:after="0" w:line="312" w:lineRule="auto"/>
        <w:rPr>
          <w:sz w:val="20"/>
          <w:szCs w:val="20"/>
          <w:color w:val="auto"/>
        </w:rPr>
      </w:pPr>
      <w:r>
        <w:rPr>
          <w:rFonts w:ascii="Times New Roman" w:cs="Times New Roman" w:eastAsia="Times New Roman" w:hAnsi="Times New Roman"/>
          <w:sz w:val="17"/>
          <w:szCs w:val="17"/>
          <w:color w:val="auto"/>
        </w:rPr>
        <w:t>In connection with debt and equity investments that are valued at fair value in good faith by the Board, the Board intends to engage independent third-party valuation firms to perform certain limited procedures that the Board has identified and requested them to perform.</w:t>
      </w:r>
    </w:p>
    <w:p>
      <w:pPr>
        <w:spacing w:after="0" w:line="13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We apply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67"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Fund’s position.</w:t>
      </w:r>
    </w:p>
    <w:p>
      <w:pPr>
        <w:spacing w:after="0" w:line="19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and Dividend Income Recognition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Valuation Risk</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plan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will regularly measure our exposure to interest rate risk. We will assess interest rate risk and manage our interest rate exposure on an ongoing basis by comparing our interest rate-sensitive assets to our interest rate-sensitive liabilities. Based on that review, we will determine whether or not any hedging transactions are necessary to mitigate exposure to changes in interest rates.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Currency Risk</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a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a revolving credit facility, we may seek to utilize interest rate derivatives to hedge our exposure to changes in the associated rate.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19"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7. Certain Relationships and Related Transactions, and Trustee Independence</w:t>
      </w:r>
      <w:r>
        <w:rPr>
          <w:rFonts w:ascii="Times New Roman" w:cs="Times New Roman" w:eastAsia="Times New Roman" w:hAnsi="Times New Roman"/>
          <w:sz w:val="18"/>
          <w:szCs w:val="18"/>
          <w:color w:val="auto"/>
        </w:rPr>
        <w:t>” for a description of certain transactions and relationships with Related Parties.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headquarters are located at 2100 McKinney Avenue, Suite 1500, Dallas, TX 75201 and are provided by the Administrator in accordance with the terms of our Administration Agreement. We believe that our office facilities are suitable and adequate for our business as it is contemplated to be conducted.</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not yet commenced commercial activities and will not do so until we issue an initial Drawdown Notice. To date, we only have nominal capital from affiliates of the Adviser that was contributed as part of our legal formation.</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b w:val="1"/>
          <w:bCs w:val="1"/>
          <w:color w:val="auto"/>
        </w:rPr>
        <w:t>TRUSTEES AND EXECUTIVE OFFICERS</w:t>
      </w:r>
    </w:p>
    <w:p>
      <w:pPr>
        <w:spacing w:after="0" w:line="121" w:lineRule="exact"/>
        <w:rPr>
          <w:sz w:val="20"/>
          <w:szCs w:val="20"/>
          <w:color w:val="auto"/>
        </w:rPr>
      </w:pPr>
    </w:p>
    <w:p>
      <w:pPr>
        <w:jc w:val="both"/>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of Trustees. The responsibilities of the Board of Trustees include, among other things, the oversight of our investment activities, the quarterly and non-quarterly valuation of our assets, oversight of our financing arrangements and corporate governance activities. Our Board of Trustees consists of seven members, four of whom are not “interested persons” of the Fund or of the Adviser as defined in Section 2(a)(19) of the 1940 Act and are “independent,” as determined by the Board of Trustees. These individuals are referred to as “Independent Trustees.” Our Board of Trustees elects the Fund’s executive officers, who serve at the discretion of the Board of Trustees.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Trustees and Executive Officers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the Board of Trustees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484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Trustee</w:t>
            </w:r>
          </w:p>
        </w:tc>
        <w:tc>
          <w:tcPr>
            <w:tcW w:w="0" w:type="dxa"/>
            <w:vAlign w:val="bottom"/>
          </w:tcPr>
          <w:p>
            <w:pPr>
              <w:spacing w:after="0"/>
              <w:rPr>
                <w:sz w:val="1"/>
                <w:szCs w:val="1"/>
                <w:color w:val="auto"/>
              </w:rPr>
            </w:pPr>
          </w:p>
        </w:tc>
      </w:tr>
      <w:tr>
        <w:trPr>
          <w:trHeight w:val="173"/>
        </w:trPr>
        <w:tc>
          <w:tcPr>
            <w:tcW w:w="51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32"/>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Interested Trustee: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Chair of the Board, 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51</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Independent Trustees: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74</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69</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59</w:t>
            </w:r>
          </w:p>
        </w:tc>
        <w:tc>
          <w:tcPr>
            <w:tcW w:w="4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Trustee</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Each trustee will hold office until his or her death, resignation, removal or disqualification. The address for each of our trustees is c/o Sixth Street Lending Partners, 2100 McKinney Avenue, Suite 1500, Dallas, TX 75201.</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Information regarding the executive officers of the Fund that are not Trustees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16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00" w:type="dxa"/>
            <w:vAlign w:val="bottom"/>
          </w:tcPr>
          <w:p>
            <w:pPr>
              <w:spacing w:after="0"/>
              <w:rPr>
                <w:sz w:val="16"/>
                <w:szCs w:val="16"/>
                <w:color w:val="auto"/>
              </w:rPr>
            </w:pPr>
          </w:p>
        </w:tc>
        <w:tc>
          <w:tcPr>
            <w:tcW w:w="508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Ian Simmonds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6"/>
                <w:szCs w:val="16"/>
                <w:color w:val="auto"/>
              </w:rPr>
            </w:pPr>
          </w:p>
        </w:tc>
        <w:tc>
          <w:tcPr>
            <w:tcW w:w="50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Michael Graf</w:t>
            </w:r>
          </w:p>
        </w:tc>
        <w:tc>
          <w:tcPr>
            <w:tcW w:w="16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40</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Deputy Chief Financial Officer, Vice President and Principal</w:t>
            </w:r>
          </w:p>
        </w:tc>
      </w:tr>
      <w:tr>
        <w:trPr>
          <w:trHeight w:val="216"/>
        </w:trPr>
        <w:tc>
          <w:tcPr>
            <w:tcW w:w="4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Anton Brett</w:t>
            </w:r>
          </w:p>
        </w:tc>
        <w:tc>
          <w:tcPr>
            <w:tcW w:w="1680" w:type="dxa"/>
            <w:vAlign w:val="bottom"/>
            <w:gridSpan w:val="3"/>
          </w:tcPr>
          <w:p>
            <w:pPr>
              <w:ind w:left="1440"/>
              <w:spacing w:after="0"/>
              <w:rPr>
                <w:sz w:val="20"/>
                <w:szCs w:val="20"/>
                <w:color w:val="auto"/>
              </w:rPr>
            </w:pPr>
            <w:r>
              <w:rPr>
                <w:rFonts w:ascii="Times New Roman" w:cs="Times New Roman" w:eastAsia="Times New Roman" w:hAnsi="Times New Roman"/>
                <w:sz w:val="18"/>
                <w:szCs w:val="18"/>
                <w:color w:val="auto"/>
              </w:rPr>
              <w:t>35</w:t>
            </w: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Compliance Officer and Secretary</w:t>
            </w:r>
          </w:p>
        </w:tc>
      </w:tr>
      <w:tr>
        <w:trPr>
          <w:trHeight w:val="365"/>
        </w:trPr>
        <w:tc>
          <w:tcPr>
            <w:tcW w:w="416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officer holds office at the pleasure of the Board until the next election of officers or until his or her successor is duly elected and qualifies.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Biographical Information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Trustees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trustees have been divided into two groups — interested trustees and Independent Trustees. An interested trustee is an “interested person” as defined in Section 2(a)(19) of the 1940 Act. An Independent Trustee is a trustee who is not an “interested person.”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Interested Trustees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Joshua Easterly </w:t>
      </w:r>
      <w:r>
        <w:rPr>
          <w:rFonts w:ascii="Times New Roman" w:cs="Times New Roman" w:eastAsia="Times New Roman" w:hAnsi="Times New Roman"/>
          <w:sz w:val="18"/>
          <w:szCs w:val="18"/>
          <w:color w:val="auto"/>
        </w:rPr>
        <w:t>was appointed Chief Executive Officer of the Fund in June 2022 and elected a director and Chairman of the Fund in June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Easterly is a Co-Founding Partner and Co-President of Sixth Street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Sixth Street provides the Board with valuable insight and expertise.</w:t>
      </w:r>
    </w:p>
    <w:p>
      <w:pPr>
        <w:spacing w:after="0" w:line="18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Jennifer Gordon </w:t>
      </w:r>
      <w:r>
        <w:rPr>
          <w:rFonts w:ascii="Times New Roman" w:cs="Times New Roman" w:eastAsia="Times New Roman" w:hAnsi="Times New Roman"/>
          <w:sz w:val="18"/>
          <w:szCs w:val="18"/>
          <w:color w:val="auto"/>
        </w:rPr>
        <w:t>was elected a director of the Fund in June 2022. Ms. Gordon is a Vice President of the Fund and is a Partner, Co-Chief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Officer and Chief Compliance Officer of Sixth Street. Prior to joining Sixth Street, from 2004 to 2014, she held various positions at Goldman, Sachs &amp; Co., including most recently as a Managing Director co-heading Americas Securities Division Compliance. Ms. Gordon was previously an associate at the law firm of White &amp; Case LLP. Ms. Gordon holds a J.D. from Fordham University School of Law and B.A. in International Relations from the University of Michigan. Ms. Gordon’s regulatory and operational knowledge provides the Board with valuable insight in the financial services sector.</w:t>
      </w:r>
    </w:p>
    <w:p>
      <w:pPr>
        <w:spacing w:after="0" w:line="18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David Stiepleman </w:t>
      </w:r>
      <w:r>
        <w:rPr>
          <w:rFonts w:ascii="Times New Roman" w:cs="Times New Roman" w:eastAsia="Times New Roman" w:hAnsi="Times New Roman"/>
          <w:sz w:val="18"/>
          <w:szCs w:val="18"/>
          <w:color w:val="auto"/>
        </w:rPr>
        <w:t>was elected a director of the Fund in June 2022. Mr. Stiepleman is a Vice President of the Fund. He is a Co-Founding Partner,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Co-President and Co-Chief Operating Officer of Sixth Street. Mr. Stiepleman has been a cross-border corporate lawyer, senior executive and business builder for over 20 years, starting and running businesses, and representing clients, in the U.S., Europe and Asia. Mr. Stiepleman is a strategic advisor to Concrete Rose, an early stage investment platform deploying financial and social capital to underrepresented founders of color. He also serves on the Advisory Council for Mt. Tamalpais College (f/k/a Prison University Project), a college-degree awarding program at San Quentin Prison.</w:t>
      </w:r>
    </w:p>
    <w:p>
      <w:pPr>
        <w:spacing w:after="0" w:line="3"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Mr. Stiepleman received a B.A. in French and Political Science from Amherst College and a J.D. from Columbia University. Mr. Stiepleman’s legal, regulatory and operational experience provides the Board with valuable knowledge and guidance.</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Independent Trustees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Richard Higginbotham </w:t>
      </w:r>
      <w:r>
        <w:rPr>
          <w:rFonts w:ascii="Times New Roman" w:cs="Times New Roman" w:eastAsia="Times New Roman" w:hAnsi="Times New Roman"/>
          <w:sz w:val="18"/>
          <w:szCs w:val="18"/>
          <w:color w:val="auto"/>
        </w:rPr>
        <w:t>was elected a director of the Fund in June 2022. From September 2010, he was a director of Healthcare Finance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until its sale in 2013. Between July 2008 and March 2010, Mr. Higginbotham was a director and then chairman of Tygris Commercial Finance Group, Inc.,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Hurley Doddy </w:t>
      </w:r>
      <w:r>
        <w:rPr>
          <w:rFonts w:ascii="Times New Roman" w:cs="Times New Roman" w:eastAsia="Times New Roman" w:hAnsi="Times New Roman"/>
          <w:sz w:val="18"/>
          <w:szCs w:val="18"/>
          <w:color w:val="auto"/>
        </w:rPr>
        <w:t>was elected a director of the Fund in June 2022. Mr. Doddy is a Managing Director, Founding Partner and Co-Chief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Emerging Capital Partners, a private equity fund manager focused on Africa. Mr. Doddy is an experienced chief executive and board director with over 38 years of investing for growth across international borders, over multiple business cycles and in many industries and has served on boards of companies listed in the US, Europe, and Africa. Prior to founding Emerging Capital Partners in 1999, Mr. Doddy was an Executive Director at Sumitomo Finance International in London. Mr. Doddy’s career in finance began at Salomon Brothers in 1984, lasting over 14 years with assignments in New York, Tokyo, and Sao Paulo where he gained a wealth of experience in bond trading, hedge management, fixed income &amp; equity derivatives, and emerging markets investing.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Judy Slotkin </w:t>
      </w:r>
      <w:r>
        <w:rPr>
          <w:rFonts w:ascii="Times New Roman" w:cs="Times New Roman" w:eastAsia="Times New Roman" w:hAnsi="Times New Roman"/>
          <w:sz w:val="18"/>
          <w:szCs w:val="18"/>
          <w:color w:val="auto"/>
        </w:rPr>
        <w:t>was elected a director of the Fund in June 2022. Ms. Slotkin retired as a Managing Director from Bank of America in 2015,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most recently led business development and relationship management for the New York market as part of the Market Executive team in private wealth management. Prior to joining Bank of America in 2010, Ms. Slotkin served as the Chief Risk Officer at Everspan Financial Guaranty. Prior to joining Everspan, Ms. Slotkin served various leadership roles at Citigroup, including Department Head of the Corporate Finance Division, where she led origination, trading and sales of asset-backed securities, commercial paper on an agency basis, loan note trading and investment grade loan syndications. During her career at Citigroup, Ms. Slotkin also served as the Credit Head of the Corporate Finance Division and Municipal Credit Head of the Public Finance Department. Ms. Slotkin holds a B.S. in Accounting from Fairleigh Dickinson University and an M.B.A. in Finance from Fordham University. She previously served as a director, chair of the nominating and corporate governance committee and a member of the audit committee for Siga Technologies, Inc. and a director and chair of the audit committee for Nephros, Inc. Ms. Slotkin’s numerous management positions and broad experiences within financial institutions provide the Board with valuable knowledge and insight in the financial services sector.</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Ronald Tanemura </w:t>
      </w:r>
      <w:r>
        <w:rPr>
          <w:rFonts w:ascii="Times New Roman" w:cs="Times New Roman" w:eastAsia="Times New Roman" w:hAnsi="Times New Roman"/>
          <w:sz w:val="18"/>
          <w:szCs w:val="18"/>
          <w:color w:val="auto"/>
        </w:rPr>
        <w:t>was elected a director of the Fund in June 2022. Since 2012, Mr. Tanemura has served as a director of post-reorganization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Lehman Brothers Holdings Inc. in New York. Also, from 2012 to 2019, he served as a non-executive director of ICE Clear Credit in Chicago and, from 2009 to 2019, he served as a non-executive director of ICE Clear Europe in London, both wholly owned subsidiaries of Intercontinental 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and currently serves on the Board of Talcott Resolution Life Insurance Company and certain affiliates. Mr. Tanemura’s extensive experience in the financial markets provides the Board with valuable industry-specific knowledge.</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Who Are Not Trustees</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Ian Simmonds </w:t>
      </w:r>
      <w:r>
        <w:rPr>
          <w:rFonts w:ascii="Times New Roman" w:cs="Times New Roman" w:eastAsia="Times New Roman" w:hAnsi="Times New Roman"/>
          <w:sz w:val="18"/>
          <w:szCs w:val="18"/>
          <w:color w:val="auto"/>
        </w:rPr>
        <w:t>is the Chief Financial Officer of the Fund and a Managing Director of Sixth Street. From 2005 to 2015, Mr. Simmonds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 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Michael Graf </w:t>
      </w:r>
      <w:r>
        <w:rPr>
          <w:rFonts w:ascii="Times New Roman" w:cs="Times New Roman" w:eastAsia="Times New Roman" w:hAnsi="Times New Roman"/>
          <w:sz w:val="18"/>
          <w:szCs w:val="18"/>
          <w:color w:val="auto"/>
        </w:rPr>
        <w:t>is Deputy Chief Financial Officer, Vice President and Principal Accounting Officer of the Fund. From 2010 to 2013, Mr. Graf was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in Alternative Investments at U.S. Bancorp Fund Services, LLC. From 2006 to 2010, Mr. Graf was an Accounting Manager at GSC Group, Inc., a private investment firm. Prior to working at GSC Group Inc., Mr. Graf worked in public accounting at KPMG from 2004 to 2006.</w:t>
      </w: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Mr. Graf holds a B.S. in Finance and Accounting from the Leonard N. Stern School of Business at New York University. He is a Certified Public Accountant.</w:t>
      </w:r>
    </w:p>
    <w:p>
      <w:pPr>
        <w:spacing w:after="0" w:line="1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Anton Brett </w:t>
      </w:r>
      <w:r>
        <w:rPr>
          <w:rFonts w:ascii="Times New Roman" w:cs="Times New Roman" w:eastAsia="Times New Roman" w:hAnsi="Times New Roman"/>
          <w:sz w:val="18"/>
          <w:szCs w:val="18"/>
          <w:color w:val="auto"/>
        </w:rPr>
        <w:t>is the Chief Compliance Officer and Secretary of the Fund and a Vice President of Sixth Street. Prior to joining Sixth Street, from</w:t>
      </w:r>
    </w:p>
    <w:p>
      <w:pPr>
        <w:spacing w:after="0" w:line="31" w:lineRule="exact"/>
        <w:rPr>
          <w:sz w:val="20"/>
          <w:szCs w:val="20"/>
          <w:color w:val="auto"/>
        </w:rPr>
      </w:pPr>
    </w:p>
    <w:p>
      <w:pPr>
        <w:jc w:val="both"/>
        <w:ind w:left="120" w:right="180"/>
        <w:spacing w:after="0" w:line="255" w:lineRule="auto"/>
        <w:rPr>
          <w:sz w:val="20"/>
          <w:szCs w:val="20"/>
          <w:color w:val="auto"/>
        </w:rPr>
      </w:pPr>
      <w:r>
        <w:rPr>
          <w:rFonts w:ascii="Times New Roman" w:cs="Times New Roman" w:eastAsia="Times New Roman" w:hAnsi="Times New Roman"/>
          <w:sz w:val="18"/>
          <w:szCs w:val="18"/>
          <w:color w:val="auto"/>
        </w:rPr>
        <w:t>2017 to 2020, he was a Senior Associate at Scopia Capital Management, LP. From 2014 to 2017, Mr. Brett was an Associate at the law firm of Willkie Farr &amp; Gallagher LLP. From 2009 to 2011, he was an Analyst, and later a Senior Analyst, at the law firm of Kobre &amp; Kim LLP. Mr. Brett holds a J.D. from Duke University School of Law and B.A. in International Relations and Slavic Studies, magna cum laude, from Brown University.</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 Officers Who Are Not Trustees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(“Bo”) Stanley </w:t>
      </w:r>
      <w:r>
        <w:rPr>
          <w:rFonts w:ascii="Times New Roman" w:cs="Times New Roman" w:eastAsia="Times New Roman" w:hAnsi="Times New Roman"/>
          <w:sz w:val="18"/>
          <w:szCs w:val="18"/>
          <w:color w:val="auto"/>
        </w:rPr>
        <w:t>is a Vice President of the Fund, a Partner of Sixth Street, and co-head of Sixth Street Growth. Mr. Stanley focuses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originating transactions in the software, payment systems, data infrastructure and business services sectors. Mr. Stanley was previously with Wells Fargo Capital Finance, a provider of 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8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Alan Waxman </w:t>
      </w:r>
      <w:r>
        <w:rPr>
          <w:rFonts w:ascii="Times New Roman" w:cs="Times New Roman" w:eastAsia="Times New Roman" w:hAnsi="Times New Roman"/>
          <w:sz w:val="18"/>
          <w:szCs w:val="18"/>
          <w:color w:val="auto"/>
        </w:rPr>
        <w:t>is a Vice President of the Fund. Mr. Waxman is a Co-Founding Partner and Chief Executive Officer of Sixth Street.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co-founding Sixth Street, Mr. Waxman was a Partner at Goldman, Sachs &amp; Co. and Chief Investment Officer of its largest proprietary investing business, the Americas Special Situations Group. Sixth Street continues an investment philosophy Mr. Waxman and Sixth Street’s founding partner group began developing over 20 years ago while building complementary businesses to invest Goldman’s capital in public and private markets across the capital structure in companies, assets, and idiosyncratic opportunities. Mr. Waxman is a Founding LP and Strategic Advisor to Concrete Rose, an early stage investment platform deploying financial and social capital to underrepresented founders of color. He and other Sixth Street team members began advising Concrete Rose leadership on the firm’s formation in 2018 and Sixth Street is a Founding Strategic Partner. Mr. Waxman holds a B.A. in International Relations from the University of Pennsylvania and currently serves on the Board of Overseers for the University of Pennsylvania College of Arts and Sciences. He is a Board Member Emeritus for Tipping Point Community and serves on the Advisory Council for the Boys and Girls Club of the Peninsula, which are both focused on fighting poverty and inequality of opportunity in the San Francisco Bay Area.</w:t>
      </w:r>
    </w:p>
    <w:p>
      <w:pPr>
        <w:spacing w:after="0" w:line="185"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Craig Hamrah </w:t>
      </w:r>
      <w:r>
        <w:rPr>
          <w:rFonts w:ascii="Times New Roman" w:cs="Times New Roman" w:eastAsia="Times New Roman" w:hAnsi="Times New Roman"/>
          <w:sz w:val="18"/>
          <w:szCs w:val="18"/>
          <w:color w:val="auto"/>
        </w:rPr>
        <w:t>is a Vice President of the Fund, Senior Credit Underwriter of the Adviser and Managing Director of Sixth Street. Mr. Hamrah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with Silver Point Capital, where he was a senior deal underwriter and oversaw the portfolio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79"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Steven Pluss </w:t>
      </w:r>
      <w:r>
        <w:rPr>
          <w:rFonts w:ascii="Times New Roman" w:cs="Times New Roman" w:eastAsia="Times New Roman" w:hAnsi="Times New Roman"/>
          <w:sz w:val="18"/>
          <w:szCs w:val="18"/>
          <w:color w:val="auto"/>
        </w:rPr>
        <w:t>is a Vice President of the Fund. He is a Co-Founding Partner of Sixth Street and has also been the Chief Risk Officer since 2013,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the Chief Financial Officer from 2013 to 2016. Prior to joining Sixth Street,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79"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Michael Fishman </w:t>
      </w:r>
      <w:r>
        <w:rPr>
          <w:rFonts w:ascii="Times New Roman" w:cs="Times New Roman" w:eastAsia="Times New Roman" w:hAnsi="Times New Roman"/>
          <w:sz w:val="18"/>
          <w:szCs w:val="18"/>
          <w:color w:val="auto"/>
        </w:rPr>
        <w:t>is a Vice President of the Fund and is a Sixth Street Partner. He has been an executive in corporate lending for more than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with senior management experience in credit, portfolio management and primary loan originations. Prior to joining Sixth Street, Mr. Fishman was the Executive Vice President and National Director of Loan Originations for WFCF, formerly known as Wells Fargo Foothill and Foothill Capital</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179" w:lineRule="exact"/>
        <w:rPr>
          <w:sz w:val="20"/>
          <w:szCs w:val="20"/>
          <w:color w:val="auto"/>
        </w:rPr>
      </w:pPr>
    </w:p>
    <w:p>
      <w:pPr>
        <w:ind w:left="1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Joshua Peck </w:t>
      </w:r>
      <w:r>
        <w:rPr>
          <w:rFonts w:ascii="Times New Roman" w:cs="Times New Roman" w:eastAsia="Times New Roman" w:hAnsi="Times New Roman"/>
          <w:sz w:val="17"/>
          <w:szCs w:val="17"/>
          <w:color w:val="auto"/>
        </w:rPr>
        <w:t>is a Vice President of the Fund and a Partner and General Counsel of Sixth Street. Prior to joining Sixth Street in 2015, Mr. Peck was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Associate with Weil, Gotshal &amp; Manges LLP, focused on private equity and mergers and acquisitions. He holds a J.D. from Fordham Law School and a B.A. in Government from Cornell University. Mr. Peck serves on the Board of Directors of Legal Aid at Work, a non-profit legal services organization that has been assisting low-income, working families for one than 100 years. He also serves on the Advisory Council of the Law Firm Antiracism Alliance, which brings together law firms and legal services organizations to identify and dismantle structural and systemic racism in the law.</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Leadership Structure and Oversight Responsibilities</w:t>
      </w:r>
    </w:p>
    <w:p>
      <w:pPr>
        <w:spacing w:after="0" w:line="121" w:lineRule="exact"/>
        <w:rPr>
          <w:sz w:val="20"/>
          <w:szCs w:val="20"/>
          <w:color w:val="auto"/>
        </w:rPr>
      </w:pPr>
    </w:p>
    <w:p>
      <w:pPr>
        <w:jc w:val="both"/>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0"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Mr. Easterly will serve as the chairman of our Board. We believe that Mr. Easterly’s familiarity with our investment platform and extensive knowledge of the financial services industry qualifies him to serve as the chairman of our Board.</w:t>
      </w:r>
    </w:p>
    <w:p>
      <w:pPr>
        <w:spacing w:after="0" w:line="162"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will include regular meetings of the Independent Directors in executive session without the presence of interested directors and management, as well as the establishment of a Nominating and Corporate Governance Committee and an Audit Committee, each consisting solely of Independent Directors for the purposes of the NYSE corporate governance rules and, in the case of the Audit Committee, Rule 10A-3 under the Securities Exchange Act of 1934, as amended (the “Exchange Act”). During executive sessions, the chairman of the Audit Committee or his designee will act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94"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color w:val="auto"/>
        </w:rPr>
        <w:t>Our Board will perform its risk oversight function primarily through its committees and monitoring by our Chief Compliance Officer in accordance with its compliance policies and procedures.</w:t>
      </w:r>
    </w:p>
    <w:p>
      <w:pPr>
        <w:spacing w:after="0" w:line="16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described below in more detail under “—Board Committees—Audit Committee,” the Audit Committee will assist the Board in fulfilling its risk oversight responsibilities. The Audit Committee’s risk oversight responsibilities will include overseeing our accounting and financial reporting processes, our systems of internal controls regarding finance and accounting, and audits of our financial statements. The Audit Committee will also discuss with management our major financial risk exposures and the steps management has taken to monitor and control such exposures, including our risk assessment and risk management policies.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perform its risk oversight responsibilities with the assistance of the Chief Compliance Officer. Our Chief Compliance Officer will prepare a written report annually discussing the adequacy and effectiveness of our compliance policies and procedures. The Chief Compliance Officer’s report, which will be reviewed by the Board, will address:</w:t>
      </w:r>
    </w:p>
    <w:p>
      <w:pPr>
        <w:spacing w:after="0" w:line="81"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compliance policies and procedures and certain of our service providers since the last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changes to these policies and procedures or recommended changes;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compliance matter that has occurred about which the Board would reasonably need to know to oversee our compliance activities and risks.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the Chief Compliance Officer will meet separately in executive session with the Independent Directors periodically, typically every quarter, but in no event less than once each year.</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believe that the Board’s role in risk oversight will be effective and appropriate given the extensive regulation to which we are already subject as a business development company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intend to elect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Further, we believe that the Board’s structure and practices will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Board’s role in risk oversight must be evaluated on a case-by-case basis and that its existing role in risk oversight is appropriate.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Directors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Anton Brett, Sixth Street Lending Partners, 888 7th Avenue, 35th Floor, New York, NY 10106. Such communications should specify the intended recipient or recipients. All such communications, other than unsolicited commercial solicitations, will be forwarded to the appropriate director, or directors, for review.</w:t>
      </w:r>
    </w:p>
    <w:p>
      <w:pPr>
        <w:spacing w:after="0" w:line="183"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information on how to report issues related to financial statement disclosures, accounting, internal accounting controls or auditing matters to our Board or the Independent Directors via email is available upon request.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have two standing committees: the Audit Committee and the Nominating and Corporate Governance Committee.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will operate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1"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integrity of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system of internal controls;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225" w:lineRule="exact"/>
        <w:rPr>
          <w:sz w:val="20"/>
          <w:szCs w:val="20"/>
          <w:color w:val="auto"/>
        </w:rPr>
      </w:pPr>
    </w:p>
    <w:p>
      <w:pPr>
        <w:jc w:val="both"/>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will have the sole authority to approve the engagement, and review the performance of, our independent registered public accounting firm.</w:t>
      </w:r>
    </w:p>
    <w:p>
      <w:pPr>
        <w:spacing w:after="0" w:line="16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Board has designated Ms. Slotkin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Messrs. Higginbotham, Doddy, and Tanemura and Ms. Slotkin are members of the Audit Committee and Ms. Slotkin serves as Chairman.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will operate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1" w:lineRule="exact"/>
        <w:rPr>
          <w:sz w:val="20"/>
          <w:szCs w:val="20"/>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researching and nominating directors for election by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nominees to fill vacancies on the Board or a committee of the Board;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principles;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our management.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nominees to the Board recommended by a stockholder, if that stockholder complies with the advance notice provisions of our bylaws.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Messrs. Higginbotham, Doddy, and Tanemura and Ms. Slotkin, each of whom is independent for purposes of the NYSE corporate governance rules, and each of whom is not an “interested person” of the Company, of the Adviser, or of any of their respective affiliates as defined in Section 2(a)(19) of the 1940 Act. Mr. Higginbotham serves as Chairman.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60"/>
          </w:cols>
          <w:pgMar w:left="320" w:top="455" w:right="5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will be made by our Investment Review Committee, which includes senior personnel of our Adviser and Sixth Street. The members of our Investment Review Committee are Joshua Easterly, Alan Waxman, Brian D’Arcy, Michael Fishman, Michael Griffin, Robert (“Bo”) Stanley and David Stiepleman.</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 Compensation of Executive Officers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have any employees and do not expect to have any employees. Services necessary for our business are provided by individuals who are employees of our Adviser, which is also our Administrator, or its affiliates, pursuant to the terms of the Advisory Agreement and the Administration Agreement, as applicable. Our day-to-day investment operations will be managed by the Adviser. Most of the services necessary for the sourcing and administration of our investment portfolio are provided by investment professionals employed by the Adviser or its affiliates.</w:t>
      </w:r>
    </w:p>
    <w:p>
      <w:pPr>
        <w:spacing w:after="0" w:line="180"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For the avoidance of doubt, the Fund will bear its allocable portion of the costs of the compensation, benefits, and related administrative expenses (including travel expenses) of its officers who provide operational and administrative services under the Administration Agreement, their respective staffs and other professionals who provide services to the Fund (including, in each case, employees of the Administrator or an affiliate) who assist with the preparation, coordination, and administration of the foregoing or provide other “back office” or “middle office” financial or operational services to the Fund. The Fund reimburses the Adviser (or its affiliates) for an allocable portion of the compensation paid by the Adviser (or its affiliates) to such individuals (based on a percentage of time such individuals devote, on an estimated basis, to the business and affairs of the Fund and in acting on behalf of the Fund). See “</w:t>
      </w:r>
      <w:r>
        <w:rPr>
          <w:rFonts w:ascii="Times New Roman" w:cs="Times New Roman" w:eastAsia="Times New Roman" w:hAnsi="Times New Roman"/>
          <w:sz w:val="17"/>
          <w:szCs w:val="17"/>
          <w:i w:val="1"/>
          <w:iCs w:val="1"/>
          <w:color w:val="auto"/>
        </w:rPr>
        <w:t>Item 1A. Business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Advisory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7. Certain Relationships and Related Transactions, and Trustee Independence</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 Compensation of Trustees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pay each Independent Trustee the following amounts for serving as a trustee:</w:t>
      </w:r>
    </w:p>
    <w:p>
      <w:pPr>
        <w:spacing w:after="0" w:line="131"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$110,000 annual retainer;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for each meeting of the Board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for each monthly telephonic update meeting attended;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for each committee meeting of ours attended;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fee of $15,000 per year for the chairman of the Audit Committee and $10,000 per year for the chairman of the Nominating and Corporate Governance Committee.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compensation is paid to our trustees who are “interested persons,” as such term is defined in Section 2(a)(19) of the 1940 Act. We pay each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Independent Trustee as follows:</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are also authorized to pay the reasonable out-of-pocket expenses of each Independent Trustee incurred by such trustee in connection with the fulfillment of his or her duties as an Independent Trustee.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TRUSTEE INDEPENDENCE</w:t>
      </w:r>
    </w:p>
    <w:p>
      <w:pPr>
        <w:spacing w:after="0" w:line="117" w:lineRule="exact"/>
        <w:rPr>
          <w:sz w:val="20"/>
          <w:szCs w:val="20"/>
          <w:color w:val="auto"/>
        </w:rPr>
      </w:pPr>
    </w:p>
    <w:p>
      <w:pPr>
        <w:ind w:left="120" w:right="4940" w:hanging="4"/>
        <w:spacing w:after="0" w:line="412" w:lineRule="auto"/>
        <w:tabs>
          <w:tab w:leader="none" w:pos="375"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Persons, Promoters and Certain Control Persons Advisory Agreement; Administration Agreement</w:t>
      </w:r>
    </w:p>
    <w:p>
      <w:pPr>
        <w:spacing w:after="0" w:line="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entered into the Advisory Agreement with the Adviser pursuant to which we will pay Management Fees and Incentive Fees 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Adviser and the Administration Agreement with the Administrator. In addition, pursuant to the Advisory Agreement and the Administration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reimburse the Adviser and Administrator for certain expenses as they occur. See “</w:t>
      </w:r>
      <w:r>
        <w:rPr>
          <w:rFonts w:ascii="Times New Roman" w:cs="Times New Roman" w:eastAsia="Times New Roman" w:hAnsi="Times New Roman"/>
          <w:sz w:val="18"/>
          <w:szCs w:val="18"/>
          <w:i w:val="1"/>
          <w:iCs w:val="1"/>
          <w:color w:val="auto"/>
        </w:rPr>
        <w:t>Item 1A. Business—Advisory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Item 1A. Business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—Administration Agreement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Item 1A. Business—Certain Terms of the Advisory Agreement and Administration Agreement</w:t>
      </w:r>
      <w:r>
        <w:rPr>
          <w:rFonts w:ascii="Times New Roman" w:cs="Times New Roman" w:eastAsia="Times New Roman" w:hAnsi="Times New Roman"/>
          <w:sz w:val="17"/>
          <w:szCs w:val="17"/>
          <w:color w:val="auto"/>
        </w:rPr>
        <w:t>.” Each of the Advisory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the Administration Agreement has been approved by the Board of Trustees. Unless earlier terminated, each of the Advisory Agreement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the Administration Agreement will remain in effect for a period of two years from the date it first becomes effective and will remain in effect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from year-to-year thereafter if approved annually by a majority of the Board of Trustees, including a majority of Independent Trustees, or by the holders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 majority of our outstanding voting securities.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Agreement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a License Agreement with Austin IP, LLC that grants us a non-exclusive, royalty-free license to use the mark “Sixth Street” and any derivative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For information regarding the independence of our directors, see “Item 5. </w:t>
      </w:r>
      <w:r>
        <w:rPr>
          <w:rFonts w:ascii="Times New Roman" w:cs="Times New Roman" w:eastAsia="Times New Roman" w:hAnsi="Times New Roman"/>
          <w:sz w:val="18"/>
          <w:szCs w:val="18"/>
          <w:i w:val="1"/>
          <w:iCs w:val="1"/>
          <w:color w:val="auto"/>
        </w:rPr>
        <w:t>Trustees and Executive Officers</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b w:val="1"/>
          <w:bCs w:val="1"/>
          <w:color w:val="auto"/>
        </w:rPr>
        <w:t>MARKET PRICE OF AND DIVIDENDS ON THE REGISTRANT’S COMMON EQUITY AND RELATED SHAREHOLDER</w:t>
      </w:r>
    </w:p>
    <w:p>
      <w:pPr>
        <w:spacing w:after="0" w:line="3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Our outstanding Common Shares will be offered and sold in private offerings exempt from registration under the Securities Act under Section 4(a)</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 Regulation D and Regulation S. There is no public market for our Common Shares currently, nor can we give any assurance that one will develop.</w:t>
      </w:r>
    </w:p>
    <w:p>
      <w:pPr>
        <w:spacing w:after="0" w:line="20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Because our Common Shares are being acquired by investors in one or more transactions “not involving a public offering,” they are “restricted securities” and may be required to be held indefinitely. Our Common Shares may not be sold, transferred, assigned, pledged or otherwise disposed of unless (1) our consent is granted, and (2) the Common Shares are registered under applicable securities laws or specifically exempted from registration (in which case the shareholder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Common Shares will be offered for subscription on a continuous basis. Each investor in the Private Offering will purchase Common Shares pursuant to a Subscription Agreement.</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initial per share purchase price for Common Shares in the primary offering will be $25.00 per share. Thereafter, the purchase price per share for Common Share will equal the NAV per share, as of the effective date of the share purchase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Fund’s common shareholders are entitled to one vote for each Common Share held on all matters submitted to a vote of shareholders, and to receive distributions declared by the Board. The rights of common shareholders are subject to the Declaration of Trust and the Bylaws. Please see “</w:t>
      </w:r>
      <w:r>
        <w:rPr>
          <w:rFonts w:ascii="Times New Roman" w:cs="Times New Roman" w:eastAsia="Times New Roman" w:hAnsi="Times New Roman"/>
          <w:sz w:val="18"/>
          <w:szCs w:val="18"/>
          <w:i w:val="1"/>
          <w:i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4. Security Ownership of Certain Beneficial Owners and Management</w:t>
      </w:r>
      <w:r>
        <w:rPr>
          <w:rFonts w:ascii="Times New Roman" w:cs="Times New Roman" w:eastAsia="Times New Roman" w:hAnsi="Times New Roman"/>
          <w:sz w:val="18"/>
          <w:szCs w:val="18"/>
          <w:color w:val="auto"/>
        </w:rPr>
        <w:t>” for disclosure regarding the holders of our Common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Valuation of Portfolio Securities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the net asset value per share of our Common Shares quarterly and as necessary for each Drawdown Purchase, which will be subject to the limitations of Section 23(b) under the 1940 Act (which generally prohibits us from issuing Common Shares at a price below the then-current net asset value of the Common Shares as determined within 48 hours, excluding Sundays and holidays, of such issuance (taking into account any investment valuation adjustments from the latest quarterly valuation date in accordance with the Fund’s valuation policy), subject to certain exceptions). The net asset value per share is equal to the value of our total assets minus liabilities and any preferred shares outstanding divided by the total number of Common Shares outstanding.</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Investments are valued at the end of each fiscal quarter. Substantially all of our investments are expected to be in loans that do not have readily ascertainable market prices. Assets that are not publicly traded or whose market prices are not readily available are valued at fair value as determined in good faith by the valuation committee of our Adviser and reviewed by the audit committee of our Board. The Board intends to retain independent providers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 However, no such conflict will be present while the Management Fee is being waived.</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obtain and maintain our RIC tax status,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shareholders.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ordinary net income for the calendar year, excluding ordinary gains and losses, recognized during a calendar year;</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8"/>
          <w:szCs w:val="18"/>
          <w:i w:val="1"/>
          <w:iCs w:val="1"/>
          <w:color w:val="auto"/>
        </w:rPr>
        <w:t>Item 1. Business—Dividend Reinvestment Plan</w:t>
      </w:r>
      <w:r>
        <w:rPr>
          <w:rFonts w:ascii="Times New Roman" w:cs="Times New Roman" w:eastAsia="Times New Roman" w:hAnsi="Times New Roman"/>
          <w:sz w:val="18"/>
          <w:szCs w:val="18"/>
          <w:color w:val="auto"/>
        </w:rPr>
        <w:t>” for a description of our dividend policy. One or more of the considerations described below, however, could result in the deferral of dividend distributions until the end of the fiscal year:</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 Similarly, the terms of the debt instruments that we hold may be modified under certain circumstances. These modifications may be considered “significant modifications” for U.S. federal income tax purposes that give rise to deemed debt-for-debt exchange upon which we may recognize taxable income or gain without a corresponding receipt of cash.</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shareholders, and distributions will be taxable to our shareholders as ordinary dividends to the extent of our current or accumulated earnings and profits, and distributions would not be required. Distributions in excess of our current and accumulated earnings and profits would be treated first as a return of capital to the extent of the shareholder’s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shareholders their share of the foreign taxes paid by 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Reports to Shareholders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Fund will furnish to shareholders as soon as commercially practicable after the end of each taxable year and each calendar year such information as is necessary for them to complete U.S. federal and state income tax or information returns, along with any other tax information required by law.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Annual and quarterly reports, including audited financial statements filed with the SEC, will be made available to investors.</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Depending on legal requirements, the Fund may provide this information to shareholders via U.S. mail or other courier, electronic delivery, or some combination of the foregoing. Information about the Fund will also be available on the SEC’s website at www.sec.gov.</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not yet commenced commercial activities. On June 24, 2022, our Adviser purchased $30,000 of Common Shares of the Fund at a price of $25.00 per Common Share as our initial capital. These Common Shares were issued and sold in reliance upon Section 4(a)(2) of the Securities Act, which provides an exemption from the registration requirements of the Securities Act.</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11.</w:t>
      </w:r>
      <w:r>
        <w:rPr>
          <w:sz w:val="20"/>
          <w:szCs w:val="20"/>
          <w:color w:val="auto"/>
        </w:rPr>
        <w:tab/>
      </w:r>
      <w:r>
        <w:rPr>
          <w:rFonts w:ascii="Times New Roman" w:cs="Times New Roman" w:eastAsia="Times New Roman" w:hAnsi="Times New Roman"/>
          <w:sz w:val="18"/>
          <w:szCs w:val="18"/>
          <w:b w:val="1"/>
          <w:bCs w:val="1"/>
          <w:color w:val="auto"/>
        </w:rPr>
        <w:t>DESCRIPTION OF REGISTRANT’S SECURITIES TO BE REGISTERED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Description of our Common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terms of the Declaration of Trust authorize an unlimited number of Common Shares. There is currently no market for the Common Shares, and there can be no assurance that a market for the Common Shares will develop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Fund’s Declaration of Trust, all Common Shares, when they are issued in accordance with the terms of the Declaration of Trust, will be duly authorized, validly issued, fully paid and nonassessable. Dividends and distributions may be paid to shareholders if, as and when authorized by the Board of Trustees and declared by the Fund out of funds legally available therefore. Except as may be provided by the Board of Trustees in setting the terms of classified or reclassified shares, the Common Shares will have no preemptive, exchange, conversion, appraisal or redemption rights. In the event of liquidation, dissolution or winding up, each of the Common Shares would be entitled to share pro rata in all of the Fund’s assets that are legally available for distribution after the Fund pays all debts and other liabilities and subject to any preferential rights of holders of the Fund’s preferred shares, if any preferred shares are outstanding at such time. Subject to the rights of holders of any other class or series of shares, each whole share of the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shall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Fund’s Declaration of Trust, the Fund’s Board of Trustees may amend the Declaration of Trust to alter the vote required to elect trustees.</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 meet an asset coverage ratio of total assets to total senior securities, which include all of our borrowings and preferred shares, of at least 150%; and (ii) 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and Resale Restrictions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prior to an Exchange Listing (or such other time pursuant to any agreements between the Fund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Redemptions by the Fund</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Each Common Share is subject to redemption (out of the assets of the Fund) by the Fund at the redemption price equal to the then current NAV per Common Share of the Fund determined in accordance with the Declaration of Trust at any time if the Trustees determine in their sole discretion that a shareholder has breached any of its representations or warranties contained in such shareholder’s Subscription Agreement with the Fund, and upon such redemption the holders of the Common Shares so redeemed shall have no further right with respect thereto other than to receive payment of such redemption price.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Law and Certain Declaration of Trust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Duration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intend to be formed as a Delaware statutory trust and will remain in existence until dissolved in accordance with our Declaration of Trust or pursuant to Delaware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Purpose</w:t>
      </w:r>
    </w:p>
    <w:p>
      <w:pPr>
        <w:spacing w:after="0" w:line="121"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Under the Declaration of Trust, the purpose of the Fund is to conduct, operate and carry on the business of a business development company within the meaning of the 1940 Act. In furtherance of the foregoing, it shall be the purpose of the Fund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Fund shall have the power and authority to engage in the foregoing and may exercise all of the powers conferred by the laws of the State of Delaware upon a Delaware statutory trust.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to be Bound by the Declaration of Trust; Power of Attorney</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Fund (and any substitute or successor Trustees or any substitute or successor officer of the Fund) (and, if appointed, any liquidator of the Fund)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Shareholders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shareholders will only have voting rights as required by the 1940 Act or as otherwise provided for in the Declaration of Trust. Under the Declaration of Trust, the Fund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Fund holding in the aggregate not less than thirty-three and one-third percent (331/3%) of the outstanding Common Shares of the Fund,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Fund holding in the aggregate not less than fifty-one percent (51%) of the outstanding Common Shares of the Fund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Declaration of Trust; No Approval by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Trustees may, without shareholder vote, amend or otherwise supplement the Declaration of Trust. Shareholders shall only have the right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 (i) on any amendment to the amendment provision of the Declaration of Trust, (ii) on any amendment that would adversely affect the powers,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preferences or special rights of the Common Shares as determined by the Trustees in good faith and (iii) on any amendment submitted to them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Trustees. In addition, notwithstanding anything to the contrary in the Declaration of Trust, in connection with an Exchange Listing, the Trustees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without the approval or vote of the shareholders, amend or supplement the Declaration of Trust in any manner, including, without limitation to classify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Trustees, to permit annual meetings of shareholders, to impose advance notice provisions for the bringing of shareholder nominations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proposals, to impose super-majority approval for certain types of transactions, to impose “control share” type provisions and to otherwise add provisions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may be deemed adverse to shareholders. A proposed amendment to the Declaration of Trust requires the affirmative vote of a majority of the Board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Trustees present (a quorum being present) at a meeting for adoption or, without a meeting, written consent to the amendment by the number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Trustees required for approval at a meeting of the Trustees at which all of the Trustees are present and voted.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Conversion, Sale or Other Disposition of Assets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Fund. For example, upon consummation of the Exchange Listing, the Board is able to cause the Fund to reorganize as a Maryland corporation. The Board of Trustees may also cause the sale of all or substantially all of our assets under a foreclosure or other realization without shareholder approval. Shareholders are not entitled to dissenters’ rights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Fund.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 Actions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Fund. No shareholder may maintain a derivative action on behalf of the Fund unless holders of a certain percentage of the outstanding Common Shares, as disclosed in our Declaration of Trust, join in the bringing of such action.</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requirements set forth in Section 3816 of the Delaware Statutory Trust Statute, a shareholder may bring a derivative action on behalf of the Fund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Fund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Fund or any series or class equally, that is, proportionately based on their number of Common Shares in the Fund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Delaware Jurisdiction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Each Trustee, each officer and, except as otherwise agreed in writing by the Fund, the Adviser and/or affiliates of the Adviser, each person legally or beneficially owning a Common Share or an interest in a Common Share of the Fund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Fund, the Delaware Statutory Trust Statute, the Declaration of Trust or the bylaws of the Fund (including, without limitation, any claims, suits, actions or proceedings to interpret, apply or enforce (A) the provisions of the Declaration of Trust or the bylaws of the Fund, or (B) the duties (including fiduciary duties), obligations or liabilities of the Fund to the shareholders or the Board of Trustees, or of officers or the Board of Trustees to the Fund, to the shareholders or each other, or (C) the rights or powers of, or restrictions on, the Fund, the officers, the Board of Trustees or the shareholders, or (D) any provision of the Delaware Statutory Trust Statute or other laws of the State of Delaware pertaining to trusts made applicable to the Fund pursuant to Section 3809 of the Delaware Statutory Trust Statute, or (E) any other instrument, document, agreement or certificate contemplated by any provision of the Delaware Statutory Trust Statute, the Declaration of Trust or the bylaws of the Fund relating in any way to the Fund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hanging="4"/>
        <w:spacing w:after="0" w:line="254" w:lineRule="auto"/>
        <w:tabs>
          <w:tab w:leader="none" w:pos="38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Term of the Fund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Fund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Fund.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Books and Reports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12.</w:t>
      </w:r>
      <w:r>
        <w:rPr>
          <w:sz w:val="20"/>
          <w:szCs w:val="20"/>
          <w:color w:val="auto"/>
        </w:rPr>
        <w:tab/>
      </w:r>
      <w:r>
        <w:rPr>
          <w:rFonts w:ascii="Times New Roman" w:cs="Times New Roman" w:eastAsia="Times New Roman" w:hAnsi="Times New Roman"/>
          <w:sz w:val="17"/>
          <w:szCs w:val="17"/>
          <w:b w:val="1"/>
          <w:bCs w:val="1"/>
          <w:color w:val="auto"/>
        </w:rPr>
        <w:t>INDEMNIFICATION OF TRUSTEES AND OFFICERS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Declaration of Trust provides that, to the fullest extent permitted by applicable law, none of the Fund’s officers, trustees or employees (each, an “Indemnified Person”) will be liable to the Fund or to any shareholder for any act or omission performed or omitted by any such Indemnified Person (including any acts or omissions of or by another Indemnified Person), in the absence of willful misfeasance, gross negligence, bad faith, reckless disregard of the duties involved in the conduct of such Indemnified Person’s respective position or criminal wrongdoing on its part (“Indemnified Person Disabling Conduct”).</w:t>
      </w:r>
    </w:p>
    <w:p>
      <w:pPr>
        <w:spacing w:after="0" w:line="183"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The Fund will indemnify each Indemnified Person for any loss or damage incurred by it in connection with any matter arising out of, or in connection with, the Fund, including the operations of the Fund and the offering of Common Shares, except for losses incurred by an Indemnified Person arising solely from the Indemnified Person’s own Indemnified Person Disabling Conduct.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indemnification provision of the Declaration of Trust, expenses (including attorneys’ fees) incurred by each Indemnified Person in defending any action, suit or proceeding for which they may be entitled to indemnification shall be paid in advance of the final disposition of the action, suit or proceeding. However, any such indemnification or payment or reimbursement of expenses will be subject to the applicable requirements of the 1940 Act.</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So long as the Fund is regulated under the 1940 Act, the above indemnification and limitation of liability is limited by the 1940 Act or by any valid rule, regulation or order of the SEC thereunder. The 1940 Act provides, among other things, that a company may not indemnify any trustee or officer against liability to it or its security holders to which he or she might otherwise be subject by reason of his or her willful misfeasance, bad faith or gross negligence. In addition, the Fund has obtained liability insurance for its officers and trustees.</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13.</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Set forth below is an index to our financial statements attached to this Registration Statement.</w:t>
      </w:r>
    </w:p>
    <w:p>
      <w:pPr>
        <w:spacing w:after="0" w:line="11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2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80" w:type="dxa"/>
            <w:vAlign w:val="bottom"/>
          </w:tcPr>
          <w:p>
            <w:pPr>
              <w:spacing w:after="0"/>
              <w:rPr>
                <w:sz w:val="18"/>
                <w:szCs w:val="18"/>
                <w:color w:val="auto"/>
              </w:rPr>
            </w:pPr>
          </w:p>
        </w:tc>
        <w:tc>
          <w:tcPr>
            <w:tcW w:w="6160" w:type="dxa"/>
            <w:vAlign w:val="bottom"/>
          </w:tcPr>
          <w:p>
            <w:pPr>
              <w:ind w:left="5900"/>
              <w:spacing w:after="0"/>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34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 as of June 30, 2022</w:t>
            </w:r>
          </w:p>
        </w:tc>
        <w:tc>
          <w:tcPr>
            <w:tcW w:w="1340" w:type="dxa"/>
            <w:vAlign w:val="bottom"/>
            <w:gridSpan w:val="3"/>
          </w:tcPr>
          <w:p>
            <w:pPr>
              <w:spacing w:after="0"/>
              <w:rPr>
                <w:sz w:val="17"/>
                <w:szCs w:val="17"/>
                <w:color w:val="auto"/>
              </w:rPr>
            </w:pPr>
          </w:p>
        </w:tc>
        <w:tc>
          <w:tcPr>
            <w:tcW w:w="6160" w:type="dxa"/>
            <w:vAlign w:val="bottom"/>
          </w:tcPr>
          <w:p>
            <w:pPr>
              <w:ind w:left="5900"/>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41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Operations as of June 30, 2022</w:t>
            </w:r>
          </w:p>
        </w:tc>
        <w:tc>
          <w:tcPr>
            <w:tcW w:w="620" w:type="dxa"/>
            <w:vAlign w:val="bottom"/>
            <w:gridSpan w:val="2"/>
          </w:tcPr>
          <w:p>
            <w:pPr>
              <w:spacing w:after="0"/>
              <w:rPr>
                <w:sz w:val="17"/>
                <w:szCs w:val="17"/>
                <w:color w:val="auto"/>
              </w:rPr>
            </w:pPr>
          </w:p>
        </w:tc>
        <w:tc>
          <w:tcPr>
            <w:tcW w:w="6160" w:type="dxa"/>
            <w:vAlign w:val="bottom"/>
          </w:tcPr>
          <w:p>
            <w:pPr>
              <w:ind w:left="5900"/>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48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160" w:type="dxa"/>
            <w:vAlign w:val="bottom"/>
          </w:tcPr>
          <w:p>
            <w:pPr>
              <w:ind w:left="5900"/>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385"/>
        </w:trPr>
        <w:tc>
          <w:tcPr>
            <w:tcW w:w="31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106</w:t>
            </w:r>
          </w:p>
        </w:tc>
      </w:tr>
    </w:tbl>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14.</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There are not and have not been any disagreements between us and our accountant on any matter of accounting principles, practices, or financial statement disclosure.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660" w:hanging="544"/>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 separately all financial statements filed</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financial statements attached to this Registration Statement are listed under “</w:t>
      </w:r>
      <w:r>
        <w:rPr>
          <w:rFonts w:ascii="Times New Roman" w:cs="Times New Roman" w:eastAsia="Times New Roman" w:hAnsi="Times New Roman"/>
          <w:sz w:val="18"/>
          <w:szCs w:val="18"/>
          <w:i w:val="1"/>
          <w:iCs w:val="1"/>
          <w:color w:val="auto"/>
        </w:rPr>
        <w:t>Item 13. Financial Statements and Supplementary Data</w:t>
      </w:r>
      <w:r>
        <w:rPr>
          <w:rFonts w:ascii="Times New Roman" w:cs="Times New Roman" w:eastAsia="Times New Roman" w:hAnsi="Times New Roman"/>
          <w:sz w:val="18"/>
          <w:szCs w:val="18"/>
          <w:color w:val="auto"/>
        </w:rPr>
        <w:t>.”</w:t>
      </w:r>
    </w:p>
    <w:p>
      <w:pPr>
        <w:spacing w:after="0" w:line="133" w:lineRule="exact"/>
        <w:rPr>
          <w:sz w:val="20"/>
          <w:szCs w:val="20"/>
          <w:color w:val="auto"/>
        </w:rPr>
      </w:pPr>
    </w:p>
    <w:p>
      <w:pPr>
        <w:ind w:left="660" w:hanging="544"/>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35" w:lineRule="exact"/>
        <w:rPr>
          <w:sz w:val="20"/>
          <w:szCs w:val="20"/>
          <w:color w:val="auto"/>
        </w:rPr>
      </w:pPr>
    </w:p>
    <w:p>
      <w:pPr>
        <w:ind w:left="200"/>
        <w:spacing w:after="0"/>
        <w:tabs>
          <w:tab w:leader="none" w:pos="76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0000EE"/>
        </w:rPr>
        <w:t>Second Amended and Restated Declaration of Trust**</w:t>
      </w:r>
    </w:p>
    <w:p>
      <w:pPr>
        <w:spacing w:after="0" w:line="117" w:lineRule="exact"/>
        <w:rPr>
          <w:sz w:val="20"/>
          <w:szCs w:val="20"/>
          <w:color w:val="auto"/>
        </w:rPr>
      </w:pPr>
    </w:p>
    <w:p>
      <w:pPr>
        <w:ind w:left="20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24">
        <w:r>
          <w:rPr>
            <w:rFonts w:ascii="Times New Roman" w:cs="Times New Roman" w:eastAsia="Times New Roman" w:hAnsi="Times New Roman"/>
            <w:sz w:val="17"/>
            <w:szCs w:val="17"/>
            <w:u w:val="single" w:color="auto"/>
            <w:color w:val="0000EE"/>
          </w:rPr>
          <w:t>Bylaws*</w:t>
        </w:r>
      </w:hyperlink>
    </w:p>
    <w:p>
      <w:pPr>
        <w:spacing w:after="0" w:line="117" w:lineRule="exact"/>
        <w:rPr>
          <w:sz w:val="20"/>
          <w:szCs w:val="20"/>
          <w:color w:val="auto"/>
        </w:rPr>
      </w:pPr>
    </w:p>
    <w:p>
      <w:pPr>
        <w:ind w:left="200"/>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25">
        <w:r>
          <w:rPr>
            <w:rFonts w:ascii="Times New Roman" w:cs="Times New Roman" w:eastAsia="Times New Roman" w:hAnsi="Times New Roman"/>
            <w:sz w:val="18"/>
            <w:szCs w:val="18"/>
            <w:u w:val="single" w:color="auto"/>
            <w:color w:val="0000EE"/>
          </w:rPr>
          <w:t>Form of Subscription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26">
        <w:r>
          <w:rPr>
            <w:rFonts w:ascii="Times New Roman" w:cs="Times New Roman" w:eastAsia="Times New Roman" w:hAnsi="Times New Roman"/>
            <w:sz w:val="17"/>
            <w:szCs w:val="17"/>
            <w:u w:val="single" w:color="auto"/>
            <w:color w:val="0000EE"/>
          </w:rPr>
          <w:t>Advisory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27">
        <w:r>
          <w:rPr>
            <w:rFonts w:ascii="Times New Roman" w:cs="Times New Roman" w:eastAsia="Times New Roman" w:hAnsi="Times New Roman"/>
            <w:sz w:val="17"/>
            <w:szCs w:val="17"/>
            <w:u w:val="single" w:color="auto"/>
            <w:color w:val="0000EE"/>
          </w:rPr>
          <w:t>Administration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128">
        <w:r>
          <w:rPr>
            <w:rFonts w:ascii="Times New Roman" w:cs="Times New Roman" w:eastAsia="Times New Roman" w:hAnsi="Times New Roman"/>
            <w:sz w:val="17"/>
            <w:szCs w:val="17"/>
            <w:u w:val="single" w:color="auto"/>
            <w:color w:val="0000EE"/>
          </w:rPr>
          <w:t>Trademark and License Agreement*</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29">
        <w:r>
          <w:rPr>
            <w:rFonts w:ascii="Times New Roman" w:cs="Times New Roman" w:eastAsia="Times New Roman" w:hAnsi="Times New Roman"/>
            <w:sz w:val="17"/>
            <w:szCs w:val="17"/>
            <w:u w:val="single" w:color="auto"/>
            <w:color w:val="0000EE"/>
          </w:rPr>
          <w:t>Dividend Reinvestment Plan*</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30">
        <w:r>
          <w:rPr>
            <w:rFonts w:ascii="Times New Roman" w:cs="Times New Roman" w:eastAsia="Times New Roman" w:hAnsi="Times New Roman"/>
            <w:sz w:val="17"/>
            <w:szCs w:val="17"/>
            <w:u w:val="single" w:color="auto"/>
            <w:color w:val="0000EE"/>
          </w:rPr>
          <w:t>Expense Support and Conditional Reimbursement Agreement*</w:t>
        </w:r>
      </w:hyperlink>
    </w:p>
    <w:p>
      <w:pPr>
        <w:spacing w:after="0" w:line="117"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u w:val="single" w:color="auto"/>
          <w:color w:val="0000EE"/>
        </w:rPr>
        <w:t>Fund of Funds Agreement**</w:t>
      </w:r>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14.1</w:t>
      </w:r>
      <w:r>
        <w:rPr>
          <w:sz w:val="20"/>
          <w:szCs w:val="20"/>
          <w:color w:val="auto"/>
        </w:rPr>
        <w:tab/>
      </w:r>
      <w:hyperlink r:id="rId131">
        <w:r>
          <w:rPr>
            <w:rFonts w:ascii="Times New Roman" w:cs="Times New Roman" w:eastAsia="Times New Roman" w:hAnsi="Times New Roman"/>
            <w:sz w:val="18"/>
            <w:szCs w:val="18"/>
            <w:u w:val="single" w:color="auto"/>
            <w:color w:val="0000EE"/>
          </w:rPr>
          <w:t>Fund Code of Ethics*</w:t>
        </w:r>
      </w:hyperlink>
    </w:p>
    <w:p>
      <w:pPr>
        <w:spacing w:after="0" w:line="117" w:lineRule="exact"/>
        <w:rPr>
          <w:sz w:val="20"/>
          <w:szCs w:val="20"/>
          <w:color w:val="auto"/>
        </w:rPr>
      </w:pPr>
    </w:p>
    <w:p>
      <w:pPr>
        <w:ind w:left="120"/>
        <w:spacing w:after="0"/>
        <w:tabs>
          <w:tab w:leader="none" w:pos="7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14.2</w:t>
      </w:r>
      <w:r>
        <w:rPr>
          <w:sz w:val="20"/>
          <w:szCs w:val="20"/>
          <w:color w:val="auto"/>
        </w:rPr>
        <w:tab/>
      </w:r>
      <w:hyperlink r:id="rId132">
        <w:r>
          <w:rPr>
            <w:rFonts w:ascii="Times New Roman" w:cs="Times New Roman" w:eastAsia="Times New Roman" w:hAnsi="Times New Roman"/>
            <w:sz w:val="18"/>
            <w:szCs w:val="18"/>
            <w:u w:val="single" w:color="auto"/>
            <w:color w:val="0000EE"/>
          </w:rPr>
          <w:t>Adviser Code of Ethics*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92" w:lineRule="exact"/>
        <w:rPr>
          <w:sz w:val="20"/>
          <w:szCs w:val="20"/>
          <w:color w:val="auto"/>
        </w:rPr>
      </w:pPr>
    </w:p>
    <w:p>
      <w:pPr>
        <w:ind w:left="120" w:right="240" w:hanging="4"/>
        <w:spacing w:after="0" w:line="282" w:lineRule="auto"/>
        <w:tabs>
          <w:tab w:leader="none" w:pos="55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connection with the Registrant’ Registration Statement on Form 10 (Securities Act File No. 000-56455) on June 28, 2022. (**) Filed herewith.</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60"/>
          </w:cols>
          <w:pgMar w:left="320" w:top="455" w:right="6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August 22, 2022</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9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40" w:type="dxa"/>
            <w:vAlign w:val="bottom"/>
            <w:gridSpan w:val="3"/>
          </w:tcPr>
          <w:p>
            <w:pPr>
              <w:jc w:val="center"/>
              <w:ind w:right="127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2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196"/>
        </w:trPr>
        <w:tc>
          <w:tcPr>
            <w:tcW w:w="120" w:type="dxa"/>
            <w:vAlign w:val="bottom"/>
          </w:tcPr>
          <w:p>
            <w:pPr>
              <w:spacing w:after="0"/>
              <w:rPr>
                <w:sz w:val="17"/>
                <w:szCs w:val="17"/>
                <w:color w:val="auto"/>
              </w:rPr>
            </w:pPr>
          </w:p>
        </w:tc>
        <w:tc>
          <w:tcPr>
            <w:tcW w:w="42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68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6"/>
        </w:trPr>
        <w:tc>
          <w:tcPr>
            <w:tcW w:w="120" w:type="dxa"/>
            <w:vAlign w:val="bottom"/>
          </w:tcPr>
          <w:p>
            <w:pPr>
              <w:spacing w:after="0"/>
              <w:rPr>
                <w:sz w:val="15"/>
                <w:szCs w:val="15"/>
                <w:color w:val="auto"/>
              </w:rPr>
            </w:pPr>
          </w:p>
        </w:tc>
        <w:tc>
          <w:tcPr>
            <w:tcW w:w="8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 as of June 30, 2022</w:t>
            </w:r>
          </w:p>
        </w:tc>
        <w:tc>
          <w:tcPr>
            <w:tcW w:w="2120" w:type="dxa"/>
            <w:vAlign w:val="bottom"/>
          </w:tcPr>
          <w:p>
            <w:pPr>
              <w:ind w:left="18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9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1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 of Operations as of June 30, 2022</w:t>
            </w:r>
          </w:p>
        </w:tc>
        <w:tc>
          <w:tcPr>
            <w:tcW w:w="4720" w:type="dxa"/>
            <w:vAlign w:val="bottom"/>
            <w:tcBorders>
              <w:bottom w:val="single" w:sz="8" w:color="CCEEFF"/>
            </w:tcBorders>
            <w:gridSpan w:val="2"/>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6"/>
        </w:trPr>
        <w:tc>
          <w:tcPr>
            <w:tcW w:w="120" w:type="dxa"/>
            <w:vAlign w:val="bottom"/>
          </w:tcPr>
          <w:p>
            <w:pPr>
              <w:spacing w:after="0"/>
              <w:rPr>
                <w:sz w:val="15"/>
                <w:szCs w:val="15"/>
                <w:color w:val="auto"/>
              </w:rPr>
            </w:pPr>
          </w:p>
        </w:tc>
        <w:tc>
          <w:tcPr>
            <w:tcW w:w="89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20" w:type="dxa"/>
            <w:vAlign w:val="bottom"/>
          </w:tcPr>
          <w:p>
            <w:pPr>
              <w:ind w:left="18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9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8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w w:val="95"/>
              </w:rPr>
              <w:t>F-1</w:t>
            </w:r>
          </w:p>
        </w:tc>
        <w:tc>
          <w:tcPr>
            <w:tcW w:w="2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40"/>
          </w:cols>
          <w:pgMar w:left="320" w:top="445"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1019810" cy="411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KPMG LLP 345</w:t>
      </w:r>
    </w:p>
    <w:p>
      <w:pPr>
        <w:spacing w:after="0" w:line="2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Park Avenue</w:t>
      </w:r>
    </w:p>
    <w:p>
      <w:pPr>
        <w:spacing w:after="0" w:line="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New York, NY 10154-0102</w:t>
      </w:r>
    </w:p>
    <w:p>
      <w:pPr>
        <w:spacing w:after="0" w:line="31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 and Board of Trustees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Sixth Street Lending Partners and subsidiaries (the Company) as of June 30, 2022, the related consolidated statement of operations for the period from April 5, 2022 (inception) to June 30, 2022, and the related notes (collectively, the consolidated financial statements). In our opinion, the consolidated financial statements present fairly, in all material respects, the financial position of the Company as of June 30, 2022, and the results of its operations for the period from April 5, 2022 (inception) to June 30, 2022,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19,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540" w:right="2860"/>
        <w:spacing w:after="0" w:line="289" w:lineRule="auto"/>
        <w:rPr>
          <w:sz w:val="20"/>
          <w:szCs w:val="20"/>
          <w:color w:val="auto"/>
        </w:rPr>
      </w:pPr>
      <w:r>
        <w:rPr>
          <w:rFonts w:ascii="Times New Roman" w:cs="Times New Roman" w:eastAsia="Times New Roman" w:hAnsi="Times New Roman"/>
          <w:sz w:val="17"/>
          <w:szCs w:val="17"/>
          <w:color w:val="auto"/>
        </w:rPr>
        <w:t>KPMG LLP, a Delaware limited liability partnership and a member firm of the KPMG global organization of independent member firms affiliated with KPMG International Limited, a private English company limited by guarantee.</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Sixth Street Lending Partners</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006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amounts)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1006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96"/>
        </w:trPr>
        <w:tc>
          <w:tcPr>
            <w:tcW w:w="10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expense</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r>
      <w:tr>
        <w:trPr>
          <w:trHeight w:val="223"/>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Payable to affiliate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1,074</w:t>
            </w:r>
          </w:p>
        </w:tc>
      </w:tr>
      <w:tr>
        <w:trPr>
          <w:trHeight w:val="27"/>
        </w:trPr>
        <w:tc>
          <w:tcPr>
            <w:tcW w:w="10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1,074</w:t>
            </w:r>
          </w:p>
        </w:tc>
      </w:tr>
      <w:tr>
        <w:trPr>
          <w:trHeight w:val="223"/>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$0.001 par value; unlimited shares authorized; 1,200 shares issued and outstanding</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net loss</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r>
      <w:tr>
        <w:trPr>
          <w:trHeight w:val="27"/>
        </w:trPr>
        <w:tc>
          <w:tcPr>
            <w:tcW w:w="10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w:t>
            </w:r>
          </w:p>
        </w:tc>
      </w:tr>
      <w:tr>
        <w:trPr>
          <w:trHeight w:val="223"/>
        </w:trPr>
        <w:tc>
          <w:tcPr>
            <w:tcW w:w="100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Net Liabilities and Net Assets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(761.17)</w:t>
            </w:r>
          </w:p>
        </w:tc>
      </w:tr>
      <w:tr>
        <w:trPr>
          <w:trHeight w:val="20"/>
        </w:trPr>
        <w:tc>
          <w:tcPr>
            <w:tcW w:w="10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9"/>
              </w:rPr>
              <w:t>Sixth Street Lending Partners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68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968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share and per share amounts)</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9680" w:type="dxa"/>
            <w:vAlign w:val="bottom"/>
          </w:tcPr>
          <w:p>
            <w:pPr>
              <w:spacing w:after="0"/>
              <w:rPr>
                <w:sz w:val="24"/>
                <w:szCs w:val="24"/>
                <w:color w:val="auto"/>
              </w:rPr>
            </w:pP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From April 5, 2022</w:t>
            </w:r>
          </w:p>
        </w:tc>
      </w:tr>
      <w:tr>
        <w:trPr>
          <w:trHeight w:val="149"/>
        </w:trPr>
        <w:tc>
          <w:tcPr>
            <w:tcW w:w="968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r>
      <w:tr>
        <w:trPr>
          <w:trHeight w:val="173"/>
        </w:trPr>
        <w:tc>
          <w:tcPr>
            <w:tcW w:w="9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196"/>
        </w:trPr>
        <w:tc>
          <w:tcPr>
            <w:tcW w:w="9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fees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9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Investment Loss</w:t>
            </w: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Pr>
          <w:p>
            <w:pPr>
              <w:spacing w:after="0"/>
              <w:rPr>
                <w:sz w:val="20"/>
                <w:szCs w:val="20"/>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Net Assets Resulting from Operations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r>
      <w:tr>
        <w:trPr>
          <w:trHeight w:val="20"/>
        </w:trPr>
        <w:tc>
          <w:tcPr>
            <w:tcW w:w="9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Sixth Street Lending Partners (the “Company”) is a Delaware statutory trust formed on April 5, 2022. The Company was formed primarily to lend to, and selectively invest in, middle-market companies in the United States. The Company has elected to be regulated as a business development company (“BDC”) under the 1940 Act. In addition, for tax purposes, the Company intends to elect to be treated as a regulated investment company (“RIC”) under Subchapter M of the Internal Revenue Code of 1986, as amended (the “Code”). The Company is managed by Sixth Street Lending Partners Advisers, LLC (the “Adviser”). On May 12, 2022, the Company formed a wholly-owned subsidiary, Sixth Street LP Holding, LLC, a Delaware limited liability company. On May 12, 2022, the Company formed a wholly-owned subsidiary, SSLP Lending, LLC, a Delaware limited liability company. As of June 30, 2022, the Company had not commenced its investing activities.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conducting a private offering (the “Private Offering”) of its common shares of beneficial interest to accredited investors, as defined in Regulation D under the Securities Act of 1933 (the “1933 Act”) in reliance on exemptions from the registration requirements of the 1933 Act. Shares will be offered for subscription continuously throughout an initial closing period and may be offered from time to time thereafter. Each investor in the Private Offering will make a capital commitment (a “Capital Commitment”) to purchase common shares of beneficial interest of the Company pursuant to a subscription agreement entered into with the Company. Investors will be required to fund drawdowns to purchase the Company’s shares up to the amount of their respective Capital Commitments on an as-needed basis each time the Company delivers a notice to the investors. The Company anticipates commencing its loan origination and investment activities contemporaneously with the initial drawdown from investors in the Private Offering.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June 24, 2022, the Adviser purchased 1,200 shares of the Company’s common shares of beneficial interest at $25.00 per share.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have been included. All intercompany balances and transactions have been eliminated in consolidation.</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is an investment company and, therefore, applies the specialized accounting and reporting guidance in Accounting Standards Codification (“ASC”) Topic 946, Financial Services – Investment Companies.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Actual amounts could differ from those estimates and such differences could be material.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Cash and cash equivalents may consist of demand deposits, highly liquid investments (e.g., money market funds, U.S. Treasury notes, and similar type instruments) with original maturities of three months or less.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Organization and Offering Expenses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Organization and offering costs will be borne by the Company and have been advanced from the Adviser subject to recoupment. Costs associated with the organization of the Company have been expensed as incurred, subject to the limitation described below. These expenses consist primarily of legal fees and other costs of organizing the Company.</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Costs associated with the offering of common shares of the Company will be capitalized as deferred offering expenses on the Consolidated Balance Sheet and amortized over a twelve-month period from incurrence. These expenses consist primarily of legal fees and other costs incurred in connection with the Company’s private offering of its common shares.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Company will not bear more than an amount equal to 0.10% of the aggregate Commitments of the Company for organization and offering expenses in connection with the offering of common shares. If actual organization and offering costs incurred exceed 0.10% of the Company’s total Capital Commitments, the Adviser or its affiliates will bear the excess costs. To the extent that the Company’s Capital Commitments later increase, the Adviser or its affiliates may be reimbursed for past payments of excess organization and offering costs made on the Company’s behalf, provided that the total organization and offering costs borne by the Company do not exceed 0.10% of total Capital Commitments and provided further that the Adviser or its affiliates may not be reimbursed for payment of excess organization and offering expenses that were incurred more than three years prior to the proposed reimbursement.</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June 30, 2022, the Company incurred $691 thousand of organization and offering costs in excess of 0.10% of the Company’s total Capital Commitments, all of which have been borne by the Adviser. On July 5, 2022, the Company accepted additional capital commitments of $400 million which increased the allowable organization and offering costs by $400 thousand. Any sales load, platform fees, servicing fees or similar fees or expenses charged directly to an investor in an offering by a placement agent or similar party will not be considered organization or offering expenses of the Company for purposes of the Company’s cap on organization and offering expenses.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Company has elected to be regulated as a BDC under the 1940 Act. The Company also intends to elect to be treated as a RIC under the Code as soon as reasonably practicable. So long as the Company maintains its status as a RIC, it generally will not pay corporate-level U.S. federal income taxes on any ordinary income or capital gains that it distributes at least annually to its shareholders as dividends. Rather, any tax liability related to income earned and distributed by the Company would represent obligations of the Company’s investors and would not be reflected in the financial statements of the Company.</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w:t>
      </w:r>
    </w:p>
    <w:p>
      <w:pPr>
        <w:jc w:val="both"/>
        <w:ind w:left="120" w:right="60"/>
        <w:spacing w:after="0" w:line="255" w:lineRule="auto"/>
        <w:rPr>
          <w:sz w:val="20"/>
          <w:szCs w:val="20"/>
          <w:color w:val="auto"/>
        </w:rPr>
      </w:pPr>
      <w:r>
        <w:rPr>
          <w:rFonts w:ascii="Times New Roman" w:cs="Times New Roman" w:eastAsia="Times New Roman" w:hAnsi="Times New Roman"/>
          <w:sz w:val="18"/>
          <w:szCs w:val="18"/>
          <w:color w:val="auto"/>
        </w:rPr>
        <w:t>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qualify for and maintain qualification as a RIC, the Company must, among other things, meet certain source-of-income and asset diversification requirements. In addition, to qualify for RIC tax treatment, the Company must distribute to its shareholders, for each taxable year, at least 90% of its “investment company taxable income” for that year, which is generally its ordinary income plus the excess, if any, of its realized net short-term capital gains over its realized net long-term capital losses.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3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Management does not believe any recently issued, but not yet effective, accounting standards, if currently adopted, would have a material effect on the accompanying financial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On June 28, 2022,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w:t>
      </w:r>
    </w:p>
    <w:p>
      <w:pPr>
        <w:spacing w:after="0" w:line="5" w:lineRule="exact"/>
        <w:rPr>
          <w:sz w:val="20"/>
          <w:szCs w:val="20"/>
          <w:color w:val="auto"/>
        </w:rPr>
      </w:pP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of overhead expenses (including rent, office equipment and utilities) attributable thereto. Directors who are not affiliated with the Adviser receive compensation for their services and reimbursement of expenses incurred to attend meetings.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On June 28, 2022, the Company entered into the Investment Advisory Agreement with the Adviser.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3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Management Fee shall be calculated at an annual rate of 1.25% of the Company’s gross assets,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 Management Fees for any partial month or quarter will be appropriately prorated.</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any Exchange Listing that may occur, the Adviser will waive its right to receive management fees in excess of the sum of 1.00% of the Company’s average aggregate drawn capital (including capital drawn to pay Company expenses) as of the end of the two most recently completed calendar quarters, appropriately adjusted for any share issuances or repurchases during the relevant calendar quarter. The fee waiver will terminate if and when the Company consummates an Exchange Listing.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60" w:right="100" w:hanging="4"/>
        <w:spacing w:after="0" w:line="261" w:lineRule="auto"/>
        <w:tabs>
          <w:tab w:leader="none" w:pos="77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will equal 100% of the excess of pre-incentive fee net investment income in excess of a 1.5% quarterly hurdle rate, until the Adviser has received 12.5% (17.5% subsequent to an Exchange Listing) of total net investment income for that quarter, and 12.5% (17.5% subsequent to an Exchange Listing) of all remaining pre-incentive fee net investment income for that quarter.</w:t>
      </w:r>
    </w:p>
    <w:p>
      <w:pPr>
        <w:spacing w:after="0" w:line="71" w:lineRule="exact"/>
        <w:rPr>
          <w:rFonts w:ascii="Times New Roman" w:cs="Times New Roman" w:eastAsia="Times New Roman" w:hAnsi="Times New Roman"/>
          <w:sz w:val="18"/>
          <w:szCs w:val="18"/>
          <w:color w:val="auto"/>
        </w:rPr>
      </w:pPr>
    </w:p>
    <w:p>
      <w:pPr>
        <w:ind w:left="560" w:hanging="4"/>
        <w:spacing w:after="0" w:line="254" w:lineRule="auto"/>
        <w:tabs>
          <w:tab w:leader="none" w:pos="82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will, prior to an Exchange Listing, equal 12.5% of cumulative realized capital gains from the inception of the Company to the end of such fiscal year, less the aggregate amount of any previously paid capital gain incentive fees for prior periods (the “Capital Gains Fee”). Following an Exchange Listing, the Capital Gains Fee will equal a weighted percentage of the Company’s realized capital gains, if any, on a cumulative basis as between the inception of the Company to an Exchange Listing and from such Exchange Listing to the end of such fiscal year. The weighted percentage is intended to ensure that for each fiscal year following an Exchange Listing, the portion of the Company’s realized capital gains that accrued prior to an Exchange Listing will be subject to an incentive fee rate of 12.5% and the portion of the Company’s realized capital gains that accrued following an Exchange Listing will be subject to an incentive fee rate of 17.5%.</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 Support Agreement</w:t>
      </w:r>
    </w:p>
    <w:p>
      <w:pPr>
        <w:spacing w:after="0" w:line="119"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On June 28, 2022, the Company entered into an expense support and conditional reimbursement agreement (the “Expense Support Agreement”) with the Adviser. The Expense Support Agreement provides that, at such times as the Adviser determines, the Adviser may pay certain expenses of the Company, provided that no portion of the payment will be used to pay any interest (each an “Expense Payment”). Such Expense Payment will be made in any combination of cash or other immediately available funds no later than forty-five days after a written commitment from the Adviser to pay such expense, and/or by an offset against amounts due from us to the Adviser or its affiliates. Following any calendar quarter in which Available Operating Funds (as defined in the Expense Support Agreement) exceed the cumulative distributions accrued to the Fund’s shareholders based on distributions declared with respect to record dates occurring in such calendar quarter (such amount referred to as the “Excess Operating Funds”), the Company shall pay such Excess Operating Funds, or a portion thereof (each, a “Reimbursement Payment”), to the Adviser until such time as all Expense Payments made by the Adviser to us within three years prior to the last business day of such calendar quarter have been reimbursed. The amount of the Reimbursement Payment for any calendar quarter shall equal the lesser of (i) the Excess Operating Funds in such quarter and (ii) the aggregate amount of all Expense Payments made by the Adviser to us within three years prior to the last business day of such calendar quarter that have not been previously reimbursed by us to the Adviser. The Adviser may waive its right to receive all or a portion of any Reimbursement Payment in any particular calendar quarter, so that such Reimbursement Payment may be reimbursable in a future calendar quarter.</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of June 30, 2022, since inception the Adviser has not provided any written commitments for Expense Payments. The Company has not made any Reimbursement Payments to the Adviser. The Company may or may not reimburse remaining expense support in the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Litigation and Regulatory Matters</w:t>
      </w:r>
    </w:p>
    <w:p>
      <w:pPr>
        <w:spacing w:after="0" w:line="119"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may become subject to litigation, claims, and regulatory matters. The Company has no knowledge of material legal or regulatory proceedings pending or known to be contemplated against the Company at this time.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Net Assets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its formation, the Company has the authority to issue an unlimited number of common shares of beneficial interest at $0.001 per share par value. On June 24, 2022, our Adviser purchased $30 thousand of common shares of the Fund at a price of $25.00 per common share as our initial capital. These common shares were issued and sold in reliance upon Section 4(a)(2) of the Securities Act, which provides an exemption from the registration requirements of the Securities Act.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2022, the Company had $936 million in capital commitments, all of which were unfunded.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Subsequent Events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Company’s management evaluated subsequent events through the date of issuance of the financial statement. On July 5, 2022, the Company accepted an additional $400 million of capital commitments.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00"/>
          </w:cols>
          <w:pgMar w:left="320" w:top="455" w:right="47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u w:val="single" w:color="auto"/>
          <w:color w:val="auto"/>
        </w:rPr>
        <w:t>SIXTH STREET LENDING PARTNERS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AMENDED AND RESTATED</w:t>
      </w:r>
    </w:p>
    <w:p>
      <w:pPr>
        <w:spacing w:after="0" w:line="22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u w:val="single" w:color="auto"/>
          <w:color w:val="auto"/>
        </w:rPr>
        <w:t>AGREEMENT AND DECLARATION OF TRUST</w:t>
      </w:r>
    </w:p>
    <w:p>
      <w:pPr>
        <w:sectPr>
          <w:pgSz w:w="11900" w:h="16838" w:orient="portrait"/>
          <w:cols w:equalWidth="0" w:num="1">
            <w:col w:w="10020"/>
          </w:cols>
          <w:pgMar w:left="1440" w:top="117" w:right="4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480" w:type="dxa"/>
            <w:vAlign w:val="bottom"/>
          </w:tcPr>
          <w:p>
            <w:pPr>
              <w:ind w:left="3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8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I The Trust</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216"/>
        </w:trPr>
        <w:tc>
          <w:tcPr>
            <w:tcW w:w="8780" w:type="dxa"/>
            <w:vAlign w:val="bottom"/>
            <w:gridSpan w:val="2"/>
            <w:vMerge w:val="continue"/>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Name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 Purpose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Board of Trustees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Number and Qualification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 and Election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Resignation and Removal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Vacancies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2.5</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2.6</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Action by Written Consent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2.7</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2.8</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Transactions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Powers and Duties of Trustees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3.3</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Title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3.4</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and Repurchase of Shares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3.5</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Borrow Money or Utilize Leverage</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3.6</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Delegation by Trustees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3.7</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Collection and Payment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3.8</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By-Laws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3.9</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Miscellaneous Powers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Powers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Discretion; Good Faith; Corporate Opportunities of Adviser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Fees and Expenses; Advisory, Management and Distribution Arrangements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4.1</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4.2</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Advisory and Management Arrangements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4.3</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 Arrangements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4.4</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Parties to Contract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Limitations of Liability and Indemnification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Personal Liability of Shareholders, Trustees,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Mandatory Indemnification</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Bond Required of Trustees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Duty of Investigation; No Notice in Trust Instruments,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Reliance on Experts, etc.</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 Shares of Beneficial Interest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Beneficial Interest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6.2</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Securities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6.3</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of Shareholders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6.4</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 Only</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6.5</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Issuance of Shares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6.6</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Register of Shares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6.7</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Agent and Registrar</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6.8</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of Shares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6.9</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Derivative Actions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 Capital Calls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2"/>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Commitment; Drawdowns; Defaulting Shareholders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Custodians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Appointment and Duties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1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w:t>
            </w:r>
          </w:p>
        </w:tc>
        <w:tc>
          <w:tcPr>
            <w:tcW w:w="7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Central Certificate System</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1" w:name="page122"/>
    <w:bookmarkEnd w:id="121"/>
    <w:tbl>
      <w:tblPr>
        <w:tblLayout w:type="fixed"/>
        <w:tblInd w:w="0" w:type="dxa"/>
        <w:tblCellMar>
          <w:top w:w="0" w:type="dxa"/>
          <w:left w:w="0" w:type="dxa"/>
          <w:bottom w:w="0" w:type="dxa"/>
          <w:right w:w="0" w:type="dxa"/>
        </w:tblCellMar>
      </w:tblPr>
      <w:tr>
        <w:trPr>
          <w:trHeight w:val="22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Redemption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Redemptions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9.2</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Disclosure of Holding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9.3</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Redemption by Trust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Net Asset Value and Distributions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Asset Value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Distributions to Shareholders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to Modify Foregoing Procedures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Shareholders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Meetings of Shareholders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11.2</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Voting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11.3</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Record Date; Notice of Meeting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11.4</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Quorum and Required Vote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11.5</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Proxies, etc.</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11.6</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11.7</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Inspection of Records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11.8</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Delivery by Electronic Transmission or Otherwise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11.9</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 Action by Written Consent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11.10</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Meetings by Remote Communication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Wind Down; Amendment; Mergers, Etc.</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12.1</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Wind Down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12.2</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 Procedure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12.3</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[Intentionally omitted]</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12.4</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12.5</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 Consolidation, Incorporation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XIII The Delaware Trustee</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Purpose of Appointment</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13.2</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13.3</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Removal</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13.4</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Merger</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13.5</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Liability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13.6</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2"/>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13.7</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 and Reimbursement of Expenses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XIV Miscellaneous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14.1</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Power of Attorney</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14.2</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Filing</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14.3</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14.4</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Exclusive Delaware Jurisdiction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14.5</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14.6</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14.7</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14.8</w:t>
            </w:r>
          </w:p>
        </w:tc>
        <w:tc>
          <w:tcPr>
            <w:tcW w:w="6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Provisions in Conflict with Law or Regulation</w:t>
            </w:r>
          </w:p>
        </w:tc>
        <w:tc>
          <w:tcPr>
            <w:tcW w:w="3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AGREEMENT AND DECLARATION OF TRUST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SIXTH STREET LENDING PARTNERS</w:t>
      </w:r>
    </w:p>
    <w:p>
      <w:pPr>
        <w:spacing w:after="0" w:line="225" w:lineRule="exact"/>
        <w:rPr>
          <w:sz w:val="20"/>
          <w:szCs w:val="20"/>
          <w:color w:val="auto"/>
        </w:rPr>
      </w:pPr>
    </w:p>
    <w:p>
      <w:pPr>
        <w:ind w:firstLine="440"/>
        <w:spacing w:after="0" w:line="213" w:lineRule="auto"/>
        <w:rPr>
          <w:sz w:val="20"/>
          <w:szCs w:val="20"/>
          <w:color w:val="auto"/>
        </w:rPr>
      </w:pPr>
      <w:r>
        <w:rPr>
          <w:rFonts w:ascii="Times New Roman" w:cs="Times New Roman" w:eastAsia="Times New Roman" w:hAnsi="Times New Roman"/>
          <w:sz w:val="18"/>
          <w:szCs w:val="18"/>
          <w:color w:val="auto"/>
        </w:rPr>
        <w:t>This AMENDED AND RESTATED AGREEMENT AND DECLARATION OF TRUST made as of this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day of August 2022, by the Trustees hereunder and SMC-CAS, LLC, as Delaware trustee.</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this Trust has been formed to carry on the business as set forth more particularly hereinafter;</w:t>
      </w:r>
    </w:p>
    <w:p>
      <w:pPr>
        <w:spacing w:after="0" w:line="225"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WHEREAS, this Trust is authorized to issue an unlimited number of its shares of beneficial interest all in accordance with the provisions hereinafter set forth;</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this Declaration amends and restates in its entirety that certain Amended and Restated Agreement and Declaration of Trust dated as of June 27, 2022 (the “First Amended and Restated Declaration”);</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the Trustees have agreed to manage all property coming into their hands as Trustees of a Delaware statutory trust in accordance with the provisions hereinafter set forth; and</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WHEREAS, the parties hereto intend that the Trust shall constitute a statutory trust under the Delaware Statutory Trust Statute and that this Declaration and the By-laws shall constitute the governing instrument of such statutory trust.</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NOW, THEREFORE, the Trustees hereby (i) declare that they will hold all cash, securities, and other assets that the Trust now possesses or may hereafter acquire from time to time in any manner and manage and dispose of the same upon the following terms and conditions and (ii) amend and restate the First Amended and Restated Declaration in its entirety.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Trust</w:t>
      </w:r>
    </w:p>
    <w:p>
      <w:pPr>
        <w:spacing w:after="0" w:line="229"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Name</w:t>
      </w:r>
      <w:r>
        <w:rPr>
          <w:rFonts w:ascii="Times New Roman" w:cs="Times New Roman" w:eastAsia="Times New Roman" w:hAnsi="Times New Roman"/>
          <w:sz w:val="17"/>
          <w:szCs w:val="17"/>
          <w:color w:val="auto"/>
        </w:rPr>
        <w:t>. This Trust shall be known as the “Sixth Street Lending Partners”, and the Trustees shall conduct the business of the Trust under that name or any other name or names as they may from time to time determine. Any name change shall become effective upon approval by the Trustees of such change and the filing and effectiveness of a certificate of amendment pursuant to Section 3810(b) of the Delaware Statutory Trust Statute (as defined below). Any such action shall not require the approval of the Shareholders, but shall have the status of an amendment to this Declaration.</w:t>
      </w:r>
    </w:p>
    <w:p>
      <w:pPr>
        <w:spacing w:after="0" w:line="164" w:lineRule="exact"/>
        <w:rPr>
          <w:sz w:val="20"/>
          <w:szCs w:val="20"/>
          <w:color w:val="auto"/>
        </w:rPr>
      </w:pPr>
    </w:p>
    <w:p>
      <w:pPr>
        <w:ind w:right="6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1.2 </w:t>
      </w:r>
      <w:r>
        <w:rPr>
          <w:rFonts w:ascii="Times New Roman" w:cs="Times New Roman" w:eastAsia="Times New Roman" w:hAnsi="Times New Roman"/>
          <w:sz w:val="17"/>
          <w:szCs w:val="17"/>
          <w:u w:val="single" w:color="auto"/>
          <w:color w:val="auto"/>
        </w:rPr>
        <w:t>Trust Purpose</w:t>
      </w:r>
      <w:r>
        <w:rPr>
          <w:rFonts w:ascii="Times New Roman" w:cs="Times New Roman" w:eastAsia="Times New Roman" w:hAnsi="Times New Roman"/>
          <w:sz w:val="17"/>
          <w:szCs w:val="17"/>
          <w:color w:val="auto"/>
        </w:rPr>
        <w:t>. The purpose of the Trust is to conduct, operate and carry on the business of a business development company within the meaning of the 1940 Act (as defined below). In furtherance of the foregoing, it shall be the purpose of the Trust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trust organized under the Delaware Statutory Trust Statute, and in connection therewith the Trust shall have the power and authority to engage in the foregoing and may exercise all of the powers conferred by the laws of the State of Delaware upon a Delaware statutory trust.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Declaration, the following terms shall have the following meanings:</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shall mean the Investment Company Act of 1940 and the rules and regulations promulgated thereunder and exemptions granted therefrom, as amended from time to time.</w:t>
      </w:r>
    </w:p>
    <w:p>
      <w:pPr>
        <w:sectPr>
          <w:pgSz w:w="11900" w:h="16838" w:orient="portrait"/>
          <w:cols w:equalWidth="0" w:num="1">
            <w:col w:w="11000"/>
          </w:cols>
          <w:pgMar w:left="440" w:top="270" w:right="459" w:bottom="1440" w:gutter="0" w:footer="0" w:header="0"/>
        </w:sectPr>
      </w:pPr>
    </w:p>
    <w:bookmarkStart w:id="123" w:name="page124"/>
    <w:bookmarkEnd w:id="123"/>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w:t>
      </w:r>
      <w:r>
        <w:rPr>
          <w:rFonts w:ascii="Times New Roman" w:cs="Times New Roman" w:eastAsia="Times New Roman" w:hAnsi="Times New Roman"/>
          <w:sz w:val="18"/>
          <w:szCs w:val="18"/>
          <w:u w:val="single" w:color="auto"/>
          <w:color w:val="auto"/>
        </w:rPr>
        <w:t>Affiliated Person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Interested Person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Principal Underwriter</w:t>
      </w:r>
      <w:r>
        <w:rPr>
          <w:rFonts w:ascii="Times New Roman" w:cs="Times New Roman" w:eastAsia="Times New Roman" w:hAnsi="Times New Roman"/>
          <w:sz w:val="18"/>
          <w:szCs w:val="18"/>
          <w:color w:val="auto"/>
        </w:rPr>
        <w:t>” shall have the meanings given to them in the 1940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shall mean Sixth Street Lending Partners Advisers, LLC.</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shall mean Sixth Street Lending Partners Advisers, LLC or an affiliated successor in interest thereto. If the Adviser no longer serves as the investment adviser to the Trust, the rights of the Adviser in this Declaration will become the rights of the Trustees.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Trustees</w:t>
      </w:r>
      <w:r>
        <w:rPr>
          <w:rFonts w:ascii="Times New Roman" w:cs="Times New Roman" w:eastAsia="Times New Roman" w:hAnsi="Times New Roman"/>
          <w:sz w:val="18"/>
          <w:szCs w:val="18"/>
          <w:color w:val="auto"/>
        </w:rPr>
        <w:t>” shall mean the Trustees collectively.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mean the By-Laws of the Trust as amended from time to time by the Trustees.</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Commitment</w:t>
      </w:r>
      <w:r>
        <w:rPr>
          <w:rFonts w:ascii="Times New Roman" w:cs="Times New Roman" w:eastAsia="Times New Roman" w:hAnsi="Times New Roman"/>
          <w:sz w:val="18"/>
          <w:szCs w:val="18"/>
          <w:color w:val="auto"/>
        </w:rPr>
        <w:t>” shall mean each investor’s commitment to contribute capital to the Trust in exchange for Shares pursuant to a subscription agreement with the Trust, and includes Subsequent Capital Commitments.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have the meaning set forth in Section 7.1(b).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and the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shall have the meaning set forth in Section 7.1(d).</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Trustee</w:t>
      </w:r>
      <w:r>
        <w:rPr>
          <w:rFonts w:ascii="Times New Roman" w:cs="Times New Roman" w:eastAsia="Times New Roman" w:hAnsi="Times New Roman"/>
          <w:sz w:val="18"/>
          <w:szCs w:val="18"/>
          <w:color w:val="auto"/>
        </w:rPr>
        <w:t>” shall mean any member of the Board of Trustees who either (a) has been a member of the Board of Trustees for a period of at least thirty-six months (or since the date hereof, if less than thirty-six months) or (b) was nominated to serve as a member of the Board of Trustees by a majority of the Continuing Trustees then members of the Board of Trustees.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Declaration</w:t>
      </w:r>
      <w:r>
        <w:rPr>
          <w:rFonts w:ascii="Times New Roman" w:cs="Times New Roman" w:eastAsia="Times New Roman" w:hAnsi="Times New Roman"/>
          <w:sz w:val="17"/>
          <w:szCs w:val="17"/>
          <w:color w:val="auto"/>
        </w:rPr>
        <w:t>” shall mean this Amended and Restated Declaration of Trust, as amended, supplemented or amended and restated from time to time.</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General Corporation Law</w:t>
      </w:r>
      <w:r>
        <w:rPr>
          <w:rFonts w:ascii="Times New Roman" w:cs="Times New Roman" w:eastAsia="Times New Roman" w:hAnsi="Times New Roman"/>
          <w:sz w:val="18"/>
          <w:szCs w:val="18"/>
          <w:color w:val="auto"/>
        </w:rPr>
        <w:t>” shall mean the Delaware General Corporation Law, 8 Del. C. § 100, et seq.,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4482465</wp:posOffset>
            </wp:positionH>
            <wp:positionV relativeFrom="paragraph">
              <wp:posOffset>-7620</wp:posOffset>
            </wp:positionV>
            <wp:extent cx="3556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355600" cy="825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-7620</wp:posOffset>
            </wp:positionV>
            <wp:extent cx="3200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20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Statutory Trust Statute</w:t>
      </w:r>
      <w:r>
        <w:rPr>
          <w:rFonts w:ascii="Times New Roman" w:cs="Times New Roman" w:eastAsia="Times New Roman" w:hAnsi="Times New Roman"/>
          <w:sz w:val="18"/>
          <w:szCs w:val="18"/>
          <w:color w:val="auto"/>
        </w:rPr>
        <w:t>” shall mean the provisions of the Delaware Statutory Trust Act, 12 Del. C. § 3801, et seq.,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-185420</wp:posOffset>
            </wp:positionV>
            <wp:extent cx="3556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355600" cy="8255"/>
                    </a:xfrm>
                    <a:prstGeom prst="rect">
                      <a:avLst/>
                    </a:prstGeom>
                    <a:noFill/>
                  </pic:spPr>
                </pic:pic>
              </a:graphicData>
            </a:graphic>
          </wp:anchor>
        </w:drawing>
        <w:drawing>
          <wp:anchor simplePos="0" relativeHeight="251657728" behindDoc="1" locked="0" layoutInCell="0" allowOverlap="1">
            <wp:simplePos x="0" y="0"/>
            <wp:positionH relativeFrom="column">
              <wp:posOffset>5631180</wp:posOffset>
            </wp:positionH>
            <wp:positionV relativeFrom="paragraph">
              <wp:posOffset>-185420</wp:posOffset>
            </wp:positionV>
            <wp:extent cx="3200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14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Trustee</w:t>
      </w:r>
      <w:r>
        <w:rPr>
          <w:rFonts w:ascii="Times New Roman" w:cs="Times New Roman" w:eastAsia="Times New Roman" w:hAnsi="Times New Roman"/>
          <w:sz w:val="18"/>
          <w:szCs w:val="18"/>
          <w:color w:val="auto"/>
        </w:rPr>
        <w:t>” shall mean SMC-CAS, LLC, a Delaware limited liability company, and any successor trustee appointed in accordance with Section 13.6 of this Declaration.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Drawdown Purchase</w:t>
      </w:r>
      <w:r>
        <w:rPr>
          <w:rFonts w:ascii="Times New Roman" w:cs="Times New Roman" w:eastAsia="Times New Roman" w:hAnsi="Times New Roman"/>
          <w:sz w:val="18"/>
          <w:szCs w:val="18"/>
          <w:color w:val="auto"/>
        </w:rPr>
        <w:t>” shall have the meaning set forth in Section 7.1(a).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have the meaning set forth in Section 7.1(c).</w:t>
      </w:r>
    </w:p>
    <w:p>
      <w:pPr>
        <w:spacing w:after="0" w:line="225"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shall mean the quotation or listing of the Trust’s securities on a national securities exchange (including through an initial public offering) or a sale of all or substantially all of the assets of the Trust to, or a merger or other liquidity transaction with, an entity in which the Trust’s Shareholders receive shares of a publicly traded company that continues to be managed by the Adviser or an affiliate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Closing</w:t>
      </w:r>
      <w:r>
        <w:rPr>
          <w:rFonts w:ascii="Times New Roman" w:cs="Times New Roman" w:eastAsia="Times New Roman" w:hAnsi="Times New Roman"/>
          <w:sz w:val="18"/>
          <w:szCs w:val="18"/>
          <w:color w:val="auto"/>
        </w:rPr>
        <w:t>” shall have the meaning set forth in Section 7.1(b).</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124" w:name="page125"/>
    <w:bookmarkEnd w:id="124"/>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Majority Shareholder Vote</w:t>
      </w:r>
      <w:r>
        <w:rPr>
          <w:rFonts w:ascii="Times New Roman" w:cs="Times New Roman" w:eastAsia="Times New Roman" w:hAnsi="Times New Roman"/>
          <w:sz w:val="18"/>
          <w:szCs w:val="18"/>
          <w:color w:val="auto"/>
        </w:rPr>
        <w:t>” shall mean a vote of “a majority of the outstanding voting securities” (as such term is defined in the 1940 Act) of the Trust with each class and series of Shares voting together as a single class, except to the extent otherwise required by the 1940 Act or this Declaration with respect to any one or more classes or series of Shares, in which case the applicable proportion of such classes or series of Shares voting as a separate class or series, as the case may be, also will be required.</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and include individuals, corporations, partnerships, trusts, limited liability companies, associations, joint ventures and other entities, whether or not legal entities, and governments and agencies and political subdivisions thereof.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shall mean as of any particular time the holders of record of outstanding Shares of the Trust, at such time.</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the transferable units of beneficial interest into which the beneficial interest in the Trust shall be divided from time to time and includes fractions of Shares as well as whole Shares. In addition, Shares shall also mean any preferred shares or preferred units of beneficial interest that may be issued from time to time, as described herein. All references to Shares shall be deemed to be Shares of any or all series or classes as the context may require.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Capital Commitments</w:t>
      </w:r>
      <w:r>
        <w:rPr>
          <w:rFonts w:ascii="Times New Roman" w:cs="Times New Roman" w:eastAsia="Times New Roman" w:hAnsi="Times New Roman"/>
          <w:sz w:val="18"/>
          <w:szCs w:val="18"/>
          <w:color w:val="auto"/>
        </w:rPr>
        <w:t>” shall have the meaning set forth in Section 7.1(d).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Closings</w:t>
      </w:r>
      <w:r>
        <w:rPr>
          <w:rFonts w:ascii="Times New Roman" w:cs="Times New Roman" w:eastAsia="Times New Roman" w:hAnsi="Times New Roman"/>
          <w:sz w:val="18"/>
          <w:szCs w:val="18"/>
          <w:color w:val="auto"/>
        </w:rPr>
        <w:t>” shall have the meaning set forth in Section 7.1(d).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shall mean the trust governed by this Declaration and the By-laws, as amended from time to time, inclusive of each such amendment.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Property</w:t>
      </w:r>
      <w:r>
        <w:rPr>
          <w:rFonts w:ascii="Times New Roman" w:cs="Times New Roman" w:eastAsia="Times New Roman" w:hAnsi="Times New Roman"/>
          <w:sz w:val="18"/>
          <w:szCs w:val="18"/>
          <w:color w:val="auto"/>
        </w:rPr>
        <w:t>” shall mean as of any particular time any and all property, real or personal, tangible or intangible, which at such time is owned or held by or for the account of the Trust or the Trustees in such capacity.</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Trustees</w:t>
      </w:r>
      <w:r>
        <w:rPr>
          <w:rFonts w:ascii="Times New Roman" w:cs="Times New Roman" w:eastAsia="Times New Roman" w:hAnsi="Times New Roman"/>
          <w:sz w:val="18"/>
          <w:szCs w:val="18"/>
          <w:color w:val="auto"/>
        </w:rPr>
        <w:t>” shall mean the signatories to this Declaration (but for purposes of this Declaration shall not be deemed to include the Delaware Trustee), so long as they shall continue in office in accordance with the terms hereof, and all other persons who at the time in question have been duly elected or appointed and have qualified as trustees in accordance with the provisions hereof and are then in office.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Board of Trustees</w:t>
      </w:r>
    </w:p>
    <w:p>
      <w:pPr>
        <w:spacing w:after="0" w:line="229"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Number and Qualification</w:t>
      </w:r>
      <w:r>
        <w:rPr>
          <w:rFonts w:ascii="Times New Roman" w:cs="Times New Roman" w:eastAsia="Times New Roman" w:hAnsi="Times New Roman"/>
          <w:sz w:val="17"/>
          <w:szCs w:val="17"/>
          <w:color w:val="auto"/>
        </w:rPr>
        <w:t>. As of the date hereof, the Trustees shall be the signatories hereto and the number of Trustees shall be the number of person so signing until changed by the Trustees. Thereafter, the number of Trustees shall be determined by a majority of the Trustees then in office, provided that the number of Trustees shall be no less than two or more than fifteen. No reduction in the number of Trustees shall have the effect of removing any Trustee from office prior to the expiration of his term. An individual nominated as a Trustee shall be at least 21 years of age and not older than 80 years of age at the time of nomination and not under legal disability. Trustees need not own Shares and may succeed themselves in office.</w:t>
      </w:r>
    </w:p>
    <w:p>
      <w:pPr>
        <w:spacing w:after="0" w:line="168" w:lineRule="exact"/>
        <w:rPr>
          <w:sz w:val="20"/>
          <w:szCs w:val="20"/>
          <w:color w:val="auto"/>
        </w:rPr>
      </w:pPr>
    </w:p>
    <w:p>
      <w:pPr>
        <w:jc w:val="both"/>
        <w:ind w:right="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Term and Election</w:t>
      </w:r>
      <w:r>
        <w:rPr>
          <w:rFonts w:ascii="Times New Roman" w:cs="Times New Roman" w:eastAsia="Times New Roman" w:hAnsi="Times New Roman"/>
          <w:sz w:val="17"/>
          <w:szCs w:val="17"/>
          <w:color w:val="auto"/>
        </w:rPr>
        <w:t>. Each Trustee shall serve during the continued lifetime of the Trust until he or she dies, resigns or is removed, or, if sooner, until the next meeting of Shareholders called for the purpose of electing Trustees and until the election and qualification of his or her successor.</w:t>
      </w:r>
    </w:p>
    <w:p>
      <w:pPr>
        <w:spacing w:after="0" w:line="14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Resignation and Removal</w:t>
      </w:r>
      <w:r>
        <w:rPr>
          <w:rFonts w:ascii="Times New Roman" w:cs="Times New Roman" w:eastAsia="Times New Roman" w:hAnsi="Times New Roman"/>
          <w:sz w:val="18"/>
          <w:szCs w:val="18"/>
          <w:color w:val="auto"/>
        </w:rPr>
        <w:t>. Any of the Trustees may resign their trust (without need for prior or subsequent accounting) by an instrument in writing signed by such Trustee and delivered or mailed to the Trustees or the Chairman, if any, the President or the Secretary and such resignation shall be effective upon such delivery, or at a later date according to the terms of the instrument. Any of the Trustees may be removed (provided the aggregate number of Trustees after such removal shall not be less than the minimum number required by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125" w:name="page126"/>
    <w:bookmarkEnd w:id="12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 hereof) for cause only, and not without cause, and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Shares then entitled to vote in an election of such Trustee. Upon the resignation or removal of a Trustee, each such resigning or removed Trustee shall execute and deliver such documents as the remaining Trustees shall require for the purpose of conveying to the Trust or the remaining Trustees any Trust Property held in the name of such resigning or removed Trustee. Upon the incapacity or death of any Trustee, such Trustee’s legal representative shall execute and deliver on such Trustee’s behalf such documents as the remaining Trustees shall require as provided in the preceding sentence. Except to the extent expressly provided in a written agreement with the Trust, no Trustee resigning and no Trustee removed shall have any right to any compensation for any period following the effective date of his resignation or removal, or any right to damages on account of a removal.</w:t>
      </w:r>
    </w:p>
    <w:p>
      <w:pPr>
        <w:spacing w:after="0" w:line="188"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Whenever a vacancy in the Board of Trustees shall occur, the remaining Trustees may fill such vacancy by appointing an individual having the qualifications described in this Article by a majority of the Trustees then in office or may leave such vacancy unfilled or may reduce the number of Trustees; provided the aggregate number of Trustees after such reduction shall not be less than the minimum number required by Section 2.1 hereof; provided, further, that if the Shareholders of any class or series of Shares are entitled separately to elect one or more Trustees, a majority of the remaining Trustees or the sole remaining Trustee elected by that class or series may fill any vacancy among the number of Trustees elected by that class or series. Any vacancy created by an increase in Trustees may be filled by the appointment of an individual having the qualifications described in this Article made by a majority of the Trustees then in office. No vacancy shall operate to annul this Declaration or to revoke any existing agency created pursuant to the terms of this Declaration. Whenever a vacancy in the number of Trustees shall occur, until such vacancy is filled as provided herein, the Trustees in office, regardless of their number, shall have all the powers granted to the Trustees and shall discharge all the duties imposed upon the Trustees by this Declaration.</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Meetings of the Trustees shall be held from time to time upon the call of the Chairman, if any, or the President or any two Trustees. Regular meetings of the Trustees may be held without call or notice at a time and place fixed by the By-Laws, the Chairman or by resolution or consent of the Trustees. Notice of any other meeting shall be given by the Secretary and shall be delivered to the Trustees orally or via electronic transmission not less than 24 hours, or in writing not less than 72 hours, before the meeting, but may be waived in writing by any Trustee either before or after such meeting. The attendance of a Trustee at a meeting shall constitute a waiver of notice of such meeting except where a Trustee attends a meeting for the express purpose of objecting to the transaction of any business on the ground that the meeting has not been properly called or convened. Any time there is more than one Trustee, a quorum for all meetings of the Trustees shall be one-third, but not less than two, of the Trustees. Unless provided otherwise in this Declaration and except as required under the 1940 Act, any action of the Trustees may be taken at a meeting by vote of a majority of the Trustees present (a quorum being present) or without a meeting by written consent of the Trustees as provided in Section 2.6.</w:t>
      </w:r>
    </w:p>
    <w:p>
      <w:pPr>
        <w:spacing w:after="0" w:line="18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Any committee of the Trustees, including an executive committee, if any, may act with or without a meeting. A quorum for all meetings of any such committee shall be one-third, but not less than two, of the members thereof. Unless provided otherwise in this Declaration, any action of any such committee may be taken at a meeting by vote of a majority of the members present (a quorum being present) or without a meeting by written consent of the members as provided in Section 2.6.</w:t>
      </w:r>
    </w:p>
    <w:p>
      <w:pPr>
        <w:spacing w:after="0" w:line="18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With respect to actions of the Trustees and any committee of the Trustees, Trustees who are Interested Persons in any action to be taken may be counted for quorum purposes under this Section and shall be entitled to vote to the extent not prohibited by the 1940 Act.</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All or any one or more Trustees may participate in a meeting of the Trustees or any committee thereof by means of a conference telephone or similar communications equipment by means of which all persons participating in the meeting can hear each other; participation in a meeting pursuant to any such communications system shall constitute presence in person at such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26" w:name="page127"/>
    <w:bookmarkEnd w:id="126"/>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w:t>
      </w:r>
      <w:r>
        <w:rPr>
          <w:rFonts w:ascii="Times New Roman" w:cs="Times New Roman" w:eastAsia="Times New Roman" w:hAnsi="Times New Roman"/>
          <w:sz w:val="18"/>
          <w:szCs w:val="18"/>
          <w:u w:val="single" w:color="auto"/>
          <w:color w:val="auto"/>
        </w:rPr>
        <w:t>Trustee Action by Written Consent</w:t>
      </w:r>
      <w:r>
        <w:rPr>
          <w:rFonts w:ascii="Times New Roman" w:cs="Times New Roman" w:eastAsia="Times New Roman" w:hAnsi="Times New Roman"/>
          <w:sz w:val="18"/>
          <w:szCs w:val="18"/>
          <w:color w:val="auto"/>
        </w:rPr>
        <w:t>. Any action that may be taken by Trustees by vote may be taken without a meeting if the number of the Trustees, or members of a committee, as the case may be, required for approval of such action at a meeting of the Trustees or of such committee at which all of the Trustees are present and voted consent to the action in writing and the written consents are filed with the records of the meetings of Trustees. Such consent shall be treated for all purposes as a vote taken at a meeting of Trustees.</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Trustees shall elect a Chief Executive Officer, a Secretary and a Chief Financial Officer and may elect a Chairman who shall serve at the pleasure of the Trustees or until their successors are elected. The Trustees may elect or appoint or may authorize the Chairman, if any, or Chief Executive Officer to appoint such other officers or agents with such powers as the Trustees may deem to be advisable. A Chairman shall, and the Chief Executive Officer, Secretary and Chief Financial Officer may, but need not, be a Trustee. All officers shall owe to the Trust and its Shareholders the same fiduciary duties (and only such fiduciary duties) as owed by officers of corporations to such corporations and their stockholders under the Delaware General Corporation Law.</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Principal Transactions</w:t>
      </w:r>
      <w:r>
        <w:rPr>
          <w:rFonts w:ascii="Times New Roman" w:cs="Times New Roman" w:eastAsia="Times New Roman" w:hAnsi="Times New Roman"/>
          <w:sz w:val="18"/>
          <w:szCs w:val="18"/>
          <w:color w:val="auto"/>
        </w:rPr>
        <w:t>. Except to the extent prohibited by applicable law, the Trustees may, on behalf of the Trust, buy any securities from or sell any securities to or lend any assets of the Trust to, any Trustee or officer of the Trust or any firm of which any such Trustee or officer is a member acting as principal, or have any such dealings with any Affiliated Person of the Trust, investment adviser, investment sub-adviser, distributor or transfer agent for the Trust or with any Interested Person of such Affiliated Person or other person; and the Trust may employ any such Affiliated Person or other person, or firm or company in which such Affiliated Person or other person is an Interested Person, as broker, legal counsel, registrar, investment advisor, investment sub-advisor, distributor, transfer agent, dividend disbursing agent, custodian or in any other capacity upon customary terms.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and Duties of Trustees</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Trustees shall have exclusive and absolute control over the Trust Property and over the business of the Trust to the same extent as if the Trustees were the sole owners of the Trust Property and business in their own right, but with such powers of delegation as may be permitted by this Declaration. The Trustees may perform such acts as in their sole discretion are proper for conducting the business of the Trust. Unless another standard is specified herein, in conducting the business of the Trust and in exercising their rights and powers hereunder, the Trustees may take any actions and make any determinations in their subjective belief that such actions or determinations are in, or not opposed to, the best interest of the Trust. The Trustees have the power to construe and interpret this Declaration and to act upon any such construction or interpretation. Any construction or interpretation of this Declaration by the Trustees and any action taken pursuant thereto and any determination as to what is in the interests of the Trust and the Shareholders made by the Trustees in good faith shall, in each case, be conclusive and binding on all Shareholders and all other Persons for all purposes. The enumeration of any specific power herein shall not be construed as limiting the aforesaid power. Such powers of the Trustees may be exercised without order of or resort to any court. Except as required by federal law including the 1940 Act, neither the Trustees nor any officer of the Trust shall owe any fiduciary duty to the Trust or any series or class or any Shareholder.</w:t>
      </w:r>
    </w:p>
    <w:p>
      <w:pPr>
        <w:spacing w:after="0" w:line="19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Unless otherwise determined by the Board of Trustees, the investment objective of the Trust will be to generate current income by targeting investments with favorable risk-adjusted returns. The Trustees shall have power with respect to the Trust to manage, conduct, operate and carry on the business of a business development company.</w:t>
      </w:r>
    </w:p>
    <w:p>
      <w:pPr>
        <w:spacing w:after="0" w:line="176" w:lineRule="exact"/>
        <w:rPr>
          <w:sz w:val="20"/>
          <w:szCs w:val="20"/>
          <w:color w:val="auto"/>
        </w:rPr>
      </w:pPr>
    </w:p>
    <w:p>
      <w:pPr>
        <w:jc w:val="both"/>
        <w:ind w:right="20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Legal Title</w:t>
      </w:r>
      <w:r>
        <w:rPr>
          <w:rFonts w:ascii="Times New Roman" w:cs="Times New Roman" w:eastAsia="Times New Roman" w:hAnsi="Times New Roman"/>
          <w:sz w:val="17"/>
          <w:szCs w:val="17"/>
          <w:color w:val="auto"/>
        </w:rPr>
        <w:t>. Legal title to all of the Trust Property shall be vested in the Trust as a separate legal entity except that the Trustees shall have power to cause legal title to any Trust Property to be held by or in the name of one or more of the Trustees, or in the name of any other Person as nominee, custodian or pledgee, on such terms as the Trustees may determine, provided that the interest of the Trust therein is appropriately protected.</w:t>
      </w:r>
    </w:p>
    <w:p>
      <w:pPr>
        <w:spacing w:after="0" w:line="158"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To the extent any Trust Property is titled in the name of one or more Trustees, the right, title and interest of such Trustees in the Trust Property shall vest automatically in each person who may hereafter become a Trustee upon his due election and qualification. Upon the ceasing of any person to be a Trustee for any reason, such person shall automatically cease to have any right, title or interest in any of the Trust Property, and the right, title and interest of such Trustee in the Trust Property shall vest automatically in the remaining Trustees. Such vesting and cessation of title shall be effective whether or not conveyancing documents have been executed and delivered.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27" w:name="page128"/>
    <w:bookmarkEnd w:id="127"/>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3.4 </w:t>
      </w:r>
      <w:r>
        <w:rPr>
          <w:rFonts w:ascii="Times New Roman" w:cs="Times New Roman" w:eastAsia="Times New Roman" w:hAnsi="Times New Roman"/>
          <w:sz w:val="18"/>
          <w:szCs w:val="18"/>
          <w:u w:val="single" w:color="auto"/>
          <w:color w:val="auto"/>
        </w:rPr>
        <w:t>Issuance and Repurchase of Shares</w:t>
      </w:r>
      <w:r>
        <w:rPr>
          <w:rFonts w:ascii="Times New Roman" w:cs="Times New Roman" w:eastAsia="Times New Roman" w:hAnsi="Times New Roman"/>
          <w:sz w:val="18"/>
          <w:szCs w:val="18"/>
          <w:color w:val="auto"/>
        </w:rPr>
        <w:t>. The Trustees shall have the power to issue, sell, repurchase, redeem, retire, cancel, acquire, hold, resell, reissue, dispose of, transfer, and otherwise deal in, Shares, including Shares in fractional denominations, and, subject to the more detailed provisions set forth in Article IX, to apply to any such repurchase, redemption, retirement, cancellation or acquisition of Shares any funds or property. The Trustees may establish, from time to time, a program or programs by which the Trust voluntarily repurchases Shares from the Shareholders; provided, however, that such repurchases do not impair the capital or operations of the Trust.</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Borrow Money or Utilize Leverage</w:t>
      </w:r>
      <w:r>
        <w:rPr>
          <w:rFonts w:ascii="Times New Roman" w:cs="Times New Roman" w:eastAsia="Times New Roman" w:hAnsi="Times New Roman"/>
          <w:sz w:val="18"/>
          <w:szCs w:val="18"/>
          <w:color w:val="auto"/>
        </w:rPr>
        <w:t>. The Trustees shall have the power to cause the Trust to borrow money or otherwise obtain credit or utilize leverage to the maximum extent permitted by law or regulation as such may be needed from time to time and to secure the same by mortgaging, pledging or otherwise subjecting as security the assets of the Trust, including the lending of portfolio securities, and to endorse, guarantee, or undertake the performance of any obligation, contract or engagement of any other person, firm, association or corporation. In addition and notwithstanding any other provision of this Declaration, the Trust is hereby authorized to borrow funds, incur indebtedness and guarantee obligations of any Person, and in connection therewith, to the fullest extent permitted by law, the Trustees, on behalf of the Trust, are hereby authorized to pledge, hypothecate, mortgage, assign, transfer or grant security interests in or other liens on (i) the Shareholders’ subscription agreements, Capital Commitments, and the Shareholders’ obligations to make capital contributions thereunder and hereunder, to satisfy their Capital Commitments, subject to the terms hereof and thereof, and (ii) any other assets, rights or remedies of the Trust or of the Trustees hereunder or under the subscription agreements, including without limitation, the right to issue capital call notices and to exercise remedies upon a default by a Shareholder in the payment of its capital contributions and the right to receive capital contributions and other payments, subject to the terms hereof and thereof. Notwithstanding any provision in this Declaration, (i) the Trust may borrow funds, incur indebtedness and enter into guarantees together with one or more Persons on a joint and several basis or on any other basis that the Board of Trustees, in its sole discretion, determines is fair and reasonable to the Trust, and (ii) in connection with any borrowing, indebtedness or guarantee by the Trust, all capital contributions shall be payable to the account of the Trust designated by the Board of Trustees, which may be pledged to any lender or other credit party of the Trust. All rights granted to a lender pursuant to this Section 3.5 shall apply to its agents and its successors and permitted assigns.</w:t>
      </w:r>
    </w:p>
    <w:p>
      <w:pPr>
        <w:spacing w:after="0" w:line="19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Delegation by Trustees</w:t>
      </w:r>
      <w:r>
        <w:rPr>
          <w:rFonts w:ascii="Times New Roman" w:cs="Times New Roman" w:eastAsia="Times New Roman" w:hAnsi="Times New Roman"/>
          <w:sz w:val="18"/>
          <w:szCs w:val="18"/>
          <w:color w:val="auto"/>
        </w:rPr>
        <w:t>. Subject only to any limitations required by federal law including the 1940 Act, the Trustees may delegate any and all powers and authority hereunder as they consider desirable to any officer of the Trust, to any committee of the Trustees, any committee composed of Trustees and other persons and any committee composed only of persons other than Trustees and to any agent, independent contractor or employee of the Trust or to any custodian, administrator, transfer or shareholder servicing agent, manager, investment advisor or sub-advisor, Principal Underwriter or other service provider, provided that such delegation of power or authority by the Trustees shall not cause any Trustee to cease to be a Trustee of the Trust or cause such person, officer, agent, employee, custodian, transfer or shareholder servicing agent, manager, Principal Underwriter or other service provider to whom any power or authority has been delegated to be a Trustee of the Trust. The reference in this Declaration to the right of the Trustees to, or circumstances under which they may, delegate any power or authority, or the reference in this Declaration to the authorized agents of the Trustees or any other Person to whom any power or authority has or may be delegated pursuant to any specific provision of this Declaration, shall not limit the authority of the Trustees to delegate any other power or authority under this Declaration to any Person, subject only to any limitations under federal law including the 1940 Act.</w:t>
      </w:r>
    </w:p>
    <w:p>
      <w:pPr>
        <w:spacing w:after="0" w:line="19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Collection and Payment</w:t>
      </w:r>
      <w:r>
        <w:rPr>
          <w:rFonts w:ascii="Times New Roman" w:cs="Times New Roman" w:eastAsia="Times New Roman" w:hAnsi="Times New Roman"/>
          <w:sz w:val="18"/>
          <w:szCs w:val="18"/>
          <w:color w:val="auto"/>
        </w:rPr>
        <w:t>. The Trustees shall have power to collect all property due to the Trust; to pay all claims, including taxes, against the Trust Property or the Trust, the Trustees or any officer, employee or agent of the Trust; to prosecute, defend, compromise or abandon any claims relating to the Trust Property or the Trust, or the Trustees or any officer, employee or agent of the Trust; to foreclose any security interest securing any obligations, by virtue of which any property is owed to the Trust; and to enter into releases, agreements and other instruments.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28" w:name="page129"/>
    <w:bookmarkEnd w:id="128"/>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3.8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The Trustees shall have the exclusive authority to adopt and from time to time amend or repeal By-Laws for the conduct of the business of the Trust.</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Miscellaneous Powers</w:t>
      </w:r>
      <w:r>
        <w:rPr>
          <w:rFonts w:ascii="Times New Roman" w:cs="Times New Roman" w:eastAsia="Times New Roman" w:hAnsi="Times New Roman"/>
          <w:sz w:val="18"/>
          <w:szCs w:val="18"/>
          <w:color w:val="auto"/>
        </w:rPr>
        <w:t>. Without limiting the general or further powers of the Trustees, the Trustees shall have the power to: (a) employ or contract with such Persons as the Trustees may deem desirable for the transaction of the business of the Trust; (b) enter into joint ventures, partnerships and any other combinations or associations; (c) purchase, and pay for out of Trust Property, insurance policies insuring the Shareholders, Trustees, officers, employees, agents, investment advisors, distributors, selected dealers or independent contractors of the Trust against all claims arising by reason of holding any such position or by reason of any action taken or omitted by any such Person in such capacity, whether or not constituting negligence, or whether or not the Trust would have the power to indemnify such Person against such liability; (d) establish pension, profit-sharing, share purchase, and other retirement, incentive and benefit plans for any Trustees, officers, employees and agents of the Trust; (e) make donations, irrespective of benefit to the Trust, for charitable, religious, educational, scientific, civic or similar purposes; (f) to the extent permitted by law, indemnify any Person with whom the Trust has dealings, including without limitation any advisor, administrator, manager, transfer agent, custodian, distributor or selected dealer, or any other person as the Trustees may see fit to such extent as the Trustees shall determine; (g) guarantee indebtedness or contractual obligations of others; and (h) determine and change the fiscal year of the Trust and the method in which its accounts shall be kept.</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Further Powers</w:t>
      </w:r>
      <w:r>
        <w:rPr>
          <w:rFonts w:ascii="Times New Roman" w:cs="Times New Roman" w:eastAsia="Times New Roman" w:hAnsi="Times New Roman"/>
          <w:sz w:val="18"/>
          <w:szCs w:val="18"/>
          <w:color w:val="auto"/>
        </w:rPr>
        <w:t>. The Trustees shall have the power to conduct the business of the Trust and carry on its operations in any and all of its branches and maintain offices both within and without the State of Delaware, in any and all states of the United States of America, in the District of Columbia, and in any and all commonwealths, territories, dependencies, colonies, possessions, agencies or instrumentalities of the United States of America and of foreign governments, and to do all such other things and execute all such instruments as they deem necessary, proper or desirable in order to promote the interests of the Trust although such things are not herein specifically mentioned. In construing the provisions of this Declaration, the presumption shall be in favor of a grant of power to the Trustees.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Sole Discretion; Good Faith; Corporate Opportunities of Adviser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87"/>
        <w:spacing w:after="0" w:line="282" w:lineRule="auto"/>
        <w:tabs>
          <w:tab w:leader="none" w:pos="123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Declaration or otherwise applicable law, whenever in this Declaration the Trustees are permitted or required to make a decision:</w:t>
      </w:r>
    </w:p>
    <w:p>
      <w:pPr>
        <w:spacing w:after="0" w:line="161" w:lineRule="exact"/>
        <w:rPr>
          <w:rFonts w:ascii="Times New Roman" w:cs="Times New Roman" w:eastAsia="Times New Roman" w:hAnsi="Times New Roman"/>
          <w:sz w:val="18"/>
          <w:szCs w:val="18"/>
          <w:color w:val="auto"/>
        </w:rPr>
      </w:pPr>
    </w:p>
    <w:p>
      <w:pPr>
        <w:ind w:right="60" w:firstLine="1428"/>
        <w:spacing w:after="0" w:line="266" w:lineRule="auto"/>
        <w:tabs>
          <w:tab w:leader="none" w:pos="164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“discretion” or under a grant of similar authority, the Trustees shall be entitled to consider such interests and factors as they desire, including their own interest, and, to the fullest extent permitted by applicable law, shall have no duty or obligation to give any consideration to any interest of or factors affecting the Trust or any other Person; or</w:t>
      </w:r>
    </w:p>
    <w:p>
      <w:pPr>
        <w:spacing w:after="0" w:line="175" w:lineRule="exact"/>
        <w:rPr>
          <w:rFonts w:ascii="Times New Roman" w:cs="Times New Roman" w:eastAsia="Times New Roman" w:hAnsi="Times New Roman"/>
          <w:sz w:val="18"/>
          <w:szCs w:val="18"/>
          <w:color w:val="auto"/>
        </w:rPr>
      </w:pPr>
    </w:p>
    <w:p>
      <w:pPr>
        <w:ind w:right="540" w:firstLine="1428"/>
        <w:spacing w:after="0" w:line="282" w:lineRule="auto"/>
        <w:tabs>
          <w:tab w:leader="none" w:pos="169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their “good faith” or under another express standard, the Trustees shall act under such express standard and shall not be subject to any other or different standard.</w:t>
      </w:r>
    </w:p>
    <w:p>
      <w:pPr>
        <w:spacing w:after="0" w:line="161"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expressly provided otherwise herein or in the Trust’s private placement memorandum or other offering document (as may be amended from time to time), the Adviser and any Affiliated Person of the Adviser may engage in or possess an interest in other profit-seeking or business ventures of any nature or description, independently or with others, whether or not such ventures are competitive with the Trust and the doctrine of corporate opportunity, or any analogous doctrine. To the extent that the Adviser acquires knowledge of a potential transaction, agreement, arrangement or other matter that may be an opportunity for the Trust, it shall not have any duty to communicate or offer such opportunity to the Trust, subject to the requirements of the 1940 Act, the Investment Advisers Act of 1940, as amended, and any applicable co-investment order issued by the Commission, and the Adviser shall not be liable to the Trust or to the Shareholders for breach of any fiduciary or other duty by reason of the fact that the Adviser pursues or acquires for, or directs such opportunity to, another Person or does not communicate such opportunity or information to the Trust. Neither the Trust nor any Shareholder shall have any rights or obligations by virtue of this Declaration or the trust relationship created hereby in or to such independent ventures or the income or profits or losses derived therefrom, and the pursuit of such ventures, even if competitive with the activities of the Trust, shall not be deemed wrongful or improper.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9" w:name="page130"/>
    <w:bookmarkEnd w:id="1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Fees and Expenses; Advisory, Management and Distribution Arrangements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shall have power to incur and pay out of the assets or income of the Trust any expenses that in the opinion of the Trustees are necessary or incidental to carry out any of the purposes of this Declaration, and the business of the Trust, and to pay reasonable compensation from the funds of the Trust to themselves as Trustees. The Trustees shall fix the compensation of all officers, employees and Trustees. The Trustees may pay themselves such compensation for special services, including legal, underwriting, syndicating and brokerage services, as they in good faith may deem reasonable, and reimbursement for expenses reasonably incurred by themselves on behalf of the Trust.</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shall bear and be responsible for all costs and expenses of the Trust’s operations, administration and transactions, including, but not limited to, fees and expenses paid for investment advisory, administrative or other services and all other expenses of its operations and transactions.</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Advisory and Management Arrangements</w:t>
      </w:r>
      <w:r>
        <w:rPr>
          <w:rFonts w:ascii="Times New Roman" w:cs="Times New Roman" w:eastAsia="Times New Roman" w:hAnsi="Times New Roman"/>
          <w:sz w:val="18"/>
          <w:szCs w:val="18"/>
          <w:color w:val="auto"/>
        </w:rPr>
        <w:t>. Subject to the requirements of applicable law as in effect from time to time, the Trustees may in their discretion from time to time enter into advisory, administration or management contracts (including, in each case, one or</w:t>
      </w:r>
    </w:p>
    <w:p>
      <w:pPr>
        <w:ind w:right="100"/>
        <w:spacing w:after="0" w:line="251" w:lineRule="auto"/>
        <w:rPr>
          <w:sz w:val="20"/>
          <w:szCs w:val="20"/>
          <w:color w:val="auto"/>
        </w:rPr>
      </w:pPr>
      <w:r>
        <w:rPr>
          <w:rFonts w:ascii="Times New Roman" w:cs="Times New Roman" w:eastAsia="Times New Roman" w:hAnsi="Times New Roman"/>
          <w:sz w:val="18"/>
          <w:szCs w:val="18"/>
          <w:color w:val="auto"/>
        </w:rPr>
        <w:t>more sub-advisory, sub-administration or sub-management contracts) whereby the other party to any such contract shall undertake to furnish such advisory, administrative and management services with respect to the Trust as the Trustees shall from time to time consider desirable and all upon such terms and conditions as the Trustees may in their discretion determine. Notwithstanding any provisions of this Declaration, the Trustees may authorize any advisor, administrator or manager (subject to such general or specific instructions as the Trustees may from time to time adopt) to exercise any of the powers of the Trustees, including to effect investment transactions with respect to the assets on behalf of the Trust to the full extent of the power of the Trustees to effect such transactions or may authorize any officer, employee or Trustee to effect such transactions pursuant to recommendations of any such advisor, administrator or manager (and all without further action by the Trustees). Any such investment transaction shall be deemed to have been authorized by all of the Trustees.</w:t>
      </w:r>
    </w:p>
    <w:p>
      <w:pPr>
        <w:spacing w:after="0" w:line="194"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Distribution Arrangements</w:t>
      </w:r>
      <w:r>
        <w:rPr>
          <w:rFonts w:ascii="Times New Roman" w:cs="Times New Roman" w:eastAsia="Times New Roman" w:hAnsi="Times New Roman"/>
          <w:sz w:val="18"/>
          <w:szCs w:val="18"/>
          <w:color w:val="auto"/>
        </w:rPr>
        <w:t>. Subject to compliance with the 1940 Act, the Trustees may retain underwriters, distributors and/or placement agents to sell Shares and other securities of the Trust. The Trustees may in their discretion from time to time enter into one or more contracts, providing for the sale of securities of the Trust, whereby the Trust may either agree to sell such securities to the other party to the contract or appoint such other party as its sales agent for such securities. In either case, the contract shall be on such terms and conditions as the Trustees may in their discretion determine not inconsistent with the provisions of this Article IV or the By-Laws; and such contract may also provide for the repurchase or sale of securities of the Trust by such other party as principal or as agent of the Trust and may provide that such other party may enter into selected dealer agreements and servicing and similar agreements to further the purposes of the distribution or repurchase of the securities of the Trust.</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Parties to Contract</w:t>
      </w:r>
      <w:r>
        <w:rPr>
          <w:rFonts w:ascii="Times New Roman" w:cs="Times New Roman" w:eastAsia="Times New Roman" w:hAnsi="Times New Roman"/>
          <w:sz w:val="18"/>
          <w:szCs w:val="18"/>
          <w:color w:val="auto"/>
        </w:rPr>
        <w:t>. Any contract of the character described in Sections 4.2 and 4.3 of this Article IV or in Article VIII hereof may be entered into with any Person, although one or more of the Trustees, officers or employees of the Trust may be an officer, director, trustee, shareholder or member of such other party to the contract, and no such contract shall be invalidated or rendered voidable by reason of the existence of any such relationship, nor shall any Person holding such relationship be liable merely by reason of such relationship for any loss or expense to the Trust under or by reason of said contract or accountable for any profit realized directly or indirectly therefrom, provided that the contract when entered into was reasonable and fair and not inconsistent with the provisions of this Article IV or the By-Laws. The same Person may be the other party to contracts entered into pursuant to Sections 4.2 and 4.3 above or Article VIII, and any individual may be financially interested or otherwise affiliated with Persons who are parties to any or all of the contracts mentioned in this Section 4.4.</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22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No Personal Liability of Shareholders, Trustees, etc.</w:t>
      </w:r>
      <w:r>
        <w:rPr>
          <w:rFonts w:ascii="Times New Roman" w:cs="Times New Roman" w:eastAsia="Times New Roman" w:hAnsi="Times New Roman"/>
          <w:sz w:val="18"/>
          <w:szCs w:val="18"/>
          <w:color w:val="auto"/>
        </w:rPr>
        <w:t xml:space="preserve"> No Shareholder of the Trust shall be subject in such capacity to any personal liability whatsoever to any Person in connection with Trust Property or the acts, obligations or affairs of the Trust. Shareholders shall have the same limitation of personal liability as is extended to stockholders of a private corporation for profit incorporated under the Delaware General Corporation Law. No Trustee or officer of the Trust shall be subject in such capacity to any personal liability whatsoever to any Person, save only liability to the Trust or its Shareholders arising from bad faith, willful misconduct, gross negligence or reckless disregard for his duty to such Person; and, subject to the foregoing exception, all such Persons shall look solely to the Trust Property for satisfaction of claims of any nature arising in connection with the affairs of the Trust. If any Shareholder, Trustee or officer, as such, of the Trust, is made a party to any suit or proceeding to enforce any such liability, subject to the foregoing exception, he shall not, on account thereof, be held to any personal liability. Any repeal or modification of this Section 5.1 shall not adversely affect any right or protection of a Trustee or officer of the Trust existing at the time of such repeal or modification with respect to acts or omissions occurring prior to such repeal or modification.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Mandatory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2" w:lineRule="auto"/>
        <w:tabs>
          <w:tab w:leader="none" w:pos="12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 hereby agrees to indemnify each person who at any time serves as a Trustee, officer or employee of the Trust (each such person being an “indemnitee”) against any liabilities and expenses, including amounts paid in satisfaction of judgments, in compromise or as fines and penalties, and reasonable counsel fees reasonably incurred by such indemnitee in connection with the defense or disposition of any action, suit or other proceeding, whether civil or criminal, before any court or administrative or investigative body in which he may be or may have been involved as a party or otherwise or with which he may be or may have been threatened, while acting in any capacity set forth in this Article V by reason of his having acted in any such capacity; provided, however, that no indemnitee shall be indemnified hereunder against any liability to any person or any expense of such indemnitee arising by reason of (i) willful misconduct, (ii) bad faith, (iii) gross negligence, or (iv) reckless disregard of the duties involved in the conduct of his position (the conduct referred to in such clauses (i) through (iv) being sometimes referred to herein as “</w:t>
      </w:r>
      <w:r>
        <w:rPr>
          <w:rFonts w:ascii="Times New Roman" w:cs="Times New Roman" w:eastAsia="Times New Roman" w:hAnsi="Times New Roman"/>
          <w:sz w:val="18"/>
          <w:szCs w:val="18"/>
          <w:u w:val="single" w:color="auto"/>
          <w:color w:val="auto"/>
        </w:rPr>
        <w:t>disabling conduct</w:t>
      </w:r>
      <w:r>
        <w:rPr>
          <w:rFonts w:ascii="Times New Roman" w:cs="Times New Roman" w:eastAsia="Times New Roman" w:hAnsi="Times New Roman"/>
          <w:sz w:val="18"/>
          <w:szCs w:val="18"/>
          <w:color w:val="auto"/>
        </w:rPr>
        <w:t>”). Notwithstanding the foregoing, with respect to any action, suit or other proceeding voluntarily prosecuted by any indemnitee as plaintiff, indemnification shall be mandatory only if the prosecution of such action, suit or other proceeding by such indemnitee (1) was authorized by a majority of the Trustees or (2) was instituted by the indemnitee to enforce his or her rights to indemnification hereunder in a case in which the indemnitee is found to be entitled to such indemnification. The rights to indemnification set forth in this Declaration shall continue as to a person who has ceased to be a Trustee or officer of the Trust and shall inure to the benefit of his or her heirs, executors and personal and legal representatives. No amendment or restatement of this Declaration or repeal of any of its provisions shall limit or eliminate any of the benefits provided to any person who at any time is or was a Trustee or officer of the Trust or otherwise entitled to indemnification hereunder in respect of any act or omission that occurred prior to such amendment, restatement or repeal.</w:t>
      </w:r>
    </w:p>
    <w:p>
      <w:pPr>
        <w:spacing w:after="0" w:line="194"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indemnification shall be made hereunder unless there has been a determination (i) by a final decision on the merits by a court or other body of competent jurisdiction before whom the issue of entitlement to indemnification hereunder was brought that the indemnitee is entitled to indemnification hereunder or, (ii) in the absence of such a decision, by (1) a majority vote of a quorum of those Trustees who are neither Interested Persons of the Trust (as defined in Section 2(a)(19) of the 1940 Act) nor parties to the proceeding (“</w:t>
      </w:r>
      <w:r>
        <w:rPr>
          <w:rFonts w:ascii="Times New Roman" w:cs="Times New Roman" w:eastAsia="Times New Roman" w:hAnsi="Times New Roman"/>
          <w:sz w:val="18"/>
          <w:szCs w:val="18"/>
          <w:u w:val="single" w:color="auto"/>
          <w:color w:val="auto"/>
        </w:rPr>
        <w:t>Disinterested Non-Party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Trustees</w:t>
      </w:r>
      <w:r>
        <w:rPr>
          <w:rFonts w:ascii="Times New Roman" w:cs="Times New Roman" w:eastAsia="Times New Roman" w:hAnsi="Times New Roman"/>
          <w:sz w:val="18"/>
          <w:szCs w:val="18"/>
          <w:color w:val="auto"/>
        </w:rPr>
        <w:t>”) that the indemnitee is entitled to indemnification hereunder, or (2) if such quorum is not obtainable or even if obtainable, if such majority so directs, independent legal counsel in a written opinion concludes that the indemnitee should be entitled to indemnification hereunder. All determinations to make advance payments in connection with the expense of defending any proceeding shall be authorized and made in accordance with the immediately succeeding paragraph (c) below.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31" w:name="page132"/>
    <w:bookmarkEnd w:id="131"/>
    <w:p>
      <w:pPr>
        <w:ind w:right="20" w:firstLine="987"/>
        <w:spacing w:after="0" w:line="254"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 shall make advance payments in connection with the expenses of defending any action with respect to which indemnification might be sought hereunder if the Trust receives a written affirmation by the indemnitee of the indemnitee’s good faith belief that the standards of conduct necessary for indemnification have been met and a written undertaking to reimburse the Trust unless it is subsequently determined that the indemnitee is entitled to such indemnification and if a majority of the Trustees determine that the applicable standards of conduct necessary for indemnification appear to have been met. In addition, at least one of the following conditions must be met: (i) the indemnitee shall provide adequate security for his undertaking, (ii) the Trust shall be insured against losses arising by reason of any lawful advances, or (iii) a majority of a quorum of the Disinterested Non-Party Trustees, or if a majority vote of such quorum so direct, independent legal counsel in a written opinion, shall conclude, based on a review of readily available facts (as opposed to a full trial-type inquiry), that there is substantial reason to believe that the indemnitee ultimately will be found entitled to indemnification.</w:t>
      </w:r>
    </w:p>
    <w:p>
      <w:pPr>
        <w:spacing w:after="0" w:line="188"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accruing to any indemnitee under these provisions shall not exclude any other right that any person may have or hereafter acquire under this Declaration, the By-Laws of the Trust, any statute, agreement, vote of Shareholders or Trustees who are not Interested Persons or any other right to which he or she may be lawfully entitled.</w:t>
      </w:r>
    </w:p>
    <w:p>
      <w:pPr>
        <w:spacing w:after="0" w:line="17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provided by the 1940 Act and this Declaration, the Trust shall have the power and authority to indemnify and provide for the advance payment of expenses to employees, agents and other Persons providing services to the Trust or serving in any capacity at the request of the Trust or provide for the advance payment of expenses for such Persons, provided that such indemnification has been approved by a majority of the Trustees.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No Bond Required of Trustees</w:t>
      </w:r>
      <w:r>
        <w:rPr>
          <w:rFonts w:ascii="Times New Roman" w:cs="Times New Roman" w:eastAsia="Times New Roman" w:hAnsi="Times New Roman"/>
          <w:sz w:val="18"/>
          <w:szCs w:val="18"/>
          <w:color w:val="auto"/>
        </w:rPr>
        <w:t>. No Trustee shall, as such, be obligated to give any bond or other security for the performance of any of his duties hereunder.</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No Duty of Investigation; No Notice in Trust Instruments, etc.</w:t>
      </w:r>
      <w:r>
        <w:rPr>
          <w:rFonts w:ascii="Times New Roman" w:cs="Times New Roman" w:eastAsia="Times New Roman" w:hAnsi="Times New Roman"/>
          <w:sz w:val="18"/>
          <w:szCs w:val="18"/>
          <w:color w:val="auto"/>
        </w:rPr>
        <w:t xml:space="preserve"> No purchaser, lender, transfer agent or other person dealing with the Trustees or with any officer, employee or agent of the Trust shall be bound to make any inquiry concerning the validity of any transaction purporting to be made by the Trustees or by said officer, employee or agent or be liable for the application of money or property paid, loaned, or delivered to or on the order of the Trustees or of said officer, employee or agent. Every obligation, contract, undertaking, instrument, certificate, Share, other security of the Trust, and every other act or thing whatsoever executed in connection with the Trust shall be conclusively taken to have been executed or done by the executors thereof only in their capacity as Trustees under this Declaration or in their capacity as officers, employees or agents of the Trust. The Trustees may maintain insurance for the protection of the Trust Property, the Shareholders, Trustees, officers, employees and agents in such amount as the Trustees shall deem adequate to cover possible tort liability, and such other insurance as the Trustees in their sole judgment shall deem advisable or is required by the 1940 Act.</w:t>
      </w:r>
    </w:p>
    <w:p>
      <w:pPr>
        <w:spacing w:after="0" w:line="1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Reliance on Experts, etc.</w:t>
      </w:r>
      <w:r>
        <w:rPr>
          <w:rFonts w:ascii="Times New Roman" w:cs="Times New Roman" w:eastAsia="Times New Roman" w:hAnsi="Times New Roman"/>
          <w:sz w:val="18"/>
          <w:szCs w:val="18"/>
          <w:color w:val="auto"/>
        </w:rPr>
        <w:t xml:space="preserve"> The Trustees may rely in good faith upon advice of counsel or other experts with respect to the meaning and operation of this Declaration and their duties as Trustees hereunder and shall be under no liability for any act or omission in accordance with such advice; provided the Trustees shall be under no liability for failing to follow such advice. A Trustee shall be fully protected in relying in good faith upon the records of the Trust and upon information, opinions, reports or statements presented by another Trustee or any officer, employee or other agent of the Trust, or by any other Person as to matters the Trustee believes in good faith are within such other Person’s professional or expert competence, including information, opinions, reports or statements as to the value and amount of the assets, liabilities, profits or losses of the Trust or any series or class, or the value and amount of assets or reserves or contracts, agreements or other undertakings that would be sufficient to pay claims and obligations of the Trust or any series or class or to make reasonable provision to pay such claims and obligations, or any other facts pertinent to the existence and amount of assets from which distributions to Shareholders or creditors of the Trust might properly be paid. The appointment, designation or identification of a Trustee as a Chairman of the Board of Trustees, a member or chair of a committee of the Trustees, an expert on any topic or in any area (including an audit committee financial expert), or the lead independent Trustee, or any other special appointment, designation or identification of a Trustee, shall not impose on that person any standard of care or liability that is greater than that imposed on that person as a Trustee in the absence of the appointment, designation or identification, and no Trustee who has special skills or expertise, or is appointed, designated or identified as aforesaid, shall be held to a higher standard of care by virtue thereof.</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Beneficial Interest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Beneficial Interest</w:t>
      </w:r>
      <w:r>
        <w:rPr>
          <w:rFonts w:ascii="Times New Roman" w:cs="Times New Roman" w:eastAsia="Times New Roman" w:hAnsi="Times New Roman"/>
          <w:sz w:val="18"/>
          <w:szCs w:val="18"/>
          <w:color w:val="auto"/>
        </w:rPr>
        <w:t>. The beneficial interest in the Trust shall be divided into an unlimited number of shares of beneficial interest, par value $0.001 per share. Such Shares of beneficial interest may be issued in different classes and/or series of beneficial interests. The Trust is authorized to issue an unlimited number of Shares, and upon the establishment of any series or class as provided herein, the Trust shall be authorized to issue an unlimited number of Shares of each such series and class, unless otherwise determined, and subject to any conditions set forth, by the Trustees. All references to Shares in this Declaration shall be deemed to be Shares of the Trust and of any or all series or classes, as the context may require. All provisions herein relating to the Trust shall apply equally to each series of the Trust and each class, except as the context otherwise requires. All Shares issued in accordance with the terms hereof, including, without limitation, Shares issued in connection with a dividend in Shares or a split of Shares, shall be fully paid and nonassessable when the consideration determined by the Trustees (if any) therefor shall have been received by the Trust.</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Other Securities</w:t>
      </w:r>
      <w:r>
        <w:rPr>
          <w:rFonts w:ascii="Times New Roman" w:cs="Times New Roman" w:eastAsia="Times New Roman" w:hAnsi="Times New Roman"/>
          <w:sz w:val="18"/>
          <w:szCs w:val="18"/>
          <w:color w:val="auto"/>
        </w:rPr>
        <w:t>. The Trustees may, subject to the requirements of the 1940 Act, authorize and issue such other securities of the Trust as they determine to be necessary, desirable or appropriate, having such terms, rights, preferences, privileges, limitations and restrictions as the Trustees see fit, including preferred interests, debt securities or other senior securities. To the extent that the Trustees authorize and issue preferred shares of any class or series, they are hereby authorized and empowered to amend or supplement this Declaration as they deem necessary or appropriate, including to comply with the requirements of the 1940 Act or requirements imposed by the rating agencies or other Persons, all without the approval of Shareholders. Any such supplement or amendment shall be filed as is necessary. In addition, any such supplement or amendment may set forth the rights, powers, preferences and privileges of such preferred shares and any such supplement or amendment shall operate either as additions to or modifications of the rights, powers, preferences and privileges of any such preferred shares under this Declaration. To the extent the provisions set forth in such supplement or amendment conflict with the provisions of this Declaration with respect to any such rights, powers and privileges of the preferred shares, such amendment or supplement shall control. Except as contemplated by the immediately preceding sentence, this Declaration shall control as to the Trust generally and the rights, powers, preferences and privileges of the other Shareholders of the Trust. The Trustees are also authorized to take such actions and retain such persons as they see fit to offer and sell such securities.</w:t>
      </w:r>
    </w:p>
    <w:p>
      <w:pPr>
        <w:spacing w:after="0" w:line="19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Rights of Shareholders</w:t>
      </w:r>
      <w:r>
        <w:rPr>
          <w:rFonts w:ascii="Times New Roman" w:cs="Times New Roman" w:eastAsia="Times New Roman" w:hAnsi="Times New Roman"/>
          <w:sz w:val="18"/>
          <w:szCs w:val="18"/>
          <w:color w:val="auto"/>
        </w:rPr>
        <w:t>. The Shares shall be personal property giving only the rights specifically set forth in this Declaration. The ownership of the Trust Property of every description and the right to conduct any business herein before described are vested exclusively in the Trust, and the Shareholders shall have no interest therein other than the beneficial interest conferred by their Shares, and they shall have no right to call for any partition or division of any property, profits, rights or interests of the Trust, nor can they be called upon to share or assume any losses of the Trust or suffer an assessment of any kind by virtue of their ownership of Shares. The Shares shall not entitle the holder to preference, preemptive, appraisal, conversion or exchange rights (except as specified by the Trustees when creating the Shares, as in preferred shares). Ownership of Shares shall not make any Shareholder a third-party beneficiary of any contract entered into by the Trust or any class or series.</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Trust Only</w:t>
      </w:r>
      <w:r>
        <w:rPr>
          <w:rFonts w:ascii="Times New Roman" w:cs="Times New Roman" w:eastAsia="Times New Roman" w:hAnsi="Times New Roman"/>
          <w:sz w:val="18"/>
          <w:szCs w:val="18"/>
          <w:color w:val="auto"/>
        </w:rPr>
        <w:t>. It is the intention of the Trustees to create only the relationship of Trustee and beneficiary between the Trustees and each Shareholder from time to time. It is not the intention of the Trustees to create a general partnership, limited partnership, joint stock association, corporation, bailment or any form of legal relationship other than a Delaware statutory trust. Nothing in this Declaration shall be construed to make the Shareholders, either by themselves or with the Trustees, partners or members of a general partnership, limited partnership, joint stock association or any form of legal relationship other than a Delaware statutory trust.</w:t>
      </w:r>
    </w:p>
    <w:p>
      <w:pPr>
        <w:spacing w:after="0" w:line="183"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Trustees, in their discretion, may from time to time without vote of the Shareholders issue Shares including preferred shares that may have been established pursuant to Section 6.2, in addition to the then issued and outstanding Shares and Shares held in the treasury, to such party or parties and for such amount and type of consideration, including cash or property, at such time or times, and on such terms as the Trustees may determine, and may in such manner acquire other assets (including the acquisition of assets subject to, and in connection with the assumption of, liabilities) and businesses. The Trustees may from time to time, without a vote of the Shareholders, divide, reclassify or combine the Shares into a greater or lesser number without thereby changing the proportionate beneficial interest in such Shares. Issuances and redemptions of Shares may be made in whole Shares and/or 1/1,000ths of a Share or multiples thereof as the Trustees may determine.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33" w:name="page134"/>
    <w:bookmarkEnd w:id="133"/>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6.6 </w:t>
      </w:r>
      <w:r>
        <w:rPr>
          <w:rFonts w:ascii="Times New Roman" w:cs="Times New Roman" w:eastAsia="Times New Roman" w:hAnsi="Times New Roman"/>
          <w:sz w:val="18"/>
          <w:szCs w:val="18"/>
          <w:u w:val="single" w:color="auto"/>
          <w:color w:val="auto"/>
        </w:rPr>
        <w:t>Register of Shares</w:t>
      </w:r>
      <w:r>
        <w:rPr>
          <w:rFonts w:ascii="Times New Roman" w:cs="Times New Roman" w:eastAsia="Times New Roman" w:hAnsi="Times New Roman"/>
          <w:sz w:val="18"/>
          <w:szCs w:val="18"/>
          <w:color w:val="auto"/>
        </w:rPr>
        <w:t>. A register shall be kept at the offices of the Trust, or any transfer agent duly appointed by the Trustees under the direction of the Trustees, which shall contain the names and addresses of the Shareholders and the number of Shares held by them respectively and a record of all transfers thereof. Separate registers shall be established and maintained for each class or series of Shares. Each such register shall be conclusive as to who are the holders of the Shares of the applicable class or series of Shares and who shall be entitled to receive dividends or distributions or otherwise to exercise or enjoy the rights of Shareholders. No Shareholder shall be entitled to receive payment of any dividend or distribution, nor to have notice given to him as herein provided, until he has given his address to a transfer agent or such other officer or agent of the Trustees as shall keep the register for entry thereon. It is not contemplated that certificates will be issued for the Shares; however, the Trustees, in their discretion, may authorize the issuance of share certificates and promulgate appropriate fees therefore and rules and regulations as to their use.</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Transfer Agent and Registrar</w:t>
      </w:r>
      <w:r>
        <w:rPr>
          <w:rFonts w:ascii="Times New Roman" w:cs="Times New Roman" w:eastAsia="Times New Roman" w:hAnsi="Times New Roman"/>
          <w:sz w:val="18"/>
          <w:szCs w:val="18"/>
          <w:color w:val="auto"/>
        </w:rPr>
        <w:t>. The Trustees shall have power to employ a transfer agent or transfer agents, and a registrar or registrars, with respect to the Shares. The transfer agent or transfer agents may keep the applicable register and record therein the original issues and transfers, if any, of the said Shares. Any such transfer agents and/or registrars shall perform the duties usually performed by transfer agents and registrars of certificates of stock in a corporation, as modified by the Trustees.</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To the fullest extent permitted by law, prior to an Exchange Listing (or such other time pursuant to any agreements between the Trust and Shareholders), the Shares shall not be transferable, except as determined otherwise by the Adviser in its sole discretion, and any transfer of Shares shall be made on the records of the Trust only by the record holder thereof or by its agent thereto duly authorized in writing, upon delivery to the Trustees or a transfer agent of the Trust of a duly executed instrument of transfer, together with such evidence of the genuineness of each such execution and authorization and of other matters (including compliance with any securities laws and contractual restrictions) as may reasonably be required. If a transfer is approved by the Adviser, upon such delivery the transfer shall be recorded on the applicable register of the Trust. Until such record is made, the Shareholder of record shall be deemed to be the holder of such Shares for all purposes hereof and neither the Trustees nor any transfer agent or registrar nor any officer, employee or agent of the Trust shall be affected by any notice of the proposed transfer.</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Any person becoming entitled to any Shares in consequence of the death, bankruptcy or incompetence of any Shareholder, or otherwise by operation of law, shall be recorded on the applicable register of Shares as the holder of such Shares upon production of the proper evidence thereof to the Trustees or a transfer agent of the Trust, but until such record is made, the Shareholder of record shall be deemed to be the holder of such for all purposes hereof, and neither the Trustees nor any transfer agent or registrar nor any officer or agent of the Trust shall be affected by any notice of such death, bankruptcy or incompetence, or other operation of law.</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Subject to the 1940 Act, notices and all other communications to Shareholders shall be in writing and delivered personally, or sent by electronic transmission to an electronic mail address provided by the Shareholder or mailed to the Shareholders at their addresses appearing on the books of the Trust or given by a document publicly filed by the with Securities and Exchange Commission or given as otherwise provided herein. Notices to Trustees shall be oral or by telephone or in writing delivered personally or mailed to the Trustees at their addresses appearing on the books of the Trust or by electronic transmission to an electronic mail address provided by the Trustee. Notice by mail shall be deemed to be given at the time when the same shall be mailed, notice by electronic transmission shall be deemed given at the time when sent, and notice by a document publicly filed by with the Securities and Exchange Commission shall be deemed given at the time the Trust files such document. Subject to the provisions of the 1940 Act, notice to Trustees need not state the purpose of a regular or special meeting.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34" w:name="page135"/>
    <w:bookmarkEnd w:id="13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Derivative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987"/>
        <w:spacing w:after="0" w:line="266" w:lineRule="auto"/>
        <w:tabs>
          <w:tab w:leader="none" w:pos="12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Trust. No Shareholder may maintain a derivative action on behalf of the Trust unless holders of at least ten percent (10%) of the outstanding Shares join in the bringing of such action.</w:t>
      </w:r>
    </w:p>
    <w:p>
      <w:pPr>
        <w:spacing w:after="0" w:line="175" w:lineRule="exact"/>
        <w:rPr>
          <w:rFonts w:ascii="Times New Roman" w:cs="Times New Roman" w:eastAsia="Times New Roman" w:hAnsi="Times New Roman"/>
          <w:sz w:val="18"/>
          <w:szCs w:val="18"/>
          <w:color w:val="auto"/>
        </w:rPr>
      </w:pPr>
    </w:p>
    <w:p>
      <w:pPr>
        <w:ind w:left="4" w:right="20" w:firstLine="987"/>
        <w:spacing w:after="0" w:line="269" w:lineRule="auto"/>
        <w:tabs>
          <w:tab w:leader="none" w:pos="125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requirements set forth in Section 3816 of the Delaware Statutory Trust Statute, a Shareholder may bring a derivative action on behalf of the Trust only if the following conditions are met: (i) the Shareholder or Shareholders must make a pre-suit demand upon the Trustees to bring the subject action unless an effort to cause the Trustees to bring such an action is not likely to succeed; and a demand on the Trustees shall only be deemed not likely to succeed and therefore excused if a majority of the Trustees, or a majority of any committee established to consider the merits of such action, is composed of Trustees who are not “independent trustees” (as that term is defined in the Delaware Statutory Trust Statute); and</w:t>
      </w:r>
    </w:p>
    <w:p>
      <w:pPr>
        <w:spacing w:after="0" w:line="2" w:lineRule="exact"/>
        <w:rPr>
          <w:rFonts w:ascii="Times New Roman" w:cs="Times New Roman" w:eastAsia="Times New Roman" w:hAnsi="Times New Roman"/>
          <w:sz w:val="17"/>
          <w:szCs w:val="17"/>
          <w:color w:val="auto"/>
        </w:rPr>
      </w:pPr>
    </w:p>
    <w:p>
      <w:pPr>
        <w:ind w:left="4" w:right="160" w:hanging="4"/>
        <w:spacing w:after="0" w:line="253" w:lineRule="auto"/>
        <w:tabs>
          <w:tab w:leader="none" w:pos="2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demand is not required under clause (i) of this paragraph, the Trustees must be afforded a reasonable amount of time to consider such Shareholder request and to investigate the basis of such claim; and the Trustees shall be entitled to retain counsel and other advisors in considering the merits of the request and may require an undertaking by the Shareholders making such request to reimburse the Trust for the expense of any such advisors in the event that the Trustees determine not to bring such action. For purposes of this Section 6.10, the Trustees may designate a committee of one or more Trustees to consider a Shareholder demand.</w:t>
      </w:r>
    </w:p>
    <w:p>
      <w:pPr>
        <w:spacing w:after="0" w:line="186"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Trust or any series or class equally, that is, proportionately based on their number of Shares in the Trust or in such series of class, must be brought as a derivative claim subject to this Section 6.10 irrespective of whether such claim involves a violation of the Shareholder’s rights under this Declaration or any other alleged violation of contractual or individual rights that might otherwise give rise to a direct claim.</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Capital Calls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Capital Commitment; Drawdowns; Defaulting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5"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 Exchange Listing, unless otherwise determined by the Trustees, prospective Shareholders will make a Capital Commitment pursuant to a subscription agreement entered into with the Trust, pursuant to which Shareholders agree to contribute capital to the Trust in exchange for Shares. The subscription agreements provide that investors are required to fund capital contributions to purchase Shares (each a “Drawdown Purchase”), each time the Trust delivers a drawdown notice, which the Trust will deliver at least 10 calendar days prior to the date on which contributions will be due. Drawdown Purchases will generally be made pro rata, in accordance with unfunded Capital Commitments of all investors, unless otherwise determined by the Adviser (including as the Adviser determines necessary or desirable in order to comply with any applicable legal, regulatory, tax or similar regimes).</w:t>
      </w:r>
    </w:p>
    <w:p>
      <w:pPr>
        <w:spacing w:after="0" w:line="188" w:lineRule="exact"/>
        <w:rPr>
          <w:rFonts w:ascii="Times New Roman" w:cs="Times New Roman" w:eastAsia="Times New Roman" w:hAnsi="Times New Roman"/>
          <w:sz w:val="18"/>
          <w:szCs w:val="18"/>
          <w:color w:val="auto"/>
        </w:rPr>
      </w:pPr>
    </w:p>
    <w:p>
      <w:pPr>
        <w:jc w:val="both"/>
        <w:ind w:left="4" w:right="240" w:firstLine="987"/>
        <w:spacing w:after="0" w:line="266" w:lineRule="auto"/>
        <w:tabs>
          <w:tab w:leader="none" w:pos="12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initial closing (the “Initial Closing”), the Trust may permit one or more additional closings (each, a “Closing”), which may occur from time to time as determined by the Trust until (and including) the 12-month anniversary date of the Initial Closing, which may be extended for an additional six months by the Adviser.</w:t>
      </w:r>
    </w:p>
    <w:p>
      <w:pPr>
        <w:spacing w:after="0" w:line="175" w:lineRule="exact"/>
        <w:rPr>
          <w:rFonts w:ascii="Times New Roman" w:cs="Times New Roman" w:eastAsia="Times New Roman" w:hAnsi="Times New Roman"/>
          <w:sz w:val="18"/>
          <w:szCs w:val="18"/>
          <w:color w:val="auto"/>
        </w:rPr>
      </w:pPr>
    </w:p>
    <w:p>
      <w:pPr>
        <w:ind w:left="4" w:firstLine="987"/>
        <w:spacing w:after="0" w:line="258" w:lineRule="auto"/>
        <w:tabs>
          <w:tab w:leader="none" w:pos="12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Trust enters into a subscription agreement with one or more investors after the initial Drawdown Purchase in which the proceeds are used to make investments (the “Effective Date”), unless otherwise determined by the Trustees, each such investor will be required to make a purchase of Shares on a date to be determined by the Trust that occurs no later than the next succeeding Drawdown Purchase date so that Drawdown Purchases are pro rata in accordance with the unfunded Capital Commitments of all investors, unless otherwise determined by the Adviser (including as the Adviser determines necessary or desirable in order to comply with any applicable legal, regulatory, tax or similar regimes).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35" w:name="page136"/>
    <w:bookmarkEnd w:id="135"/>
    <w:p>
      <w:pPr>
        <w:ind w:right="20" w:firstLine="987"/>
        <w:spacing w:after="0" w:line="272" w:lineRule="auto"/>
        <w:tabs>
          <w:tab w:leader="none" w:pos="1246"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earlier of (i) an Exchange Listing and (ii) five years following the Effective Date (the “Commitment Period”), investors will be released from any further obligation to purchase additional Shares, except to the extent necessary to (a) pay Trust expenses, including management fees, amounts that may become due under any borrowings or other financings or similar obligations, or indemnity obligations, (b) complete investments in any transactions that the Adviser has allocated to the Trust or to which the Adviser has committed the Trust to proceed as of the end of the Commitment Period (including investments that are funded in phases), (c) fund follow-on investments made in existing portfolio companies within three years from the end of the Commitment Period that, in the aggregate, do not exceed five percent (5%) of total Capital Commitments, (d) fund obligations under any Trust guarantee and (e) fulfill obligations with respect to any Shareholder failures to pay Capital Commitments when due, described in Section 7.1(e) below. No investor in the Trust’s private placement will be required to invest more than the total amount of its Capital Commitment.</w:t>
      </w:r>
    </w:p>
    <w:p>
      <w:pPr>
        <w:spacing w:after="0" w:line="171" w:lineRule="exact"/>
        <w:rPr>
          <w:rFonts w:ascii="Times New Roman" w:cs="Times New Roman" w:eastAsia="Times New Roman" w:hAnsi="Times New Roman"/>
          <w:sz w:val="17"/>
          <w:szCs w:val="17"/>
          <w:color w:val="auto"/>
        </w:rPr>
      </w:pPr>
    </w:p>
    <w:p>
      <w:pPr>
        <w:ind w:right="80" w:firstLine="987"/>
        <w:spacing w:after="0" w:line="254"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Trustees or the Adviser with a Shareholder, if a Shareholder fails to fund a Capital Commitment when due, after a ten business day cure period the Trust may determine such Shareholder to be a defaulting Shareholder. A defaulting Shareholder will forfeit its right to participate in future capital calls and 50% of its Shares will be transferred to the non-defaulting Shareholders on a pro rata basis. In addition, the Adviser may, in its discretion and subject to applicable law, take any actions available under this Declaration or at law or in equity. Without limitation on the rights the Trust may have against the defaulting Shareholder, the Trust may call for additional capital contributions</w:t>
      </w:r>
    </w:p>
    <w:p>
      <w:pPr>
        <w:spacing w:after="0" w:line="3"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non-defaulting Shareholders to make up any shortfall. The non-defaulting Shareholders could therefore be required to fund any shortfall up to their remaining Capital Commitments.</w:t>
      </w:r>
    </w:p>
    <w:p>
      <w:pPr>
        <w:spacing w:after="0" w:line="181" w:lineRule="exact"/>
        <w:rPr>
          <w:rFonts w:ascii="Times New Roman" w:cs="Times New Roman" w:eastAsia="Times New Roman" w:hAnsi="Times New Roman"/>
          <w:sz w:val="18"/>
          <w:szCs w:val="18"/>
          <w:color w:val="auto"/>
        </w:rPr>
      </w:pPr>
    </w:p>
    <w:p>
      <w:pPr>
        <w:ind w:right="280" w:firstLine="987"/>
        <w:spacing w:after="0" w:line="282" w:lineRule="auto"/>
        <w:tabs>
          <w:tab w:leader="none" w:pos="121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applicable subscription agreements pertaining to Capital Commitments shall be deemed to be incorporated by reference into this Declaration.</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Custodians</w:t>
      </w:r>
    </w:p>
    <w:p>
      <w:pPr>
        <w:spacing w:after="0" w:line="229"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Appointment and Duties</w:t>
      </w:r>
      <w:r>
        <w:rPr>
          <w:rFonts w:ascii="Times New Roman" w:cs="Times New Roman" w:eastAsia="Times New Roman" w:hAnsi="Times New Roman"/>
          <w:sz w:val="18"/>
          <w:szCs w:val="18"/>
          <w:color w:val="auto"/>
        </w:rPr>
        <w:t>. The Trustees may employ a custodian or custodians, meeting the qualifications for custodians for portfolio securities of investment companies contained in the 1940 Act, as custodian with respect to the assets of the Trust. Any custodian shall have authority as agent of the Trust as determined by the custodian agreement or agreements, but subject to such restrictions, limitations and other requirements, if any, as may be contained in the By-Laws of the Trust and the 1940 Act, including without limitation authority:</w:t>
      </w:r>
    </w:p>
    <w:p>
      <w:pPr>
        <w:spacing w:after="0" w:line="180" w:lineRule="exact"/>
        <w:rPr>
          <w:sz w:val="20"/>
          <w:szCs w:val="20"/>
          <w:color w:val="auto"/>
        </w:rPr>
      </w:pPr>
    </w:p>
    <w:p>
      <w:pPr>
        <w:ind w:left="1640" w:hanging="212"/>
        <w:spacing w:after="0"/>
        <w:tabs>
          <w:tab w:leader="none" w:pos="16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the securities owned by the Trust and deliver the same upon written order;</w:t>
      </w:r>
    </w:p>
    <w:p>
      <w:pPr>
        <w:spacing w:after="0" w:line="225" w:lineRule="exact"/>
        <w:rPr>
          <w:rFonts w:ascii="Times New Roman" w:cs="Times New Roman" w:eastAsia="Times New Roman" w:hAnsi="Times New Roman"/>
          <w:sz w:val="18"/>
          <w:szCs w:val="18"/>
          <w:color w:val="auto"/>
        </w:rPr>
      </w:pPr>
    </w:p>
    <w:p>
      <w:pPr>
        <w:ind w:right="640" w:firstLine="1428"/>
        <w:spacing w:after="0" w:line="282" w:lineRule="auto"/>
        <w:tabs>
          <w:tab w:leader="none" w:pos="169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receipt for any moneys due to the Trust and deposit the same in its own banking department (if a bank) or elsewhere as the Trustees may direct;</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disburse such funds upon orders or vouchers;</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authorized by the Trustees, to keep the books and accounts of the Trust and furnish clerical and accounting services; and</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authorized by the Trustees, to compute the net income or net asset value of the Trust;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upon such basis of compensation as may be agreed upon between the Trustees and the custodian.</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Trustees may also authorize each custodian to employ one or more sub-custodians from time to time to perform such of the acts and services of the custodian and upon such terms and conditions, as may be agreed upon between the custodian and such sub-custodian and approved by the Trustees, provided that in every case such sub-custodian shall meet the qualifications for custodians contained in the 1940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36" w:name="page137"/>
    <w:bookmarkEnd w:id="136"/>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Central Certificate System</w:t>
      </w:r>
      <w:r>
        <w:rPr>
          <w:rFonts w:ascii="Times New Roman" w:cs="Times New Roman" w:eastAsia="Times New Roman" w:hAnsi="Times New Roman"/>
          <w:sz w:val="18"/>
          <w:szCs w:val="18"/>
          <w:color w:val="auto"/>
        </w:rPr>
        <w:t>. Subject to such rules, regulations and orders as the Commission may adopt, the Trustees may direct the custodian to deposit all or any part of the securities owned by the Trust in a system for the central handling of securities established by a national securities exchange or a national securities association registered with the Commission under the Securities Exchange Act of 1934, as amended, or such other Person as may be permitted by the Commission, or otherwise in accordance with the 1940 Act, pursuant to which system all securities of any particular class of any issuer deposited within the system are treated as fungible and may be transferred or pledged by bookkeeping entry without physical delivery of such securities, provided that all such deposits shall be subject to withdrawal only upon the order of the Trust.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 Holders of Shares of the Trust shall not be entitled to require the Trust to repurchase or redeem Shares of the Trust.</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Disclosure of Holding</w:t>
      </w:r>
      <w:r>
        <w:rPr>
          <w:rFonts w:ascii="Times New Roman" w:cs="Times New Roman" w:eastAsia="Times New Roman" w:hAnsi="Times New Roman"/>
          <w:sz w:val="18"/>
          <w:szCs w:val="18"/>
          <w:color w:val="auto"/>
        </w:rPr>
        <w:t>. The holders of Shares or other securities of the Trust shall, upon demand, disclose to the Trustees in writing such information with respect to direct and indirect ownership of Shares or other securities of the Trust as the Trustees deem necessary to comply with the provisions of the Code, the 1940 Act or other applicable laws or regulations, or to comply with the requirements of any other taxing or regulatory authority.</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Redemption by Trust</w:t>
      </w:r>
      <w:r>
        <w:rPr>
          <w:rFonts w:ascii="Times New Roman" w:cs="Times New Roman" w:eastAsia="Times New Roman" w:hAnsi="Times New Roman"/>
          <w:sz w:val="18"/>
          <w:szCs w:val="18"/>
          <w:color w:val="auto"/>
        </w:rPr>
        <w:t>. Each Share is subject to redemption (out of the assets of the Trust) by the Trust at the redemption price equal to the then current net asset value per Share of the Trust determined in accordance with Section 10.1 at any time if the Trustees determine in their sole discretion that a Shareholder has breached any of its representations or warranties contained in such Shareholder’s subscription agreement with the Trust, and upon such redemption the holders of the Shares so redeemed shall have no further right with respect thereto other than to receive payment of such redemption price.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Net Asset Value and Distributions</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Net Asset Value</w:t>
      </w:r>
      <w:r>
        <w:rPr>
          <w:rFonts w:ascii="Times New Roman" w:cs="Times New Roman" w:eastAsia="Times New Roman" w:hAnsi="Times New Roman"/>
          <w:sz w:val="18"/>
          <w:szCs w:val="18"/>
          <w:color w:val="auto"/>
        </w:rPr>
        <w:t>. The net asset value of each outstanding Share of the Trust shall be determined at such time or times on such days as the Trustees may determine, in accordance with the 1940 Act. The method of determination of net asset value shall be determined by the Trustees. The power and duty to make the net asset value calculations may be delegated by the Trustees.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Distributions to Shareholders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4"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from time to time distribute ratably among the Shareholders of any class of Shares, or any series of any such class, in accordance with the number of outstanding full and fractional Shares of such class or any series of such class, such proportion of the net profits, surplus (including paid-in surplus), capital or assets held by the Trust as the Trustees may deem proper or as may otherwise be determined in accordance with this Declaration. Any such distribution may be made in cash or property (including without limitation any type of obligations of the Trust or any assets thereof) or Shares of any class or series or any combination thereof, and the Trustees may distribute ratably among the Shareholders of any class of shares or series of any such class, in accordance with the number of outstanding full and fractional Shares of such class or any series of such class, additional Shares of any class or series in such manner, at such times and on such terms as the Trustees may deem proper or as may otherwise be determined in accordance with this Declaration. The Trustees may cause the Trust to enter into a distribution reinvestment program with terms and conditions as agreed to by the Trustees from time to time.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137" w:name="page138"/>
    <w:bookmarkEnd w:id="137"/>
    <w:p>
      <w:pPr>
        <w:ind w:right="220" w:firstLine="987"/>
        <w:spacing w:after="0" w:line="282"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Distributions pursuant to this Section 10.2 may be among the Shareholders of record of the applicable class or series of Shares at the time of declaring a distribution or among the Shareholders of record at such later date as the Trustees shall determine and specify.</w:t>
      </w:r>
    </w:p>
    <w:p>
      <w:pPr>
        <w:spacing w:after="0" w:line="161"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may always retain from the net profits such amount as they may deem necessary to pay the debts or expenses of the Trust or to meet obligations of the Trust, or as they otherwise may deem desirable to use in the conduct of its affairs or to retain for future requirements or extensions of the business.</w:t>
      </w:r>
    </w:p>
    <w:p>
      <w:pPr>
        <w:spacing w:after="0" w:line="175" w:lineRule="exact"/>
        <w:rPr>
          <w:rFonts w:ascii="Times New Roman" w:cs="Times New Roman" w:eastAsia="Times New Roman" w:hAnsi="Times New Roman"/>
          <w:sz w:val="18"/>
          <w:szCs w:val="18"/>
          <w:color w:val="auto"/>
        </w:rPr>
      </w:pPr>
    </w:p>
    <w:p>
      <w:pPr>
        <w:jc w:val="both"/>
        <w:ind w:right="160" w:firstLine="987"/>
        <w:spacing w:after="0" w:line="266" w:lineRule="auto"/>
        <w:tabs>
          <w:tab w:leader="none" w:pos="124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Inasmuch as the computation of net income and gains for Federal income tax purposes may vary from the computation thereof on the books, the above provisions shall be interpreted to give the Trustees the power in their discretion to distribute for any fiscal year as ordinary dividends and as capital gains distributions, respectively, additional amounts sufficient to enable the Trust to avoid or reduce liability for taxes.</w:t>
      </w:r>
    </w:p>
    <w:p>
      <w:pPr>
        <w:spacing w:after="0" w:line="176"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Power to Modify Foregoing Procedures</w:t>
      </w:r>
      <w:r>
        <w:rPr>
          <w:rFonts w:ascii="Times New Roman" w:cs="Times New Roman" w:eastAsia="Times New Roman" w:hAnsi="Times New Roman"/>
          <w:sz w:val="17"/>
          <w:szCs w:val="17"/>
          <w:color w:val="auto"/>
        </w:rPr>
        <w:t>. Notwithstanding any of the foregoing provisions of this Article X, the Trustees may prescribe, in their absolute discretion except as may be required by the 1940 Act, such other bases and times for determining the per share asset value of the Trust’s Shares or net income, or the declaration and payment of dividends and distributions as they may deem necessary or desirable for any reason, including to enable the Trust to comply with any provision of the 1940 Act, or any securities exchange or association registered under the Securities Exchange Act of 1934, as amended, or any order of exemption issued by the Commission, all as in effect now or hereafter amended or modified.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Meetings of Shareholders</w:t>
      </w:r>
      <w:r>
        <w:rPr>
          <w:rFonts w:ascii="Times New Roman" w:cs="Times New Roman" w:eastAsia="Times New Roman" w:hAnsi="Times New Roman"/>
          <w:sz w:val="18"/>
          <w:szCs w:val="18"/>
          <w:color w:val="auto"/>
        </w:rPr>
        <w:t>. A special meeting of the Shareholders may be called at any time by a majority of the Trustees or the Chief Executive Officer and shall be called by any Trustee for any proper purpose upon written request of Shareholders of the Trust holding in the aggregate not less than thirty-three and one-third percent (33</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Shares of the Trust,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Trust holding in the aggregate not less than fifty-one percent (51%) of the outstanding Shares of the Trust or class or series of Shares having voting rights on the matter shall be required to elect a Trustee or to remove the Adviser. For a special Shareholder meeting to be called for a proper purpose (as used in the preceding sentence), it is not a requirement that such purpose relate to a matter on which Shareholders are entitled to vote, provided that if such meeting is called for a purpose for which Shareholders are not entitled to vote, no vote will be taken at such meeting. Any shareholder meeting, including a special meeting, shall be held within or without the State of Delaware on such day and at such time as the Trustees shall designate.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Shareholders shall have no power to vote on any matter except matters on which a vote of Shareholders is required by the</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1940 Act, this Declaration or resolution of the Trustees or, after an Exchange Listing, by any applicable stock exchange. This Declaration expressly provides that no matter for which voting, consent or other approval is required by the Delaware Statutory Trust Statute in the absence of a contrary provision in the Declaration shall require any vote. Except as otherwise provided herein, any matter required to be submitted to Shareholders and affecting one or more classes or series of Shares shall require approval by the required vote of all of the affected classes and series of Shares voting together as a single class; provided, however, that as to any matter with respect to which a separate vote of any class or series of Shares is required by the 1940 Act, such requirement as to a separate vote by that class or series of Shares shall apply in addition to a vote of all of the affected classes and series voting together as a single class. Shareholders of a particular class or series of Shares shall not be entitled to vote on any matter that affects only one or more other classes or series of Shares. Each whole Share shall be entitled to one vote as to any matter on which it is entitled to vote and each fractional Share shall be entitled to a proportionate fractional vote. There shall be no cumulative voting in the election or removal of Trustees. Except as provided in Section 11.1, Trustees shall be elected by a plurality of votes.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138" w:name="page139"/>
    <w:bookmarkEnd w:id="138"/>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11.3 </w:t>
      </w:r>
      <w:r>
        <w:rPr>
          <w:rFonts w:ascii="Times New Roman" w:cs="Times New Roman" w:eastAsia="Times New Roman" w:hAnsi="Times New Roman"/>
          <w:sz w:val="18"/>
          <w:szCs w:val="18"/>
          <w:u w:val="single" w:color="auto"/>
          <w:color w:val="auto"/>
        </w:rPr>
        <w:t>Record Date; Notice of Meeting; Postponement and Adjournment</w:t>
      </w:r>
      <w:r>
        <w:rPr>
          <w:rFonts w:ascii="Times New Roman" w:cs="Times New Roman" w:eastAsia="Times New Roman" w:hAnsi="Times New Roman"/>
          <w:sz w:val="18"/>
          <w:szCs w:val="18"/>
          <w:color w:val="auto"/>
        </w:rPr>
        <w:t>. The Trustees may fix in advance a date up to one hundred and twenty (120) days (or such other number of days as the Board of Trustees shall determine) before the date of any Shareholders’ meeting as a record date for the determination of the Shareholders entitled to notice of, and to vote at, any such meeting. Notice of all meetings of Shareholders, stating the time, place and purposes of the meeting, shall be given by the Trustees to each Shareholder of record entitled to vote thereat at least 10 days and not more than 90 days (or such longer period as the Trustees may determine) before the meeting or otherwise in compliance with applicable law. Only the business stated in the notice of the meeting shall be considered at such meeting. Prior to the date upon which any meeting of Shareholders is to be held, the Board of Trustees may postpone such meeting one or more times for any reason and for such period of time as the Board of Trustees shall determine by giving notice to each Shareholder entitled to vote at the meeting so postponed of the place, date and hour at which such meeting will be held. Such notice shall be given not fewer than two (2) days before the date of such meeting and otherwise in accordance with Sections 6.9 and 11.8 and this Section 11.3. Any Shareholders’ meeting may be adjourned by the chairman of the meeting one or more times for any reason, including the failure of a quorum to be present at the meeting with respect to any proposal or the failure of any proposal to receive sufficient votes for approval. No Shareholder vote shall be required for any adjournment. A Shareholders’ meeting may be adjourned by the chairman of the meeting as to one or more proposals regardless of whether action has been taken on other matters. No notice of adjournment of a meeting to another time or place need be given to Shareholders if such time and place are announced at the meeting at which the adjournment is taken or notice is given to persons present at the meeting unless the adjourned meeting is not held within 120 days (or such longer period as the Trustees may determine) after the record date. Any adjourned meeting may be held at such time and place as determined by the chairman of the meeting if such time and place are announced at the meeting at which the adjournment is taken or otherwise by the Board of Trustees. Any business that might have been transacted at the original meeting may be transacted at any adjourned meeting. The Shareholders of record entitled to vote at a Shareholders’ meeting shall be deemed the Shareholders of record at any meeting that has been postponed or reconvened after one or more adjournments, unless the Trustees have fixed a new record date. If, after a postponement or adjournment, a new record date is fixed for the postponed or adjourned meeting, the secretary shall give notice of the postponed or adjourned meeting to Shareholders of record entitled to vote at such meeting. If a quorum is present with respect to any one or more proposals, the chairman of the meeting may, but shall not be required to, cause a vote to be taken with respect to any such proposal or proposals which vote can be certified as final and effective notwithstanding the adjournment of the meeting with respect to any other proposal or proposals. In the absence of fraud, any irregularities in the notice of any meeting or the nonreceipt of any such notice by any of the Shareholders shall not invalidate any action otherwise properly taken at any such meeting.</w:t>
      </w:r>
    </w:p>
    <w:p>
      <w:pPr>
        <w:spacing w:after="0" w:line="204"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Quorum and Required Vote</w:t>
      </w:r>
      <w:r>
        <w:rPr>
          <w:rFonts w:ascii="Times New Roman" w:cs="Times New Roman" w:eastAsia="Times New Roman" w:hAnsi="Times New Roman"/>
          <w:sz w:val="18"/>
          <w:szCs w:val="18"/>
          <w:color w:val="auto"/>
        </w:rPr>
        <w:t>. (a) Unless otherwise required by the 1940 Act, the holders of one third of the Shares entitled to vote on any matter at a meeting present in person or by proxy shall constitute a quorum at such meeting of the Shareholders for purposes of conducting business on such matter. The absence from any meeting, in person or by proxy, of a quorum of Shareholders for action upon any given matter shall not prevent action at such meeting upon any other matter or matters which may properly come before the meeting, if there shall be present thereat, in person or by proxy, a quorum of Shareholders in respect of such other matters.</w:t>
      </w:r>
    </w:p>
    <w:p>
      <w:pPr>
        <w:spacing w:after="0" w:line="183" w:lineRule="exact"/>
        <w:rPr>
          <w:sz w:val="20"/>
          <w:szCs w:val="20"/>
          <w:color w:val="auto"/>
        </w:rPr>
      </w:pPr>
    </w:p>
    <w:p>
      <w:pPr>
        <w:ind w:right="20" w:firstLine="987"/>
        <w:spacing w:after="0" w:line="277" w:lineRule="auto"/>
        <w:tabs>
          <w:tab w:leader="none" w:pos="1246"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provision of applicable law, this Declaration or a resolution of the Trustees specifying a greater or a lesser vote requirement for the transaction of any item of business at any meeting of Shareholders, (i) the affirmative vote of a majority of the Shares present in person or represented by proxy and entitled to vote on the subject matter shall be the act of the Shareholders with respect to such matter, and (ii) where a separate vote of one or more classes or series of Shares is required on any matter, the affirmative vote of a majority of the Shares of such class or series of Shares present in person or represented by proxy at the meeting shall be the act of the Shareholders of such class or series with respect to such matter.</w:t>
      </w:r>
    </w:p>
    <w:p>
      <w:pPr>
        <w:spacing w:after="0" w:line="16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Proxies, etc.</w:t>
      </w:r>
      <w:r>
        <w:rPr>
          <w:rFonts w:ascii="Times New Roman" w:cs="Times New Roman" w:eastAsia="Times New Roman" w:hAnsi="Times New Roman"/>
          <w:sz w:val="18"/>
          <w:szCs w:val="18"/>
          <w:color w:val="auto"/>
        </w:rPr>
        <w:t xml:space="preserve"> At any meeting of Shareholders, any holder of Shares entitled to vote thereat may vote by properly executed or authorized proxy, provided that no proxy shall be voted at any meeting unless it shall have been placed on file with the Secretary, or with such other officer or agent of the Trust as the Secretary may direct, for verification prior to the time at which such vote shall be taken. Pursuant to a resolution of a majority of the Trustees, proxies may be solicited in the name of one or more Trustees or one or more of the officers or employees of the Trust. No proxy shall be valid after the expiration of 11 months from the date thereof, unless otherwise provided in the proxy. Only Shareholders of record shall be entitled to vote. Each full Share shall be entitled to one vote and fractional Shares shall be entitled to a vote of such fraction. When any Share is held jointly by several persons, any one of them may vote at any meeting in person or by proxy in respect of such Share, but if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139" w:name="page140"/>
    <w:bookmarkEnd w:id="13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more than one of them shall be present at such meeting in person or by proxy, and such joint owners or their proxies so present disagree as to any vote to be cast, such vote shall not be received in respect of such Share. A proxy purporting to be executed or authorized by or on behalf of a Shareholder shall be deemed valid unless challenged at or prior to its exercise and the burden of proving invalidity shall rest on the challenger. If the holder of any such Share is a minor or a person of unsound mind, and subject to guardianship or to the legal control of any other person as regards the charge or management of such Share, he may vote by his guardian or such other person appointed or having such control, and such vote may be given in person or by proxy.</w:t>
      </w:r>
    </w:p>
    <w:p>
      <w:pPr>
        <w:spacing w:after="0" w:line="18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The Trustees shall cause to be prepared at least annually and more frequently to the extent and in the form required by law, regulation or any exchange on which Trust Shares are listed a report of operations containing a balance sheet and statement of income and undistributed income of the Trust prepared in conformity with generally accepted accounting principles and an opinion of an independent public accountant on such financial statements. Copies of such reports shall be mailed to all Shareholders of record within the time required by the 1940 Act, and in any event within a reasonable period preceding the meeting of Shareholders. The Trustees shall, in addition, furnish to the Shareholders at least semi-annually to the extent required by law, interim reports containing an unaudited balance sheet of the Trust as of the end of such period and an unaudited statement of income and surplus for the period from the beginning of the current fiscal year to the end of such period.</w:t>
      </w:r>
    </w:p>
    <w:p>
      <w:pPr>
        <w:spacing w:after="0" w:line="18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Inspection of Records</w:t>
      </w:r>
      <w:r>
        <w:rPr>
          <w:rFonts w:ascii="Times New Roman" w:cs="Times New Roman" w:eastAsia="Times New Roman" w:hAnsi="Times New Roman"/>
          <w:sz w:val="18"/>
          <w:szCs w:val="18"/>
          <w:color w:val="auto"/>
        </w:rPr>
        <w:t>. No Shareholder shall have any right to inspect any account, book or document of the Trust that is not publicly available, except as conferred by the Trustees. The books and records of the Trust may be kept at such place or places as the Board of Trustees or the officers of the Trust may from time to time determine, except as otherwise required by law.</w:t>
      </w:r>
    </w:p>
    <w:p>
      <w:pPr>
        <w:spacing w:after="0" w:line="176"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Delivery by Electronic Transmission or Otherwise</w:t>
      </w:r>
      <w:r>
        <w:rPr>
          <w:rFonts w:ascii="Times New Roman" w:cs="Times New Roman" w:eastAsia="Times New Roman" w:hAnsi="Times New Roman"/>
          <w:sz w:val="18"/>
          <w:szCs w:val="18"/>
          <w:color w:val="auto"/>
        </w:rPr>
        <w:t>. Notwithstanding any provision in this Declaration to the contrary, to the fullest extent permitted by law, any notice, proxy, vote, consent, report, instrument or writing of any kind or any signature referenced in, or contemplated by, this Declaration or the By-laws may, in the sole discretion of the Trustees, be given, granted or otherwise delivered by electronic transmission (within the meaning of the Delaware Statutory Trust Statute), including via the internet, by a document publicly filed with the Securities and Exchange Commission or in any other manner permitted by applicable law.</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Shareholder Action by Written Consent</w:t>
      </w:r>
      <w:r>
        <w:rPr>
          <w:rFonts w:ascii="Times New Roman" w:cs="Times New Roman" w:eastAsia="Times New Roman" w:hAnsi="Times New Roman"/>
          <w:sz w:val="18"/>
          <w:szCs w:val="18"/>
          <w:color w:val="auto"/>
        </w:rPr>
        <w:t>. Any action required or permitted to be taken at any meeting of the Shareholders may be taken without a meeting, without a prior notice and without a vote if the consent setting forth the action to be taken is given in writing or by electronic transmission by the Shareholders having not less than the minimum number of votes that would be necessary to authorize or take such action at a meeting at which all Shareholders entitled to vote thereon were present and voted.</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Meetings by Remote Communication</w:t>
      </w:r>
      <w:r>
        <w:rPr>
          <w:rFonts w:ascii="Times New Roman" w:cs="Times New Roman" w:eastAsia="Times New Roman" w:hAnsi="Times New Roman"/>
          <w:sz w:val="18"/>
          <w:szCs w:val="18"/>
          <w:color w:val="auto"/>
        </w:rPr>
        <w:t>. The Trustees may provide for meetings by remote communication as provided in the Bylaws or as otherwise determined by the Trustees.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Wind Down; Amendment; Mergers, Etc.</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12.1 </w:t>
      </w:r>
      <w:r>
        <w:rPr>
          <w:rFonts w:ascii="Times New Roman" w:cs="Times New Roman" w:eastAsia="Times New Roman" w:hAnsi="Times New Roman"/>
          <w:sz w:val="18"/>
          <w:szCs w:val="18"/>
          <w:u w:val="single" w:color="auto"/>
          <w:color w:val="auto"/>
        </w:rPr>
        <w:t>Wind Down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87"/>
        <w:spacing w:after="0" w:line="254" w:lineRule="auto"/>
        <w:tabs>
          <w:tab w:leader="none" w:pos="12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 has not consummated an Exchange Listing within the 10-year anniversary of the Effective Date, subject to up to two one-year extensions if requested by the Adviser and approved by a majority of the Board of Trustees, including a majority of the Trustees who are not “interested persons,” as that term is defined in the 1940 Act, then the Board (subject to any necessary Shareholder approvals and applicable requirements of the 1940 Act) will dissolve the Trust and, within a reasonable period of time, wind up and liquidate the Trust in an orderly manner, and all of the powers of the Trustees under this Declaration shall continue until the affairs of the Trust shall have been wound up as contemplated by Section 3808(e) of the Delaware Statutory Trust Statute. The Trustees may, to the extent they deem appropriate, adopt a plan of liquidation at any time preceding the anticipated dissolution date, which plan of liquidation may set forth the terms and conditions for implementing the dissolution and liquidation of the Trust under this Article XII. Shareholders of the Trust shall not be entitled to vote on the adoption of any such plan or the dissolution and liquidation of the Trust under this Article XII except to the extent required by the 1940 Act or contemplated by Section 12.1(b) hereof.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40" w:name="page141"/>
    <w:bookmarkEnd w:id="140"/>
    <w:p>
      <w:pPr>
        <w:ind w:right="20" w:firstLine="987"/>
        <w:spacing w:after="0" w:line="261" w:lineRule="auto"/>
        <w:tabs>
          <w:tab w:leader="none" w:pos="124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winding up and liquidation of the Trust, including the distribution to the Shareholders of any assets of the Trust, a majority of the Trustees shall execute and lodge among the records of the Trust an instrument in writing setting forth the fact of such termination and shall execute and file a certificate of cancellation with the Secretary of State of the State of Delaware. Upon termination of the Trust, the Trustees shall thereupon be discharged from all further liabilities and duties hereunder, and the rights and interests of all Shareholders shall thereupon cease.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12.2 </w:t>
      </w:r>
      <w:r>
        <w:rPr>
          <w:rFonts w:ascii="Times New Roman" w:cs="Times New Roman" w:eastAsia="Times New Roman" w:hAnsi="Times New Roman"/>
          <w:sz w:val="18"/>
          <w:szCs w:val="18"/>
          <w:u w:val="single" w:color="auto"/>
          <w:color w:val="auto"/>
        </w:rPr>
        <w:t>Amendment Procedure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Trustees may, without Shareholder vote, amend or otherwise supplement this Declaration. Shareholders shall only have the right to</w:t>
      </w:r>
    </w:p>
    <w:p>
      <w:pPr>
        <w:spacing w:after="0" w:line="38" w:lineRule="exact"/>
        <w:rPr>
          <w:rFonts w:ascii="Times New Roman" w:cs="Times New Roman" w:eastAsia="Times New Roman" w:hAnsi="Times New Roman"/>
          <w:sz w:val="17"/>
          <w:szCs w:val="17"/>
          <w:color w:val="auto"/>
        </w:rPr>
      </w:pPr>
    </w:p>
    <w:p>
      <w:pPr>
        <w:ind w:right="2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vote: (i) on any amendment to this Section 12.2(a), (ii) on any amendment that would adversely affect the powers, preferences or special rights of the Shares as determined by the Trustees in good faith and (iii) on any amendment submitted to them by the Trustees.</w:t>
      </w:r>
    </w:p>
    <w:p>
      <w:pPr>
        <w:spacing w:after="0" w:line="181" w:lineRule="exact"/>
        <w:rPr>
          <w:rFonts w:ascii="Times New Roman" w:cs="Times New Roman" w:eastAsia="Times New Roman" w:hAnsi="Times New Roman"/>
          <w:sz w:val="17"/>
          <w:szCs w:val="17"/>
          <w:color w:val="auto"/>
        </w:rPr>
      </w:pPr>
    </w:p>
    <w:p>
      <w:pPr>
        <w:ind w:right="80" w:firstLine="987"/>
        <w:spacing w:after="0" w:line="258"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Declaration, in connection with an Exchange Listing, the Trustees may, without the approval or vote of the Shareholders, amend or supplement this Declaration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w:t>
      </w:r>
    </w:p>
    <w:p>
      <w:pPr>
        <w:spacing w:after="0" w:line="183"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duly adopted by the Board of Trustees and, if required, the Shareholders as aforesaid, shall become effective at the time of such adoption or at such other time as may be designated by the Board of Trustees or Shareholders, as the case may be.</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this Declaration that adversely affects the Delaware Trustee shall require its consent, which consent shall not be unreasonably withheld.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12.3 </w:t>
      </w:r>
      <w:r>
        <w:rPr>
          <w:rFonts w:ascii="Times New Roman" w:cs="Times New Roman" w:eastAsia="Times New Roman" w:hAnsi="Times New Roman"/>
          <w:sz w:val="18"/>
          <w:szCs w:val="18"/>
          <w:u w:val="single" w:color="auto"/>
          <w:color w:val="auto"/>
        </w:rPr>
        <w:t>[Intentionally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12.4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Without approval or vote by Shareholders, the Trustees may cause to be organized or assist in organizing one or more corporations, trusts, partnerships, associations or other organizations to take over all of the Trust Property or to carry on any business in which the Trust shall directly or indirectly have any interest and to sell, convey and transfer all or a portion of the Trust Property to any such corporation, trust, limited liability company, association or organization in exchange for the shares or securities thereof, or otherwise, and to lend money to, subscribe for the shares or securities of and enter into any contracts with any such corporation, trust, limited liability company, partnership, association or organization, or any corporation, partnership, trust, limited liability company, association or organization in which the Trust holds or is about to acquire shares or any other interests.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12.5 </w:t>
      </w:r>
      <w:r>
        <w:rPr>
          <w:rFonts w:ascii="Times New Roman" w:cs="Times New Roman" w:eastAsia="Times New Roman" w:hAnsi="Times New Roman"/>
          <w:sz w:val="18"/>
          <w:szCs w:val="18"/>
          <w:u w:val="single" w:color="auto"/>
          <w:color w:val="auto"/>
        </w:rPr>
        <w:t>Merger, Consolidation, Incorporation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4"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the Trustees may, in their sole discretion and without Shareholder approval unless such approval is required by the 1940 Act or, after an Exchange Listing, the applicable stock exchange rules, or if such transaction is reasonably anticipated to result in a material dilution of the net asset value per Share of the Trust, (i) cause the Trust to convert into or merge, reorganize or consolidate with or into one or more trusts, partnerships, limited liability companies, business development companies, associations, corporations or other business entities (or a series of any of the foregoing to the extent permitted by law) (including trusts, partnerships, limited liability companies, associations, corporations or other business entities created by the Trustees to accomplish such conversion, merger or consolidation the governing documents of which shall have such terms as the Trustees determine in their sole discretion) and that, in any case, is formed, organized or existing under the laws of the United States or of a state, commonwealth, possession or colony of the United States, (ii) cause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141" w:name="page142"/>
    <w:bookmarkEnd w:id="14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to be exchanged under or pursuant to any state or federal statute to the extent permitted by law, (iii) cause the Trust to incorporate under the laws of a state, commonwealth, possession or colony of the United States, (iv) sell or convey all or substantially all of the assets of the Trust to another trust, partnership, limited liability company, association, corporation or other business entity (or a series of any of the foregoing to the extent permitted by law) (including a trust, partnership, limited liability company, association, corporation or other business entity created by the Trustees to accomplish such sale and conveyance) that, in any case, is formed, organized or existing under the laws of the United States or of a state, commonwealth, possession or colony of the United States for adequate consideration as determined by the Trustees, which may include the assumption of all outstanding obligations, taxes and other liabilities, accrued or contingent of the Trust, and which may include shares of beneficial interest, stock or other ownership interest of such trust, partnership, limited liability company, association, corporation or other business entity (or series thereof) or (v) at any time, sell or convert into money all or any part of the assets of the Trust. Any agreement of merger, reorganization, consolidation, exchange or conversion or certificate of merger, certificate of conversion or other applicable certificate may be signed by any Trustee or an authorized officer of the Trust and facsimile signatures conveyed by electronic or telecommunication means shall be valid.</w:t>
      </w:r>
    </w:p>
    <w:p>
      <w:pPr>
        <w:spacing w:after="0" w:line="192" w:lineRule="exact"/>
        <w:rPr>
          <w:sz w:val="20"/>
          <w:szCs w:val="20"/>
          <w:color w:val="auto"/>
        </w:rPr>
      </w:pPr>
    </w:p>
    <w:p>
      <w:pPr>
        <w:jc w:val="both"/>
        <w:ind w:right="380" w:firstLine="1979"/>
        <w:spacing w:after="0" w:line="261" w:lineRule="auto"/>
        <w:tabs>
          <w:tab w:leader="none" w:pos="223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and in accordance with the provisions of Section 3815(f) of the Act, and notwithstanding anything to the contrary contained in this Declaration, an agreement of merger or consolidation approved by the Trustees in accordance with this Section 12.5 may affect any amendment to the Declaration or effect the adoption of a new declaration of the Trust or change the name of the Trust if the Trust is the surviving or resulting entity in the merger or consolidation.</w:t>
      </w:r>
    </w:p>
    <w:p>
      <w:pPr>
        <w:spacing w:after="0" w:line="179" w:lineRule="exact"/>
        <w:rPr>
          <w:rFonts w:ascii="Times New Roman" w:cs="Times New Roman" w:eastAsia="Times New Roman" w:hAnsi="Times New Roman"/>
          <w:sz w:val="18"/>
          <w:szCs w:val="18"/>
          <w:color w:val="auto"/>
        </w:rPr>
      </w:pPr>
    </w:p>
    <w:p>
      <w:pPr>
        <w:ind w:right="140" w:firstLine="1979"/>
        <w:spacing w:after="0" w:line="258" w:lineRule="auto"/>
        <w:tabs>
          <w:tab w:leader="none" w:pos="2227"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the Trustees may, without Shareholder approval unless such approval is required by the 1940 Act, create one or more statutory or business trusts, limited liability companies, limited partnerships or other entities or associations to which all or any part of the assets, liabilities, profits or losses of the Trust may be transferred and may provide for the conversion of Shares in the Trust into beneficial or ownership interests in any such newly created trust or trusts, limited liability companies, limited partnerships or other entities or associations, or any series or classes thereof.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Delaware Trustee</w:t>
      </w:r>
    </w:p>
    <w:p>
      <w:pPr>
        <w:spacing w:after="0" w:line="229" w:lineRule="exact"/>
        <w:rPr>
          <w:sz w:val="20"/>
          <w:szCs w:val="20"/>
          <w:color w:val="auto"/>
        </w:rPr>
      </w:pPr>
    </w:p>
    <w:p>
      <w:pPr>
        <w:jc w:val="both"/>
        <w:ind w:right="220" w:firstLine="440"/>
        <w:spacing w:after="0" w:line="281" w:lineRule="auto"/>
        <w:rPr>
          <w:sz w:val="20"/>
          <w:szCs w:val="20"/>
          <w:color w:val="auto"/>
        </w:rPr>
      </w:pPr>
      <w:r>
        <w:rPr>
          <w:rFonts w:ascii="Times New Roman" w:cs="Times New Roman" w:eastAsia="Times New Roman" w:hAnsi="Times New Roman"/>
          <w:sz w:val="17"/>
          <w:szCs w:val="17"/>
          <w:color w:val="auto"/>
        </w:rPr>
        <w:t>The trustee, pursuant to Section 3807 of the Delaware Statutory Trust Statute, of the Trust in the State of Delaware shall be SMC-CAS, LLC, a Delaware limited liability company, and any successor trustee appointed in accordance with Section 13.6 of this Declaration. The street address of the principal office of SMC-CAS, LLC is, Farmers Bank Building, Suite 1410, 301 North Market Street, Wilmington, Delaware 19801. Any reference to “Trustee” or “Board of Trustees” in this Declaration and the Bylaws of the Trust shall not be deemed to include or refer to the Delaware Trustee.</w:t>
      </w:r>
    </w:p>
    <w:p>
      <w:pPr>
        <w:spacing w:after="0" w:line="16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Purpose of Appointment</w:t>
      </w:r>
      <w:r>
        <w:rPr>
          <w:rFonts w:ascii="Times New Roman" w:cs="Times New Roman" w:eastAsia="Times New Roman" w:hAnsi="Times New Roman"/>
          <w:sz w:val="18"/>
          <w:szCs w:val="18"/>
          <w:color w:val="auto"/>
        </w:rPr>
        <w:t>. The Delaware Trustee is appointed to serve as the trustee of the Trust in the State of Delaware for the sole purpose of satisfying the requirements of Section 3807(a) of the Delaware Statutory Trust Statute that the Trust have at least one trustee with a principal place of business in the State of Delaware. It is understood and agreed by the parties hereto that the Delaware Trustee shall have none of the duties, obligations or liabilities of any other Person, including, without limitation, the Board of Trustees. The Delaware Trustee shall satisfy the requirements of Section 3807(a) of the Delaware Statutory Trust Statute.</w:t>
      </w:r>
    </w:p>
    <w:p>
      <w:pPr>
        <w:spacing w:after="0" w:line="183"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The duties of the Delaware Trustee shall be limited to (i) accepting legal process served on the Trust in the State of Delaware and (ii) the execution of any certificates required to be filed with the Delaware Secretary of State, which the Delaware Trustee is required to execute under Section 3811 of the Delaware Statutory Trust Statute. Except for the purpose of the foregoing sentence, the Delaware Trustee shall not be deemed a trustee, shall not be a member of the Board of Trustees and shall have no management responsibilities or owe any fiduciary duties to the Trust or the Shareholders. To the extent that, at law or in equity, the Delaware Trustee has duties (including fiduciary duties) and liabilities relating thereto to the Trust or the Shareholders, it is hereby understood and agreed by the other parties hereto that such duties and liabilities are replaced by the duties and liabilities of the Delaware Trustee expressly set forth in this Declaration. The Delaware Trustee shall have no liability for the acts or omissions of any other Person, including, without limitation, the Board of Trustees and the Adviser.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42" w:name="page143"/>
    <w:bookmarkEnd w:id="142"/>
    <w:p>
      <w:pPr>
        <w:jc w:val="both"/>
        <w:ind w:right="3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13.3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The Delaware Trustee may be removed by the Board of Trustees upon 30 days’ prior written notice to the Delaware Trustee. The Delaware Trustee may resign upon 30 days’ prior written notice to the Board of Trustees. No resignation or removal of the Delaware Trustee shall be effective except upon the appointment of a successor Delaware Trustee appointed by the Board of Trustees or a court of competent jurisdiction. If no successor Delaware Trustee has been appointed within such 30 day period, the Delaware Trustee may, at the expense of the Trust, petition a court of competent jurisdiction to appoint a successor Delaware Trustee.</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Any Person into which the Delaware Trustee may be merged or with which it may be consolidated, or any Person resulting from any merger or consolidation to which the Delaware Trustee shall be a party, or any Person which succeeds to all or substantially all of the corporate trust business of the Delaware Trustee, shall be the successor Delaware Trustee under this Declaration without the execution, delivery or filing of any paper or instrument or further act to be done on the part of the parties hereto, except as may be required by applicable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987"/>
        <w:spacing w:after="0" w:line="266" w:lineRule="auto"/>
        <w:tabs>
          <w:tab w:leader="none" w:pos="123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be entitled to all of the same rights, protections, indemnities and immunities under this Declaration and with respect to the Trust and the Shareholders as the Board of Trustees. No amendment or waiver of any provision of this Declaration that adversely affects the Delaware Trustee shall be effective against it without its prior written consent.</w:t>
      </w:r>
    </w:p>
    <w:p>
      <w:pPr>
        <w:spacing w:after="0" w:line="1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not be liable for supervising or monitoring the performance, duties and obligations of any other Person, including, without limitation, the Board of Trustees or the Adviser or the Trust under this Declaration or any related document. The Delaware Trustee shall not be personally liable under any circumstances, except for its own willful misconduct, bad faith or gross negligence. In particular, but not by way of limitation:</w:t>
      </w:r>
    </w:p>
    <w:p>
      <w:pPr>
        <w:spacing w:after="0" w:line="8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not be personally liable for any error of judgment made in good faith;</w:t>
      </w:r>
    </w:p>
    <w:p>
      <w:pPr>
        <w:spacing w:after="0" w:line="130" w:lineRule="exact"/>
        <w:rPr>
          <w:rFonts w:ascii="Times New Roman" w:cs="Times New Roman" w:eastAsia="Times New Roman" w:hAnsi="Times New Roman"/>
          <w:sz w:val="18"/>
          <w:szCs w:val="18"/>
          <w:color w:val="auto"/>
        </w:rPr>
      </w:pPr>
    </w:p>
    <w:p>
      <w:pPr>
        <w:ind w:left="1420" w:right="40" w:hanging="439"/>
        <w:spacing w:after="0" w:line="261" w:lineRule="auto"/>
        <w:tabs>
          <w:tab w:leader="none" w:pos="1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Declaration shall require the Delaware Trustee to expend or risk its personal funds or otherwise incur any financial liability in the performance of its rights or powers hereunder, if the Delaware Trustee shall have reasonable grounds for believing that the payment of such funds or adequate indemnity against such risk or liability is not reasonably assured or provided to it;</w:t>
      </w:r>
    </w:p>
    <w:p>
      <w:pPr>
        <w:spacing w:after="0" w:line="85" w:lineRule="exact"/>
        <w:rPr>
          <w:rFonts w:ascii="Times New Roman" w:cs="Times New Roman" w:eastAsia="Times New Roman" w:hAnsi="Times New Roman"/>
          <w:sz w:val="18"/>
          <w:szCs w:val="18"/>
          <w:color w:val="auto"/>
        </w:rPr>
      </w:pPr>
    </w:p>
    <w:p>
      <w:pPr>
        <w:ind w:left="1420" w:right="360" w:hanging="439"/>
        <w:spacing w:after="0" w:line="282" w:lineRule="auto"/>
        <w:tabs>
          <w:tab w:leader="none" w:pos="142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shall the Delaware Trustee be personally liable for any representation, warranty, covenant, agreement or indebtedness of the Trust;</w:t>
      </w:r>
    </w:p>
    <w:p>
      <w:pPr>
        <w:spacing w:after="0" w:line="67"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not be personally responsible for or in respect of the validity or sufficiency of this Declaration or for the due execution hereof by any other party hereto;</w:t>
      </w:r>
    </w:p>
    <w:p>
      <w:pPr>
        <w:spacing w:after="0" w:line="67" w:lineRule="exact"/>
        <w:rPr>
          <w:rFonts w:ascii="Times New Roman" w:cs="Times New Roman" w:eastAsia="Times New Roman" w:hAnsi="Times New Roman"/>
          <w:sz w:val="18"/>
          <w:szCs w:val="18"/>
          <w:color w:val="auto"/>
        </w:rPr>
      </w:pPr>
    </w:p>
    <w:p>
      <w:pPr>
        <w:ind w:left="1420" w:right="100" w:hanging="439"/>
        <w:spacing w:after="0" w:line="254" w:lineRule="auto"/>
        <w:tabs>
          <w:tab w:leader="none" w:pos="14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incur no liability to anyone in acting upon any signature, instrument, notice, resolution, request, consent, order, certificate, report, opinion, bond or other document or paper reasonably believed by it to be genuine and reasonably believed by it to be signed by the proper party or parties. The Delaware Trustee may accept a certified copy of a resolution of the board of directors or other governing body of any corporate party as conclusive evidence that such resolution has been duly adopted by such body and that the same is in full force and effect. As to any fact or matter the manner of ascertainment of which is not specifically prescribed herein, the Delaware Trustee may for all purposes hereof rely on a certificate or resolution, signed by the Board of Trustees or an officer of the Trust as to such fact or matter, and such certificate shall constitute full protection to the Delaware Trustee for any action taken or omitted to be taken by it in good faith in reliance thereon;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43" w:name="page144"/>
    <w:bookmarkEnd w:id="143"/>
    <w:p>
      <w:pPr>
        <w:ind w:left="1420" w:right="160" w:hanging="439"/>
        <w:spacing w:after="0" w:line="256"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exercise or administration of the Trust hereunder, the Delaware Trustee (A) may act directly or through agents or attorneys pursuant to agreements entered into with any of them, and the Delaware Trustee shall not be liable for the default or misconduct of such agents or attorneys if such agents or attorneys shall have been selected by the Delaware Trustee in good faith and (B) may consult with counsel, accountants and other skilled persons to be selected by it in good faith and employed by it, and it shall not be liable for anything done, suffered or omitted in good faith by it in accordance with the advice or opinion of any such counsel, accountants or other skilled persons;</w:t>
      </w:r>
    </w:p>
    <w:p>
      <w:pPr>
        <w:spacing w:after="0" w:line="92" w:lineRule="exact"/>
        <w:rPr>
          <w:rFonts w:ascii="Times New Roman" w:cs="Times New Roman" w:eastAsia="Times New Roman" w:hAnsi="Times New Roman"/>
          <w:sz w:val="18"/>
          <w:szCs w:val="18"/>
          <w:color w:val="auto"/>
        </w:rPr>
      </w:pPr>
    </w:p>
    <w:p>
      <w:pPr>
        <w:jc w:val="both"/>
        <w:ind w:left="1420" w:right="40" w:hanging="439"/>
        <w:spacing w:after="0" w:line="266"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accepting and performing its express duties hereunder, the Delaware Trustee acts solely as Delaware Trustee hereunder and not in its individual capacity, and all persons having any claim against the Delaware Trustee by reason of the transactions contemplated by this Declaration shall look only to the Trust for payment or satisfaction thereof; and</w:t>
      </w:r>
    </w:p>
    <w:p>
      <w:pPr>
        <w:spacing w:after="0" w:line="81" w:lineRule="exact"/>
        <w:rPr>
          <w:rFonts w:ascii="Times New Roman" w:cs="Times New Roman" w:eastAsia="Times New Roman" w:hAnsi="Times New Roman"/>
          <w:sz w:val="18"/>
          <w:szCs w:val="18"/>
          <w:color w:val="auto"/>
        </w:rPr>
      </w:pPr>
    </w:p>
    <w:p>
      <w:pPr>
        <w:ind w:left="1420" w:right="60" w:hanging="439"/>
        <w:spacing w:after="0" w:line="258" w:lineRule="auto"/>
        <w:tabs>
          <w:tab w:leader="none" w:pos="14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Trustee shall incur no liability if, by reason of any provision of any present or future law or regulation thereunder, or by any force majeure event, including but not limited to natural disaster, act of war or terrorism, or other circumstances beyond its reasonable control, the Delaware Trustee shall be prevented or forbidden from doing or performing any act or thing which the terms of this Declaration provide shall or may be done or performed, or by reason of any exercise of, or failure to exercise, any discretion provided for in this Declaration.</w:t>
      </w:r>
    </w:p>
    <w:p>
      <w:pPr>
        <w:spacing w:after="0" w:line="183"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In the event of the appointment of a successor Delaware Trustee, such successor shall cause an amendment to the certificate of trust of the Trust to be filed with the Secretary of State of Delaware in accordance with Section 3810 of the Delaware Statutory Trust Statute, indicating the change of the Delaware Trustee’s identity.</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Compensation and Reimbursement of Expenses</w:t>
      </w:r>
      <w:r>
        <w:rPr>
          <w:rFonts w:ascii="Times New Roman" w:cs="Times New Roman" w:eastAsia="Times New Roman" w:hAnsi="Times New Roman"/>
          <w:sz w:val="18"/>
          <w:szCs w:val="18"/>
          <w:color w:val="auto"/>
        </w:rPr>
        <w:t>. The Trust hereby agrees to (i) compensate the Delaware Trustee in accordance with a separate fee agreement with the Delaware Trustee, (ii) reimburse the Delaware Trustee for all reasonable expenses (including reasonable fees and expenses of counsel and other experts) and (iii) indemnify, defend and hold harmless the Delaware Trustee and any of the officers, directors, employees and agents of the Delaware Trustee (the “Indemnified Persons”) from and against any and all losses, damages, liabilities, claims, actions, suits, costs, expenses, disbursements (including the reasonable fees and expenses of counsel), taxes and penalties of any kind and nature whatsoever (collectively, “Expenses”) to the extent that such Expenses arise out of or are imposed upon or asserted at any time against such Indemnified Persons with respect to the performance of any duties contemplated by this Declaration, the creation, operation or termination of the Trust or the transactions contemplated hereby; provided, however, that the Trust shall not be required to indemnify any Indemnified Person for any Expenses that are a result of the willful misconduct, bad faith or gross negligence of such Indemnified Person. To the fullest extent permitted by law, Expenses to be incurred by an Indemnified Person shall, from time to time, be advanced by, or on behalf of, the Trust prior to the final disposition of any matter upon receipt by the Trust of an undertaking by, or on behalf of, such Indemnified Person to repay such amount if it shall be determined that the Indemnified Person is not entitled to be indemnified under this Declaration.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By execution of a counterpart to this Declaration or execution of a subscription agreement with the Trust, each Shareholder agrees to be bound by the terms of this Declaration and hereby appoints the Trustees and each officer of the Trust (and any substitute or successor Trustees or any substitute or successor officer of the Trust) (and, if appointed, any liquidator of the Trust), each acting individually, as the true and lawful representative and attorney-in-fact of such Shareholder, in such Shareholder’s name, place and stead:</w:t>
      </w:r>
    </w:p>
    <w:p>
      <w:pPr>
        <w:spacing w:after="0" w:line="180" w:lineRule="exact"/>
        <w:rPr>
          <w:sz w:val="20"/>
          <w:szCs w:val="20"/>
          <w:color w:val="auto"/>
        </w:rPr>
      </w:pPr>
    </w:p>
    <w:p>
      <w:pPr>
        <w:ind w:right="200" w:firstLine="987"/>
        <w:spacing w:after="0" w:line="266" w:lineRule="auto"/>
        <w:tabs>
          <w:tab w:leader="none" w:pos="123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complete or correct, on behalf of such Shareholder, all documents to be executed by such Shareholder in connection with such Shareholder’s subscription for Shares or other securities in, and admission to, the Trust, including, without limitation, filling in or amending amounts, dates, and other pertinent information; and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144" w:name="page145"/>
    <w:bookmarkEnd w:id="144"/>
    <w:p>
      <w:pPr>
        <w:ind w:left="4" w:right="20" w:firstLine="987"/>
        <w:spacing w:after="0" w:line="255" w:lineRule="auto"/>
        <w:tabs>
          <w:tab w:leader="none" w:pos="125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make, execute, sign, acknowledge, swear to and file: (i) any and all instruments, certificates, and other documents that may be deemed necessary or desirable to effect the termination and winding up of the Trust; (ii) any instrument, agreement or document of any kind necessary or desirable to accomplish the business, purpose and objectives of the Trust, or required by any applicable federal, state or local law; (iii) any counterparts of this Declaration to be entered into pursuant to any agreements to which such Shareholder is a signatory; (iv) any duly adopted amendment to and/or restatement of this Declaration; and (v) all other filings with agencies of the Federal government, or any state or local government, or of any other jurisdiction, which any Trustee considers necessary or desirable to carry out the purposes of this Declaration, and the business of the Trust created hereunder.</w:t>
      </w:r>
    </w:p>
    <w:p>
      <w:pPr>
        <w:spacing w:after="0" w:line="189" w:lineRule="exact"/>
        <w:rPr>
          <w:sz w:val="20"/>
          <w:szCs w:val="20"/>
          <w:color w:val="auto"/>
        </w:rPr>
      </w:pPr>
    </w:p>
    <w:p>
      <w:pPr>
        <w:jc w:val="both"/>
        <w:ind w:left="4" w:right="200" w:firstLine="991"/>
        <w:spacing w:after="0" w:line="289" w:lineRule="auto"/>
        <w:rPr>
          <w:sz w:val="20"/>
          <w:szCs w:val="20"/>
          <w:color w:val="auto"/>
        </w:rPr>
      </w:pPr>
      <w:r>
        <w:rPr>
          <w:rFonts w:ascii="Times New Roman" w:cs="Times New Roman" w:eastAsia="Times New Roman" w:hAnsi="Times New Roman"/>
          <w:sz w:val="17"/>
          <w:szCs w:val="17"/>
          <w:color w:val="auto"/>
        </w:rPr>
        <w:t>The power of attorney granted by each Shareholder pursuant to this Section 14.1 is coupled with an interest, is irrevocable, shall survive the transfer of the whole or any part of a Shareholder’s interest in the Trust (and shall be binding on the transferee thereof) and shall survive, and shall not be affected by, the subsequent death, disability, incapacity, incompetence, termination, bankruptcy, insolvency or dissolution of such Shareholder.</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55" w:lineRule="auto"/>
        <w:tabs>
          <w:tab w:leader="none" w:pos="12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Declaration and any amendment or supplement hereto shall be filed in such places as may be required or as the Trustees deem appropriate. Each amendment or supplement shall be accompanied by a certificate signed and acknowledged by a Trustee or duly authorized officer stating that such action was duly taken in a manner provided herein, and shall, upon insertion in the Trust’s minute book, be conclusive evidence of all amendments contained therein. A restated Declaration, containing the original Declaration and all amendments and supplements theretofore made, may be executed from time to time by a duly authorized officer and shall, upon insertion in the Trust’s minute book, be conclusive evidence of all amendments and supplements contained therein and may thereafter be referred to in lieu of the original Declaration and the various amendments and supplements thereto.</w:t>
      </w:r>
    </w:p>
    <w:p>
      <w:pPr>
        <w:spacing w:after="0" w:line="188" w:lineRule="exact"/>
        <w:rPr>
          <w:rFonts w:ascii="Times New Roman" w:cs="Times New Roman" w:eastAsia="Times New Roman" w:hAnsi="Times New Roman"/>
          <w:sz w:val="18"/>
          <w:szCs w:val="18"/>
          <w:color w:val="auto"/>
        </w:rPr>
      </w:pPr>
    </w:p>
    <w:p>
      <w:pPr>
        <w:ind w:left="4" w:right="640" w:firstLine="987"/>
        <w:spacing w:after="0" w:line="282" w:lineRule="auto"/>
        <w:tabs>
          <w:tab w:leader="none" w:pos="125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hereby ratify the previous filing of the Certificate of Trust with the Office of the Secretary of State of the State of Delaware in accordance with the Delaware Statutory Trust Statute.</w:t>
      </w:r>
    </w:p>
    <w:p>
      <w:pPr>
        <w:spacing w:after="0" w:line="162" w:lineRule="exact"/>
        <w:rPr>
          <w:sz w:val="20"/>
          <w:szCs w:val="20"/>
          <w:color w:val="auto"/>
        </w:rPr>
      </w:pPr>
    </w:p>
    <w:p>
      <w:pPr>
        <w:jc w:val="both"/>
        <w:ind w:left="4" w:right="2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14.3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trust set forth in this instrument is made in the State of Delaware, and the Trust and this Declaration, and the rights and obligations of the Trustees and Shareholders hereunder, are to be governed by and construed and administered according to the Delaware Statutory Trust Statute and the laws of said State; provided, however, that there shall not be applicable to the Trust, the Trustees or this Declaration</w:t>
      </w:r>
    </w:p>
    <w:p>
      <w:pPr>
        <w:spacing w:after="0" w:line="2" w:lineRule="exact"/>
        <w:rPr>
          <w:sz w:val="20"/>
          <w:szCs w:val="20"/>
          <w:color w:val="auto"/>
        </w:rPr>
      </w:pPr>
    </w:p>
    <w:p>
      <w:pPr>
        <w:ind w:left="4" w:hanging="4"/>
        <w:spacing w:after="0" w:line="251" w:lineRule="auto"/>
        <w:tabs>
          <w:tab w:leader="none" w:pos="24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Sections 3540 and 3561 of Title 12 of the Delaware Code or (b) any provisions of the laws (statutory or common) of the State of Delaware (other than the Delaware Statutory Trust Statute) pertaining to trusts which relate to or regulate: (i) the filing with any court or governmental body or agency of trustee accounts or schedules of trustee fees and charges, (ii) affirmative requirements to post bonds for trustees, officers, agents or employees of a trust, (iii) the necessity for obtaining court or other governmental approval concerning the acquisition, holding or disposition of real or personal property, (iv) fees or other sums payable to trustees, officers, agents or employees of a trust, (v) the allocation of receipts and expenditures to income or principal, (vi) restrictions or limitations on the permissible nature, amount or concentration of trust investments or requirements relating to the titling, storage or other manner of holding of trust assets, or (vii) the establishment of fiduciary or other standards or responsibilities or limitations on the acts or powers of trustees, which are inconsistent with the limitations or liabilities or authorities and powers of the Trustees set forth or referenced in this Declaration. The Trust shall be of the type commonly called a “statutory trust”, and without limiting the provisions hereof, the Trust may exercise all powers which are ordinarily exercised by such a trust under Delaware law. The Trust specifically reserves the right to exercise any of the powers or privileges afforded to trusts or actions that may be engaged in by trusts under the Delaware Statutory Trust Statute, and the absence of a specific reference herein to any such power, privilege or action shall not imply that the Trust may not exercise such power or privilege or take such actions.</w:t>
      </w:r>
    </w:p>
    <w:p>
      <w:pPr>
        <w:spacing w:after="0" w:line="192" w:lineRule="exact"/>
        <w:rPr>
          <w:sz w:val="20"/>
          <w:szCs w:val="20"/>
          <w:color w:val="auto"/>
        </w:rPr>
      </w:pPr>
    </w:p>
    <w:p>
      <w:pPr>
        <w:jc w:val="both"/>
        <w:ind w:left="4" w:right="4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14.4 </w:t>
      </w:r>
      <w:r>
        <w:rPr>
          <w:rFonts w:ascii="Times New Roman" w:cs="Times New Roman" w:eastAsia="Times New Roman" w:hAnsi="Times New Roman"/>
          <w:sz w:val="17"/>
          <w:szCs w:val="17"/>
          <w:u w:val="single" w:color="auto"/>
          <w:color w:val="auto"/>
        </w:rPr>
        <w:t>Exclusive Delaware Jurisdiction</w:t>
      </w:r>
      <w:r>
        <w:rPr>
          <w:rFonts w:ascii="Times New Roman" w:cs="Times New Roman" w:eastAsia="Times New Roman" w:hAnsi="Times New Roman"/>
          <w:sz w:val="17"/>
          <w:szCs w:val="17"/>
          <w:color w:val="auto"/>
        </w:rPr>
        <w:t>. Each Trustee, each officer and, except as otherwise agreed in writing by the Trust, the Adviser and/or affiliates of the Adviser, each Person legally or beneficially owning a Share or an interest in a Share of the Trust (whether through a broker, dealer, bank, trust company or clearing corporation or an agent of any of the foregoing or otherwise), to the fullest extent permitted by law,</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145" w:name="page146"/>
    <w:bookmarkEnd w:id="145"/>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Section 3804(e) of the Delaware Statutory Trust Statute, (i) irrevocably agrees that any claims, suits, actions or proceedings asserting a claim governed by the internal affairs (or similar) doctrine or arising out of or relating in any way to the Trust, the Delaware Statutory Trust Statute, this Declaration or the Bylaws (including, without limitation, any claims, suits, actions or proceedings to interpret, apply or enforce (A) the provisions of this Declaration or the Bylaws, or (B) the duties (including fiduciary duties), obligations or liabilities of the Trust to the Shareholders or the Trustees, or of officers or the Trustees to the Trust, to the Shareholders or each other, or (C) the rights or powers of, or restrictions on, the Trust, the officers, the Trustees or the Shareholders, or (D) any provision of the Delaware Statutory Trust Statute or other laws of the State of Delaware pertaining to trusts made applicable to the Trust pursuant to Section 3809 of the Delaware Statutory Trust Statute, or (E) any other instrument, document, agreement or certificate contemplated by any provision of the Delaware Statutory Trust Statute, the Declaration or the Bylaws relating in any way to the Trust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w:t>
      </w:r>
    </w:p>
    <w:p>
      <w:pPr>
        <w:spacing w:after="0" w:line="2" w:lineRule="exact"/>
        <w:rPr>
          <w:sz w:val="20"/>
          <w:szCs w:val="20"/>
          <w:color w:val="auto"/>
        </w:rPr>
      </w:pPr>
    </w:p>
    <w:p>
      <w:pPr>
        <w:ind w:left="4" w:right="60" w:hanging="4"/>
        <w:spacing w:after="0" w:line="268" w:lineRule="auto"/>
        <w:tabs>
          <w:tab w:leader="none" w:pos="26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submits to the exclusive jurisdiction of such courts in connection with any such claim, suit, action or proceeding, (iii) 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hereunder, and agrees that such service shall constitute good and sufficient service of process and notice thereof; provided, nothing in clause (iv) hereof shall affect or limit any right to serve process in any other manner permitted by law, and (v) irrevocably waives any and all right to trial by jury in any such claim, suit, action or proceeding. This Section 14.4 shall not apply to any claims asserted under U.S. federal securities laws, including, without limitation, the 1940 Act.</w:t>
      </w:r>
    </w:p>
    <w:p>
      <w:pPr>
        <w:spacing w:after="0" w:line="17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14.5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Consistent with applicable law (including the 1940 Act), the Trust, the Adviser and/or affiliates of the Adviser may negotiate agreements (“Side Letters”) with certain Shareholders that will result in different investment terms than the terms applicable to other Shareholders and that may have the effect of establishing rights under, or altering or supplementing the terms of, this Declaration or disclosure contained in any offering document of the Shares. As a result of such Side Letters, certain Shareholders may receive additional benefits which other Shareholders will not receive. Unless agreed otherwise in the Side Letter, in general, the Trust, the Adviser and affiliates of the Adviser will not be required to notify any or all of the other Shareholders of any such Side Letters or any of the rights and/or terms or provisions thereof, nor will the Trust, the Adviser or affiliates of the Adviser be required to offer such additional and/or different rights and/or terms to any or all of the other Shareholders. The Trust, the Adviser and/or affiliates of the Adviser may enter into such Side Letters with any Shareholder as each may determine in its sole discretion at any time. The other Shareholders will have no recourse against the Trust, the Trustees, the Adviser and/or any of their affiliates in the event certain investors receive additional and/or different rights and/or terms as a result of Side Letters. Any such exceptions or departures contained in any Side Letter with a Shareholder shall govern with respect to such Shareholder notwithstanding the provisions of this Declaration (including with respect to amendments to this Declaration) or any applicable subscription agreements. For the avoidance of doubt, no contractual arrangement established between a Shareholder and the Adviser or one of its affiliates pursuant to a broader strategic relationship between such Shareholder and the Adviser or one of its affiliates shall be considered a “Side Letter”.</w:t>
      </w:r>
    </w:p>
    <w:p>
      <w:pPr>
        <w:spacing w:after="0" w:line="197"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14.6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Declaration may be simultaneously executed in several counterparts, each of which shall be deemed to be an original, and such counterparts, together, shall constitute one and the same instrument, which shall be sufficiently evidenced by any such original counterpart.</w:t>
      </w:r>
    </w:p>
    <w:p>
      <w:pPr>
        <w:spacing w:after="0" w:line="176"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14.7 </w:t>
      </w:r>
      <w:r>
        <w:rPr>
          <w:rFonts w:ascii="Times New Roman" w:cs="Times New Roman" w:eastAsia="Times New Roman" w:hAnsi="Times New Roman"/>
          <w:sz w:val="17"/>
          <w:szCs w:val="17"/>
          <w:u w:val="single" w:color="auto"/>
          <w:color w:val="auto"/>
        </w:rPr>
        <w:t>Reliance by Third Parties</w:t>
      </w:r>
      <w:r>
        <w:rPr>
          <w:rFonts w:ascii="Times New Roman" w:cs="Times New Roman" w:eastAsia="Times New Roman" w:hAnsi="Times New Roman"/>
          <w:sz w:val="17"/>
          <w:szCs w:val="17"/>
          <w:color w:val="auto"/>
        </w:rPr>
        <w:t>. Any certificate executed by an individual who, according to the records of the Trust, or of any recording office in which this Declaration may be recorded, appears to be a Trustee hereunder, certifying to: (a) the number or identity of Trustees or Shareholders,</w:t>
      </w:r>
    </w:p>
    <w:p>
      <w:pPr>
        <w:spacing w:after="0" w:line="1" w:lineRule="exact"/>
        <w:rPr>
          <w:sz w:val="20"/>
          <w:szCs w:val="20"/>
          <w:color w:val="auto"/>
        </w:rPr>
      </w:pPr>
    </w:p>
    <w:p>
      <w:pPr>
        <w:ind w:left="4" w:right="140" w:hanging="4"/>
        <w:spacing w:after="0" w:line="253" w:lineRule="auto"/>
        <w:tabs>
          <w:tab w:leader="none" w:pos="2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Trust, (c) the due authorization of the execution of any instrument or writing, (d) the form of any vote passed at a meeting of Trustees or Shareholders, (e) the fact that the number of Trustees or Shareholders present at any meeting or executing any written instrument satisfies the requirements of this Declaration, (f) the form of any By-Laws adopted by or the identity of any officers elected by the Trustees, or (g) the existence of any fact or facts which in any manner relate to the affairs of the Trust, shall be conclusive evidence as to the matters so certified in favor of any person dealing with the Trustees and their successors.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146" w:name="page147"/>
    <w:bookmarkEnd w:id="146"/>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14.8 </w:t>
      </w:r>
      <w:r>
        <w:rPr>
          <w:rFonts w:ascii="Times New Roman" w:cs="Times New Roman" w:eastAsia="Times New Roman" w:hAnsi="Times New Roman"/>
          <w:sz w:val="18"/>
          <w:szCs w:val="18"/>
          <w:u w:val="single" w:color="auto"/>
          <w:color w:val="auto"/>
        </w:rPr>
        <w:t>Provisions in Conflict with Law or Regulation</w:t>
      </w:r>
      <w:r>
        <w:rPr>
          <w:rFonts w:ascii="Times New Roman" w:cs="Times New Roman" w:eastAsia="Times New Roman" w:hAnsi="Times New Roman"/>
          <w:sz w:val="18"/>
          <w:szCs w:val="18"/>
          <w:color w:val="auto"/>
        </w:rPr>
        <w:t>. (a) The provisions of this Declaration are severable, and if the Trustees shall determine, with the advice of counsel, that any of such provisions is in conflict with the 1940 Act, the regulated investment company provisions of the Internal Revenue Code or with other applicable laws and regulations, the conflicting provision shall be deemed never to have constituted a part of this Declaration; provided, however, that such determination shall not affect any of the remaining provisions of this Declaration or render invalid or improper any action taken or omitted prior to such determination.</w:t>
      </w:r>
    </w:p>
    <w:p>
      <w:pPr>
        <w:spacing w:after="0" w:line="183" w:lineRule="exact"/>
        <w:rPr>
          <w:sz w:val="20"/>
          <w:szCs w:val="20"/>
          <w:color w:val="auto"/>
        </w:rPr>
      </w:pPr>
    </w:p>
    <w:p>
      <w:pPr>
        <w:ind w:firstLine="987"/>
        <w:spacing w:after="0" w:line="266" w:lineRule="auto"/>
        <w:tabs>
          <w:tab w:leader="none" w:pos="12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Declaration shall be held invalid or unenforceable in any jurisdiction, such invalidity or unenforceability shall attach only to such provision in such jurisdiction and shall not in any manner affect such provision in any other jurisdiction or any other provision of this Declaration in any jurisdiction.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have caused this Declaration to be executed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Joshua Easterly, as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Jennifer Gordon, as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David Stiepleman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Stiepleman, as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Richard Higginbotham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Richard Higginbotham, as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Judy Slotkin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Judy Slotkin, as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Hurley Doddy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Hurley Doddy, as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Ronald Tanemura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Ronald Tanemura, as Trustee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SMC-CAS, LLC, as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Delaware Trustee</w:t>
      </w:r>
    </w:p>
    <w:p>
      <w:pPr>
        <w:spacing w:after="0" w:line="220" w:lineRule="exact"/>
        <w:rPr>
          <w:sz w:val="20"/>
          <w:szCs w:val="20"/>
          <w:color w:val="auto"/>
        </w:rPr>
      </w:pPr>
    </w:p>
    <w:p>
      <w:pPr>
        <w:ind w:left="618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Shippam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17145</wp:posOffset>
            </wp:positionV>
            <wp:extent cx="25374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Name: Anthony Shippam</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Title: Manager</w:t>
      </w:r>
    </w:p>
    <w:p>
      <w:pPr>
        <w:spacing w:after="0" w:line="15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579"/>
          </w:cols>
          <w:pgMar w:left="880" w:top="270" w:right="1440"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FUND OF FUNDS INVESTMENT AGREEMENT</w:t>
      </w:r>
    </w:p>
    <w:p>
      <w:pPr>
        <w:spacing w:after="0" w:line="229"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This FUND OF FUNDS INVESTMENT AGREEMENT (the “Agreement”), dated as of June 30, 2022, is between Cliffwater Corporate Lending Fund, a Delaware statutory trust (the “Acquiring Fund”), Sixth Street Lending Partners, a Delaware statutory trust (the “Acquired Fund” and, together with the Acquiring Fund, the “Funds”).</w:t>
      </w:r>
    </w:p>
    <w:p>
      <w:pPr>
        <w:spacing w:after="0" w:line="176"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WHEREAS, the Acquiring Fund is a closed-end management investment company that is registered with the U.S. Securities and Exchange Commission under the Investment Company Act of 1940 (the “1940 Act”);</w:t>
      </w:r>
    </w:p>
    <w:p>
      <w:pPr>
        <w:spacing w:after="0" w:line="162" w:lineRule="exact"/>
        <w:rPr>
          <w:sz w:val="20"/>
          <w:szCs w:val="20"/>
          <w:color w:val="auto"/>
        </w:rPr>
      </w:pPr>
    </w:p>
    <w:p>
      <w:pPr>
        <w:ind w:left="4" w:right="440" w:firstLine="440"/>
        <w:spacing w:after="0" w:line="282" w:lineRule="auto"/>
        <w:rPr>
          <w:sz w:val="20"/>
          <w:szCs w:val="20"/>
          <w:color w:val="auto"/>
        </w:rPr>
      </w:pPr>
      <w:r>
        <w:rPr>
          <w:rFonts w:ascii="Times New Roman" w:cs="Times New Roman" w:eastAsia="Times New Roman" w:hAnsi="Times New Roman"/>
          <w:sz w:val="18"/>
          <w:szCs w:val="18"/>
          <w:color w:val="auto"/>
        </w:rPr>
        <w:t>WHEREAS, the Acquired Fund is a closed-end management investment company that has elected to be regulated as a business development company under the 1940 Act;</w:t>
      </w:r>
    </w:p>
    <w:p>
      <w:pPr>
        <w:spacing w:after="0" w:line="162" w:lineRule="exact"/>
        <w:rPr>
          <w:sz w:val="20"/>
          <w:szCs w:val="20"/>
          <w:color w:val="auto"/>
        </w:rPr>
      </w:pPr>
    </w:p>
    <w:p>
      <w:pPr>
        <w:ind w:left="4" w:right="360" w:firstLine="440"/>
        <w:spacing w:after="0" w:line="282" w:lineRule="auto"/>
        <w:rPr>
          <w:sz w:val="20"/>
          <w:szCs w:val="20"/>
          <w:color w:val="auto"/>
        </w:rPr>
      </w:pPr>
      <w:r>
        <w:rPr>
          <w:rFonts w:ascii="Times New Roman" w:cs="Times New Roman" w:eastAsia="Times New Roman" w:hAnsi="Times New Roman"/>
          <w:sz w:val="18"/>
          <w:szCs w:val="18"/>
          <w:color w:val="auto"/>
        </w:rPr>
        <w:t>WHEREAS, Sections 12(d)(1) and 60 of the 1940 Act generally limit the ability of a registered investment company or business development company to invest in shares of another registered investment company or business development company;</w:t>
      </w:r>
    </w:p>
    <w:p>
      <w:pPr>
        <w:spacing w:after="0" w:line="162"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WHEREAS, Rule 12d1-4 under the 1940 Act generally permits a registered investment company or business development company to invest in shares of another registered investment company or business development company in excess of the limitations under Sections 12(d)(1) and 60 subject to certain terms and conditions; and</w:t>
      </w:r>
    </w:p>
    <w:p>
      <w:pPr>
        <w:spacing w:after="0" w:line="176" w:lineRule="exact"/>
        <w:rPr>
          <w:sz w:val="20"/>
          <w:szCs w:val="20"/>
          <w:color w:val="auto"/>
        </w:rPr>
      </w:pPr>
    </w:p>
    <w:p>
      <w:pPr>
        <w:jc w:val="both"/>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WHEREAS, the Acquiring Fund, from time to time, may wish to acquire shares of the Acquired Fund in excess of the limitations under Sections 12(d)(1) and 60 in reliance on Rule 12d1-4.</w:t>
      </w:r>
    </w:p>
    <w:p>
      <w:pPr>
        <w:spacing w:after="0" w:line="162" w:lineRule="exact"/>
        <w:rPr>
          <w:sz w:val="20"/>
          <w:szCs w:val="20"/>
          <w:color w:val="auto"/>
        </w:rPr>
      </w:pPr>
    </w:p>
    <w:p>
      <w:pPr>
        <w:jc w:val="both"/>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potential benefits to the Funds arising out of the investment by the Acquiring Fund in the Acquired Fund, the Funds agree as follows:</w:t>
      </w:r>
    </w:p>
    <w:p>
      <w:pPr>
        <w:spacing w:after="0" w:line="185" w:lineRule="exact"/>
        <w:rPr>
          <w:sz w:val="20"/>
          <w:szCs w:val="20"/>
          <w:color w:val="auto"/>
        </w:rPr>
      </w:pPr>
    </w:p>
    <w:p>
      <w:pPr>
        <w:ind w:left="424" w:hanging="424"/>
        <w:spacing w:after="0"/>
        <w:tabs>
          <w:tab w:leader="none" w:pos="42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Obligations of the Acquired Fund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Acquired Fund agrees to:</w:t>
      </w:r>
    </w:p>
    <w:p>
      <w:pPr>
        <w:spacing w:after="0" w:line="117" w:lineRule="exact"/>
        <w:rPr>
          <w:sz w:val="20"/>
          <w:szCs w:val="20"/>
          <w:color w:val="auto"/>
        </w:rPr>
      </w:pPr>
    </w:p>
    <w:p>
      <w:pPr>
        <w:ind w:left="244" w:hanging="244"/>
        <w:spacing w:after="0"/>
        <w:tabs>
          <w:tab w:leader="none" w:pos="2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terms and conditions of Rule 12d1-4 and this Agreement;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Acquiring Fund if the Acquired Fund fails to comply with the terms and conditions of Rule 12d1-4 or this Agreement;</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policies and procedures reasonably designed to prevent violations of Rule 12d1-4; and</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subject to applicable law, the Acquiring Fund and its investment adviser (and, if applicable, subadviser) with information reasonably</w:t>
      </w:r>
    </w:p>
    <w:p>
      <w:pPr>
        <w:spacing w:after="0" w:line="27" w:lineRule="exact"/>
        <w:rPr>
          <w:rFonts w:ascii="Times New Roman" w:cs="Times New Roman" w:eastAsia="Times New Roman" w:hAnsi="Times New Roman"/>
          <w:sz w:val="18"/>
          <w:szCs w:val="18"/>
          <w:color w:val="auto"/>
        </w:rPr>
      </w:pPr>
    </w:p>
    <w:p>
      <w:pPr>
        <w:ind w:left="4"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by the Acquiring Fund and its investment adviser (and, if applicable, subadviser) to comply with the terms and conditions of Rule 12d1-4, including information on the fees and expenses of the Acquired Fund.</w:t>
      </w:r>
    </w:p>
    <w:p>
      <w:pPr>
        <w:spacing w:after="0" w:line="204" w:lineRule="exact"/>
        <w:rPr>
          <w:sz w:val="20"/>
          <w:szCs w:val="20"/>
          <w:color w:val="auto"/>
        </w:rPr>
      </w:pPr>
    </w:p>
    <w:p>
      <w:pPr>
        <w:ind w:left="424" w:hanging="424"/>
        <w:spacing w:after="0"/>
        <w:tabs>
          <w:tab w:leader="none" w:pos="42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Obligations of the Acquiring Fund</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Acquiring Fund agrees to:</w:t>
      </w:r>
    </w:p>
    <w:p>
      <w:pPr>
        <w:spacing w:after="0" w:line="117" w:lineRule="exact"/>
        <w:rPr>
          <w:sz w:val="20"/>
          <w:szCs w:val="20"/>
          <w:color w:val="auto"/>
        </w:rPr>
      </w:pPr>
    </w:p>
    <w:p>
      <w:pPr>
        <w:ind w:left="244" w:hanging="244"/>
        <w:spacing w:after="0"/>
        <w:tabs>
          <w:tab w:leader="none" w:pos="24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terms and conditions of Rule 12d1-4 and this Agreement;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Acquired Fund if the Acquiring Fund fails to comply with the terms and conditions of Rule 12d1-4 or this Agreement; and</w:t>
      </w:r>
    </w:p>
    <w:p>
      <w:pPr>
        <w:sectPr>
          <w:pgSz w:w="11900" w:h="16838" w:orient="portrait"/>
          <w:cols w:equalWidth="0" w:num="1">
            <w:col w:w="11024"/>
          </w:cols>
          <w:pgMar w:left="436" w:top="117" w:right="439" w:bottom="1440" w:gutter="0" w:footer="0" w:header="0"/>
        </w:sectPr>
      </w:pPr>
    </w:p>
    <w:bookmarkStart w:id="149" w:name="page150"/>
    <w:bookmarkEnd w:id="14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adopt policies and procedures reasonably designed to prevent violations of Rule 12d1-4.</w:t>
      </w:r>
    </w:p>
    <w:p>
      <w:pPr>
        <w:spacing w:after="0" w:line="248" w:lineRule="exact"/>
        <w:rPr>
          <w:sz w:val="20"/>
          <w:szCs w:val="20"/>
          <w:color w:val="auto"/>
        </w:rPr>
      </w:pPr>
    </w:p>
    <w:p>
      <w:pPr>
        <w:ind w:left="424" w:hanging="424"/>
        <w:spacing w:after="0"/>
        <w:tabs>
          <w:tab w:leader="none" w:pos="424"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 to Initial Purchase in Reliance on Rule 12d1-4</w:t>
      </w:r>
    </w:p>
    <w:p>
      <w:pPr>
        <w:spacing w:after="0" w:line="229"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The Acquiring Fund and the Acquired Fund agree that, prior to the initial acquisition by the Acquiring Fund of shares of the Acquired Fund in reliance on Rule 12d1-4, the investment adviser (or, if applicable, subadviser) to each of the Acquiring Fund and the Acquired Fund must make in writing the findings required by Rule 12d1-4.</w:t>
      </w:r>
    </w:p>
    <w:p>
      <w:pPr>
        <w:spacing w:after="0" w:line="199"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sz w:val="20"/>
          <w:szCs w:val="20"/>
          <w:color w:val="auto"/>
        </w:rPr>
      </w:pPr>
    </w:p>
    <w:p>
      <w:pPr>
        <w:ind w:left="4" w:hanging="4"/>
        <w:spacing w:after="0" w:line="258" w:lineRule="auto"/>
        <w:tabs>
          <w:tab w:leader="none" w:pos="2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Acquiring Fund agrees to hold harmless, indemnify and defend the Acquired Fund, including any principals, directors or trustees, officers, employees and agents (“Acquired Fund Agents”), against and from any and all losses, costs, expenses or liabilities incurred by or claims or actions (“Claims”) asserted against the Acquired Fund, including any Acquired Fund Agents, to the extent such Claims result from: (i) a violation of any provision of this Agreement or (ii) a violation of the terms and conditions of Rule 12d1-4, in each case by the Acquiring Fund, its principals, directors or trustees, officers, employees, agents, advisers or if applicable, subadvisers.</w:t>
      </w:r>
    </w:p>
    <w:p>
      <w:pPr>
        <w:spacing w:after="0" w:line="183" w:lineRule="exact"/>
        <w:rPr>
          <w:rFonts w:ascii="Times New Roman" w:cs="Times New Roman" w:eastAsia="Times New Roman" w:hAnsi="Times New Roman"/>
          <w:sz w:val="18"/>
          <w:szCs w:val="18"/>
          <w:color w:val="auto"/>
        </w:rPr>
      </w:pPr>
    </w:p>
    <w:p>
      <w:pPr>
        <w:ind w:left="4" w:right="180" w:hanging="4"/>
        <w:spacing w:after="0" w:line="281" w:lineRule="auto"/>
        <w:tabs>
          <w:tab w:leader="none" w:pos="259"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Acquired Fund agrees to hold harmless, indemnify and defend the Acquiring Fund, including any principals, directors or trustees, officers, employees and agents (“Acquiring Fund Agents”), against and from any and all Claims asserted against the Acquiring Fund, including any Acquiring Fund Agents, to the extent such Claims result from: (i) a violation of any provision of this Agreement or (ii) a violation of the terms and conditions of Rule 12d1-4, in each case by the Acquired Fund, its principals, directors or trustees, officers, employees, agents, advisers or if applicable, subadvisers.</w:t>
      </w:r>
    </w:p>
    <w:p>
      <w:pPr>
        <w:spacing w:after="0" w:line="164" w:lineRule="exact"/>
        <w:rPr>
          <w:rFonts w:ascii="Times New Roman" w:cs="Times New Roman" w:eastAsia="Times New Roman" w:hAnsi="Times New Roman"/>
          <w:sz w:val="17"/>
          <w:szCs w:val="17"/>
          <w:color w:val="auto"/>
        </w:rPr>
      </w:pPr>
    </w:p>
    <w:p>
      <w:pPr>
        <w:ind w:left="4" w:right="20" w:hanging="4"/>
        <w:spacing w:after="0" w:line="282" w:lineRule="auto"/>
        <w:tabs>
          <w:tab w:leader="none" w:pos="24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pursuant to this Section shall include any reasonable counsel fees and expenses incurred in connection with investigating and/or defending the applicable Claims. This Section shall survive any termination of this Agreement.</w:t>
      </w:r>
    </w:p>
    <w:p>
      <w:pPr>
        <w:spacing w:after="0" w:line="185" w:lineRule="exact"/>
        <w:rPr>
          <w:sz w:val="20"/>
          <w:szCs w:val="20"/>
          <w:color w:val="auto"/>
        </w:rPr>
      </w:pPr>
    </w:p>
    <w:p>
      <w:pPr>
        <w:ind w:left="424" w:hanging="424"/>
        <w:spacing w:after="0"/>
        <w:tabs>
          <w:tab w:leader="none" w:pos="424"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Waiver Arrangement</w:t>
      </w:r>
    </w:p>
    <w:p>
      <w:pPr>
        <w:spacing w:after="0" w:line="229"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In the event the Acquiring Fund owns, controls or holds the power to vote 5% or more of the outstanding shares of the Acquired Fund, the Acquiring Fund hereby foregoes and waives any “voting rights” it has in respect of its shares of the Acquired Fund to the extent that the “voting rights” of the Acquiring Fund equal or exceed 5% of the “voting rights” of the shareholders of the Acquired Fund, and the Acquiring Fund and the Acquired Fund hereby agree that such portion of the shares of the Acquiring Fund subject to such waiver shall automatically, and without any further action required by either party, be deemed a non-voting interest. For purposes of this Agreement, “voting rights” shall be rights deemed to be the equivalent to the right to vote for the election or removal of a director under applicable interpretations of the term “voting security” under the 1940 Act by the Securities and Exchange Commission or its staff, but for the avoidance of doubt, matters that are presented to the Acquiring Fund in connection with voting and consent rights afforded to the shareholders of the Acquired Fund under the operative documents of the Acquired Fund that do not constitute “voting rights” under the 1940 Act, shall not be subject to the provisions of this paragraph.</w:t>
      </w:r>
    </w:p>
    <w:p>
      <w:pPr>
        <w:spacing w:after="0" w:line="211" w:lineRule="exact"/>
        <w:rPr>
          <w:sz w:val="20"/>
          <w:szCs w:val="20"/>
          <w:color w:val="auto"/>
        </w:rPr>
      </w:pPr>
    </w:p>
    <w:p>
      <w:pPr>
        <w:ind w:left="424" w:hanging="424"/>
        <w:spacing w:after="0"/>
        <w:tabs>
          <w:tab w:leader="none" w:pos="424"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9" w:lineRule="exact"/>
        <w:rPr>
          <w:sz w:val="20"/>
          <w:szCs w:val="20"/>
          <w:color w:val="auto"/>
        </w:rPr>
      </w:pPr>
    </w:p>
    <w:p>
      <w:pPr>
        <w:ind w:left="4" w:right="300"/>
        <w:spacing w:after="0" w:line="261" w:lineRule="auto"/>
        <w:rPr>
          <w:sz w:val="20"/>
          <w:szCs w:val="20"/>
          <w:color w:val="auto"/>
        </w:rPr>
      </w:pPr>
      <w:r>
        <w:rPr>
          <w:rFonts w:ascii="Times New Roman" w:cs="Times New Roman" w:eastAsia="Times New Roman" w:hAnsi="Times New Roman"/>
          <w:sz w:val="18"/>
          <w:szCs w:val="18"/>
          <w:color w:val="auto"/>
        </w:rPr>
        <w:t>Except as otherwise noted, all notices, including all information that either party is required to provide under the terms of this Agreement, shall be in writing and shall be delivered to the contact identified below (which may be changed from time to time upon written notice to the other party) by</w:t>
      </w:r>
    </w:p>
    <w:p>
      <w:pPr>
        <w:ind w:left="4" w:hanging="4"/>
        <w:spacing w:after="0" w:line="255" w:lineRule="auto"/>
        <w:tabs>
          <w:tab w:leader="none" w:pos="21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Express or other comparable overnight courier; (ii) registered or certified mail, postage prepaid, return receipt requested; (iii) facsimile with confirmation during normal business hours; or (iv) e-mail (to all parties set forth below). All notices, demands or requests so given will be deemed given when actually received.</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50" w:name="page151"/>
    <w:bookmarkEnd w:id="15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the Acquiring Fund: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Cliffwater Corporate Lending Fund</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c/o Cliffwater LLC</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4640 Admiralty Way, 11th Floor</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Marina del Rey, CA 90292</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Tel: 310-448-5000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Fax: 310-448-5001</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legal@cliffwater.com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to the Acquired Fund: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 Joshua Peck</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Tel: (469) 621-3001</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JPeck@sixthstreet.com</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900 G Street, N.W.</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Washington, D.C. 20001</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Attn: Steven Grigoriou</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Tel: (202) 636-5592</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steven.grigoriou@stblaw.com</w:t>
      </w:r>
    </w:p>
    <w:p>
      <w:pPr>
        <w:spacing w:after="0" w:line="230" w:lineRule="exact"/>
        <w:rPr>
          <w:sz w:val="20"/>
          <w:szCs w:val="20"/>
          <w:color w:val="auto"/>
        </w:rPr>
      </w:pPr>
    </w:p>
    <w:p>
      <w:pPr>
        <w:ind w:left="424" w:hanging="424"/>
        <w:spacing w:after="0"/>
        <w:tabs>
          <w:tab w:leader="none" w:pos="42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and Governing Law</w:t>
      </w:r>
    </w:p>
    <w:p>
      <w:pPr>
        <w:spacing w:after="0" w:line="229" w:lineRule="exact"/>
        <w:rPr>
          <w:sz w:val="20"/>
          <w:szCs w:val="20"/>
          <w:color w:val="auto"/>
        </w:rPr>
      </w:pPr>
    </w:p>
    <w:p>
      <w:pPr>
        <w:ind w:left="4" w:hanging="4"/>
        <w:spacing w:after="0" w:line="258" w:lineRule="auto"/>
        <w:tabs>
          <w:tab w:leader="none" w:pos="24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continue until terminated in writing by either party upon 60 days’ notice to the other party. Upon termination of this Agreement, to the extent necessary to comply with Section 12(d)(1) of the 1940 Act and Rule 12d1-4, the Acquired Fund shall not call capital from any remaining unpaid capital commitment to the Acquired Fund pursuant to the Subscription Agreement between the Funds if such capital call will cause the Acquiring Fund to own more than 3% of the Acquired Fund’s outstanding voting securities or if the Acquiring Fund owns more than 3% of the Acquired Fund’s outstanding voting securities.</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governed by laws of New York without regard to choice of law principles.</w:t>
      </w:r>
    </w:p>
    <w:p>
      <w:pPr>
        <w:spacing w:after="0" w:line="248" w:lineRule="exact"/>
        <w:rPr>
          <w:sz w:val="20"/>
          <w:szCs w:val="20"/>
          <w:color w:val="auto"/>
        </w:rPr>
      </w:pPr>
    </w:p>
    <w:p>
      <w:pPr>
        <w:ind w:left="424" w:hanging="424"/>
        <w:spacing w:after="0"/>
        <w:tabs>
          <w:tab w:leader="none" w:pos="42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jc w:val="both"/>
        <w:ind w:left="4" w:hanging="4"/>
        <w:spacing w:after="0" w:line="266" w:lineRule="auto"/>
        <w:tabs>
          <w:tab w:leader="none" w:pos="24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assigned by either party without the prior written consent of the other. In the event either party assigns this Agreement to a third party as provided in this Section, such third party shall be bound by the terms and conditions of this Agreement applicable to the assigning party. Any assignment in contravention of this Section shall be null and void.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51" w:name="page152"/>
    <w:bookmarkEnd w:id="151"/>
    <w:p>
      <w:pPr>
        <w:ind w:left="4" w:right="260" w:hanging="4"/>
        <w:spacing w:after="0" w:line="282" w:lineRule="auto"/>
        <w:tabs>
          <w:tab w:leader="none" w:pos="2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expressly set forth herein, nothing in this Agreement shall confer any rights upon any person or entity other than the parties hereto and their respective successors and permitted assigns.</w:t>
      </w:r>
    </w:p>
    <w:p>
      <w:pPr>
        <w:spacing w:after="0" w:line="161" w:lineRule="exact"/>
        <w:rPr>
          <w:rFonts w:ascii="Times New Roman" w:cs="Times New Roman" w:eastAsia="Times New Roman" w:hAnsi="Times New Roman"/>
          <w:sz w:val="18"/>
          <w:szCs w:val="18"/>
          <w:color w:val="auto"/>
        </w:rPr>
      </w:pPr>
    </w:p>
    <w:p>
      <w:pPr>
        <w:ind w:left="4" w:right="360" w:hanging="4"/>
        <w:spacing w:after="0" w:line="282" w:lineRule="auto"/>
        <w:tabs>
          <w:tab w:leader="none" w:pos="24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supplement of any provision of this Agreement will be valid or effective unless made in writing in the manner provided by Section 5 and signed by a duly authorized representative of each party.</w:t>
      </w:r>
    </w:p>
    <w:p>
      <w:pPr>
        <w:spacing w:after="0" w:line="161" w:lineRule="exact"/>
        <w:rPr>
          <w:rFonts w:ascii="Times New Roman" w:cs="Times New Roman" w:eastAsia="Times New Roman" w:hAnsi="Times New Roman"/>
          <w:sz w:val="18"/>
          <w:szCs w:val="18"/>
          <w:color w:val="auto"/>
        </w:rPr>
      </w:pPr>
    </w:p>
    <w:p>
      <w:pPr>
        <w:ind w:left="4" w:hanging="4"/>
        <w:spacing w:after="0" w:line="261" w:lineRule="auto"/>
        <w:tabs>
          <w:tab w:leader="none" w:pos="25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each of which shall be deemed an original and all of which together shall constitute one and the same instrument. This Agreement shall become binding when any two or more counterparts thereof, individually or taken together, bear the signatures of both parties hereto. For purposes hereof, a facsimile copy of this Agreement, including the signature pages hereto, shall be deemed an original.</w:t>
      </w:r>
    </w:p>
    <w:p>
      <w:pPr>
        <w:spacing w:after="0" w:line="179" w:lineRule="exact"/>
        <w:rPr>
          <w:rFonts w:ascii="Times New Roman" w:cs="Times New Roman" w:eastAsia="Times New Roman" w:hAnsi="Times New Roman"/>
          <w:sz w:val="18"/>
          <w:szCs w:val="18"/>
          <w:color w:val="auto"/>
        </w:rPr>
      </w:pPr>
    </w:p>
    <w:p>
      <w:pPr>
        <w:ind w:left="4" w:right="180" w:hanging="4"/>
        <w:spacing w:after="0" w:line="282" w:lineRule="auto"/>
        <w:tabs>
          <w:tab w:leader="none" w:pos="24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is determined to be invalid, illegal or unenforceable, the remaining provisions of this Agreement remain in full force and effect, if the essential terms and conditions of this Agreement for both parties remain valid, legal and enforceable.</w:t>
      </w:r>
    </w:p>
    <w:p>
      <w:pPr>
        <w:spacing w:after="0" w:line="16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4"/>
          </w:cols>
          <w:pgMar w:left="436" w:top="270" w:right="539" w:bottom="1440" w:gutter="0" w:footer="0" w:header="0"/>
        </w:sectPr>
      </w:pPr>
    </w:p>
    <w:bookmarkStart w:id="152" w:name="page153"/>
    <w:bookmarkEnd w:id="152"/>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CLIFFWATER CORPORATE LENDING FUND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L. Nesbitt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Stephen L. Nesbitt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Peck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Joshua Peck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lvl w:ilvl="1">
      <w:lvlJc w:val="left"/>
      <w:lvlText w:val="•"/>
      <w:numFmt w:val="bullet"/>
      <w:start w:val="1"/>
    </w:lvl>
  </w:abstractNum>
  <w:abstractNum w:abstractNumId="8">
    <w:nsid w:val="4AD084E9"/>
    <w:multiLevelType w:val="hybridMultilevel"/>
    <w:lvl w:ilvl="0">
      <w:lvlJc w:val="left"/>
      <w:lvlText w:val="•"/>
      <w:numFmt w:val="bullet"/>
      <w:start w:val="1"/>
    </w:lvl>
    <w:lvl w:ilvl="1">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lvl w:ilvl="1">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1)"/>
      <w:numFmt w:val="lowerLetter"/>
      <w:start w:val="3"/>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
    <w:nsid w:val="11447B73"/>
    <w:multiLevelType w:val="hybridMultilevel"/>
    <w:lvl w:ilvl="0">
      <w:lvlJc w:val="left"/>
      <w:lvlText w:val="%1"/>
      <w:numFmt w:val="decimal"/>
      <w:start w:val="1"/>
    </w:lvl>
    <w:lvl w:ilvl="1">
      <w:lvlJc w:val="left"/>
      <w:lvlText w:val="%2."/>
      <w:numFmt w:val="lowerRoman"/>
      <w:start w:val="3"/>
    </w:lvl>
  </w:abstractNum>
  <w:abstractNum w:abstractNumId="30">
    <w:nsid w:val="42963E5A"/>
    <w:multiLevelType w:val="hybridMultilevel"/>
    <w:lvl w:ilvl="0">
      <w:lvlJc w:val="left"/>
      <w:lvlText w:val="(%1)"/>
      <w:numFmt w:val="decimal"/>
      <w:start w:val="2"/>
    </w:lvl>
    <w:lvl w:ilvl="1">
      <w:lvlJc w:val="left"/>
      <w:lvlText w:val="%2"/>
      <w:numFmt w:val="lowerRoman"/>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1)"/>
      <w:numFmt w:val="lowerRoman"/>
      <w:start w:val="2"/>
    </w:lvl>
  </w:abstractNum>
  <w:abstractNum w:abstractNumId="34">
    <w:nsid w:val="3B0FD379"/>
    <w:multiLevelType w:val="hybridMultilevel"/>
    <w:lvl w:ilvl="0">
      <w:lvlJc w:val="left"/>
      <w:lvlText w:val="(%1)"/>
      <w:numFmt w:val="lowerRoman"/>
      <w:start w:val="3"/>
    </w:lvl>
  </w:abstractNum>
  <w:abstractNum w:abstractNumId="35">
    <w:nsid w:val="68EB2F63"/>
    <w:multiLevelType w:val="hybridMultilevel"/>
    <w:lvl w:ilvl="0">
      <w:lvlJc w:val="left"/>
      <w:lvlText w:val="(%1)"/>
      <w:numFmt w:val="lowerRoman"/>
      <w:start w:val="4"/>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lvl w:ilvl="1">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1)"/>
      <w:numFmt w:val="lowerRoman"/>
      <w:start w:val="1"/>
    </w:lvl>
  </w:abstractNum>
  <w:abstractNum w:abstractNumId="47">
    <w:nsid w:val="94211F2"/>
    <w:multiLevelType w:val="hybridMultilevel"/>
    <w:lvl w:ilvl="0">
      <w:lvlJc w:val="left"/>
      <w:lvlText w:val="(%1)"/>
      <w:numFmt w:val="lowerRoman"/>
      <w:start w:val="3"/>
    </w:lvl>
  </w:abstractNum>
  <w:abstractNum w:abstractNumId="48">
    <w:nsid w:val="885E1B"/>
    <w:multiLevelType w:val="hybridMultilevel"/>
    <w:lvl w:ilvl="0">
      <w:lvlJc w:val="left"/>
      <w:lvlText w:val="(%1)"/>
      <w:numFmt w:val="lowerRoman"/>
      <w:start w:val="2"/>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1)"/>
      <w:numFmt w:val="lowerLetter"/>
      <w:start w:val="2"/>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1)"/>
      <w:numFmt w:val="lowerRoman"/>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1)"/>
      <w:numFmt w:val="lowerRoman"/>
      <w:start w:val="2"/>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Letter"/>
      <w:start w:val="2"/>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1)"/>
      <w:numFmt w:val="lowerRoman"/>
      <w:start w:val="1"/>
    </w:lvl>
  </w:abstractNum>
  <w:abstractNum w:abstractNumId="79">
    <w:nsid w:val="7DE67713"/>
    <w:multiLevelType w:val="hybridMultilevel"/>
    <w:lvl w:ilvl="0">
      <w:lvlJc w:val="left"/>
      <w:lvlText w:val="(%1)"/>
      <w:numFmt w:val="lowerLetter"/>
      <w:start w:val="1"/>
    </w:lvl>
    <w:lvl w:ilvl="1">
      <w:lvlJc w:val="left"/>
      <w:lvlText w:val="(%2)"/>
      <w:numFmt w:val="lowerRoman"/>
      <w:start w:val="1"/>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1"/>
    </w:lvl>
  </w:abstractNum>
  <w:abstractNum w:abstractNumId="82">
    <w:nsid w:val="14FCE74E"/>
    <w:multiLevelType w:val="hybridMultilevel"/>
    <w:lvl w:ilvl="0">
      <w:lvlJc w:val="left"/>
      <w:lvlText w:val="(%1)"/>
      <w:numFmt w:val="lowerLetter"/>
      <w:start w:val="3"/>
    </w:lvl>
  </w:abstractNum>
  <w:abstractNum w:abstractNumId="83">
    <w:nsid w:val="6A3DD3E8"/>
    <w:multiLevelType w:val="hybridMultilevel"/>
    <w:lvl w:ilvl="0">
      <w:lvlJc w:val="left"/>
      <w:lvlText w:val="%1"/>
      <w:numFmt w:val="lowerLetter"/>
      <w:start w:val="1"/>
    </w:lvl>
    <w:lvl w:ilvl="1">
      <w:lvlJc w:val="left"/>
      <w:lvlText w:val="(%2)"/>
      <w:numFmt w:val="lowerLetter"/>
      <w:start w:val="1"/>
    </w:lvl>
  </w:abstractNum>
  <w:abstractNum w:abstractNumId="84">
    <w:nsid w:val="71C91298"/>
    <w:multiLevelType w:val="hybridMultilevel"/>
    <w:lvl w:ilvl="0">
      <w:lvlJc w:val="left"/>
      <w:lvlText w:val="(%1)"/>
      <w:numFmt w:val="lowerLetter"/>
      <w:start w:val="35"/>
    </w:lvl>
    <w:lvl w:ilvl="1">
      <w:lvlJc w:val="left"/>
      <w:lvlText w:val="(%2)"/>
      <w:numFmt w:val="lowerLetter"/>
      <w:start w:val="3"/>
    </w:lvl>
  </w:abstractNum>
  <w:abstractNum w:abstractNumId="85">
    <w:nsid w:val="9DAF632"/>
    <w:multiLevelType w:val="hybridMultilevel"/>
    <w:lvl w:ilvl="0">
      <w:lvlJc w:val="left"/>
      <w:lvlText w:val="(%1)"/>
      <w:numFmt w:val="lowerLetter"/>
      <w:start w:val="1"/>
    </w:lvl>
  </w:abstractNum>
  <w:abstractNum w:abstractNumId="86">
    <w:nsid w:val="53299938"/>
    <w:multiLevelType w:val="hybridMultilevel"/>
    <w:lvl w:ilvl="0">
      <w:lvlJc w:val="left"/>
      <w:lvlText w:val="(%1)"/>
      <w:numFmt w:val="lowerLetter"/>
      <w:start w:val="4"/>
    </w:lvl>
  </w:abstractNum>
  <w:abstractNum w:abstractNumId="87">
    <w:nsid w:val="1FBFE8E0"/>
    <w:multiLevelType w:val="hybridMultilevel"/>
    <w:lvl w:ilvl="0">
      <w:lvlJc w:val="left"/>
      <w:lvlText w:val="(%1)"/>
      <w:numFmt w:val="lowerRoman"/>
      <w:start w:val="1"/>
    </w:lvl>
  </w:abstractNum>
  <w:abstractNum w:abstractNumId="88">
    <w:nsid w:val="5092CA79"/>
    <w:multiLevelType w:val="hybridMultilevel"/>
    <w:lvl w:ilvl="0">
      <w:lvlJc w:val="left"/>
      <w:lvlText w:val="(%1)"/>
      <w:numFmt w:val="lowerLetter"/>
      <w:start w:val="1"/>
    </w:lvl>
  </w:abstractNum>
  <w:abstractNum w:abstractNumId="89">
    <w:nsid w:val="1D545C4D"/>
    <w:multiLevelType w:val="hybridMultilevel"/>
    <w:lvl w:ilvl="0">
      <w:lvlJc w:val="left"/>
      <w:lvlText w:val="(%1)"/>
      <w:numFmt w:val="lowerLetter"/>
      <w:start w:val="2"/>
    </w:lvl>
  </w:abstractNum>
  <w:abstractNum w:abstractNumId="90">
    <w:nsid w:val="59ADEA3D"/>
    <w:multiLevelType w:val="hybridMultilevel"/>
    <w:lvl w:ilvl="0">
      <w:lvlJc w:val="left"/>
      <w:lvlText w:val="(%1)"/>
      <w:numFmt w:val="lowerLetter"/>
      <w:start w:val="2"/>
    </w:lvl>
  </w:abstractNum>
  <w:abstractNum w:abstractNumId="91">
    <w:nsid w:val="288F1A34"/>
    <w:multiLevelType w:val="hybridMultilevel"/>
    <w:lvl w:ilvl="0">
      <w:lvlJc w:val="left"/>
      <w:lvlText w:val="(%1)"/>
      <w:numFmt w:val="lowerLetter"/>
      <w:start w:val="1"/>
    </w:lvl>
  </w:abstractNum>
  <w:abstractNum w:abstractNumId="92">
    <w:nsid w:val="2A155DBC"/>
    <w:multiLevelType w:val="hybridMultilevel"/>
    <w:lvl w:ilvl="0">
      <w:lvlJc w:val="left"/>
      <w:lvlText w:val="(%1)"/>
      <w:numFmt w:val="lowerLetter"/>
      <w:start w:val="2"/>
    </w:lvl>
  </w:abstractNum>
  <w:abstractNum w:abstractNumId="93">
    <w:nsid w:val="1D9F6E5F"/>
    <w:multiLevelType w:val="hybridMultilevel"/>
    <w:lvl w:ilvl="0">
      <w:lvlJc w:val="left"/>
      <w:lvlText w:val="(%1)"/>
      <w:numFmt w:val="lowerLetter"/>
      <w:start w:val="1"/>
    </w:lvl>
  </w:abstractNum>
  <w:abstractNum w:abstractNumId="94">
    <w:nsid w:val="97E1B4E"/>
    <w:multiLevelType w:val="hybridMultilevel"/>
    <w:lvl w:ilvl="0">
      <w:lvlJc w:val="left"/>
      <w:lvlText w:val="(%1)"/>
      <w:numFmt w:val="lowerLetter"/>
      <w:start w:val="1"/>
    </w:lvl>
  </w:abstractNum>
  <w:abstractNum w:abstractNumId="95">
    <w:nsid w:val="51088277"/>
    <w:multiLevelType w:val="hybridMultilevel"/>
    <w:lvl w:ilvl="0">
      <w:lvlJc w:val="left"/>
      <w:lvlText w:val="(%1)"/>
      <w:numFmt w:val="lowerLetter"/>
      <w:start w:val="2"/>
    </w:lvl>
  </w:abstractNum>
  <w:abstractNum w:abstractNumId="96">
    <w:nsid w:val="1CA0C5FA"/>
    <w:multiLevelType w:val="hybridMultilevel"/>
    <w:lvl w:ilvl="0">
      <w:lvlJc w:val="left"/>
      <w:lvlText w:val="%1"/>
      <w:numFmt w:val="lowerRoman"/>
      <w:start w:val="1"/>
    </w:lvl>
    <w:lvl w:ilvl="1">
      <w:lvlJc w:val="left"/>
      <w:lvlText w:val="(%2)"/>
      <w:numFmt w:val="lowerLetter"/>
      <w:start w:val="1"/>
    </w:lvl>
  </w:abstractNum>
  <w:abstractNum w:abstractNumId="97">
    <w:nsid w:val="53584BCB"/>
    <w:multiLevelType w:val="hybridMultilevel"/>
    <w:lvl w:ilvl="0">
      <w:lvlJc w:val="left"/>
      <w:lvlText w:val="%1"/>
      <w:numFmt w:val="lowerRoman"/>
      <w:start w:val="1"/>
    </w:lvl>
    <w:lvl w:ilvl="1">
      <w:lvlJc w:val="left"/>
      <w:lvlText w:val="(%2)"/>
      <w:numFmt w:val="lowerLetter"/>
      <w:start w:val="9"/>
    </w:lvl>
  </w:abstractNum>
  <w:abstractNum w:abstractNumId="98">
    <w:nsid w:val="415E286C"/>
    <w:multiLevelType w:val="hybridMultilevel"/>
    <w:lvl w:ilvl="0">
      <w:lvlJc w:val="left"/>
      <w:lvlText w:val="%1"/>
      <w:numFmt w:val="lowerRoman"/>
      <w:start w:val="1"/>
    </w:lvl>
    <w:lvl w:ilvl="1">
      <w:lvlJc w:val="left"/>
      <w:lvlText w:val="(%2)"/>
      <w:numFmt w:val="lowerLetter"/>
      <w:start w:val="35"/>
    </w:lvl>
  </w:abstractNum>
  <w:abstractNum w:abstractNumId="99">
    <w:nsid w:val="7C58FD05"/>
    <w:multiLevelType w:val="hybridMultilevel"/>
    <w:lvl w:ilvl="0">
      <w:lvlJc w:val="left"/>
      <w:lvlText w:val="%1"/>
      <w:numFmt w:val="lowerRoman"/>
      <w:start w:val="1"/>
    </w:lvl>
    <w:lvl w:ilvl="1">
      <w:lvlJc w:val="left"/>
      <w:lvlText w:val="(%2)"/>
      <w:numFmt w:val="lowerLetter"/>
      <w:start w:val="61"/>
    </w:lvl>
  </w:abstractNum>
  <w:abstractNum w:abstractNumId="100">
    <w:nsid w:val="23D86AAC"/>
    <w:multiLevelType w:val="hybridMultilevel"/>
    <w:lvl w:ilvl="0">
      <w:lvlJc w:val="left"/>
      <w:lvlText w:val="(%1)"/>
      <w:numFmt w:val="lowerRoman"/>
      <w:start w:val="4"/>
    </w:lvl>
    <w:lvl w:ilvl="1">
      <w:lvlJc w:val="left"/>
      <w:lvlText w:val="%2"/>
      <w:numFmt w:val="lowerLetter"/>
      <w:start w:val="1"/>
    </w:lvl>
  </w:abstractNum>
  <w:abstractNum w:abstractNumId="101">
    <w:nsid w:val="45E6D486"/>
    <w:multiLevelType w:val="hybridMultilevel"/>
    <w:lvl w:ilvl="0">
      <w:lvlJc w:val="left"/>
      <w:lvlText w:val="(%1)"/>
      <w:numFmt w:val="lowerRoman"/>
      <w:start w:val="6"/>
    </w:lvl>
  </w:abstractNum>
  <w:abstractNum w:abstractNumId="102">
    <w:nsid w:val="5C10FE21"/>
    <w:multiLevelType w:val="hybridMultilevel"/>
    <w:lvl w:ilvl="0">
      <w:lvlJc w:val="left"/>
      <w:lvlText w:val="(%1)"/>
      <w:numFmt w:val="lowerLetter"/>
      <w:start w:val="1"/>
    </w:lvl>
  </w:abstractNum>
  <w:abstractNum w:abstractNumId="103">
    <w:nsid w:val="E7FFA2B"/>
    <w:multiLevelType w:val="hybridMultilevel"/>
    <w:lvl w:ilvl="0">
      <w:lvlJc w:val="left"/>
      <w:lvlText w:val="(%1)"/>
      <w:numFmt w:val="lowerLetter"/>
      <w:start w:val="2"/>
    </w:lvl>
  </w:abstractNum>
  <w:abstractNum w:abstractNumId="104">
    <w:nsid w:val="3C5991AA"/>
    <w:multiLevelType w:val="hybridMultilevel"/>
    <w:lvl w:ilvl="0">
      <w:lvlJc w:val="left"/>
      <w:lvlText w:val="(%1)"/>
      <w:numFmt w:val="lowerLetter"/>
      <w:start w:val="1"/>
    </w:lvl>
  </w:abstractNum>
  <w:abstractNum w:abstractNumId="105">
    <w:nsid w:val="4BD8591A"/>
    <w:multiLevelType w:val="hybridMultilevel"/>
    <w:lvl w:ilvl="0">
      <w:lvlJc w:val="left"/>
      <w:lvlText w:val="(%1)"/>
      <w:numFmt w:val="lowerLetter"/>
      <w:start w:val="1"/>
    </w:lvl>
  </w:abstractNum>
  <w:abstractNum w:abstractNumId="106">
    <w:nsid w:val="78DF6A55"/>
    <w:multiLevelType w:val="hybridMultilevel"/>
    <w:lvl w:ilvl="0">
      <w:lvlJc w:val="left"/>
      <w:lvlText w:val="(%1)"/>
      <w:numFmt w:val="lowerRoman"/>
      <w:start w:val="2"/>
    </w:lvl>
  </w:abstractNum>
  <w:abstractNum w:abstractNumId="107">
    <w:nsid w:val="39B7AAA2"/>
    <w:multiLevelType w:val="hybridMultilevel"/>
    <w:lvl w:ilvl="0">
      <w:lvlJc w:val="left"/>
      <w:lvlText w:val="(%1)"/>
      <w:numFmt w:val="lowerLetter"/>
      <w:start w:val="2"/>
    </w:lvl>
  </w:abstractNum>
  <w:abstractNum w:abstractNumId="108">
    <w:nsid w:val="2B0D8DBE"/>
    <w:multiLevelType w:val="hybridMultilevel"/>
    <w:lvl w:ilvl="0">
      <w:lvlJc w:val="left"/>
      <w:lvlText w:val="(%1)"/>
      <w:numFmt w:val="lowerLetter"/>
      <w:start w:val="2"/>
    </w:lvl>
  </w:abstractNum>
  <w:abstractNum w:abstractNumId="109">
    <w:nsid w:val="6C80EC70"/>
    <w:multiLevelType w:val="hybridMultilevel"/>
    <w:lvl w:ilvl="0">
      <w:lvlJc w:val="left"/>
      <w:lvlText w:val="%1."/>
      <w:numFmt w:val="decimal"/>
      <w:start w:val="1"/>
    </w:lvl>
  </w:abstractNum>
  <w:abstractNum w:abstractNumId="110">
    <w:nsid w:val="379E21B5"/>
    <w:multiLevelType w:val="hybridMultilevel"/>
    <w:lvl w:ilvl="0">
      <w:lvlJc w:val="left"/>
      <w:lvlText w:val="(%1)"/>
      <w:numFmt w:val="lowerLetter"/>
      <w:start w:val="1"/>
    </w:lvl>
  </w:abstractNum>
  <w:abstractNum w:abstractNumId="111">
    <w:nsid w:val="69E373"/>
    <w:multiLevelType w:val="hybridMultilevel"/>
    <w:lvl w:ilvl="0">
      <w:lvlJc w:val="left"/>
      <w:lvlText w:val="%1."/>
      <w:numFmt w:val="decimal"/>
      <w:start w:val="2"/>
    </w:lvl>
  </w:abstractNum>
  <w:abstractNum w:abstractNumId="112">
    <w:nsid w:val="2C27173B"/>
    <w:multiLevelType w:val="hybridMultilevel"/>
    <w:lvl w:ilvl="0">
      <w:lvlJc w:val="left"/>
      <w:lvlText w:val="(%1)"/>
      <w:numFmt w:val="lowerLetter"/>
      <w:start w:val="1"/>
    </w:lvl>
  </w:abstractNum>
  <w:abstractNum w:abstractNumId="113">
    <w:nsid w:val="4C9B0904"/>
    <w:multiLevelType w:val="hybridMultilevel"/>
    <w:lvl w:ilvl="0">
      <w:lvlJc w:val="left"/>
      <w:lvlText w:val="%1."/>
      <w:numFmt w:val="decimal"/>
      <w:start w:val="3"/>
    </w:lvl>
  </w:abstractNum>
  <w:abstractNum w:abstractNumId="114">
    <w:nsid w:val="6AA7B75C"/>
    <w:multiLevelType w:val="hybridMultilevel"/>
    <w:lvl w:ilvl="0">
      <w:lvlJc w:val="left"/>
      <w:lvlText w:val="%1."/>
      <w:numFmt w:val="decimal"/>
      <w:start w:val="4"/>
    </w:lvl>
  </w:abstractNum>
  <w:abstractNum w:abstractNumId="115">
    <w:nsid w:val="1DF029D3"/>
    <w:multiLevelType w:val="hybridMultilevel"/>
    <w:lvl w:ilvl="0">
      <w:lvlJc w:val="left"/>
      <w:lvlText w:val="(%1)"/>
      <w:numFmt w:val="lowerLetter"/>
      <w:start w:val="1"/>
    </w:lvl>
  </w:abstractNum>
  <w:abstractNum w:abstractNumId="116">
    <w:nsid w:val="5675FF36"/>
    <w:multiLevelType w:val="hybridMultilevel"/>
    <w:lvl w:ilvl="0">
      <w:lvlJc w:val="left"/>
      <w:lvlText w:val="%1."/>
      <w:numFmt w:val="decimal"/>
      <w:start w:val="5"/>
    </w:lvl>
  </w:abstractNum>
  <w:abstractNum w:abstractNumId="117">
    <w:nsid w:val="3DD15094"/>
    <w:multiLevelType w:val="hybridMultilevel"/>
    <w:lvl w:ilvl="0">
      <w:lvlJc w:val="left"/>
      <w:lvlText w:val="%1."/>
      <w:numFmt w:val="decimal"/>
      <w:start w:val="6"/>
    </w:lvl>
  </w:abstractNum>
  <w:abstractNum w:abstractNumId="118">
    <w:nsid w:val="3DB012B3"/>
    <w:multiLevelType w:val="hybridMultilevel"/>
    <w:lvl w:ilvl="0">
      <w:lvlJc w:val="left"/>
      <w:lvlText w:val="(%1)"/>
      <w:numFmt w:val="lowerRoman"/>
      <w:start w:val="1"/>
    </w:lvl>
  </w:abstractNum>
  <w:abstractNum w:abstractNumId="119">
    <w:nsid w:val="2708C9AF"/>
    <w:multiLevelType w:val="hybridMultilevel"/>
    <w:lvl w:ilvl="0">
      <w:lvlJc w:val="left"/>
      <w:lvlText w:val="%1."/>
      <w:numFmt w:val="decimal"/>
      <w:start w:val="7"/>
    </w:lvl>
  </w:abstractNum>
  <w:abstractNum w:abstractNumId="120">
    <w:nsid w:val="5B25ACE2"/>
    <w:multiLevelType w:val="hybridMultilevel"/>
    <w:lvl w:ilvl="0">
      <w:lvlJc w:val="left"/>
      <w:lvlText w:val="(%1)"/>
      <w:numFmt w:val="lowerLetter"/>
      <w:start w:val="1"/>
    </w:lvl>
  </w:abstractNum>
  <w:abstractNum w:abstractNumId="121">
    <w:nsid w:val="175DFCF0"/>
    <w:multiLevelType w:val="hybridMultilevel"/>
    <w:lvl w:ilvl="0">
      <w:lvlJc w:val="left"/>
      <w:lvlText w:val="%1."/>
      <w:numFmt w:val="decimal"/>
      <w:start w:val="8"/>
    </w:lvl>
  </w:abstractNum>
  <w:abstractNum w:abstractNumId="122">
    <w:nsid w:val="4F97E3E4"/>
    <w:multiLevelType w:val="hybridMultilevel"/>
    <w:lvl w:ilvl="0">
      <w:lvlJc w:val="left"/>
      <w:lvlText w:val="(%1)"/>
      <w:numFmt w:val="lowerLetter"/>
      <w:start w:val="1"/>
    </w:lvl>
  </w:abstractNum>
  <w:abstractNum w:abstractNumId="123">
    <w:nsid w:val="53B0A9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jpe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24" Type="http://schemas.openxmlformats.org/officeDocument/2006/relationships/hyperlink" Target="http://www.sec.gov/Archives/edgar/data/0001925309/000119312522183512/d260658dex32.htm" TargetMode="External"/><Relationship Id="rId125" Type="http://schemas.openxmlformats.org/officeDocument/2006/relationships/hyperlink" Target="http://www.sec.gov/Archives/edgar/data/0001925309/000119312522183512/d260658dex41.htm" TargetMode="External"/><Relationship Id="rId126" Type="http://schemas.openxmlformats.org/officeDocument/2006/relationships/hyperlink" Target="http://www.sec.gov/Archives/edgar/data/0001925309/000119312522183512/d260658dex101.htm" TargetMode="External"/><Relationship Id="rId127" Type="http://schemas.openxmlformats.org/officeDocument/2006/relationships/hyperlink" Target="http://www.sec.gov/Archives/edgar/data/0001925309/000119312522183512/d260658dex102.htm" TargetMode="External"/><Relationship Id="rId128" Type="http://schemas.openxmlformats.org/officeDocument/2006/relationships/hyperlink" Target="http://www.sec.gov/Archives/edgar/data/0001925309/000119312522183512/d260658dex103.htm" TargetMode="External"/><Relationship Id="rId129" Type="http://schemas.openxmlformats.org/officeDocument/2006/relationships/hyperlink" Target="http://www.sec.gov/Archives/edgar/data/0001925309/000119312522183512/d260658dex104.htm" TargetMode="External"/><Relationship Id="rId130" Type="http://schemas.openxmlformats.org/officeDocument/2006/relationships/hyperlink" Target="http://www.sec.gov/Archives/edgar/data/0001925309/000119312522183512/d260658dex105.htm" TargetMode="External"/><Relationship Id="rId131" Type="http://schemas.openxmlformats.org/officeDocument/2006/relationships/hyperlink" Target="http://www.sec.gov/Archives/edgar/data/0001925309/000119312522183512/d260658dex141.htm" TargetMode="External"/><Relationship Id="rId132" Type="http://schemas.openxmlformats.org/officeDocument/2006/relationships/hyperlink" Target="http://www.sec.gov/Archives/edgar/data/0001925309/000119312522183512/d260658dex1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2022-08-22T15:58:26Z</dcterms:created>
  <dcterms:modified xsi:type="dcterms:W3CDTF">2022-08-22T15:58:26Z</dcterms:modified>
</cp:coreProperties>
</file>