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814-01543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88-1710161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68" w:lineRule="exact"/>
        <w:rPr>
          <w:sz w:val="24"/>
          <w:szCs w:val="24"/>
          <w:color w:val="auto"/>
        </w:rPr>
      </w:pPr>
    </w:p>
    <w:p>
      <w:pPr>
        <w:sectPr>
          <w:pgSz w:w="11900" w:h="16838" w:orient="portrait"/>
          <w:cols w:equalWidth="0" w:num="2">
            <w:col w:w="7324" w:space="720"/>
            <w:col w:w="298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January 6, 2025, Sixth Street Lending Partners (the “Company”) entered into a purchase agreement (the “Purchase Agreement”) by and among the Company, Sixth Street Lending Partners Advisers, LLC (the “Adviser”) and BofA Securities, Inc., as representative of the several initial purchasers named in Schedule 1 thereto (the “Initial Purchasers”), in connection with the issuance and sale of $750.0 million aggregate principal amount of the Company’s 6.125% Notes due 2030 (the “Notes”) in a private offering to qualified institutional buyers in accordance with Rule 144A under the Securities Act of 1933, as amended (the “Securities Act”), and to non-U.S. persons in transactions outside the United States in reliance on Regulation S under the Securities Act.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Notes will be issued at 99.347% of their par value with a coupon at 6.125%. Interest on the Notes will be payable semi-annually on January 15 and July 15 of each year commencing on July 15, 2025. The Notes will mature on July 15, 2030. The offering is expected to close, subject to customary closing conditions, on January 13, 2025. The Purchase Agreement contains customary representations, warranties, conditions to closing, indemnification rights and obligations of the parties and termination provisions. Pursuant to the Purchase Agreement, on or prior to the closing of the offering, the Company will enter into a registration rights agreement with BofA Securities, Inc. with respect to the Notes.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offering of the Notes to pay down a portion of the outstanding indebtedness on its revolving credit facility and/or its subscription facility.</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Certain of the Initial Purchasers and their respective affiliates have engaged in, and may in the future engage in, investment banking, advisory roles and other commercial dealings in the ordinary course of business with the Company or its affiliates. They have received, or may in the future receive, customary fees and commissions for these transactions.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neither an offer to sell nor a solicitation of an offer to buy any securities of the Company or its subsidiaries.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filed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3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Purchase Agreement dated January 6, 2025, by and among Sixth Street Lending Partners, Sixth Street Lending Partners Advisers, LLC</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and BofA Securities, Inc., as representative of the several initial purchasers named therein.</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8-K – Sixth Street Lending Partners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93" w:right="459" w:bottom="1440" w:gutter="0" w:footer="0" w:header="0"/>
        </w:sectPr>
      </w:pPr>
    </w:p>
    <w:bookmarkStart w:id="3" w:name="page4"/>
    <w:bookmarkEnd w:id="3"/>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$750,000,000</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6.125%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Sixth Street Lending Partners, a Delaware statutory trust (the “Company”), proposes to issue and sell to the several Initial Purchasers listed in Schedule 1 hereto (the “Initial Purchasers”), for whom you are acting as representative (the “Representative”), $750,000,000 aggregate principal amount of 6.125% Notes due 2030 (the “Notes”).</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issued under an indenture dated March 11, 2024 (the “Base Indenture”), as supplemented by the Fourth Supplemental Indenture, to be dated as of January 13, 2025 (the “Fourth Supplemental Indenture”; the Base Indenture, as supplemented by the Fourth Supplemental Indenture, the “Indenture”) between the Company and U.S. Bank Trust Company, National Association, as trustee (the “Trustee”). The Notes will be issued in book-entry form to Cede &amp; Co. as nominee of the Depository Trust Company (“DTC”) pursuant to a blanket letter of representations, dated as of March 11, 2024, between the Company and DTC.</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Initial Purchasers propose to make an offering of the Notes as soon as the Representative deems advisable after this Agreement has been executed and delivered.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Initial Purchasers concerning the purchase and sale of the Notes, as follows:</w:t>
      </w:r>
    </w:p>
    <w:p>
      <w:pPr>
        <w:spacing w:after="0" w:line="117" w:lineRule="exact"/>
        <w:rPr>
          <w:sz w:val="20"/>
          <w:szCs w:val="20"/>
          <w:color w:val="auto"/>
        </w:rPr>
      </w:pPr>
    </w:p>
    <w:p>
      <w:pPr>
        <w:ind w:right="180" w:firstLine="436"/>
        <w:spacing w:after="0" w:line="258"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The Notes will be offered and sold to the Initial Purchasers without being registered under the Securities Act of 1933, as amended (the “Securities Act”), in reliance upon an exemption therefrom. The Company has prepared a preliminary offering memorandum, dated January 6, 2025 (the “Preliminary Offering Memorandum”) and will prepare an offering memorandum dated the date hereof (the “Offering Memorandum”) setting forth information concerning the Company and the Notes. Copies of the Preliminary Offering Memorandum have been, and copies of the Offering Memorandum will be,</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by the Company to the Initial Purchasers pursuant to the terms of this Agreement. The Company hereby confirms that it has authorized the use of the Preliminary Offering Memorandum, the Pricing Disclosure Package (as defined below) and the Offering Memorandum in connection with the offering and resale of the Notes by the Initial Purchasers in the manner contemplated by this Agreement. Capitalized terms used but not defined herein shall have the meanings given to such terms in the Offering Memorandum.</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 No. 814-01543) (the “Notification of Election”) was filed, pursuant to Section 54(a) of the Investment Company Act of 1940, as amended, and the rules and regulations of the Securities and Exchange Commission (the “Commission”) thereunder (collectively, the “Investment Company Act”) with the Commission on June 28, 2022.</w:t>
      </w:r>
    </w:p>
    <w:p>
      <w:pPr>
        <w:spacing w:after="0" w:line="180"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an Investment Advisory and Management Agreement, dated as of June 28, 2022 (the “Investment Management Agreement”), with Sixth Street Lending Partners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also entered into an Administration Agreement, dated as of June 28, 2022 (the “Administration Agreement”) with the Adviser.</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Offering Memorandum, which together with the information set forth on Schedule 2 hereto comprises the “Pricing Disclosure Package.”</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Any reference herein to the terms “Preliminary Offering Memorandum,” “Pricing Disclosure Package” and “Offering Memorandum” shall be deemed to refer to and include all documents incorporated by reference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3:15 P.M., New York City time, on January 6, 2025.</w:t>
      </w:r>
    </w:p>
    <w:p>
      <w:pPr>
        <w:spacing w:after="0" w:line="225"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Notes by the Initial Purchasers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Notes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aggregate principal amount of Notes set forth opposite such Initial Purchaser’s name in Schedule 1 hereto at the price (the “Purchase Price”) set forth in Schedule 1 hereto.</w:t>
      </w:r>
    </w:p>
    <w:p>
      <w:pPr>
        <w:spacing w:after="0" w:line="179"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Initial Purchasers intend to offer the Notes for resale on the terms set forth in the Pricing Disclosure Package and the Offering Memorandum, as in the judgment of the Representative is advisable. The Company acknowledges and agrees that the Initial Purchasers may offer and sell Notes to or through any affiliate of an Initial Purchaser.</w:t>
      </w:r>
    </w:p>
    <w:p>
      <w:pPr>
        <w:sectPr>
          <w:pgSz w:w="11900" w:h="16838" w:orient="portrait"/>
          <w:cols w:equalWidth="0" w:num="1">
            <w:col w:w="11020"/>
          </w:cols>
          <w:pgMar w:left="440" w:top="270" w:right="439" w:bottom="1440" w:gutter="0" w:footer="0" w:header="0"/>
        </w:sectPr>
      </w:pPr>
    </w:p>
    <w:bookmarkStart w:id="5" w:name="page6"/>
    <w:bookmarkEnd w:id="5"/>
    <w:p>
      <w:pPr>
        <w:ind w:right="60" w:firstLine="436"/>
        <w:spacing w:after="0" w:line="26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the Notes shall be made by wire transfer in immediately available funds to the account specified by the Company to the Representative, at the offices of Ropes &amp; Gray LLP, 1211 Avenue of the Americas, New York, NY 10036, at 10:00 A.M., New York City time, on January 13, 2025, or at such other time or place on the same or such other date, not later than the fifth business day thereafter, as the Representative and the Company may agree upon in writing. The time and date of such payment for the Notes is referred to herein as the “Closing Date.”</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Payment for the Notes shall be made against delivery to the Representative for the respective accounts of the several Initial Purchasers of the Notes to be purchased on such date with any transfer taxes payable in connection with the sale of such Notes duly paid by the Company. Delivery of the Notes shall be made through the facilities of DTC unless the Representative shall otherwise instruct.</w:t>
      </w:r>
    </w:p>
    <w:p>
      <w:pPr>
        <w:spacing w:after="0" w:line="176" w:lineRule="exact"/>
        <w:rPr>
          <w:sz w:val="20"/>
          <w:szCs w:val="20"/>
          <w:color w:val="auto"/>
        </w:rPr>
      </w:pPr>
    </w:p>
    <w:p>
      <w:pPr>
        <w:ind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Initial Purchasers are acting solely in the capacity of an arm’s-length contractual counterparty to the Company with respect to the offering of Notes contemplated hereby (including in connection with determining the terms of the offering) and not as a financial advisor or a fiduciary to, or an agent of, the Company or any other person. Additionally, neither the Representative nor any other Initial Purchaser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Initial Purchasers of the Company, the transactions contemplated hereby or other matters relating to such transactions will be performed solely for the benefit of the Initial Purchasers and shall not be on behalf of the Company.</w:t>
      </w:r>
    </w:p>
    <w:p>
      <w:pPr>
        <w:spacing w:after="0" w:line="189"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Initial Purchasers</w:t>
      </w:r>
      <w:r>
        <w:rPr>
          <w:rFonts w:ascii="Times New Roman" w:cs="Times New Roman" w:eastAsia="Times New Roman" w:hAnsi="Times New Roman"/>
          <w:sz w:val="18"/>
          <w:szCs w:val="18"/>
          <w:color w:val="auto"/>
        </w:rPr>
        <w:t>. The Company understands that the Initial Purchasers intend to offer the Notes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on the terms set forth in the Pricing Disclosure Package and the Offering Memorandum. Each Initial Purchaser, severally and not jointly, represents and warrants with the Company as of the date hereof, as of the Applicable Time, as of the Closing Date referred to in Section 2(c) hereof, as follows that:</w:t>
      </w:r>
    </w:p>
    <w:p>
      <w:pPr>
        <w:spacing w:after="0" w:line="7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0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institutional buyer (a “QIB”) within the meaning of Rule 144A under the Securities Act (“Rule 144A”) and an accredited investor within the meaning of Rule 501(a) under the Securities Act with such knowledge and experience in financial and business matters as are necessary to evaluate the merits and risks of an investment in the Notes;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9" w:lineRule="auto"/>
        <w:tabs>
          <w:tab w:leader="none" w:pos="112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it, nor any person acting on its behalf, has solicited offers for, or offered or sold, and neither it, nor any person acting on its behalf, will not solicit offers for, or offer or sell, the Notes by means of any form of general solicitation or general advertising within the meaning of Rule 502(c) of Regulation D or in any manner involving a public offering within the meaning of Section 4(a)(2) of the Securities Act; and</w:t>
      </w:r>
    </w:p>
    <w:p>
      <w:pPr>
        <w:sectPr>
          <w:pgSz w:w="11900" w:h="16838" w:orient="portrait"/>
          <w:cols w:equalWidth="0" w:num="1">
            <w:col w:w="10980"/>
          </w:cols>
          <w:pgMar w:left="440" w:top="270" w:right="479" w:bottom="1440" w:gutter="0" w:footer="0" w:header="0"/>
        </w:sectPr>
      </w:pPr>
    </w:p>
    <w:bookmarkStart w:id="6" w:name="page7"/>
    <w:bookmarkEnd w:id="6"/>
    <w:p>
      <w:pPr>
        <w:ind w:left="4" w:right="100" w:firstLine="419"/>
        <w:spacing w:after="0" w:line="261" w:lineRule="auto"/>
        <w:tabs>
          <w:tab w:leader="none" w:pos="7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has not solicited offers for, or offered or sold, and will not solicit offers for, or offer or sell, the Notes as part of their distribution of securities in connection with the Offering except to persons whom it reasonably believes to be QIBs in transactions pursuant to Rule 144A and in connection with each such sale, it has taken or will take reasonable steps to ensure that the purchaser of the Notes is aware that such sale is being made in reliance on Rule 144A.</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Initial Purchaser that:</w:t>
      </w:r>
    </w:p>
    <w:p>
      <w:pPr>
        <w:spacing w:after="0" w:line="115" w:lineRule="exact"/>
        <w:rPr>
          <w:sz w:val="20"/>
          <w:szCs w:val="20"/>
          <w:color w:val="auto"/>
        </w:rPr>
      </w:pPr>
    </w:p>
    <w:p>
      <w:pPr>
        <w:ind w:left="-436" w:right="80" w:firstLine="436"/>
        <w:spacing w:after="0" w:line="257"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Offering Memorandum. </w:t>
      </w:r>
      <w:r>
        <w:rPr>
          <w:rFonts w:ascii="Times New Roman" w:cs="Times New Roman" w:eastAsia="Times New Roman" w:hAnsi="Times New Roman"/>
          <w:sz w:val="18"/>
          <w:szCs w:val="18"/>
          <w:color w:val="auto"/>
        </w:rPr>
        <w:t>The Preliminary Offering Memorandum, as of its date, did not contain any untrue statement of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any Preliminary Offering Memorandum, it being understood and agreed that the only such information furnished by any Initial Purchaser consists of the information described as such in Section 8(b) hereof.</w:t>
      </w:r>
    </w:p>
    <w:p>
      <w:pPr>
        <w:spacing w:after="0" w:line="182" w:lineRule="exact"/>
        <w:rPr>
          <w:rFonts w:ascii="Times New Roman" w:cs="Times New Roman" w:eastAsia="Times New Roman" w:hAnsi="Times New Roman"/>
          <w:sz w:val="18"/>
          <w:szCs w:val="18"/>
          <w:color w:val="auto"/>
        </w:rPr>
      </w:pPr>
    </w:p>
    <w:p>
      <w:pPr>
        <w:ind w:left="-436" w:right="20" w:firstLine="436"/>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The Pricing Disclosure Package and any Marketing Materials (as defined below)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Applicable Time did not, and the Pricing Disclosure Package and any Marketing Materials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Offering Memorandum, the Pricing Disclosure Package or the Offering Memorandum;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such Pricing Disclosure Package or such Marketing Materials, it being understood and agreed that the only such information furnished by any Initial Purchaser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Notes.</w:t>
      </w:r>
    </w:p>
    <w:p>
      <w:pPr>
        <w:spacing w:after="0" w:line="191" w:lineRule="exact"/>
        <w:rPr>
          <w:rFonts w:ascii="Times New Roman" w:cs="Times New Roman" w:eastAsia="Times New Roman" w:hAnsi="Times New Roman"/>
          <w:sz w:val="18"/>
          <w:szCs w:val="18"/>
          <w:color w:val="auto"/>
        </w:rPr>
      </w:pPr>
    </w:p>
    <w:p>
      <w:pPr>
        <w:ind w:left="-436" w:firstLine="436"/>
        <w:spacing w:after="0" w:line="275" w:lineRule="auto"/>
        <w:tabs>
          <w:tab w:leader="none" w:pos="24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Offering Memorandum. </w:t>
      </w:r>
      <w:r>
        <w:rPr>
          <w:rFonts w:ascii="Times New Roman" w:cs="Times New Roman" w:eastAsia="Times New Roman" w:hAnsi="Times New Roman"/>
          <w:sz w:val="17"/>
          <w:szCs w:val="17"/>
          <w:color w:val="auto"/>
        </w:rPr>
        <w:t>The Offering Memorandum and any amendment or supplement thereto as of the Closing Date will not contain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the Offering Memorandum and any amendment or supplement thereto, it being understood and agreed that the only such information furnished by any Initial Purchaser consists of the information described as such in Section 8(b) hereof.</w:t>
      </w:r>
    </w:p>
    <w:p>
      <w:pPr>
        <w:sectPr>
          <w:pgSz w:w="11900" w:h="16838" w:orient="portrait"/>
          <w:cols w:equalWidth="0" w:num="1">
            <w:col w:w="10564"/>
          </w:cols>
          <w:pgMar w:left="876" w:top="270" w:right="459" w:bottom="1440" w:gutter="0" w:footer="0" w:header="0"/>
        </w:sectPr>
      </w:pPr>
    </w:p>
    <w:bookmarkStart w:id="7" w:name="page8"/>
    <w:bookmarkEnd w:id="7"/>
    <w:p>
      <w:pPr>
        <w:ind w:left="4" w:right="60" w:firstLine="436"/>
        <w:spacing w:after="0" w:line="284"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Emerging Growth Company</w:t>
      </w:r>
      <w:r>
        <w:rPr>
          <w:rFonts w:ascii="Times New Roman" w:cs="Times New Roman" w:eastAsia="Times New Roman" w:hAnsi="Times New Roman"/>
          <w:sz w:val="18"/>
          <w:szCs w:val="18"/>
          <w:color w:val="auto"/>
        </w:rPr>
        <w:t>. As of the date hereof and the Closing Date, as the case may be, the Company is an “emerging growth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2(a)(19) of the Securities Act (an “Emerging Growth Company”).</w:t>
      </w:r>
    </w:p>
    <w:p>
      <w:pPr>
        <w:spacing w:after="0" w:line="158"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incorporated by reference in the Pricing Disclosure Package and the Offering Memorandum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or incorporated by reference in the Pricing Disclosure Package and the Offering Memorandum present fairly in all material respects the information required to be stated therein; and any other financial information included or incorporated by reference in the Pricing Disclosure Package and the Offering Memorandum has been derived from the accounting records and other books and records of the Company and its consolidated subsidiaries and presents fairly in all material respects the information shown thereby.</w:t>
      </w:r>
    </w:p>
    <w:p>
      <w:pPr>
        <w:spacing w:after="0" w:line="188"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66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Except as disclosed in the Pricing Disclosure Package and the Offering Memorandum, since the date of the most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recent financial statements of the Company included or incorporated by reference in the Pricing Disclosure Package and the Offering Memorandum,</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2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w:t>
      </w:r>
    </w:p>
    <w:p>
      <w:pPr>
        <w:ind w:left="4" w:hanging="4"/>
        <w:spacing w:after="0" w:line="25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7"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w:t>
      </w:r>
    </w:p>
    <w:p>
      <w:pPr>
        <w:sectPr>
          <w:pgSz w:w="11900" w:h="16838" w:orient="portrait"/>
          <w:cols w:equalWidth="0" w:num="1">
            <w:col w:w="10984"/>
          </w:cols>
          <w:pgMar w:left="436" w:top="268" w:right="47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Notes, the Investment Management Agreement and the Administration Agreement (a “Material Adverse Effect”). The subsidiaries listed in Schedule 3 to this Agreement are the only subsidiaries of the Company.</w:t>
      </w:r>
    </w:p>
    <w:p>
      <w:pPr>
        <w:spacing w:after="0" w:line="185" w:lineRule="exact"/>
        <w:rPr>
          <w:sz w:val="20"/>
          <w:szCs w:val="20"/>
          <w:color w:val="auto"/>
        </w:rPr>
      </w:pPr>
    </w:p>
    <w:p>
      <w:pPr>
        <w:ind w:firstLine="436"/>
        <w:spacing w:after="0" w:line="253"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September 30, 2024, the Company had the authorized and outstanding capital stock and material indebtedness as set forth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Pricing Disclosure Package and the Offering Memorandum in “Capitalization” under the heading “Actual”;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Pricing Disclosure Package and the Offering Memorandum; and all the outstanding shares of capital stock or other equity interests of each subsidiary owned, directly or indirectly, by the Company have been duly authorized and validly issued, are fully paid and non-assessable (except as otherwise described in the Pricing Disclosure Package and the Offering Memorandum), and are owned directly or indirectly by the Company, free and clear of any lien, charge, encumbrance, security interest, restriction on voting or transfer or any other claim of any third party, except as described in the Pricing Disclosure Package and the Offering Memorandum.</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corporate power and authority to execute and deliver this Agreement, the Indenture and the Notes,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Notes and each of the Investment Management Agreement and the Administration Agreement, and the consummation by it of the transactions contemplated hereby and thereby has been duly and validly taken.</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This Agreement has been duly authorized, executed and delivered by the Company.</w:t>
      </w:r>
    </w:p>
    <w:p>
      <w:pPr>
        <w:sectPr>
          <w:pgSz w:w="11900" w:h="16838" w:orient="portrait"/>
          <w:cols w:equalWidth="0" w:num="1">
            <w:col w:w="11000"/>
          </w:cols>
          <w:pgMar w:left="440" w:top="270" w:right="459" w:bottom="1440" w:gutter="0" w:footer="0" w:header="0"/>
        </w:sectPr>
      </w:pPr>
    </w:p>
    <w:bookmarkStart w:id="9" w:name="page10"/>
    <w:bookmarkEnd w:id="9"/>
    <w:p>
      <w:pPr>
        <w:ind w:left="-436" w:right="40" w:firstLine="436"/>
        <w:spacing w:after="0" w:line="261"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 Management Agreement and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436" w:right="280" w:firstLine="436"/>
        <w:spacing w:after="0" w:line="267"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The Base Indenture has been duly authorized, executed and delivered by the Company and constitutes a valid and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3"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Supplemental Indenture</w:t>
      </w:r>
      <w:r>
        <w:rPr>
          <w:rFonts w:ascii="Times New Roman" w:cs="Times New Roman" w:eastAsia="Times New Roman" w:hAnsi="Times New Roman"/>
          <w:sz w:val="18"/>
          <w:szCs w:val="18"/>
          <w:color w:val="auto"/>
        </w:rPr>
        <w:t>. The Fourth Supplemental Indenture has been duly authorized, and, on the Closing Date, will be duly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436" w:right="20" w:firstLine="436"/>
        <w:spacing w:after="0" w:line="257"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Notes. </w:t>
      </w:r>
      <w:r>
        <w:rPr>
          <w:rFonts w:ascii="Times New Roman" w:cs="Times New Roman" w:eastAsia="Times New Roman" w:hAnsi="Times New Roman"/>
          <w:sz w:val="18"/>
          <w:szCs w:val="18"/>
          <w:color w:val="auto"/>
        </w:rPr>
        <w:t>The Notes to be issued and sold by the Company hereunder have been duly authorized and, on the Closing Date, will be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Notes and the Indenture conform in all material respects to the statements relating thereto contained in the Pricing Disclosure Package and the Offering Memorandum.</w:t>
      </w:r>
    </w:p>
    <w:p>
      <w:pPr>
        <w:spacing w:after="0" w:line="182" w:lineRule="exact"/>
        <w:rPr>
          <w:rFonts w:ascii="Times New Roman" w:cs="Times New Roman" w:eastAsia="Times New Roman" w:hAnsi="Times New Roman"/>
          <w:sz w:val="18"/>
          <w:szCs w:val="18"/>
          <w:color w:val="auto"/>
        </w:rPr>
      </w:pPr>
    </w:p>
    <w:p>
      <w:pPr>
        <w:ind w:left="-436" w:firstLine="436"/>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The Registration Rights Agreement to be dated as of the Closing Date (the “Registration Rights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be in the form attached hereto as Exhibit A, has been duly authorized, and as of the Closing Date, will have been duly executed and delivered by the Company, and, when duly executed and delivered in accordance with its terms by each of the other parties thereto, will constitute a valid and legally binding instrument, enforceable against the Company in accordance with its terms, subject, as to enforcement, to applicable bankruptcy, reorganization, insolvency, moratorium or other laws affecting creditors’ rights generally (including, without limitation, laws with respect to fraudulent conveyance) and to general principles of equity and public policy (regardless of whether enforcement is considered in a proceeding in equity or law) (collectively, the “Enforceability Exceptions”); and the Registration Rights Agreement will conform in all material respects to the descriptions thereof in the Pricing Disclosure Package and the Offering Memorandum.</w:t>
      </w:r>
    </w:p>
    <w:p>
      <w:pPr>
        <w:sectPr>
          <w:pgSz w:w="11900" w:h="16838" w:orient="portrait"/>
          <w:cols w:equalWidth="0" w:num="1">
            <w:col w:w="10544"/>
          </w:cols>
          <w:pgMar w:left="876" w:top="268" w:right="479" w:bottom="1440" w:gutter="0" w:footer="0" w:header="0"/>
        </w:sectPr>
      </w:pPr>
    </w:p>
    <w:bookmarkStart w:id="10" w:name="page11"/>
    <w:bookmarkEnd w:id="10"/>
    <w:p>
      <w:pPr>
        <w:ind w:left="-436" w:right="260" w:firstLine="436"/>
        <w:spacing w:after="0" w:line="258"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Offer. </w:t>
      </w:r>
      <w:r>
        <w:rPr>
          <w:rFonts w:ascii="Times New Roman" w:cs="Times New Roman" w:eastAsia="Times New Roman" w:hAnsi="Times New Roman"/>
          <w:sz w:val="18"/>
          <w:szCs w:val="18"/>
          <w:color w:val="auto"/>
        </w:rPr>
        <w:t>The 6.125% Notes due 2030 to be offered in exchange for the Notes pursuant to the Registration Rights Agreement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authorized by the Company and if and when issued and authenticated in accordance with the terms of the Indenture and delivered in accordance with the exchange offer provided for in the Registration Rights Agreement will be validly issued and delivered and will constitute valid and binding obligations of the Company entitled to the benefits of the Indenture, enforceable against the Company in accordance with their terms, subject, as to enforcement, to the Enforceability Exceptions, and will be entitled to the benefits provided by the Indenture.</w:t>
      </w:r>
    </w:p>
    <w:p>
      <w:pPr>
        <w:spacing w:after="0" w:line="183" w:lineRule="exact"/>
        <w:rPr>
          <w:rFonts w:ascii="Times New Roman" w:cs="Times New Roman" w:eastAsia="Times New Roman" w:hAnsi="Times New Roman"/>
          <w:sz w:val="18"/>
          <w:szCs w:val="18"/>
          <w:color w:val="auto"/>
        </w:rPr>
      </w:pPr>
    </w:p>
    <w:p>
      <w:pPr>
        <w:jc w:val="both"/>
        <w:ind w:left="-436" w:right="80" w:firstLine="436"/>
        <w:spacing w:after="0" w:line="258" w:lineRule="auto"/>
        <w:tabs>
          <w:tab w:leader="none" w:pos="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144A Eligibility</w:t>
      </w:r>
      <w:r>
        <w:rPr>
          <w:rFonts w:ascii="Times New Roman" w:cs="Times New Roman" w:eastAsia="Times New Roman" w:hAnsi="Times New Roman"/>
          <w:sz w:val="18"/>
          <w:szCs w:val="18"/>
          <w:color w:val="auto"/>
        </w:rPr>
        <w:t>. On the Closing Date, the Notes will not be of the same class as securities listed on a national exchange registered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6 of the Securities Exchange Act of 1934, as amended (the “Exchange Act”), or quoted in an automated inter-dealer quotation system; and each of the Pricing Disclosure Package, as of the Applicable Time, and the Offering Memorandum, as of its date, contains or will contain all the information that, if requested by a prospective purchaser of the Notes, would be required to be provided to such prospective purchaser pursuant to Rule 144A(d)(4) under the Securities Act.</w:t>
      </w:r>
    </w:p>
    <w:p>
      <w:pPr>
        <w:spacing w:after="0" w:line="183" w:lineRule="exact"/>
        <w:rPr>
          <w:rFonts w:ascii="Times New Roman" w:cs="Times New Roman" w:eastAsia="Times New Roman" w:hAnsi="Times New Roman"/>
          <w:sz w:val="18"/>
          <w:szCs w:val="18"/>
          <w:color w:val="auto"/>
        </w:rPr>
      </w:pPr>
    </w:p>
    <w:p>
      <w:pPr>
        <w:jc w:val="both"/>
        <w:ind w:left="-436" w:right="60" w:firstLine="436"/>
        <w:spacing w:after="0" w:line="290" w:lineRule="auto"/>
        <w:tabs>
          <w:tab w:leader="none" w:pos="23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Integration</w:t>
      </w:r>
      <w:r>
        <w:rPr>
          <w:rFonts w:ascii="Times New Roman" w:cs="Times New Roman" w:eastAsia="Times New Roman" w:hAnsi="Times New Roman"/>
          <w:sz w:val="17"/>
          <w:szCs w:val="17"/>
          <w:color w:val="auto"/>
        </w:rPr>
        <w:t>. Neither the Company nor any of its affiliates (as defined in Rule 501(b) of Regulation D under the Securities Act (“Regulation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55" w:lineRule="exact"/>
        <w:rPr>
          <w:rFonts w:ascii="Times New Roman" w:cs="Times New Roman" w:eastAsia="Times New Roman" w:hAnsi="Times New Roman"/>
          <w:sz w:val="17"/>
          <w:szCs w:val="17"/>
          <w:color w:val="auto"/>
        </w:rPr>
      </w:pPr>
    </w:p>
    <w:p>
      <w:pPr>
        <w:ind w:left="-436" w:right="40" w:firstLine="436"/>
        <w:spacing w:after="0" w:line="256"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General Solicitation; Written Communications</w:t>
      </w:r>
      <w:r>
        <w:rPr>
          <w:rFonts w:ascii="Times New Roman" w:cs="Times New Roman" w:eastAsia="Times New Roman" w:hAnsi="Times New Roman"/>
          <w:sz w:val="18"/>
          <w:szCs w:val="18"/>
          <w:color w:val="auto"/>
        </w:rPr>
        <w:t>. None of the Company or any of its affiliates or any other person acting on its or their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The Company (including its agents and representatives, other than the Initial Purchasers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Notes other than the Pricing Disclosure Package, the Offering Memorandum and the Marketing Materials.</w:t>
      </w:r>
    </w:p>
    <w:p>
      <w:pPr>
        <w:spacing w:after="0" w:line="182" w:lineRule="exact"/>
        <w:rPr>
          <w:rFonts w:ascii="Times New Roman" w:cs="Times New Roman" w:eastAsia="Times New Roman" w:hAnsi="Times New Roman"/>
          <w:sz w:val="18"/>
          <w:szCs w:val="18"/>
          <w:color w:val="auto"/>
        </w:rPr>
      </w:pPr>
    </w:p>
    <w:p>
      <w:pPr>
        <w:ind w:left="-436" w:firstLine="436"/>
        <w:spacing w:after="0" w:line="281"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Securities Law Exemptions</w:t>
      </w:r>
      <w:r>
        <w:rPr>
          <w:rFonts w:ascii="Times New Roman" w:cs="Times New Roman" w:eastAsia="Times New Roman" w:hAnsi="Times New Roman"/>
          <w:sz w:val="17"/>
          <w:szCs w:val="17"/>
          <w:color w:val="auto"/>
        </w:rPr>
        <w:t>. Assuming the accuracy of the representations and warranties of the Initial Purchasers contained in Section 2(e)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their compliance with their agreements set forth therein, it is not necessary, in connection with the issuance and sale of the Notes to the Initial Purchasers and the offer, resale and delivery of the Notes by the Initial Purchasers in the manner contemplated by this Agreement, the Pricing Disclosure Package and the Offering Memorandum, to register the Notes under the Securities Act or to qualify the Indenture under the Trust Indenture Act.</w:t>
      </w:r>
    </w:p>
    <w:p>
      <w:pPr>
        <w:spacing w:after="0" w:line="164" w:lineRule="exact"/>
        <w:rPr>
          <w:rFonts w:ascii="Times New Roman" w:cs="Times New Roman" w:eastAsia="Times New Roman" w:hAnsi="Times New Roman"/>
          <w:sz w:val="17"/>
          <w:szCs w:val="17"/>
          <w:color w:val="auto"/>
        </w:rPr>
      </w:pPr>
    </w:p>
    <w:p>
      <w:pPr>
        <w:ind w:left="-436" w:right="160" w:firstLine="436"/>
        <w:spacing w:after="0" w:line="267"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or incorporated by reference in the Pricing Disclosure Package and the Offering Memorandum.</w:t>
      </w:r>
    </w:p>
    <w:p>
      <w:pPr>
        <w:sectPr>
          <w:pgSz w:w="11900" w:h="16838" w:orient="portrait"/>
          <w:cols w:equalWidth="0" w:num="1">
            <w:col w:w="10564"/>
          </w:cols>
          <w:pgMar w:left="876" w:top="268" w:right="459" w:bottom="1440" w:gutter="0" w:footer="0" w:header="0"/>
        </w:sectPr>
      </w:pPr>
    </w:p>
    <w:bookmarkStart w:id="11" w:name="page12"/>
    <w:bookmarkEnd w:id="11"/>
    <w:p>
      <w:pPr>
        <w:ind w:left="-436" w:firstLine="436"/>
        <w:spacing w:after="0" w:line="255"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84" w:lineRule="exact"/>
        <w:rPr>
          <w:rFonts w:ascii="Times New Roman" w:cs="Times New Roman" w:eastAsia="Times New Roman" w:hAnsi="Times New Roman"/>
          <w:sz w:val="18"/>
          <w:szCs w:val="18"/>
          <w:color w:val="auto"/>
        </w:rPr>
      </w:pPr>
    </w:p>
    <w:p>
      <w:pPr>
        <w:ind w:left="-436" w:firstLine="436"/>
        <w:spacing w:after="0" w:line="253"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and the Indenture,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and the Indenture, the issuance and sale of the Notes and the consummation of the transactions contemplated by this Agreement and the Indenture or the performance by the Company of the Investment Management Agreement and the Administration Agreement, except for (i) such consents, approvals, authorizations, orders, licenses, registrations or qualifications as have already been obtained or made, (ii) such consents, approvals, authorizations, orders and registrations or qualifications as may be required under applicable state securities laws in connection with the purchase and distribution of the Notes by the Initial Purchasers and (iii) where the failure to obtain any such consent, approval, authorization, order, license, registration or qualification would not reasonably be expected, individually or in the aggregate, to have a Material Adverse Effect.</w:t>
      </w:r>
    </w:p>
    <w:p>
      <w:pPr>
        <w:sectPr>
          <w:pgSz w:w="11900" w:h="16838" w:orient="portrait"/>
          <w:cols w:equalWidth="0" w:num="1">
            <w:col w:w="10564"/>
          </w:cols>
          <w:pgMar w:left="876" w:top="268" w:right="459" w:bottom="1440" w:gutter="0" w:footer="0" w:header="0"/>
        </w:sectPr>
      </w:pPr>
    </w:p>
    <w:bookmarkStart w:id="12" w:name="page13"/>
    <w:bookmarkEnd w:id="12"/>
    <w:p>
      <w:pPr>
        <w:ind w:left="-436" w:firstLine="436"/>
        <w:spacing w:after="0" w:line="253"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Legal Proceedings. </w:t>
      </w:r>
      <w:r>
        <w:rPr>
          <w:rFonts w:ascii="Times New Roman" w:cs="Times New Roman" w:eastAsia="Times New Roman" w:hAnsi="Times New Roman"/>
          <w:sz w:val="18"/>
          <w:szCs w:val="18"/>
          <w:color w:val="auto"/>
        </w:rPr>
        <w:t>Except as described in the Pricing Disclosure Package and the Offering Memorandum, there are no legal,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and (ii) there are no contracts or other documents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90" w:lineRule="exact"/>
        <w:rPr>
          <w:sz w:val="20"/>
          <w:szCs w:val="20"/>
          <w:color w:val="auto"/>
        </w:rPr>
      </w:pPr>
    </w:p>
    <w:p>
      <w:pPr>
        <w:ind w:left="-436" w:right="20" w:firstLine="436"/>
        <w:spacing w:after="0" w:line="261"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436" w:right="20" w:firstLine="436"/>
        <w:spacing w:after="0" w:line="255" w:lineRule="auto"/>
        <w:tabs>
          <w:tab w:leader="none" w:pos="3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Offering Memorandum, assuming they are implemented as described, will comply in all material respects with the requirements of the Investment Company Act; and (C) as of the time of each sale of Notes and as of the Closing Date, the operations of the Company are in compliance in all material respects with the provisions of the Investment Company Act applicable to business development companies.</w:t>
      </w:r>
    </w:p>
    <w:p>
      <w:pPr>
        <w:spacing w:after="0" w:line="184" w:lineRule="exact"/>
        <w:rPr>
          <w:rFonts w:ascii="Times New Roman" w:cs="Times New Roman" w:eastAsia="Times New Roman" w:hAnsi="Times New Roman"/>
          <w:sz w:val="18"/>
          <w:szCs w:val="18"/>
          <w:color w:val="auto"/>
        </w:rPr>
      </w:pPr>
    </w:p>
    <w:p>
      <w:pPr>
        <w:ind w:left="-436" w:right="60" w:firstLine="436"/>
        <w:spacing w:after="0" w:line="267"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ectPr>
          <w:pgSz w:w="11900" w:h="16838" w:orient="portrait"/>
          <w:cols w:equalWidth="0" w:num="1">
            <w:col w:w="10564"/>
          </w:cols>
          <w:pgMar w:left="876" w:top="268" w:right="459" w:bottom="1440" w:gutter="0" w:footer="0" w:header="0"/>
        </w:sectPr>
      </w:pPr>
    </w:p>
    <w:bookmarkStart w:id="13" w:name="page14"/>
    <w:bookmarkEnd w:id="13"/>
    <w:p>
      <w:pPr>
        <w:ind w:left="4" w:right="40" w:firstLine="436"/>
        <w:spacing w:after="0" w:line="257" w:lineRule="auto"/>
        <w:tabs>
          <w:tab w:leader="none" w:pos="7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3(ee)) that are material to the business of the Company and its subsidiaries, in each case free and clear of all liens, encumbrances, claims and defects and imperfections of title except (i) as otherwise described in the Pricing Disclosure Package and the Offering Memorandum or (ii) those that do not materially interfere with the use made and proposed to be made of such property by the Company and its subsidiaries.</w:t>
      </w:r>
    </w:p>
    <w:p>
      <w:pPr>
        <w:spacing w:after="0" w:line="182"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Title to Intellectual Property</w:t>
      </w:r>
      <w:r>
        <w:rPr>
          <w:rFonts w:ascii="Times New Roman" w:cs="Times New Roman" w:eastAsia="Times New Roman" w:hAnsi="Times New Roman"/>
          <w:sz w:val="17"/>
          <w:szCs w:val="17"/>
          <w:color w:val="auto"/>
        </w:rPr>
        <w:t>. Except as would not reasonably be expected, individually or in the aggregate, to have a Material Adverse Effect,</w:t>
      </w:r>
    </w:p>
    <w:p>
      <w:pPr>
        <w:spacing w:after="0" w:line="40" w:lineRule="exact"/>
        <w:rPr>
          <w:rFonts w:ascii="Times New Roman" w:cs="Times New Roman" w:eastAsia="Times New Roman" w:hAnsi="Times New Roman"/>
          <w:sz w:val="17"/>
          <w:szCs w:val="17"/>
          <w:color w:val="auto"/>
        </w:rPr>
      </w:pPr>
    </w:p>
    <w:p>
      <w:pPr>
        <w:ind w:left="4" w:right="80" w:hanging="4"/>
        <w:spacing w:after="0" w:line="25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72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would be required to be described in the Pricing Disclosure Package or the Offering Memorandum if the offering of the Notes was pursuant to a registration under the Securities Act that is not so described in the Pricing Disclosure Package and the Offering Memorandum.</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Notes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Pricing Disclosure Package and the Offering Memorandum,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7"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Pricing Disclosure Package and the Offering Memorandum,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ectPr>
          <w:pgSz w:w="11900" w:h="16838" w:orient="portrait"/>
          <w:cols w:equalWidth="0" w:num="1">
            <w:col w:w="11004"/>
          </w:cols>
          <w:pgMar w:left="436" w:top="268" w:right="459" w:bottom="1440" w:gutter="0" w:footer="0" w:header="0"/>
        </w:sectPr>
      </w:pPr>
    </w:p>
    <w:bookmarkStart w:id="14" w:name="page15"/>
    <w:bookmarkEnd w:id="14"/>
    <w:p>
      <w:pPr>
        <w:ind w:left="-436" w:firstLine="436"/>
        <w:spacing w:after="0" w:line="254"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 Material Adverse Effect; and except as otherwise disclosed in the Pricing Disclosure Package and the Offering Memorandum,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7"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left="-436" w:right="40" w:firstLine="436"/>
        <w:spacing w:after="0" w:line="253" w:lineRule="auto"/>
        <w:tabs>
          <w:tab w:leader="none" w:pos="3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w:t>
      </w:r>
    </w:p>
    <w:p>
      <w:pPr>
        <w:sectPr>
          <w:pgSz w:w="11900" w:h="16838" w:orient="portrait"/>
          <w:cols w:equalWidth="0" w:num="1">
            <w:col w:w="10524"/>
          </w:cols>
          <w:pgMar w:left="876" w:top="268" w:right="499" w:bottom="1440" w:gutter="0" w:footer="0" w:header="0"/>
        </w:sectPr>
      </w:pPr>
    </w:p>
    <w:bookmarkStart w:id="15" w:name="page16"/>
    <w:bookmarkEnd w:id="15"/>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action is taken with respect to any differences. Except as otherwise disclosed in the Pricing Disclosure Package and the Offering Memorandum,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87" w:lineRule="exact"/>
        <w:rPr>
          <w:sz w:val="20"/>
          <w:szCs w:val="20"/>
          <w:color w:val="auto"/>
        </w:rPr>
      </w:pPr>
    </w:p>
    <w:p>
      <w:pPr>
        <w:ind w:left="4" w:right="140" w:firstLine="436"/>
        <w:spacing w:after="0" w:line="267" w:lineRule="auto"/>
        <w:tabs>
          <w:tab w:leader="none" w:pos="7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eXtensible Business Reporting Language. </w:t>
      </w:r>
      <w:r>
        <w:rPr>
          <w:rFonts w:ascii="Times New Roman" w:cs="Times New Roman" w:eastAsia="Times New Roman" w:hAnsi="Times New Roman"/>
          <w:sz w:val="18"/>
          <w:szCs w:val="18"/>
          <w:color w:val="auto"/>
        </w:rPr>
        <w:t>To the Company’s knowledge, the interactive data in eXtensible Business Reporting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Pricing Disclosure Package and the Offering Memorandum fairly presents the information called for in all material respects and has been prepared in accordance with the Commission’s rules and guidelines applicable thereto.</w:t>
      </w:r>
    </w:p>
    <w:p>
      <w:pPr>
        <w:spacing w:after="0" w:line="173" w:lineRule="exact"/>
        <w:rPr>
          <w:rFonts w:ascii="Times New Roman" w:cs="Times New Roman" w:eastAsia="Times New Roman" w:hAnsi="Times New Roman"/>
          <w:sz w:val="18"/>
          <w:szCs w:val="18"/>
          <w:color w:val="auto"/>
        </w:rPr>
      </w:pPr>
    </w:p>
    <w:p>
      <w:pPr>
        <w:ind w:left="4" w:right="140" w:firstLine="436"/>
        <w:spacing w:after="0" w:line="273" w:lineRule="auto"/>
        <w:tabs>
          <w:tab w:leader="none" w:pos="88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Insurance. </w:t>
      </w:r>
      <w:r>
        <w:rPr>
          <w:rFonts w:ascii="Times New Roman" w:cs="Times New Roman" w:eastAsia="Times New Roman" w:hAnsi="Times New Roman"/>
          <w:sz w:val="17"/>
          <w:szCs w:val="17"/>
          <w:color w:val="auto"/>
        </w:rPr>
        <w:t>The Company and its subsidiaries have insurance covering their respective properties, operations, personnel and businesses,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86"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7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3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ectPr>
          <w:pgSz w:w="11900" w:h="16838" w:orient="portrait"/>
          <w:cols w:equalWidth="0" w:num="1">
            <w:col w:w="10984"/>
          </w:cols>
          <w:pgMar w:left="436" w:top="270" w:right="479" w:bottom="1440" w:gutter="0" w:footer="0" w:header="0"/>
        </w:sectPr>
      </w:pPr>
    </w:p>
    <w:bookmarkStart w:id="16" w:name="page17"/>
    <w:bookmarkEnd w:id="16"/>
    <w:p>
      <w:pPr>
        <w:ind w:left="-436" w:firstLine="436"/>
        <w:spacing w:after="0" w:line="256"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82" w:lineRule="exact"/>
        <w:rPr>
          <w:rFonts w:ascii="Times New Roman" w:cs="Times New Roman" w:eastAsia="Times New Roman" w:hAnsi="Times New Roman"/>
          <w:sz w:val="18"/>
          <w:szCs w:val="18"/>
          <w:color w:val="auto"/>
        </w:rPr>
      </w:pPr>
    </w:p>
    <w:p>
      <w:pPr>
        <w:ind w:left="-436" w:firstLine="436"/>
        <w:spacing w:after="0" w:line="252"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Cuba, Iran, North Korea, Syria, and the occupied Donetsk, Luhansk, Crimea, Zaporizhzhia and Kerson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95" w:lineRule="exact"/>
        <w:rPr>
          <w:rFonts w:ascii="Times New Roman" w:cs="Times New Roman" w:eastAsia="Times New Roman" w:hAnsi="Times New Roman"/>
          <w:sz w:val="18"/>
          <w:szCs w:val="18"/>
          <w:color w:val="auto"/>
        </w:rPr>
      </w:pPr>
    </w:p>
    <w:p>
      <w:pPr>
        <w:ind w:left="-436" w:right="160" w:firstLine="436"/>
        <w:spacing w:after="0" w:line="258"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Pricing Disclosure Package and the Offering Memorandum.</w:t>
      </w:r>
    </w:p>
    <w:p>
      <w:pPr>
        <w:sectPr>
          <w:pgSz w:w="11900" w:h="16838" w:orient="portrait"/>
          <w:cols w:equalWidth="0" w:num="1">
            <w:col w:w="10564"/>
          </w:cols>
          <w:pgMar w:left="876" w:top="268" w:right="459" w:bottom="1440" w:gutter="0" w:footer="0" w:header="0"/>
        </w:sectPr>
      </w:pPr>
    </w:p>
    <w:bookmarkStart w:id="17" w:name="page18"/>
    <w:bookmarkEnd w:id="17"/>
    <w:p>
      <w:pPr>
        <w:ind w:left="-436" w:right="140" w:firstLine="436"/>
        <w:spacing w:after="0" w:line="267" w:lineRule="auto"/>
        <w:tabs>
          <w:tab w:leader="none" w:pos="2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Initial Purchaser for a brokerage commission, finder’s fee or like payment in connection with the offering and sale of the Notes.</w:t>
      </w:r>
    </w:p>
    <w:p>
      <w:pPr>
        <w:spacing w:after="0" w:line="173" w:lineRule="exact"/>
        <w:rPr>
          <w:rFonts w:ascii="Times New Roman" w:cs="Times New Roman" w:eastAsia="Times New Roman" w:hAnsi="Times New Roman"/>
          <w:sz w:val="18"/>
          <w:szCs w:val="18"/>
          <w:color w:val="auto"/>
        </w:rPr>
      </w:pPr>
    </w:p>
    <w:p>
      <w:pPr>
        <w:ind w:left="-436" w:right="20" w:firstLine="436"/>
        <w:spacing w:after="0" w:line="284" w:lineRule="auto"/>
        <w:tabs>
          <w:tab w:leader="none" w:pos="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has not taken, directly or indirectly, without giving effect to any activities by the Initial Purchasers,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Notes.</w:t>
      </w:r>
    </w:p>
    <w:p>
      <w:pPr>
        <w:spacing w:after="0" w:line="158" w:lineRule="exact"/>
        <w:rPr>
          <w:rFonts w:ascii="Times New Roman" w:cs="Times New Roman" w:eastAsia="Times New Roman" w:hAnsi="Times New Roman"/>
          <w:sz w:val="18"/>
          <w:szCs w:val="18"/>
          <w:color w:val="auto"/>
        </w:rPr>
      </w:pPr>
    </w:p>
    <w:p>
      <w:pPr>
        <w:ind w:left="-436" w:firstLine="436"/>
        <w:spacing w:after="0" w:line="267"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the Pricing Disclosure Package or the Offering Memorandum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left="-436" w:right="280" w:firstLine="436"/>
        <w:spacing w:after="0" w:line="267"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in the Pricing Disclosure Package and the Offering Memorandum is not based on or derived from sources that are reasonably reliable and accurate in all material respects.</w:t>
      </w:r>
    </w:p>
    <w:p>
      <w:pPr>
        <w:spacing w:after="0" w:line="173" w:lineRule="exact"/>
        <w:rPr>
          <w:rFonts w:ascii="Times New Roman" w:cs="Times New Roman" w:eastAsia="Times New Roman" w:hAnsi="Times New Roman"/>
          <w:sz w:val="18"/>
          <w:szCs w:val="18"/>
          <w:color w:val="auto"/>
        </w:rPr>
      </w:pPr>
    </w:p>
    <w:p>
      <w:pPr>
        <w:ind w:left="-436" w:firstLine="436"/>
        <w:spacing w:after="0" w:line="261"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67" w:lineRule="auto"/>
        <w:tabs>
          <w:tab w:leader="none" w:pos="4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73" w:lineRule="exact"/>
        <w:rPr>
          <w:rFonts w:ascii="Times New Roman" w:cs="Times New Roman" w:eastAsia="Times New Roman" w:hAnsi="Times New Roman"/>
          <w:sz w:val="18"/>
          <w:szCs w:val="18"/>
          <w:color w:val="auto"/>
        </w:rPr>
      </w:pPr>
    </w:p>
    <w:p>
      <w:pPr>
        <w:jc w:val="both"/>
        <w:ind w:left="-436" w:right="40" w:firstLine="436"/>
        <w:spacing w:after="0" w:line="261"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 manner so as to enable the Company to continue to qualify as a regulated investment company under Subchapter M of the Code. The Company intends to direct the investment of the proceeds of the offering of the Notes in such a manner as to comply with the requirements of Subchapter M of the Code.</w:t>
      </w:r>
    </w:p>
    <w:p>
      <w:pPr>
        <w:spacing w:after="0" w:line="179" w:lineRule="exact"/>
        <w:rPr>
          <w:rFonts w:ascii="Times New Roman" w:cs="Times New Roman" w:eastAsia="Times New Roman" w:hAnsi="Times New Roman"/>
          <w:sz w:val="18"/>
          <w:szCs w:val="18"/>
          <w:color w:val="auto"/>
        </w:rPr>
      </w:pPr>
    </w:p>
    <w:p>
      <w:pPr>
        <w:ind w:left="-436" w:right="60" w:firstLine="436"/>
        <w:spacing w:after="0" w:line="267"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w:t>
      </w:r>
      <w:r>
        <w:rPr>
          <w:rFonts w:ascii="Times New Roman" w:cs="Times New Roman" w:eastAsia="Times New Roman" w:hAnsi="Times New Roman"/>
          <w:sz w:val="18"/>
          <w:szCs w:val="18"/>
          <w:color w:val="auto"/>
        </w:rPr>
        <w:t>(A) To the Company’s knowledge, since the Company’s inception in 2022, there has been no material security breach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compromise of or relating to the Company’s or its subsidiaries’ information technology and computer systems, networks, hardware, software, data and databases (including the data and information of their respective</w:t>
      </w:r>
    </w:p>
    <w:p>
      <w:pPr>
        <w:sectPr>
          <w:pgSz w:w="11900" w:h="16838" w:orient="portrait"/>
          <w:cols w:equalWidth="0" w:num="1">
            <w:col w:w="10564"/>
          </w:cols>
          <w:pgMar w:left="876" w:top="268" w:right="459" w:bottom="1440" w:gutter="0" w:footer="0" w:header="0"/>
        </w:sectPr>
      </w:pPr>
    </w:p>
    <w:bookmarkStart w:id="18" w:name="page19"/>
    <w:bookmarkEnd w:id="18"/>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customers, employees, suppliers, vendors and any third party data maintained, processed or stored by the Company and its subsidiaries, and any such data processed or stored by third parties on behalf of the Company and its subsidiaries) (collectively, “IT Systems and Data”);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Initial Purchaser that:</w:t>
      </w:r>
    </w:p>
    <w:p>
      <w:pPr>
        <w:spacing w:after="0" w:line="115" w:lineRule="exact"/>
        <w:rPr>
          <w:sz w:val="20"/>
          <w:szCs w:val="20"/>
          <w:color w:val="auto"/>
        </w:rPr>
      </w:pPr>
    </w:p>
    <w:p>
      <w:pPr>
        <w:ind w:left="4" w:firstLine="436"/>
        <w:spacing w:after="0" w:line="277" w:lineRule="auto"/>
        <w:tabs>
          <w:tab w:leader="none" w:pos="68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Except as disclosed in the Pricing Disclosure Package and the Offering Memorandum, since the date of the most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recent financial statements of the Company included or incorporated by reference in the Pricing Disclosure Package and the Offering Memorandum,</w:t>
      </w:r>
    </w:p>
    <w:p>
      <w:pPr>
        <w:spacing w:after="0" w:line="1" w:lineRule="exact"/>
        <w:rPr>
          <w:rFonts w:ascii="Times New Roman" w:cs="Times New Roman" w:eastAsia="Times New Roman" w:hAnsi="Times New Roman"/>
          <w:sz w:val="17"/>
          <w:szCs w:val="17"/>
          <w:color w:val="auto"/>
        </w:rPr>
      </w:pPr>
    </w:p>
    <w:p>
      <w:pPr>
        <w:ind w:left="4" w:right="180" w:hanging="4"/>
        <w:spacing w:after="0" w:line="253"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4"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ectPr>
          <w:pgSz w:w="11900" w:h="16838" w:orient="portrait"/>
          <w:cols w:equalWidth="0" w:num="1">
            <w:col w:w="10984"/>
          </w:cols>
          <w:pgMar w:left="436" w:top="270" w:right="479" w:bottom="1440" w:gutter="0" w:footer="0" w:header="0"/>
        </w:sectPr>
      </w:pPr>
    </w:p>
    <w:bookmarkStart w:id="19" w:name="page20"/>
    <w:bookmarkEnd w:id="19"/>
    <w:p>
      <w:pPr>
        <w:ind w:right="60" w:firstLine="436"/>
        <w:spacing w:after="0" w:line="258"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Adviser is not prohibited by the Advisers Act or the Investment Company Act from acting under the Investment Management Agreement as an investment adviser to the Company, as contemplated by the Pricing Disclosure Package and the Offering Memorandum.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225" w:lineRule="exact"/>
        <w:rPr>
          <w:rFonts w:ascii="Times New Roman" w:cs="Times New Roman" w:eastAsia="Times New Roman" w:hAnsi="Times New Roman"/>
          <w:sz w:val="18"/>
          <w:szCs w:val="18"/>
          <w:color w:val="auto"/>
        </w:rPr>
      </w:pPr>
    </w:p>
    <w:p>
      <w:pPr>
        <w:ind w:right="320" w:firstLine="436"/>
        <w:spacing w:after="0" w:line="261"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ectPr>
          <w:pgSz w:w="11900" w:h="16838" w:orient="portrait"/>
          <w:cols w:equalWidth="0" w:num="1">
            <w:col w:w="11000"/>
          </w:cols>
          <w:pgMar w:left="440" w:top="268" w:right="459" w:bottom="1440" w:gutter="0" w:footer="0" w:header="0"/>
        </w:sectPr>
      </w:pPr>
    </w:p>
    <w:bookmarkStart w:id="20" w:name="page21"/>
    <w:bookmarkEnd w:id="20"/>
    <w:p>
      <w:pPr>
        <w:ind w:left="-436" w:firstLine="436"/>
        <w:spacing w:after="0" w:line="257"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82" w:lineRule="exact"/>
        <w:rPr>
          <w:rFonts w:ascii="Times New Roman" w:cs="Times New Roman" w:eastAsia="Times New Roman" w:hAnsi="Times New Roman"/>
          <w:sz w:val="18"/>
          <w:szCs w:val="18"/>
          <w:color w:val="auto"/>
        </w:rPr>
      </w:pPr>
    </w:p>
    <w:p>
      <w:pPr>
        <w:ind w:left="-436" w:firstLine="436"/>
        <w:spacing w:after="0" w:line="254"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Pricing Disclosure Package and the Offering Memorandum, there are no legal,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85" w:lineRule="exact"/>
        <w:rPr>
          <w:rFonts w:ascii="Times New Roman" w:cs="Times New Roman" w:eastAsia="Times New Roman" w:hAnsi="Times New Roman"/>
          <w:sz w:val="18"/>
          <w:szCs w:val="18"/>
          <w:color w:val="auto"/>
        </w:rPr>
      </w:pPr>
    </w:p>
    <w:p>
      <w:pPr>
        <w:ind w:left="-436" w:firstLine="436"/>
        <w:spacing w:after="0" w:line="254"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an Adviser Material Adverse Effect; and except as described in the Pricing Disclosure Package and the Offering Memorandum,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8" w:lineRule="exact"/>
        <w:rPr>
          <w:rFonts w:ascii="Times New Roman" w:cs="Times New Roman" w:eastAsia="Times New Roman" w:hAnsi="Times New Roman"/>
          <w:sz w:val="18"/>
          <w:szCs w:val="18"/>
          <w:color w:val="auto"/>
        </w:rPr>
      </w:pPr>
    </w:p>
    <w:p>
      <w:pPr>
        <w:jc w:val="both"/>
        <w:ind w:left="-436" w:right="20" w:firstLine="436"/>
        <w:spacing w:after="0" w:line="267"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Memorandum does not and will not contain an untrue statement of a material fact or omit to state a material fact required to be stated therein or necessary to make the statements therein, in the light of the circumstances under which they were made, not misleading.</w:t>
      </w:r>
    </w:p>
    <w:p>
      <w:pPr>
        <w:sectPr>
          <w:pgSz w:w="11900" w:h="16838" w:orient="portrait"/>
          <w:cols w:equalWidth="0" w:num="1">
            <w:col w:w="10564"/>
          </w:cols>
          <w:pgMar w:left="876" w:top="268" w:right="459" w:bottom="1440" w:gutter="0" w:footer="0" w:header="0"/>
        </w:sectPr>
      </w:pPr>
    </w:p>
    <w:bookmarkStart w:id="21" w:name="page22"/>
    <w:bookmarkEnd w:id="21"/>
    <w:p>
      <w:pPr>
        <w:ind w:left="4" w:right="20" w:firstLine="436"/>
        <w:spacing w:after="0" w:line="267" w:lineRule="auto"/>
        <w:tabs>
          <w:tab w:leader="none" w:pos="6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Offering Memorandum, and under this Agreement, the Investment Management Agreement and the Administration Agreement.</w:t>
      </w:r>
    </w:p>
    <w:p>
      <w:pPr>
        <w:spacing w:after="0" w:line="17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rFonts w:ascii="Times New Roman" w:cs="Times New Roman" w:eastAsia="Times New Roman" w:hAnsi="Times New Roman"/>
          <w:sz w:val="18"/>
          <w:szCs w:val="18"/>
          <w:color w:val="auto"/>
        </w:rPr>
      </w:pPr>
    </w:p>
    <w:p>
      <w:pPr>
        <w:ind w:left="4" w:right="40" w:hanging="4"/>
        <w:spacing w:after="0" w:line="250"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of the Company and its subsidiaries is permitted only in accordance with its management’s general or specific authorization; and</w:t>
      </w:r>
    </w:p>
    <w:p>
      <w:pPr>
        <w:spacing w:after="0" w:line="9" w:lineRule="exact"/>
        <w:rPr>
          <w:rFonts w:ascii="Times New Roman" w:cs="Times New Roman" w:eastAsia="Times New Roman" w:hAnsi="Times New Roman"/>
          <w:sz w:val="18"/>
          <w:szCs w:val="18"/>
          <w:color w:val="auto"/>
        </w:rPr>
      </w:pPr>
    </w:p>
    <w:p>
      <w:pPr>
        <w:ind w:left="4" w:right="340" w:hanging="4"/>
        <w:spacing w:after="0" w:line="260"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existing assets at reasonable intervals and appropriate action is taken with respect to any differences.</w:t>
      </w:r>
    </w:p>
    <w:p>
      <w:pPr>
        <w:spacing w:after="0" w:line="179"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100" w:hanging="4"/>
        <w:spacing w:after="0" w:line="253" w:lineRule="auto"/>
        <w:tabs>
          <w:tab w:leader="none" w:pos="3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86"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83" w:lineRule="exact"/>
        <w:rPr>
          <w:rFonts w:ascii="Times New Roman" w:cs="Times New Roman" w:eastAsia="Times New Roman" w:hAnsi="Times New Roman"/>
          <w:sz w:val="18"/>
          <w:szCs w:val="18"/>
          <w:color w:val="auto"/>
        </w:rPr>
      </w:pPr>
    </w:p>
    <w:p>
      <w:pPr>
        <w:ind w:left="4" w:firstLine="436"/>
        <w:spacing w:after="0" w:line="267"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w:t>
      </w:r>
    </w:p>
    <w:p>
      <w:pPr>
        <w:sectPr>
          <w:pgSz w:w="11900" w:h="16838" w:orient="portrait"/>
          <w:cols w:equalWidth="0" w:num="1">
            <w:col w:w="11004"/>
          </w:cols>
          <w:pgMar w:left="436" w:top="268" w:right="459" w:bottom="1440" w:gutter="0" w:footer="0" w:header="0"/>
        </w:sectPr>
      </w:pPr>
    </w:p>
    <w:bookmarkStart w:id="22" w:name="page23"/>
    <w:bookmarkEnd w:id="22"/>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74" w:lineRule="exact"/>
        <w:rPr>
          <w:sz w:val="20"/>
          <w:szCs w:val="20"/>
          <w:color w:val="auto"/>
        </w:rPr>
      </w:pPr>
    </w:p>
    <w:p>
      <w:pPr>
        <w:ind w:left="4" w:right="200" w:firstLine="436"/>
        <w:spacing w:after="0" w:line="284"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Adviser has not taken, directly or indirectly, without giving effect to any activities by the Initial Purchasers,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Notes.</w:t>
      </w:r>
    </w:p>
    <w:p>
      <w:pPr>
        <w:spacing w:after="0" w:line="158" w:lineRule="exact"/>
        <w:rPr>
          <w:rFonts w:ascii="Times New Roman" w:cs="Times New Roman" w:eastAsia="Times New Roman" w:hAnsi="Times New Roman"/>
          <w:sz w:val="18"/>
          <w:szCs w:val="18"/>
          <w:color w:val="auto"/>
        </w:rPr>
      </w:pPr>
    </w:p>
    <w:p>
      <w:pPr>
        <w:ind w:left="4" w:firstLine="436"/>
        <w:spacing w:after="0" w:line="267" w:lineRule="auto"/>
        <w:tabs>
          <w:tab w:leader="none" w:pos="66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Adviser nor any of its affiliates (as defined in Rule 501(b) of Regulation D) has, directly or through any agent,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7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General Solicitation</w:t>
      </w:r>
      <w:r>
        <w:rPr>
          <w:rFonts w:ascii="Times New Roman" w:cs="Times New Roman" w:eastAsia="Times New Roman" w:hAnsi="Times New Roman"/>
          <w:sz w:val="18"/>
          <w:szCs w:val="18"/>
          <w:color w:val="auto"/>
        </w:rPr>
        <w:t>. Neither the Adviser nor any of its affiliates or any other person acting on their behalf (other than the Initial</w:t>
      </w:r>
    </w:p>
    <w:p>
      <w:pPr>
        <w:spacing w:after="0" w:line="29" w:lineRule="exact"/>
        <w:rPr>
          <w:rFonts w:ascii="Times New Roman" w:cs="Times New Roman" w:eastAsia="Times New Roman" w:hAnsi="Times New Roman"/>
          <w:sz w:val="18"/>
          <w:szCs w:val="18"/>
          <w:color w:val="auto"/>
        </w:rPr>
      </w:pPr>
    </w:p>
    <w:p>
      <w:pPr>
        <w:ind w:left="4"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w:t>
      </w:r>
    </w:p>
    <w:p>
      <w:pPr>
        <w:ind w:left="264" w:hanging="264"/>
        <w:spacing w:after="0"/>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w:t>
      </w:r>
    </w:p>
    <w:p>
      <w:pPr>
        <w:spacing w:after="0" w:line="204"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Initial Purchaser that:</w:t>
      </w:r>
    </w:p>
    <w:p>
      <w:pPr>
        <w:spacing w:after="0" w:line="115" w:lineRule="exact"/>
        <w:rPr>
          <w:sz w:val="20"/>
          <w:szCs w:val="20"/>
          <w:color w:val="auto"/>
        </w:rPr>
      </w:pPr>
    </w:p>
    <w:p>
      <w:pPr>
        <w:ind w:left="4" w:right="480" w:firstLine="436"/>
        <w:spacing w:after="0" w:line="267"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has delivered to each Initial Purchaser, without charge, as many copies of the Preliminary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as such Initial Purchaser reasonably requested. The Company will furnish to each Initial Purchaser, without charge, such number of copies of the Offering Memorandum (as amended or supplemented) as such Initial Purchaser may reasonably request.</w:t>
      </w:r>
    </w:p>
    <w:p>
      <w:pPr>
        <w:spacing w:after="0" w:line="173" w:lineRule="exact"/>
        <w:rPr>
          <w:rFonts w:ascii="Times New Roman" w:cs="Times New Roman" w:eastAsia="Times New Roman" w:hAnsi="Times New Roman"/>
          <w:sz w:val="18"/>
          <w:szCs w:val="18"/>
          <w:color w:val="auto"/>
        </w:rPr>
      </w:pPr>
    </w:p>
    <w:p>
      <w:pPr>
        <w:jc w:val="both"/>
        <w:ind w:left="4" w:right="120" w:firstLine="436"/>
        <w:spacing w:after="0" w:line="261"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distributing any amendment or supplement to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or the Offering Memorandum, the Company will furnish to the Representative and counsel for the Initial Purchasers a copy of the proposed amendment or supplement for review and will not use, authorize, approve, refer to or distribute any such proposed amendment or supplement to which the Representative reasonably objects in a timely manner.</w:t>
      </w:r>
    </w:p>
    <w:p>
      <w:pPr>
        <w:sectPr>
          <w:pgSz w:w="11900" w:h="16838" w:orient="portrait"/>
          <w:cols w:equalWidth="0" w:num="1">
            <w:col w:w="11004"/>
          </w:cols>
          <w:pgMar w:left="436" w:top="270" w:right="459" w:bottom="1440" w:gutter="0" w:footer="0" w:header="0"/>
        </w:sectPr>
      </w:pPr>
    </w:p>
    <w:bookmarkStart w:id="23" w:name="page24"/>
    <w:bookmarkEnd w:id="23"/>
    <w:p>
      <w:pPr>
        <w:jc w:val="both"/>
        <w:ind w:left="-436" w:right="160" w:firstLine="436"/>
        <w:spacing w:after="0" w:line="267"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and counsel for the Initial Purchasers a copy of such materials for review and will not use, authorize, approve, refer to or distribute any such materials to which the Representative reasonably object in a timely manner.</w:t>
      </w:r>
    </w:p>
    <w:p>
      <w:pPr>
        <w:spacing w:after="0" w:line="173" w:lineRule="exact"/>
        <w:rPr>
          <w:rFonts w:ascii="Times New Roman" w:cs="Times New Roman" w:eastAsia="Times New Roman" w:hAnsi="Times New Roman"/>
          <w:sz w:val="18"/>
          <w:szCs w:val="18"/>
          <w:color w:val="auto"/>
        </w:rPr>
      </w:pPr>
    </w:p>
    <w:p>
      <w:pPr>
        <w:ind w:left="-436" w:right="40" w:firstLine="436"/>
        <w:spacing w:after="0" w:line="253"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of the issuance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or regulatory authority of any order preventing or suspending the use of the Pricing Disclosure Package, any Marketing Materials or the Offering Memorandum or the initiation or threatening of any proceeding for that purpose; (ii) of the occurrence of any event or development at any time prior to the completion of the offering of the Notes, as a result of which the Pricing Disclosure Package, any Marketing Materials or the Offering Memorandum, as then amended or supplemented, would include any untrue statement of a material fact or omit to state a material fact necessary in order to make the statements therein, in the light of the circumstances existing when the Pricing Disclosure Package, such Marketing Materials or the Offering Memorandum is delivered to a purchaser, not misleading; (iii) of the receipt of any oral or written comments from the Commission, whether or not related to the offering of the Notes; and (iv) of the receipt by the Company of any notice with respect to any suspension of the qualification of the Notes for offer and sale in any jurisdiction or the initiation or threatening of any proceeding for such purpose; and the Company will use commercially reasonable efforts to prevent the issuance of any such order preventing or suspending the use of any of the Pricing Disclosure Package, any Marketing Materials or the Offering Memorandum or suspending any such qualification of the Notes and, if any such order is issued, will use commercially reasonable efforts to obtain as soon as possible the withdrawal thereof.</w:t>
      </w:r>
    </w:p>
    <w:p>
      <w:pPr>
        <w:spacing w:after="0" w:line="18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at any time prior to the completion of the offering of the Notes (i) any event or development shall occur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and to such dealers as the Representative may designate such amendments or supplements to the Offering Memorandum as may be necessary so that the statements in the Offering Memorandum as so amended or supplemented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w:t>
      </w:r>
    </w:p>
    <w:p>
      <w:pPr>
        <w:sectPr>
          <w:pgSz w:w="11900" w:h="16838" w:orient="portrait"/>
          <w:cols w:equalWidth="0" w:num="1">
            <w:col w:w="10564"/>
          </w:cols>
          <w:pgMar w:left="876" w:top="268" w:right="459" w:bottom="1440" w:gutter="0" w:footer="0" w:header="0"/>
        </w:sectPr>
      </w:pPr>
    </w:p>
    <w:bookmarkStart w:id="24" w:name="page25"/>
    <w:bookmarkEnd w:id="2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not misleading or (ii) it is necessary to amend or supplement the Pricing Disclosure Package to comply with law, the Company will immediately notify the Initial Purchasers thereof and forthwith prepare and, subject to paragraph (b) above, furnish to the Initial Purchasers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81" w:lineRule="exact"/>
        <w:rPr>
          <w:sz w:val="20"/>
          <w:szCs w:val="20"/>
          <w:color w:val="auto"/>
        </w:rPr>
      </w:pPr>
    </w:p>
    <w:p>
      <w:pPr>
        <w:ind w:firstLine="436"/>
        <w:spacing w:after="0" w:line="261"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Supplying Information</w:t>
      </w:r>
      <w:r>
        <w:rPr>
          <w:rFonts w:ascii="Times New Roman" w:cs="Times New Roman" w:eastAsia="Times New Roman" w:hAnsi="Times New Roman"/>
          <w:sz w:val="18"/>
          <w:szCs w:val="18"/>
          <w:color w:val="auto"/>
        </w:rPr>
        <w:t>. While the Notes remain outstanding and are “restricted securities” within the meaning of Rule 144(a)(3)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the Company will, during any period in which the Company is not subject to and in compliance with Section 13 or 15(d) of the Exchange Act, furnish to holders of the Notes, prospective purchasers of the Securities designated by such holders and securities analysts, in each case upon request, the information required to be delivered pursuant to Rule 144A(d)(4) under the Securities Act.</w:t>
      </w:r>
    </w:p>
    <w:p>
      <w:pPr>
        <w:spacing w:after="0" w:line="179" w:lineRule="exact"/>
        <w:rPr>
          <w:rFonts w:ascii="Times New Roman" w:cs="Times New Roman" w:eastAsia="Times New Roman" w:hAnsi="Times New Roman"/>
          <w:sz w:val="18"/>
          <w:szCs w:val="18"/>
          <w:color w:val="auto"/>
        </w:rPr>
      </w:pPr>
    </w:p>
    <w:p>
      <w:pPr>
        <w:ind w:right="180" w:firstLine="436"/>
        <w:spacing w:after="0" w:line="267"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Company nor any of its affiliates (as defined in Rule 501(b) of Regulation D) will, directly or through any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offer for sale, solicit offers to buy or otherwise negotiate in respect of, any security (as defined in the Securities Act), that is or will be integrated with the sale of the Notes in a manner that would require registration of the Notes under the Securities Act.</w:t>
      </w:r>
    </w:p>
    <w:p>
      <w:pPr>
        <w:spacing w:after="0" w:line="173"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General Solicitation</w:t>
      </w:r>
      <w:r>
        <w:rPr>
          <w:rFonts w:ascii="Times New Roman" w:cs="Times New Roman" w:eastAsia="Times New Roman" w:hAnsi="Times New Roman"/>
          <w:sz w:val="18"/>
          <w:szCs w:val="18"/>
          <w:color w:val="auto"/>
        </w:rPr>
        <w:t>. None of the Company or any of its affiliates or any other person acting on its or their behalf (other than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as to which no covenant is given) will solicit offers for, or offer or sell, the Notes by means of any form of general solicitation or general advertising within the meaning of Rule 502(c) of Regulation D or in any manner involving a public offering within the meaning of Section 4(a)(2) of the Securities Act.</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Resales by the Company</w:t>
      </w:r>
      <w:r>
        <w:rPr>
          <w:rFonts w:ascii="Times New Roman" w:cs="Times New Roman" w:eastAsia="Times New Roman" w:hAnsi="Times New Roman"/>
          <w:sz w:val="18"/>
          <w:szCs w:val="18"/>
          <w:color w:val="auto"/>
        </w:rPr>
        <w:t>. During the period from the Closing Date until one year after the Closing Date, the Company will not,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any of its subsidiaries to, resell any of the Notes that constitute “restricted securities” under Rule 144 under the Securities Act that have been reacquired by any of them, except for Notes purchased by the Company or any of its subsidiaries and resold in a transaction registered under the Securities Act.</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 to qualify the Notes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and sale under the securities or Blue Sky laws of such jurisdictions as the Representative shall reasonably request and will continue such qualifications in effect so long as required for distribution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or (ii) file any general consent to service of process in any such jurisdiction.</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that satisfies the provisions of Section 11(a) of the Securities Act and Rule 158 of the Commission promulgated thereunder covering a period of at least twelve months beginning with the first fiscal quarter of the Company occurring after the date of the Offering Memorandum;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ectPr>
          <w:pgSz w:w="11900" w:h="16838" w:orient="portrait"/>
          <w:cols w:equalWidth="0" w:num="1">
            <w:col w:w="11000"/>
          </w:cols>
          <w:pgMar w:left="440" w:top="270" w:right="459" w:bottom="1440" w:gutter="0" w:footer="0" w:header="0"/>
        </w:sectPr>
      </w:pPr>
    </w:p>
    <w:bookmarkStart w:id="25" w:name="page26"/>
    <w:bookmarkEnd w:id="25"/>
    <w:p>
      <w:pPr>
        <w:ind w:left="-436" w:right="100" w:firstLine="436"/>
        <w:spacing w:after="0" w:line="273" w:lineRule="auto"/>
        <w:tabs>
          <w:tab w:leader="none" w:pos="21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Clear Market. </w:t>
      </w:r>
      <w:r>
        <w:rPr>
          <w:rFonts w:ascii="Times New Roman" w:cs="Times New Roman" w:eastAsia="Times New Roman" w:hAnsi="Times New Roman"/>
          <w:sz w:val="17"/>
          <w:szCs w:val="17"/>
          <w:color w:val="auto"/>
        </w:rPr>
        <w:t>Through the Closing Date, the Company will not (i) offer, pledge, sell, contract to sell, sell any option or contract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Initial Purchasers, other than the Notes to be sold hereunder for purposes of interest rate hedging.</w:t>
      </w:r>
    </w:p>
    <w:p>
      <w:pPr>
        <w:spacing w:after="0" w:line="171" w:lineRule="exact"/>
        <w:rPr>
          <w:rFonts w:ascii="Times New Roman" w:cs="Times New Roman" w:eastAsia="Times New Roman" w:hAnsi="Times New Roman"/>
          <w:sz w:val="17"/>
          <w:szCs w:val="17"/>
          <w:color w:val="auto"/>
        </w:rPr>
      </w:pPr>
    </w:p>
    <w:p>
      <w:pPr>
        <w:ind w:left="-436" w:right="440" w:firstLine="436"/>
        <w:spacing w:after="0" w:line="284" w:lineRule="auto"/>
        <w:tabs>
          <w:tab w:leader="none" w:pos="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Notes in all material respects as described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Offering Memorandum under the heading “Use of Proceeds”.</w:t>
      </w:r>
    </w:p>
    <w:p>
      <w:pPr>
        <w:spacing w:after="0" w:line="158"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Notes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they are available, copies of all reports or other communications (financial or other) furnished to holders of the Notes,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183" w:lineRule="exact"/>
        <w:rPr>
          <w:rFonts w:ascii="Times New Roman" w:cs="Times New Roman" w:eastAsia="Times New Roman" w:hAnsi="Times New Roman"/>
          <w:sz w:val="18"/>
          <w:szCs w:val="18"/>
          <w:color w:val="auto"/>
        </w:rPr>
      </w:pPr>
    </w:p>
    <w:p>
      <w:pPr>
        <w:ind w:left="-436" w:right="640" w:firstLine="436"/>
        <w:spacing w:after="0" w:line="284"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completion of the distribution of Notes within the meaning of the Securities Act.</w:t>
      </w:r>
    </w:p>
    <w:p>
      <w:pPr>
        <w:spacing w:after="0" w:line="158"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twelve months from the date of the Offering Memorandum, will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commercially 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9" w:lineRule="exact"/>
        <w:rPr>
          <w:rFonts w:ascii="Times New Roman" w:cs="Times New Roman" w:eastAsia="Times New Roman" w:hAnsi="Times New Roman"/>
          <w:sz w:val="18"/>
          <w:szCs w:val="18"/>
          <w:color w:val="auto"/>
        </w:rPr>
      </w:pPr>
    </w:p>
    <w:p>
      <w:pPr>
        <w:ind w:left="-436" w:firstLine="436"/>
        <w:spacing w:after="0" w:line="267"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a regulated investment company under Subchapter M of the Code for each taxable year during which it is a business development company under the Investment Company Act.</w:t>
      </w:r>
    </w:p>
    <w:p>
      <w:pPr>
        <w:sectPr>
          <w:pgSz w:w="11900" w:h="16838" w:orient="portrait"/>
          <w:cols w:equalWidth="0" w:num="1">
            <w:col w:w="10544"/>
          </w:cols>
          <w:pgMar w:left="876" w:top="268" w:right="479" w:bottom="1440" w:gutter="0" w:footer="0" w:header="0"/>
        </w:sectPr>
      </w:pPr>
    </w:p>
    <w:bookmarkStart w:id="26" w:name="page27"/>
    <w:bookmarkEnd w:id="26"/>
    <w:p>
      <w:pPr>
        <w:ind w:left="-436" w:firstLine="436"/>
        <w:spacing w:after="0" w:line="258" w:lineRule="auto"/>
        <w:tabs>
          <w:tab w:leader="none" w:pos="2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183" w:lineRule="exact"/>
        <w:rPr>
          <w:rFonts w:ascii="Times New Roman" w:cs="Times New Roman" w:eastAsia="Times New Roman" w:hAnsi="Times New Roman"/>
          <w:sz w:val="18"/>
          <w:szCs w:val="18"/>
          <w:color w:val="auto"/>
        </w:rPr>
      </w:pPr>
    </w:p>
    <w:p>
      <w:pPr>
        <w:ind w:left="-436" w:right="620" w:firstLine="436"/>
        <w:spacing w:after="0" w:line="284" w:lineRule="auto"/>
        <w:tabs>
          <w:tab w:leader="none" w:pos="2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of the Notes will bear, to the extent applicable, the legend contained in “Transfer Restrictions” in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Offering Memorandum for the time period and upon the other terms stated therein.</w:t>
      </w:r>
    </w:p>
    <w:p>
      <w:pPr>
        <w:spacing w:after="0" w:line="160" w:lineRule="exact"/>
        <w:rPr>
          <w:sz w:val="20"/>
          <w:szCs w:val="20"/>
          <w:color w:val="auto"/>
        </w:rPr>
      </w:pPr>
    </w:p>
    <w:p>
      <w:pPr>
        <w:ind w:left="-436" w:right="200" w:firstLine="436"/>
        <w:spacing w:after="0" w:line="258" w:lineRule="auto"/>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Initial Purchasers</w:t>
      </w:r>
      <w:r>
        <w:rPr>
          <w:rFonts w:ascii="Times New Roman" w:cs="Times New Roman" w:eastAsia="Times New Roman" w:hAnsi="Times New Roman"/>
          <w:sz w:val="18"/>
          <w:szCs w:val="18"/>
          <w:color w:val="auto"/>
        </w:rPr>
        <w:t>. Each Initial Purchaser hereby represents, warrants and agrees that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Notes, other than materials contained in the Pricing Disclosure Package, any Marketing Materials and the Offering Memorandum or any other offering materials prepared by or with the prior written consent of the Company.</w:t>
      </w:r>
    </w:p>
    <w:p>
      <w:pPr>
        <w:spacing w:after="0" w:line="183" w:lineRule="exact"/>
        <w:rPr>
          <w:rFonts w:ascii="Times New Roman" w:cs="Times New Roman" w:eastAsia="Times New Roman" w:hAnsi="Times New Roman"/>
          <w:sz w:val="18"/>
          <w:szCs w:val="18"/>
          <w:color w:val="auto"/>
        </w:rPr>
      </w:pPr>
    </w:p>
    <w:p>
      <w:pPr>
        <w:ind w:left="-436" w:right="260" w:firstLine="436"/>
        <w:spacing w:after="0" w:line="312" w:lineRule="auto"/>
        <w:tabs>
          <w:tab w:leader="none" w:pos="18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Initial Purchasers’ Obligations.</w:t>
      </w:r>
      <w:r>
        <w:rPr>
          <w:rFonts w:ascii="Times New Roman" w:cs="Times New Roman" w:eastAsia="Times New Roman" w:hAnsi="Times New Roman"/>
          <w:sz w:val="17"/>
          <w:szCs w:val="17"/>
          <w:color w:val="auto"/>
        </w:rPr>
        <w:t xml:space="preserve"> The obligation of each Initial Purchaser to purchase the Notes on the Closing Date as provided herein is subject to the performance by the Company of its covenants and other obligations hereunder and to the following additional conditions:</w:t>
      </w:r>
    </w:p>
    <w:p>
      <w:pPr>
        <w:spacing w:after="0" w:line="30" w:lineRule="exact"/>
        <w:rPr>
          <w:sz w:val="20"/>
          <w:szCs w:val="20"/>
          <w:color w:val="auto"/>
        </w:rPr>
      </w:pPr>
    </w:p>
    <w:p>
      <w:pPr>
        <w:ind w:left="-436" w:firstLine="436"/>
        <w:spacing w:after="0" w:line="267" w:lineRule="auto"/>
        <w:tabs>
          <w:tab w:leader="none" w:pos="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and the statements of the Company and its officers made in any certificates delivered pursuant to this Agreement shall be true and correct on and as of the Closing Date.</w:t>
      </w:r>
    </w:p>
    <w:p>
      <w:pPr>
        <w:spacing w:after="0" w:line="173" w:lineRule="exact"/>
        <w:rPr>
          <w:rFonts w:ascii="Times New Roman" w:cs="Times New Roman" w:eastAsia="Times New Roman" w:hAnsi="Times New Roman"/>
          <w:sz w:val="18"/>
          <w:szCs w:val="18"/>
          <w:color w:val="auto"/>
        </w:rPr>
      </w:pPr>
    </w:p>
    <w:p>
      <w:pPr>
        <w:ind w:left="-436" w:firstLine="436"/>
        <w:spacing w:after="0" w:line="258"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3(f) and Section 4(a) hereof shall have occurred 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which event or condition is not described in the Pricing Disclosure Package (excluding any amendment or supplement thereto) and the Offering Memorandum (excluding any amendment or supplement thereto) and the effect of which in the judgment of the Representative makes it impracticable or inadvisable to proceed with the offering, sale or delivery of the Notes on the Closing Date, on the terms and in the manner contemplated by this Agreement, the Pricing Disclosure Package and the Offering Memorandum.</w:t>
      </w:r>
    </w:p>
    <w:p>
      <w:pPr>
        <w:spacing w:after="0" w:line="183" w:lineRule="exact"/>
        <w:rPr>
          <w:rFonts w:ascii="Times New Roman" w:cs="Times New Roman" w:eastAsia="Times New Roman" w:hAnsi="Times New Roman"/>
          <w:sz w:val="18"/>
          <w:szCs w:val="18"/>
          <w:color w:val="auto"/>
        </w:rPr>
      </w:pPr>
    </w:p>
    <w:p>
      <w:pPr>
        <w:ind w:left="-436" w:firstLine="436"/>
        <w:spacing w:after="0" w:line="255" w:lineRule="auto"/>
        <w:tabs>
          <w:tab w:leader="none" w:pos="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Pricing Disclosure Package and the Offering Memorandum,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with respect to the Company and its subsidiaries, to the effect set forth in paragraph (b) above.</w:t>
      </w:r>
    </w:p>
    <w:p>
      <w:pPr>
        <w:sectPr>
          <w:pgSz w:w="11900" w:h="16838" w:orient="portrait"/>
          <w:cols w:equalWidth="0" w:num="1">
            <w:col w:w="10564"/>
          </w:cols>
          <w:pgMar w:left="876" w:top="268" w:right="459" w:bottom="1440" w:gutter="0" w:footer="0" w:header="0"/>
        </w:sectPr>
      </w:pPr>
    </w:p>
    <w:bookmarkStart w:id="27" w:name="page28"/>
    <w:bookmarkEnd w:id="27"/>
    <w:p>
      <w:pPr>
        <w:jc w:val="both"/>
        <w:ind w:left="4" w:right="120" w:firstLine="436"/>
        <w:spacing w:after="0" w:line="271" w:lineRule="auto"/>
        <w:tabs>
          <w:tab w:leader="none" w:pos="69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Adviser’s Officer’s Certificate. </w:t>
      </w:r>
      <w:r>
        <w:rPr>
          <w:rFonts w:ascii="Times New Roman" w:cs="Times New Roman" w:eastAsia="Times New Roman" w:hAnsi="Times New Roman"/>
          <w:sz w:val="17"/>
          <w:szCs w:val="17"/>
          <w:color w:val="auto"/>
        </w:rPr>
        <w:t>The Representative shall have received on and as of the Closing Date a certificate, which shall be delivered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Adviser and its subsidiaries, to the effect set forth in paragraph (b) above.</w:t>
      </w:r>
    </w:p>
    <w:p>
      <w:pPr>
        <w:spacing w:after="0" w:line="204"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68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KPMG LLP shall have furnished to the Representative, at the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letters, dated the respective dates of delivery thereof and addressed to the Initial Purchasers, in form and substance reasonably satisfactory to the Representative, containing statements and information of the type customarily included in accountants’ “comfort letters” to Initial Purchasers with respect to the financial statements and certain financial information contained in the Pricing Disclosure Package and the Offering Memorandum; provided, that the letter delivered on the Closing Date shall use a “cut-off” date no more than three business days prior to such Closing Date.</w:t>
      </w:r>
    </w:p>
    <w:p>
      <w:pPr>
        <w:spacing w:after="0" w:line="182" w:lineRule="exact"/>
        <w:rPr>
          <w:rFonts w:ascii="Times New Roman" w:cs="Times New Roman" w:eastAsia="Times New Roman" w:hAnsi="Times New Roman"/>
          <w:sz w:val="18"/>
          <w:szCs w:val="18"/>
          <w:color w:val="auto"/>
        </w:rPr>
      </w:pPr>
    </w:p>
    <w:p>
      <w:pPr>
        <w:ind w:left="4" w:firstLine="436"/>
        <w:spacing w:after="0" w:line="256"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and Adviser. </w:t>
      </w:r>
      <w:r>
        <w:rPr>
          <w:rFonts w:ascii="Times New Roman" w:cs="Times New Roman" w:eastAsia="Times New Roman" w:hAnsi="Times New Roman"/>
          <w:sz w:val="18"/>
          <w:szCs w:val="18"/>
          <w:color w:val="auto"/>
        </w:rPr>
        <w:t>Simpson, Thacher &amp; Bartlett LLP,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shall have furnished to the Representative, at the request of the Company and the Adviser, their written opinions and 10b-5 letter, dated the Closing Date and addressed to the Initial Purchasers,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Initial Purchasers, in form and substance reasonably satisfactory to the Representative. In-house counsel to the Company and the Adviser, shall have furnished to the Representative, its written opinion, dated the Closing Date and addressed to the Initial Purchasers, in form and substance reasonably satisfactory to the Representative.</w:t>
      </w:r>
    </w:p>
    <w:p>
      <w:pPr>
        <w:spacing w:after="0" w:line="182" w:lineRule="exact"/>
        <w:rPr>
          <w:rFonts w:ascii="Times New Roman" w:cs="Times New Roman" w:eastAsia="Times New Roman" w:hAnsi="Times New Roman"/>
          <w:sz w:val="18"/>
          <w:szCs w:val="18"/>
          <w:color w:val="auto"/>
        </w:rPr>
      </w:pPr>
    </w:p>
    <w:p>
      <w:pPr>
        <w:ind w:left="4" w:firstLine="436"/>
        <w:spacing w:after="0" w:line="290" w:lineRule="auto"/>
        <w:tabs>
          <w:tab w:leader="none" w:pos="6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and 10b-5 Statement of Counsel for the Initial Purchasers. </w:t>
      </w:r>
      <w:r>
        <w:rPr>
          <w:rFonts w:ascii="Times New Roman" w:cs="Times New Roman" w:eastAsia="Times New Roman" w:hAnsi="Times New Roman"/>
          <w:sz w:val="17"/>
          <w:szCs w:val="17"/>
          <w:color w:val="auto"/>
        </w:rPr>
        <w:t>The Representative shall have received on and as of the Closing Date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opinion and 10b-5 statement of Ropes &amp; Gray LLP, counsel for the Initial Purchasers, with respect to such matters as the Representative may reasonably request, and such counsel shall have received such documents and information as they may reasonably request to enable them to pass upon such matters.</w:t>
      </w:r>
    </w:p>
    <w:p>
      <w:pPr>
        <w:spacing w:after="0" w:line="155" w:lineRule="exact"/>
        <w:rPr>
          <w:rFonts w:ascii="Times New Roman" w:cs="Times New Roman" w:eastAsia="Times New Roman" w:hAnsi="Times New Roman"/>
          <w:sz w:val="17"/>
          <w:szCs w:val="17"/>
          <w:color w:val="auto"/>
        </w:rPr>
      </w:pPr>
    </w:p>
    <w:p>
      <w:pPr>
        <w:jc w:val="both"/>
        <w:ind w:left="4" w:right="60" w:firstLine="436"/>
        <w:spacing w:after="0" w:line="261" w:lineRule="auto"/>
        <w:tabs>
          <w:tab w:leader="none" w:pos="6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or sale of the Notes; and no injunction or order of any federal, state or foreign court shall have been issued that would, as of the Closing Date, prevent the issuance or sale of the Notes.</w:t>
      </w:r>
    </w:p>
    <w:p>
      <w:pPr>
        <w:sectPr>
          <w:pgSz w:w="11900" w:h="16838" w:orient="portrait"/>
          <w:cols w:equalWidth="0" w:num="1">
            <w:col w:w="11004"/>
          </w:cols>
          <w:pgMar w:left="436" w:top="268" w:right="459" w:bottom="1440" w:gutter="0" w:footer="0" w:header="0"/>
        </w:sectPr>
      </w:pPr>
    </w:p>
    <w:bookmarkStart w:id="28" w:name="page29"/>
    <w:bookmarkEnd w:id="28"/>
    <w:p>
      <w:pPr>
        <w:jc w:val="both"/>
        <w:ind w:right="20" w:firstLine="436"/>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179" w:lineRule="exact"/>
        <w:rPr>
          <w:rFonts w:ascii="Times New Roman" w:cs="Times New Roman" w:eastAsia="Times New Roman" w:hAnsi="Times New Roman"/>
          <w:sz w:val="18"/>
          <w:szCs w:val="18"/>
          <w:color w:val="auto"/>
        </w:rPr>
      </w:pPr>
    </w:p>
    <w:p>
      <w:pPr>
        <w:ind w:firstLine="436"/>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Supplemental Indenture and Notes</w:t>
      </w:r>
      <w:r>
        <w:rPr>
          <w:rFonts w:ascii="Times New Roman" w:cs="Times New Roman" w:eastAsia="Times New Roman" w:hAnsi="Times New Roman"/>
          <w:sz w:val="18"/>
          <w:szCs w:val="18"/>
          <w:color w:val="auto"/>
        </w:rPr>
        <w:t>. On or prior to the Closing Date, the Company and the Trustee shall have executed and delivered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Fourth Supplemental Indenture and the Notes.</w:t>
      </w:r>
    </w:p>
    <w:p>
      <w:pPr>
        <w:spacing w:after="0" w:line="158" w:lineRule="exact"/>
        <w:rPr>
          <w:rFonts w:ascii="Times New Roman" w:cs="Times New Roman" w:eastAsia="Times New Roman" w:hAnsi="Times New Roman"/>
          <w:sz w:val="18"/>
          <w:szCs w:val="18"/>
          <w:color w:val="auto"/>
        </w:rPr>
      </w:pPr>
    </w:p>
    <w:p>
      <w:pPr>
        <w:ind w:right="360" w:firstLine="436"/>
        <w:spacing w:after="0" w:line="284"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On or prior to the Closing Date the Initial Purchasers shall have received a counterpart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Agreement that shall have been executed and delivered by a duly authorized officer of the Company.</w:t>
      </w:r>
    </w:p>
    <w:p>
      <w:pPr>
        <w:spacing w:after="0" w:line="158" w:lineRule="exact"/>
        <w:rPr>
          <w:rFonts w:ascii="Times New Roman" w:cs="Times New Roman" w:eastAsia="Times New Roman" w:hAnsi="Times New Roman"/>
          <w:sz w:val="18"/>
          <w:szCs w:val="18"/>
          <w:color w:val="auto"/>
        </w:rPr>
      </w:pPr>
    </w:p>
    <w:p>
      <w:pPr>
        <w:ind w:right="20" w:firstLine="436"/>
        <w:spacing w:after="0" w:line="25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182" w:lineRule="exact"/>
        <w:rPr>
          <w:rFonts w:ascii="Times New Roman" w:cs="Times New Roman" w:eastAsia="Times New Roman" w:hAnsi="Times New Roman"/>
          <w:sz w:val="18"/>
          <w:szCs w:val="18"/>
          <w:color w:val="auto"/>
        </w:rPr>
      </w:pPr>
    </w:p>
    <w:p>
      <w:pPr>
        <w:ind w:right="160" w:firstLine="436"/>
        <w:spacing w:after="0" w:line="284" w:lineRule="auto"/>
        <w:tabs>
          <w:tab w:leader="none" w:pos="7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160"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162" w:lineRule="exact"/>
        <w:rPr>
          <w:sz w:val="20"/>
          <w:szCs w:val="20"/>
          <w:color w:val="auto"/>
        </w:rPr>
      </w:pPr>
    </w:p>
    <w:p>
      <w:pPr>
        <w:ind w:left="620" w:hanging="184"/>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436"/>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Initial Purchasers. </w:t>
      </w:r>
      <w:r>
        <w:rPr>
          <w:rFonts w:ascii="Times New Roman" w:cs="Times New Roman" w:eastAsia="Times New Roman" w:hAnsi="Times New Roman"/>
          <w:sz w:val="18"/>
          <w:szCs w:val="18"/>
          <w:color w:val="auto"/>
        </w:rPr>
        <w:t>The Company agrees to indemnify and hold harmless each Initial Purchaser, its affiliates,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and each person, if any, who controls such Initial Purchaser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any untrue statement or alleged untrue statement of a material fact contained in the Offering Memorandum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w:t>
      </w:r>
    </w:p>
    <w:p>
      <w:pPr>
        <w:sectPr>
          <w:pgSz w:w="11900" w:h="16838" w:orient="portrait"/>
          <w:cols w:equalWidth="0" w:num="1">
            <w:col w:w="10960"/>
          </w:cols>
          <w:pgMar w:left="440" w:top="268" w:right="499" w:bottom="1440" w:gutter="0" w:footer="0" w:header="0"/>
        </w:sectPr>
      </w:pPr>
    </w:p>
    <w:bookmarkStart w:id="29" w:name="page30"/>
    <w:bookmarkEnd w:id="29"/>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 expressly for use therein, it being understood and agreed that the only such information furnished by any Initial Purchaser consists of the information described as such in subsection (b) below.</w:t>
      </w:r>
    </w:p>
    <w:p>
      <w:pPr>
        <w:spacing w:after="0" w:line="181" w:lineRule="exact"/>
        <w:rPr>
          <w:sz w:val="20"/>
          <w:szCs w:val="20"/>
          <w:color w:val="auto"/>
        </w:rPr>
      </w:pPr>
    </w:p>
    <w:p>
      <w:pPr>
        <w:ind w:firstLine="436"/>
        <w:spacing w:after="0" w:line="253"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Initial Purchaser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 expressly for use in the Offering Memorandum (or any amendment or supplement thereto), any road show, any Marketing Materials or any Pricing Disclosure Package (including any Pricing Disclosure Package that has subsequently been amended), it being understood and agreed upon that the only such information furnished by any Initial Purchaser consists of the following information in the Offering Memorandum furnished on behalf of each Initial Purchaser: the marketing names of the Initial Purchasers set forth on such front and back cover pages; the legal names of the Initial Purchasers set forth in the table under the caption “Plan of Distribution;” and, under the caption “Plan of Distribution,” the information in the first sentence of the fourth paragraph and the information regarding stabilizing transactions contained in the first and second sentences of the eleventh paragraph, the first sentence of the twelfth paragraph and the fourth sentence of the thirteenth paragraph.</w:t>
      </w:r>
    </w:p>
    <w:p>
      <w:pPr>
        <w:spacing w:after="0" w:line="189" w:lineRule="exact"/>
        <w:rPr>
          <w:rFonts w:ascii="Times New Roman" w:cs="Times New Roman" w:eastAsia="Times New Roman" w:hAnsi="Times New Roman"/>
          <w:sz w:val="18"/>
          <w:szCs w:val="18"/>
          <w:color w:val="auto"/>
        </w:rPr>
      </w:pPr>
    </w:p>
    <w:p>
      <w:pPr>
        <w:ind w:right="40" w:firstLine="436"/>
        <w:spacing w:after="0" w:line="253"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w:t>
      </w:r>
    </w:p>
    <w:p>
      <w:pPr>
        <w:sectPr>
          <w:pgSz w:w="11900" w:h="16838" w:orient="portrait"/>
          <w:cols w:equalWidth="0" w:num="1">
            <w:col w:w="11000"/>
          </w:cols>
          <w:pgMar w:left="440" w:top="270" w:right="4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Initial Purchaser, its affiliates, directors and officers and any control persons of such Initial Purchaser shall be designated in writing by the Representative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86" w:lineRule="exact"/>
        <w:rPr>
          <w:sz w:val="20"/>
          <w:szCs w:val="20"/>
          <w:color w:val="auto"/>
        </w:rPr>
      </w:pPr>
    </w:p>
    <w:p>
      <w:pPr>
        <w:ind w:right="60" w:firstLine="436"/>
        <w:spacing w:after="0" w:line="254"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Notes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w:t>
      </w:r>
    </w:p>
    <w:p>
      <w:pPr>
        <w:sectPr>
          <w:pgSz w:w="11900" w:h="16838" w:orient="portrait"/>
          <w:cols w:equalWidth="0" w:num="1">
            <w:col w:w="10980"/>
          </w:cols>
          <w:pgMar w:left="440" w:top="270" w:right="479" w:bottom="1440" w:gutter="0" w:footer="0" w:header="0"/>
        </w:sectPr>
      </w:pPr>
    </w:p>
    <w:bookmarkStart w:id="31" w:name="page32"/>
    <w:bookmarkEnd w:id="31"/>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respective proportions as the net proceeds (before deducting expenses) received by the Company from the sale of the Notes and the total related discounts and commissions received by the Initial Purchasers in connection therewith, in each case as set forth in the table on the cover of the Offering Memorandum, bear to the aggregate offering price of the Notes.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90" w:lineRule="exact"/>
        <w:rPr>
          <w:sz w:val="20"/>
          <w:szCs w:val="20"/>
          <w:color w:val="auto"/>
        </w:rPr>
      </w:pPr>
    </w:p>
    <w:p>
      <w:pPr>
        <w:ind w:right="60" w:firstLine="436"/>
        <w:spacing w:after="0" w:line="253"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Initial Purchasers agree that it would not be just and equitable if contribution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Initial Purchaser be required to contribute any amount in excess of the amount by which the total related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paragraphs (d) and (e) of this Section 8 are several in proportion to their respective purchase obligations hereunder and not joint.</w:t>
      </w:r>
    </w:p>
    <w:p>
      <w:pPr>
        <w:spacing w:after="0" w:line="189" w:lineRule="exact"/>
        <w:rPr>
          <w:rFonts w:ascii="Times New Roman" w:cs="Times New Roman" w:eastAsia="Times New Roman" w:hAnsi="Times New Roman"/>
          <w:sz w:val="18"/>
          <w:szCs w:val="18"/>
          <w:color w:val="auto"/>
        </w:rPr>
      </w:pPr>
    </w:p>
    <w:p>
      <w:pPr>
        <w:ind w:firstLine="436"/>
        <w:spacing w:after="0" w:line="284"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160" w:lineRule="exact"/>
        <w:rPr>
          <w:sz w:val="20"/>
          <w:szCs w:val="20"/>
          <w:color w:val="auto"/>
        </w:rPr>
      </w:pPr>
    </w:p>
    <w:p>
      <w:pPr>
        <w:ind w:left="620" w:hanging="184"/>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Notes on the Closing Date, on the terms and in the manner contemplated by this Agreement, the Pricing Disclosure Package and the Offering Memorandum.</w:t>
      </w:r>
    </w:p>
    <w:p>
      <w:pPr>
        <w:sectPr>
          <w:pgSz w:w="11900" w:h="16838" w:orient="portrait"/>
          <w:cols w:equalWidth="0" w:num="1">
            <w:col w:w="10960"/>
          </w:cols>
          <w:pgMar w:left="440" w:top="270" w:right="499" w:bottom="1440" w:gutter="0" w:footer="0" w:header="0"/>
        </w:sectPr>
      </w:pPr>
    </w:p>
    <w:bookmarkStart w:id="32" w:name="page33"/>
    <w:bookmarkEnd w:id="32"/>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Initial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Initial Purchaser defaults on its obligation to purchase the Notes that it has agreed to purchase hereunder on such date, the non-defaulting Initial Purchasers may in their discretion arrange for the purchase of such Notes by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reasonably satisfactory to the non-defaulting Initial Purchasers to purchase such Notes on such terms. If other persons become obligated or agree to purchase the Notes of a defaulting Initial Purchaser, either the non-defaulting Initial Purchasers or the Company may postpone the Closing Date for up to five full business days in order to effect any changes that in the opinion of counsel for the Company or counsel for the Initial Purchasers may be necessary in the Offering Memorandum or in any other document or arrangement, and the Company agrees to promptly prepare any amendment or supplement to the Offering Memorandum that effects any such changes. As used in this Agreement, the term “Initial Purchaser” includes, for all purposes of this Agreement unless the context otherwise requires, any person not listed in Schedule 1 hereto that, pursuant to this Section 11, purchases Notes that a defaulting Initial Purchaser agreed but failed to purchase.</w:t>
      </w:r>
    </w:p>
    <w:p>
      <w:pPr>
        <w:spacing w:after="0" w:line="21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Initial Purchaser or Initial Purchasers by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non-defaulting Initial Purchasers and the Company as provided in paragraph (a) above, the aggregate principal amount of Notes that remain unpurchased on the Closing Date does not exceed one-eleventh of the aggregate principal amount of Notes to be purchased on such date, then the Company shall have the right to require each non-defaulting Initial Purchaser to purchase the aggregate principal amount of Notes that such Initial Purchaser agreed to purchase hereunder on such date plus such Initial Purchaser’s pro rata share (based on the aggregate principal amount of Notes that such Initial Purchaser agreed to purchase on such date) of the Notes of such defaulting Initial Purchaser or Initial Purchasers for which such arrangements have not been made.</w:t>
      </w:r>
    </w:p>
    <w:p>
      <w:pPr>
        <w:spacing w:after="0" w:line="190" w:lineRule="exact"/>
        <w:rPr>
          <w:sz w:val="20"/>
          <w:szCs w:val="20"/>
          <w:color w:val="auto"/>
        </w:rPr>
      </w:pPr>
    </w:p>
    <w:p>
      <w:pPr>
        <w:ind w:right="20" w:firstLine="436"/>
        <w:spacing w:after="0" w:line="255"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exceeds one-eleventh of the aggregate principal amount of Notes to be purchased on such date, or if the Company shall not exercise the right described in paragraph (b) above, then this Agreement shall terminate without liability on the part of the non-defaulting Initial Purchasers.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ectPr>
          <w:pgSz w:w="11900" w:h="16838" w:orient="portrait"/>
          <w:cols w:equalWidth="0" w:num="1">
            <w:col w:w="10960"/>
          </w:cols>
          <w:pgMar w:left="440" w:top="270" w:right="499" w:bottom="1440" w:gutter="0" w:footer="0" w:header="0"/>
        </w:sectPr>
      </w:pPr>
    </w:p>
    <w:bookmarkStart w:id="33" w:name="page34"/>
    <w:bookmarkEnd w:id="33"/>
    <w:p>
      <w:pPr>
        <w:ind w:right="140" w:firstLine="436"/>
        <w:spacing w:after="0" w:line="282"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relieve a defaulting Initial Purchaser of any liability it may have to the Company or any non-defaulting Initial Purchaser for damages caused by its default.</w:t>
      </w:r>
    </w:p>
    <w:p>
      <w:pPr>
        <w:spacing w:after="0" w:line="160" w:lineRule="exact"/>
        <w:rPr>
          <w:sz w:val="20"/>
          <w:szCs w:val="20"/>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firstLine="436"/>
        <w:spacing w:after="0" w:line="253"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Notes and any stamp, issuance, transfer or other similar taxes arising solely in connection with the transaction; (ii) the costs incident to the preparation and printing of the Preliminary Offering Memorandum, any Pricing Disclosure Package, any Marketing Materials and the Offering Memorandum (including all amendments and supplements thereto) and the distribution thereof; (iii) the fees and expenses of the Company’s counsel and independent accountants; (iv) the reasonable and documented fees and expenses incurred in connection with the registration or qualification of the Notes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Initial Purchasers); (v) all expenses incurred by the Company in connection with any “road show” presentation to potential investors; and (vi) the fees and expenses of the Trustee with respect to the Notes. It is, however, understood that except as provided in this Section 12 or in Section 8 of this Agreement, the Initial Purchasers shall pay all of their own costs and expenses, including, without limitation, the fees and disbursements of their counsel, any advertising expenses connected with any offers they make.</w:t>
      </w:r>
    </w:p>
    <w:p>
      <w:pPr>
        <w:spacing w:after="0" w:line="18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10 (other than as a result of a termination pursuant to clauses (i), (iii) or (iv)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10), (ii) the Company for any reason fails to tender the Notes for delivery to the Initial Purchasers (other than as a result of a termination pursuant to Section 11 or clauses (i), (iii) or (iv) of Section 10 or the default by one or more of the Initial Purchasers in its or their respective obligations hereunder) or (iii) the Initial Purchasers decline to purchase the Notes for any reason permitted under this Agreement, the Company agrees to reimburse the Initial Purchasers for all out-of-pocket costs and expenses (including the reasonable and documented fees and expenses of their counsel) reasonably incurred by the Initial Purchasers in connection with this Agreement and the offering contemplated hereby.</w:t>
      </w:r>
    </w:p>
    <w:p>
      <w:pPr>
        <w:spacing w:after="0" w:line="187" w:lineRule="exact"/>
        <w:rPr>
          <w:sz w:val="20"/>
          <w:szCs w:val="20"/>
          <w:color w:val="auto"/>
        </w:rPr>
      </w:pPr>
    </w:p>
    <w:p>
      <w:pPr>
        <w:ind w:firstLine="436"/>
        <w:spacing w:after="0" w:line="261"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Notes from any Initial Purchaser shall be deemed to be a successor merely by reason of such purchase.</w:t>
      </w:r>
    </w:p>
    <w:p>
      <w:pPr>
        <w:sectPr>
          <w:pgSz w:w="11900" w:h="16838" w:orient="portrait"/>
          <w:cols w:equalWidth="0" w:num="1">
            <w:col w:w="10960"/>
          </w:cols>
          <w:pgMar w:left="440" w:top="270" w:right="499" w:bottom="1440" w:gutter="0" w:footer="0" w:header="0"/>
        </w:sectPr>
      </w:pPr>
    </w:p>
    <w:bookmarkStart w:id="34" w:name="page35"/>
    <w:bookmarkEnd w:id="34"/>
    <w:p>
      <w:pPr>
        <w:ind w:left="4" w:firstLine="436"/>
        <w:spacing w:after="0" w:line="261" w:lineRule="auto"/>
        <w:tabs>
          <w:tab w:leader="none" w:pos="7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Initial Purchasers contained in this Agreement or made by or on behalf of the Company, the Adviser or the Initial Purchasers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Adviser or the Initial Purchasers.</w:t>
      </w:r>
    </w:p>
    <w:p>
      <w:pPr>
        <w:spacing w:after="0" w:line="179"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7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p>
    <w:p>
      <w:pPr>
        <w:spacing w:after="0" w:line="225" w:lineRule="exact"/>
        <w:rPr>
          <w:sz w:val="20"/>
          <w:szCs w:val="20"/>
          <w:color w:val="auto"/>
        </w:rPr>
      </w:pPr>
    </w:p>
    <w:p>
      <w:pPr>
        <w:ind w:left="4" w:right="20" w:firstLine="436"/>
        <w:spacing w:after="0" w:line="261"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 that is a Covered Entity or a BHC Act Affiliate of such Initial Purchaser becomes subject to a proceeding under a U.S. Special Resolution Regime, Default Rights under this Agreement that may be exercised against such Initial Purchaser r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rFonts w:ascii="Times New Roman" w:cs="Times New Roman" w:eastAsia="Times New Roman" w:hAnsi="Times New Roman"/>
          <w:sz w:val="18"/>
          <w:szCs w:val="18"/>
          <w:color w:val="auto"/>
        </w:rPr>
      </w:pPr>
    </w:p>
    <w:p>
      <w:pPr>
        <w:ind w:left="4" w:right="120" w:hanging="4"/>
        <w:spacing w:after="0" w:line="260"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1004"/>
          </w:cols>
          <w:pgMar w:left="436" w:top="270" w:right="459" w:bottom="1440" w:gutter="0" w:footer="0" w:header="0"/>
        </w:sectPr>
      </w:pPr>
    </w:p>
    <w:bookmarkStart w:id="35" w:name="page36"/>
    <w:bookmarkEnd w:id="35"/>
    <w:p>
      <w:pPr>
        <w:ind w:left="700" w:hanging="264"/>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40" w:firstLine="436"/>
        <w:spacing w:after="0" w:line="256"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Initial Purchasers shall be given to the Representative c/o BofA Securities, Inc., 114 W 47th St., NY8-114-07-01, New York, New York 10036, Facsimile: (646) 855-5958, Attention: High Grade Transaction Management/Legal; and a copy, which shall not constitute notice, to Ropes &amp; Gray LLP, 1211 Avenue of the Americas, New York, NY 10036, Attention: Paul Tropp, Esq. Notices to the Company or the Adviser shall be given to either of them at Sixth Street Lending Partners, 345 California Street, Suite 3300, San Francisco, California 94104 (fax: (415) 486-5929), Attention: Joshua Peck; and a copy, which shall not constitute notice, to Simpson Thacher &amp; Bartlett LLP, 900 G Street NW, Washington, DC 20001, Attention: Steven Grigoriou, Esq.</w:t>
      </w:r>
    </w:p>
    <w:p>
      <w:pPr>
        <w:spacing w:after="0" w:line="182" w:lineRule="exact"/>
        <w:rPr>
          <w:rFonts w:ascii="Times New Roman" w:cs="Times New Roman" w:eastAsia="Times New Roman" w:hAnsi="Times New Roman"/>
          <w:sz w:val="18"/>
          <w:szCs w:val="18"/>
          <w:color w:val="auto"/>
        </w:rPr>
      </w:pPr>
    </w:p>
    <w:p>
      <w:pPr>
        <w:jc w:val="both"/>
        <w:ind w:right="40" w:firstLine="436"/>
        <w:spacing w:after="0" w:line="267"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Purchasers are required to obtain, verify and record information that identifies their clients, which may include the name and address of their clients, as well as other information that will allow the Initial Purchasers to properly identify their clients.</w:t>
      </w:r>
    </w:p>
    <w:p>
      <w:pPr>
        <w:spacing w:after="0" w:line="173" w:lineRule="exact"/>
        <w:rPr>
          <w:rFonts w:ascii="Times New Roman" w:cs="Times New Roman" w:eastAsia="Times New Roman" w:hAnsi="Times New Roman"/>
          <w:sz w:val="18"/>
          <w:szCs w:val="18"/>
          <w:color w:val="auto"/>
        </w:rPr>
      </w:pPr>
    </w:p>
    <w:p>
      <w:pPr>
        <w:ind w:right="240" w:firstLine="436"/>
        <w:spacing w:after="0" w:line="284"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158" w:lineRule="exact"/>
        <w:rPr>
          <w:rFonts w:ascii="Times New Roman" w:cs="Times New Roman" w:eastAsia="Times New Roman" w:hAnsi="Times New Roman"/>
          <w:sz w:val="18"/>
          <w:szCs w:val="18"/>
          <w:color w:val="auto"/>
        </w:rPr>
      </w:pPr>
    </w:p>
    <w:p>
      <w:pPr>
        <w:jc w:val="both"/>
        <w:ind w:right="20" w:firstLine="436"/>
        <w:spacing w:after="0" w:line="258"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one or more counterparts, each of which shall constitute an original and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right="720" w:firstLine="436"/>
        <w:spacing w:after="0" w:line="284"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right="220" w:firstLine="436"/>
        <w:spacing w:after="0" w:line="284" w:lineRule="auto"/>
        <w:tabs>
          <w:tab w:leader="none" w:pos="6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jc w:val="both"/>
        <w:ind w:firstLine="436"/>
        <w:spacing w:after="0" w:line="267"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 </w:t>
      </w:r>
      <w:r>
        <w:rPr>
          <w:rFonts w:ascii="Times New Roman" w:cs="Times New Roman" w:eastAsia="Times New Roman" w:hAnsi="Times New Roman"/>
          <w:sz w:val="18"/>
          <w:szCs w:val="18"/>
          <w:color w:val="auto"/>
        </w:rPr>
        <w:t>The Representative is duly authorized to act hereunder on behalf of the other Initial Purchasers. Any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Purchasers hereunder may be taken by the Representative on behalf of the Initial Purchasers, and any such action taken by the Representative shall be binding on all the Initial Purchasers.</w:t>
      </w:r>
    </w:p>
    <w:p>
      <w:pPr>
        <w:spacing w:after="0" w:line="17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If the foregoing is in accordance with your understanding, please indicate your acceptance of this Agreement by signing in the space provided below.</w:t>
      </w: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940"/>
          </w:cols>
          <w:pgMar w:left="440" w:top="270" w:right="51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SIXTH STREET LENDING PARTNERS ADVISERS,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9980"/>
          </w:cols>
          <w:pgMar w:left="1440" w:top="270"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several Initial Purchasers listed in Schedule 1 hereto.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Kwan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Notes to be paid by the several Initial Purchasers shall be 98.347% of the aggregate principal amount thereof.</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Initial Purchaser</w:t>
            </w:r>
          </w:p>
        </w:tc>
        <w:tc>
          <w:tcPr>
            <w:tcW w:w="5180" w:type="dxa"/>
            <w:vAlign w:val="bottom"/>
            <w:vMerge w:val="restart"/>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34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Notes to be Purchased</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82,500,000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41,250,000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31,875,000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28,125,000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26,250,000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M&amp;T Securities,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Synovus Securities,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7,500,000</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750,000,000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52"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January 6, 2025, containing the terms governing the Notes, substantially in the form of Annex A to this Agreement.</w:t>
      </w:r>
    </w:p>
    <w:p>
      <w:pPr>
        <w:sectPr>
          <w:pgSz w:w="11900" w:h="16838" w:orient="portrait"/>
          <w:cols w:equalWidth="0" w:num="1">
            <w:col w:w="11024"/>
          </w:cols>
          <w:pgMar w:left="436"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SSLP Lending, LLC</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LP Holding II, LLC</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Sub, LLC</w:t>
      </w:r>
    </w:p>
    <w:p>
      <w:pPr>
        <w:sectPr>
          <w:pgSz w:w="11900" w:h="16838" w:orient="portrait"/>
          <w:cols w:equalWidth="0" w:num="1">
            <w:col w:w="11024"/>
          </w:cols>
          <w:pgMar w:left="436"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ectPr>
          <w:pgSz w:w="11900" w:h="16838" w:orient="portrait"/>
          <w:cols w:equalWidth="0" w:num="1">
            <w:col w:w="10020"/>
          </w:cols>
          <w:pgMar w:left="1440" w:top="266" w:right="4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ectPr>
          <w:pgSz w:w="11900" w:h="16838" w:orient="portrait"/>
          <w:cols w:equalWidth="0" w:num="1">
            <w:col w:w="9019"/>
          </w:cols>
          <w:pgMar w:left="1440" w:top="266"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Sixth Street Lending Partners,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January 13, 2025</w:t>
      </w:r>
    </w:p>
    <w:p>
      <w:pPr>
        <w:sectPr>
          <w:pgSz w:w="11900" w:h="16838" w:orient="portrait"/>
          <w:cols w:equalWidth="0" w:num="1">
            <w:col w:w="9019"/>
          </w:cols>
          <w:pgMar w:left="1440" w:top="266" w:right="1440"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January 13, 2025, by and among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BofA Securities, Inc.,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to the other several initial purchasers (collectively,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of $750,000,000 aggregate principal amount of the Company’s 6.125% Notes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listed on Schedule 1 to the Purchase Agreement (as defined below).</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This Agreement is made pursuant to the Purchase Agreement, dated as of January 6, 2025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7(k) of the Purchase Agreement. The parties hereby agree as follows: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broker or dealer registered under the Exchange Act.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registered Exchange Offer shall be deemed “Consummated” for purposes of this Agreement upon the occurrence of (i) the filing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Exchange Act of 1934, as amended, and the rules and regulations promulgated thereunder.</w:t>
      </w:r>
    </w:p>
    <w:p>
      <w:pPr>
        <w:sectPr>
          <w:pgSz w:w="11900" w:h="16838" w:orient="portrait"/>
          <w:cols w:equalWidth="0" w:num="1">
            <w:col w:w="10980"/>
          </w:cols>
          <w:pgMar w:left="440" w:top="266" w:right="479" w:bottom="1440" w:gutter="0" w:footer="0" w:header="0"/>
        </w:sectPr>
      </w:pPr>
    </w:p>
    <w:bookmarkStart w:id="44" w:name="page45"/>
    <w:bookmarkEnd w:id="44"/>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relating to the Exchange Offer, including the related Prospectus.</w:t>
      </w:r>
    </w:p>
    <w:p>
      <w:pPr>
        <w:spacing w:after="0" w:line="22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6.125% Notes due 2030 of the same series under the Indenture as the Notes, to be issued to Holders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Notes pursuant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2(b)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Base Indenture, dated as of March 11, 2024, as supplemented by the Fourth Supplemental Indenture, dated as of January 13,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and between the Company and the Trustee, pursuant to which the Notes are to be issued, as such Indenture may be amended or supplemented from time to time in accordance with the terms thereof.</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by the Company of the Notes to the Initial Purchasers pursuant to the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Indenture and the Notes.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The date of this Agreement, January 13, 2025.</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jc w:val="both"/>
        <w:ind w:left="4" w:right="1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Registrable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Note, until the earliest to occur of (a) the date on which such Note is exchanged in the Exchange Offer for an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w:t>
      </w:r>
    </w:p>
    <w:p>
      <w:pPr>
        <w:spacing w:after="0" w:line="1" w:lineRule="exact"/>
        <w:rPr>
          <w:sz w:val="20"/>
          <w:szCs w:val="20"/>
          <w:color w:val="auto"/>
        </w:rPr>
      </w:pPr>
    </w:p>
    <w:p>
      <w:pPr>
        <w:ind w:left="4" w:hanging="4"/>
        <w:spacing w:after="0" w:line="253"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Note is distributed by a Broker-Dealer pursuant to the “Plan of Distribution” contemplated by the Exchange Offer Registration Statement (including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45" w:name="page46"/>
    <w:bookmarkEnd w:id="45"/>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registration statement of the Company relating to (a) an offering of Exchange Notes pursuant to an Exchange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U.S. Bank Trust Company,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Indenture Act of 1939, as amended, and the rules and regulations promulgated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registration in which securities of the Company are sold to an underwriter for reoffering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Registrable Notes. </w:t>
      </w:r>
      <w:r>
        <w:rPr>
          <w:rFonts w:ascii="Times New Roman" w:cs="Times New Roman" w:eastAsia="Times New Roman" w:hAnsi="Times New Roman"/>
          <w:sz w:val="18"/>
          <w:szCs w:val="18"/>
          <w:color w:val="auto"/>
        </w:rPr>
        <w:t>The securities entitled to the benefits of this Agreement are the Registrable Notes.</w:t>
      </w:r>
    </w:p>
    <w:p>
      <w:pPr>
        <w:spacing w:after="0" w:line="115" w:lineRule="exact"/>
        <w:rPr>
          <w:rFonts w:ascii="Times New Roman" w:cs="Times New Roman" w:eastAsia="Times New Roman" w:hAnsi="Times New Roman"/>
          <w:sz w:val="18"/>
          <w:szCs w:val="18"/>
          <w:color w:val="auto"/>
        </w:rPr>
      </w:pPr>
    </w:p>
    <w:p>
      <w:pPr>
        <w:ind w:right="660" w:firstLine="436"/>
        <w:spacing w:after="0" w:line="286"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Holders of Registrable Notes. </w:t>
      </w:r>
      <w:r>
        <w:rPr>
          <w:rFonts w:ascii="Times New Roman" w:cs="Times New Roman" w:eastAsia="Times New Roman" w:hAnsi="Times New Roman"/>
          <w:sz w:val="18"/>
          <w:szCs w:val="18"/>
          <w:color w:val="auto"/>
        </w:rPr>
        <w:t>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Notes.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firstLine="436"/>
        <w:spacing w:after="0" w:line="255"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46" w:name="page47"/>
    <w:bookmarkEnd w:id="4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w:t>
      </w:r>
    </w:p>
    <w:p>
      <w:pPr>
        <w:spacing w:after="0" w:line="72" w:lineRule="exact"/>
        <w:rPr>
          <w:sz w:val="20"/>
          <w:szCs w:val="20"/>
          <w:color w:val="auto"/>
        </w:rPr>
      </w:pPr>
    </w:p>
    <w:p>
      <w:pPr>
        <w:jc w:val="both"/>
        <w:ind w:right="200" w:firstLine="436"/>
        <w:spacing w:after="0" w:line="258"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w:t>
      </w:r>
    </w:p>
    <w:p>
      <w:pPr>
        <w:spacing w:after="0" w:line="75" w:lineRule="exact"/>
        <w:rPr>
          <w:rFonts w:ascii="Times New Roman" w:cs="Times New Roman" w:eastAsia="Times New Roman" w:hAnsi="Times New Roman"/>
          <w:sz w:val="18"/>
          <w:szCs w:val="18"/>
          <w:color w:val="auto"/>
        </w:rPr>
      </w:pPr>
    </w:p>
    <w:p>
      <w:pPr>
        <w:ind w:right="40" w:firstLine="436"/>
        <w:spacing w:after="0" w:line="254" w:lineRule="auto"/>
        <w:tabs>
          <w:tab w:leader="none" w:pos="68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sufficient copies of the latest version of such Prospectus to Broker-Dealers promptly upon request at any time during such 180-day (or shorter as provided in the foregoing paragraph) period in order to facilitate such resales.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1"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If (i) the Company is not required to file an Exchange Offer Registration Statement or to consummate the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7" w:name="page48"/>
    <w:bookmarkEnd w:id="4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w:t>
      </w:r>
    </w:p>
    <w:p>
      <w:pPr>
        <w:spacing w:after="0" w:line="72" w:lineRule="exact"/>
        <w:rPr>
          <w:sz w:val="20"/>
          <w:szCs w:val="20"/>
          <w:color w:val="auto"/>
        </w:rPr>
      </w:pPr>
    </w:p>
    <w:p>
      <w:pPr>
        <w:ind w:left="440" w:right="100" w:firstLine="419"/>
        <w:spacing w:after="0" w:line="270" w:lineRule="auto"/>
        <w:tabs>
          <w:tab w:leader="none" w:pos="111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2" w:lineRule="exact"/>
        <w:rPr>
          <w:rFonts w:ascii="Times New Roman" w:cs="Times New Roman" w:eastAsia="Times New Roman" w:hAnsi="Times New Roman"/>
          <w:sz w:val="17"/>
          <w:szCs w:val="17"/>
          <w:color w:val="auto"/>
        </w:rPr>
      </w:pPr>
    </w:p>
    <w:p>
      <w:pPr>
        <w:ind w:left="440" w:right="80" w:hanging="4"/>
        <w:spacing w:after="0" w:line="255" w:lineRule="auto"/>
        <w:tabs>
          <w:tab w:leader="none" w:pos="7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the 365th day after the Issue Date (or if such 365th day is not a Business Day, the next succeeding Business Day) (the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information required pursuant to Section 4(b) hereof; and</w:t>
      </w:r>
    </w:p>
    <w:p>
      <w:pPr>
        <w:spacing w:after="0" w:line="77" w:lineRule="exact"/>
        <w:rPr>
          <w:rFonts w:ascii="Times New Roman" w:cs="Times New Roman" w:eastAsia="Times New Roman" w:hAnsi="Times New Roman"/>
          <w:sz w:val="18"/>
          <w:szCs w:val="18"/>
          <w:color w:val="auto"/>
        </w:rPr>
      </w:pPr>
    </w:p>
    <w:p>
      <w:pPr>
        <w:ind w:left="440" w:right="440" w:firstLine="419"/>
        <w:spacing w:after="0" w:line="266" w:lineRule="auto"/>
        <w:tabs>
          <w:tab w:leader="none" w:pos="11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 may suspend the offering and sale under the Shelf Registration Statement (the “</w:t>
      </w: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or periods of suspension under clause (i) above shall not exceed, in the aggregate, 60 days in any twelve-month period during which the Shelf Registration Statement is required to be effective.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8" w:name="page49"/>
    <w:bookmarkEnd w:id="48"/>
    <w:p>
      <w:pPr>
        <w:ind w:right="20" w:firstLine="436"/>
        <w:spacing w:after="0" w:line="257"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 by Holders of Certain Information in Connection with the Shelf Registration Statement. </w:t>
      </w:r>
      <w:r>
        <w:rPr>
          <w:rFonts w:ascii="Times New Roman" w:cs="Times New Roman" w:eastAsia="Times New Roman" w:hAnsi="Times New Roman"/>
          <w:sz w:val="18"/>
          <w:szCs w:val="18"/>
          <w:color w:val="auto"/>
        </w:rPr>
        <w:t>No Holder of Registrable Notes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8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xml:space="preserve"> 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7"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7"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Offer Registration Statement. </w:t>
      </w:r>
      <w:r>
        <w:rPr>
          <w:rFonts w:ascii="Times New Roman" w:cs="Times New Roman" w:eastAsia="Times New Roman" w:hAnsi="Times New Roman"/>
          <w:sz w:val="18"/>
          <w:szCs w:val="18"/>
          <w:color w:val="auto"/>
        </w:rPr>
        <w:t>In connection with the Exchange Offer, the Company shall comply with all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6(c) hereof, shall use its commercially reasonable efforts to effect such exchange to permit the sale of Registrable Notes being sold in accordance with the intended method or methods of distribution thereof, and shall comply with all of the following provision: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8" w:right="459" w:bottom="1440" w:gutter="0" w:footer="0" w:header="0"/>
        </w:sectPr>
      </w:pPr>
    </w:p>
    <w:bookmarkStart w:id="49" w:name="page50"/>
    <w:bookmarkEnd w:id="49"/>
    <w:p>
      <w:pPr>
        <w:jc w:val="both"/>
        <w:ind w:left="440" w:right="120" w:firstLine="419"/>
        <w:spacing w:after="0" w:line="272" w:lineRule="auto"/>
        <w:tabs>
          <w:tab w:leader="none" w:pos="1078"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w:t>
      </w:r>
    </w:p>
    <w:p>
      <w:pPr>
        <w:spacing w:after="0" w:line="1" w:lineRule="exact"/>
        <w:rPr>
          <w:rFonts w:ascii="Times New Roman" w:cs="Times New Roman" w:eastAsia="Times New Roman" w:hAnsi="Times New Roman"/>
          <w:sz w:val="17"/>
          <w:szCs w:val="17"/>
          <w:color w:val="auto"/>
        </w:rPr>
      </w:pPr>
    </w:p>
    <w:p>
      <w:pPr>
        <w:ind w:left="440" w:hanging="4"/>
        <w:spacing w:after="0" w:line="265" w:lineRule="auto"/>
        <w:tabs>
          <w:tab w:leader="none" w:pos="725"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cs="Times New Roman" w:eastAsia="Times New Roman" w:hAnsi="Times New Roman"/>
          <w:sz w:val="17"/>
          <w:szCs w:val="17"/>
          <w:u w:val="single" w:color="auto"/>
          <w:color w:val="auto"/>
        </w:rPr>
        <w:t>Morgan Stanley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 Inc.</w:t>
      </w:r>
      <w:r>
        <w:rPr>
          <w:rFonts w:ascii="Times New Roman" w:cs="Times New Roman" w:eastAsia="Times New Roman" w:hAnsi="Times New Roman"/>
          <w:sz w:val="17"/>
          <w:szCs w:val="17"/>
          <w:color w:val="auto"/>
        </w:rPr>
        <w:t xml:space="preserve"> (available June 5, 1991) and </w:t>
      </w:r>
      <w:r>
        <w:rPr>
          <w:rFonts w:ascii="Times New Roman" w:cs="Times New Roman" w:eastAsia="Times New Roman" w:hAnsi="Times New Roman"/>
          <w:sz w:val="17"/>
          <w:szCs w:val="17"/>
          <w:u w:val="single" w:color="auto"/>
          <w:color w:val="auto"/>
        </w:rPr>
        <w:t>Exxon Capital Holdings Corporation</w:t>
      </w:r>
      <w:r>
        <w:rPr>
          <w:rFonts w:ascii="Times New Roman" w:cs="Times New Roman" w:eastAsia="Times New Roman" w:hAnsi="Times New Roman"/>
          <w:sz w:val="17"/>
          <w:szCs w:val="17"/>
          <w:color w:val="auto"/>
        </w:rPr>
        <w:t xml:space="preserve"> (available May 13, 1988), as interpreted in the Commission’s letter to Shearman &amp; Sterling dated July 2, 1993, and similar no-action letters (which may include any no-action letter obtained pursuant to clause</w:t>
      </w:r>
    </w:p>
    <w:p>
      <w:pPr>
        <w:spacing w:after="0" w:line="1" w:lineRule="exact"/>
        <w:rPr>
          <w:rFonts w:ascii="Times New Roman" w:cs="Times New Roman" w:eastAsia="Times New Roman" w:hAnsi="Times New Roman"/>
          <w:sz w:val="17"/>
          <w:szCs w:val="17"/>
          <w:color w:val="auto"/>
        </w:rPr>
      </w:pPr>
    </w:p>
    <w:p>
      <w:pPr>
        <w:ind w:left="440" w:right="2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w:t>
      </w:r>
    </w:p>
    <w:p>
      <w:pPr>
        <w:spacing w:after="0" w:line="79" w:lineRule="exact"/>
        <w:rPr>
          <w:sz w:val="20"/>
          <w:szCs w:val="20"/>
          <w:color w:val="auto"/>
        </w:rPr>
      </w:pPr>
    </w:p>
    <w:p>
      <w:pPr>
        <w:ind w:right="60" w:firstLine="436"/>
        <w:spacing w:after="0" w:line="277" w:lineRule="auto"/>
        <w:tabs>
          <w:tab w:leader="none" w:pos="69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Shelf Registration Statement. </w:t>
      </w:r>
      <w:r>
        <w:rPr>
          <w:rFonts w:ascii="Times New Roman" w:cs="Times New Roman" w:eastAsia="Times New Roman" w:hAnsi="Times New Roman"/>
          <w:sz w:val="17"/>
          <w:szCs w:val="17"/>
          <w:color w:val="auto"/>
        </w:rPr>
        <w:t>In connection with the Shelf Registration Statement, the Company shall comply with all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59" w:lineRule="exact"/>
        <w:rPr>
          <w:rFonts w:ascii="Times New Roman" w:cs="Times New Roman" w:eastAsia="Times New Roman" w:hAnsi="Times New Roman"/>
          <w:sz w:val="17"/>
          <w:szCs w:val="17"/>
          <w:color w:val="auto"/>
        </w:rPr>
      </w:pPr>
    </w:p>
    <w:p>
      <w:pPr>
        <w:ind w:right="20" w:firstLine="436"/>
        <w:spacing w:after="0" w:line="267" w:lineRule="auto"/>
        <w:tabs>
          <w:tab w:leader="none" w:pos="6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Provisions. </w:t>
      </w:r>
      <w:r>
        <w:rPr>
          <w:rFonts w:ascii="Times New Roman" w:cs="Times New Roman" w:eastAsia="Times New Roman" w:hAnsi="Times New Roman"/>
          <w:sz w:val="18"/>
          <w:szCs w:val="18"/>
          <w:color w:val="auto"/>
        </w:rPr>
        <w:t>In connection with any Registration Statement and any Prospectus required by this Agreement to permit the sale or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Notes (including, without limitation, any Registration Statement and the related Prospectus required to permit resales of Notes by Broker-Dealers), the Company shall:</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0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such Registration Statement continuously effective during the period required by this Agreement and provide all requisite financial statements;</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50" w:name="page51"/>
    <w:bookmarkEnd w:id="50"/>
    <w:p>
      <w:pPr>
        <w:ind w:left="4" w:right="20" w:firstLine="419"/>
        <w:spacing w:after="0" w:line="254" w:lineRule="auto"/>
        <w:tabs>
          <w:tab w:leader="none" w:pos="74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selling Holders promptly and, if requested by such Persons, to confirm such advice in writing,</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9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w:t>
      </w:r>
    </w:p>
    <w:p>
      <w:pPr>
        <w:ind w:left="4" w:hanging="4"/>
        <w:spacing w:after="0" w:line="251" w:lineRule="auto"/>
        <w:tabs>
          <w:tab w:leader="none" w:pos="2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51" w:name="page52"/>
    <w:bookmarkEnd w:id="51"/>
    <w:p>
      <w:pPr>
        <w:ind w:left="720" w:hanging="301"/>
        <w:spacing w:after="0"/>
        <w:tabs>
          <w:tab w:leader="none" w:pos="7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the Company’s representatives reasonably available to the Initial Purchasers for customary due diligence matters;</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7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0" w:lineRule="exact"/>
        <w:rPr>
          <w:rFonts w:ascii="Times New Roman" w:cs="Times New Roman" w:eastAsia="Times New Roman" w:hAnsi="Times New Roman"/>
          <w:sz w:val="18"/>
          <w:szCs w:val="18"/>
          <w:color w:val="auto"/>
        </w:rPr>
      </w:pPr>
    </w:p>
    <w:p>
      <w:pPr>
        <w:ind w:right="80" w:firstLine="419"/>
        <w:spacing w:after="0" w:line="255" w:lineRule="auto"/>
        <w:tabs>
          <w:tab w:leader="none" w:pos="8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0" w:lineRule="exact"/>
        <w:rPr>
          <w:rFonts w:ascii="Times New Roman" w:cs="Times New Roman" w:eastAsia="Times New Roman" w:hAnsi="Times New Roman"/>
          <w:sz w:val="18"/>
          <w:szCs w:val="18"/>
          <w:color w:val="auto"/>
        </w:rPr>
      </w:pPr>
    </w:p>
    <w:p>
      <w:pPr>
        <w:ind w:right="160" w:firstLine="419"/>
        <w:spacing w:after="0" w:line="261" w:lineRule="auto"/>
        <w:tabs>
          <w:tab w:leader="none" w:pos="72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w:t>
      </w:r>
    </w:p>
    <w:p>
      <w:pPr>
        <w:spacing w:after="0" w:line="71" w:lineRule="exact"/>
        <w:rPr>
          <w:rFonts w:ascii="Times New Roman" w:cs="Times New Roman" w:eastAsia="Times New Roman" w:hAnsi="Times New Roman"/>
          <w:sz w:val="18"/>
          <w:szCs w:val="18"/>
          <w:color w:val="auto"/>
        </w:rPr>
      </w:pPr>
    </w:p>
    <w:p>
      <w:pPr>
        <w:ind w:right="180" w:firstLine="419"/>
        <w:spacing w:after="0" w:line="261" w:lineRule="auto"/>
        <w:tabs>
          <w:tab w:leader="none" w:pos="6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71" w:lineRule="exact"/>
        <w:rPr>
          <w:rFonts w:ascii="Times New Roman" w:cs="Times New Roman" w:eastAsia="Times New Roman" w:hAnsi="Times New Roman"/>
          <w:sz w:val="18"/>
          <w:szCs w:val="18"/>
          <w:color w:val="auto"/>
        </w:rPr>
      </w:pPr>
    </w:p>
    <w:p>
      <w:pPr>
        <w:ind w:right="260" w:firstLine="419"/>
        <w:spacing w:after="0" w:line="289" w:lineRule="auto"/>
        <w:tabs>
          <w:tab w:leader="none" w:pos="72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52" w:name="page53"/>
    <w:bookmarkEnd w:id="52"/>
    <w:p>
      <w:pPr>
        <w:ind w:left="540" w:right="60" w:firstLine="408"/>
        <w:spacing w:after="0" w:line="266"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7" w:lineRule="exact"/>
        <w:rPr>
          <w:rFonts w:ascii="Times New Roman" w:cs="Times New Roman" w:eastAsia="Times New Roman" w:hAnsi="Times New Roman"/>
          <w:sz w:val="18"/>
          <w:szCs w:val="18"/>
          <w:color w:val="auto"/>
        </w:rPr>
      </w:pPr>
    </w:p>
    <w:p>
      <w:pPr>
        <w:ind w:left="980" w:right="200" w:firstLine="391"/>
        <w:spacing w:after="0" w:line="312" w:lineRule="auto"/>
        <w:tabs>
          <w:tab w:leader="none" w:pos="161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effectiveness of the Shelf Registration Statement, signed by (y) the Chief Executive Officer, the President or any Vice President and (z) a principal financial or accounting officer of the Company, confirming customary matters;</w:t>
      </w:r>
    </w:p>
    <w:p>
      <w:pPr>
        <w:spacing w:after="0" w:line="31" w:lineRule="exact"/>
        <w:rPr>
          <w:rFonts w:ascii="Times New Roman" w:cs="Times New Roman" w:eastAsia="Times New Roman" w:hAnsi="Times New Roman"/>
          <w:sz w:val="17"/>
          <w:szCs w:val="17"/>
          <w:color w:val="auto"/>
        </w:rPr>
      </w:pPr>
    </w:p>
    <w:p>
      <w:pPr>
        <w:ind w:left="980" w:firstLine="391"/>
        <w:spacing w:after="0" w:line="282" w:lineRule="auto"/>
        <w:tabs>
          <w:tab w:leader="none" w:pos="16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majority of selling Holders, an opinion, dated the date of effectiveness of the Shelf Registration Statement, of counsel for the Company, covering the matters customarily covered in opinions requested in underwritten offerings;</w:t>
      </w:r>
    </w:p>
    <w:p>
      <w:pPr>
        <w:spacing w:after="0" w:line="53" w:lineRule="exact"/>
        <w:rPr>
          <w:rFonts w:ascii="Times New Roman" w:cs="Times New Roman" w:eastAsia="Times New Roman" w:hAnsi="Times New Roman"/>
          <w:sz w:val="18"/>
          <w:szCs w:val="18"/>
          <w:color w:val="auto"/>
        </w:rPr>
      </w:pPr>
    </w:p>
    <w:p>
      <w:pPr>
        <w:ind w:left="980" w:right="280" w:firstLine="391"/>
        <w:spacing w:after="0" w:line="266" w:lineRule="auto"/>
        <w:tabs>
          <w:tab w:leader="none" w:pos="16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w:t>
      </w:r>
    </w:p>
    <w:p>
      <w:pPr>
        <w:spacing w:after="0" w:line="6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full or incorporate by reference in the underwriting agreement, if any, the indemnification provisions and procedures of Section 8 hereof with respect to all parties to be indemnified pursuant to said Section; and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w:t>
      </w:r>
    </w:p>
    <w:p>
      <w:pPr>
        <w:spacing w:after="0" w:line="68" w:lineRule="exact"/>
        <w:rPr>
          <w:sz w:val="20"/>
          <w:szCs w:val="20"/>
          <w:color w:val="auto"/>
        </w:rPr>
      </w:pPr>
    </w:p>
    <w:p>
      <w:pPr>
        <w:ind w:firstLine="419"/>
        <w:spacing w:after="0" w:line="255" w:lineRule="auto"/>
        <w:tabs>
          <w:tab w:leader="none" w:pos="7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0" w:lineRule="exact"/>
        <w:rPr>
          <w:rFonts w:ascii="Times New Roman" w:cs="Times New Roman" w:eastAsia="Times New Roman" w:hAnsi="Times New Roman"/>
          <w:sz w:val="18"/>
          <w:szCs w:val="18"/>
          <w:color w:val="auto"/>
        </w:rPr>
      </w:pPr>
    </w:p>
    <w:p>
      <w:pPr>
        <w:ind w:right="260" w:firstLine="419"/>
        <w:spacing w:after="0" w:line="266" w:lineRule="auto"/>
        <w:tabs>
          <w:tab w:leader="none" w:pos="8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53" w:name="page54"/>
    <w:bookmarkEnd w:id="5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pacing w:after="0" w:line="72" w:lineRule="exact"/>
        <w:rPr>
          <w:sz w:val="20"/>
          <w:szCs w:val="20"/>
          <w:color w:val="auto"/>
        </w:rPr>
      </w:pPr>
    </w:p>
    <w:p>
      <w:pPr>
        <w:ind w:firstLine="419"/>
        <w:spacing w:after="0" w:line="258" w:lineRule="auto"/>
        <w:tabs>
          <w:tab w:leader="none" w:pos="8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rFonts w:ascii="Times New Roman" w:cs="Times New Roman" w:eastAsia="Times New Roman" w:hAnsi="Times New Roman"/>
          <w:sz w:val="18"/>
          <w:szCs w:val="18"/>
          <w:color w:val="auto"/>
        </w:rPr>
      </w:pPr>
    </w:p>
    <w:p>
      <w:pPr>
        <w:jc w:val="both"/>
        <w:ind w:right="220" w:firstLine="419"/>
        <w:spacing w:after="0" w:line="266" w:lineRule="auto"/>
        <w:tabs>
          <w:tab w:leader="none" w:pos="7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w:t>
      </w:r>
    </w:p>
    <w:p>
      <w:pPr>
        <w:spacing w:after="0" w:line="67" w:lineRule="exact"/>
        <w:rPr>
          <w:rFonts w:ascii="Times New Roman" w:cs="Times New Roman" w:eastAsia="Times New Roman" w:hAnsi="Times New Roman"/>
          <w:sz w:val="18"/>
          <w:szCs w:val="18"/>
          <w:color w:val="auto"/>
        </w:rPr>
      </w:pPr>
    </w:p>
    <w:p>
      <w:pPr>
        <w:ind w:right="100" w:firstLine="419"/>
        <w:spacing w:after="0" w:line="261" w:lineRule="auto"/>
        <w:tabs>
          <w:tab w:leader="none" w:pos="8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1" w:lineRule="exact"/>
        <w:rPr>
          <w:rFonts w:ascii="Times New Roman" w:cs="Times New Roman" w:eastAsia="Times New Roman" w:hAnsi="Times New Roman"/>
          <w:sz w:val="18"/>
          <w:szCs w:val="18"/>
          <w:color w:val="auto"/>
        </w:rPr>
      </w:pPr>
    </w:p>
    <w:p>
      <w:pPr>
        <w:ind w:right="20" w:firstLine="419"/>
        <w:spacing w:after="0" w:line="261" w:lineRule="auto"/>
        <w:tabs>
          <w:tab w:leader="none" w:pos="8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6" w:lineRule="auto"/>
        <w:tabs>
          <w:tab w:leader="none" w:pos="9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w:t>
      </w:r>
    </w:p>
    <w:p>
      <w:pPr>
        <w:spacing w:after="0" w:line="67" w:lineRule="exact"/>
        <w:rPr>
          <w:rFonts w:ascii="Times New Roman" w:cs="Times New Roman" w:eastAsia="Times New Roman" w:hAnsi="Times New Roman"/>
          <w:sz w:val="18"/>
          <w:szCs w:val="18"/>
          <w:color w:val="auto"/>
        </w:rPr>
      </w:pPr>
    </w:p>
    <w:p>
      <w:pPr>
        <w:ind w:right="80" w:firstLine="419"/>
        <w:spacing w:after="0" w:line="256" w:lineRule="auto"/>
        <w:tabs>
          <w:tab w:leader="none" w:pos="8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54" w:name="page55"/>
    <w:bookmarkEnd w:id="54"/>
    <w:p>
      <w:pPr>
        <w:ind w:left="444" w:right="160" w:firstLine="419"/>
        <w:spacing w:after="0" w:line="256" w:lineRule="auto"/>
        <w:tabs>
          <w:tab w:leader="none" w:pos="121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87"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right="20" w:hanging="4"/>
        <w:spacing w:after="0" w:line="251" w:lineRule="auto"/>
        <w:tabs>
          <w:tab w:leader="none" w:pos="3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9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55" w:name="page56"/>
    <w:bookmarkEnd w:id="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2"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color w:val="auto"/>
        </w:rPr>
        <w:t>”) and (iii) the respective officers, trustees,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9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8" w:right="479" w:bottom="1440" w:gutter="0" w:footer="0" w:header="0"/>
        </w:sectPr>
      </w:pPr>
    </w:p>
    <w:bookmarkStart w:id="56" w:name="page57"/>
    <w:bookmarkEnd w:id="56"/>
    <w:p>
      <w:pPr>
        <w:ind w:firstLine="436"/>
        <w:spacing w:after="0" w:line="254"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w:t>
      </w:r>
    </w:p>
    <w:p>
      <w:pPr>
        <w:spacing w:after="0" w:line="80"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9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81"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Rule 144A.</w:t>
      </w:r>
      <w:r>
        <w:rPr>
          <w:rFonts w:ascii="Times New Roman" w:cs="Times New Roman" w:eastAsia="Times New Roman" w:hAnsi="Times New Roman"/>
          <w:sz w:val="17"/>
          <w:szCs w:val="17"/>
          <w:color w:val="auto"/>
        </w:rPr>
        <w:t xml:space="preserve"> 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w:t>
      </w:r>
    </w:p>
    <w:p>
      <w:pPr>
        <w:spacing w:after="0" w:line="164"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Miscellaneous.</w:t>
      </w:r>
    </w:p>
    <w:p>
      <w:pPr>
        <w:spacing w:after="0" w:line="117" w:lineRule="exact"/>
        <w:rPr>
          <w:sz w:val="20"/>
          <w:szCs w:val="20"/>
          <w:color w:val="auto"/>
        </w:rPr>
      </w:pPr>
    </w:p>
    <w:p>
      <w:pPr>
        <w:jc w:val="both"/>
        <w:ind w:right="380" w:firstLine="436"/>
        <w:spacing w:after="0" w:line="267"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w:t>
      </w:r>
      <w:r>
        <w:rPr>
          <w:rFonts w:ascii="Times New Roman" w:cs="Times New Roman" w:eastAsia="Times New Roman" w:hAnsi="Times New Roman"/>
          <w:sz w:val="18"/>
          <w:szCs w:val="18"/>
          <w:color w:val="auto"/>
        </w:rPr>
        <w:t>The Company hereby agrees that monetary damages would not be adequate compensation for any loss incurred by reason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it of the provisions of this Agreement and hereby agrees to waive the defense in any action for specific performance that a remedy at law would be adequate.</w:t>
      </w:r>
    </w:p>
    <w:p>
      <w:pPr>
        <w:spacing w:after="0" w:line="65" w:lineRule="exact"/>
        <w:rPr>
          <w:rFonts w:ascii="Times New Roman" w:cs="Times New Roman" w:eastAsia="Times New Roman" w:hAnsi="Times New Roman"/>
          <w:sz w:val="18"/>
          <w:szCs w:val="18"/>
          <w:color w:val="auto"/>
        </w:rPr>
      </w:pPr>
    </w:p>
    <w:p>
      <w:pPr>
        <w:ind w:right="500" w:firstLine="436"/>
        <w:spacing w:after="0" w:line="261"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Inconsistent Agreements. </w:t>
      </w:r>
      <w:r>
        <w:rPr>
          <w:rFonts w:ascii="Times New Roman" w:cs="Times New Roman" w:eastAsia="Times New Roman" w:hAnsi="Times New Roman"/>
          <w:sz w:val="18"/>
          <w:szCs w:val="18"/>
          <w:color w:val="auto"/>
        </w:rPr>
        <w:t>The Company will not on or after the date of this Agreement enter into any agreement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71" w:lineRule="exact"/>
        <w:rPr>
          <w:rFonts w:ascii="Times New Roman" w:cs="Times New Roman" w:eastAsia="Times New Roman" w:hAnsi="Times New Roman"/>
          <w:sz w:val="18"/>
          <w:szCs w:val="18"/>
          <w:color w:val="auto"/>
        </w:rPr>
      </w:pPr>
    </w:p>
    <w:p>
      <w:pPr>
        <w:ind w:right="180" w:firstLine="436"/>
        <w:spacing w:after="0" w:line="284"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Affecting the Notes. </w:t>
      </w:r>
      <w:r>
        <w:rPr>
          <w:rFonts w:ascii="Times New Roman" w:cs="Times New Roman" w:eastAsia="Times New Roman" w:hAnsi="Times New Roman"/>
          <w:sz w:val="18"/>
          <w:szCs w:val="18"/>
          <w:color w:val="auto"/>
        </w:rPr>
        <w:t>The Company will not take any action, or permit any change to occur, with respect to the Registrable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ability of the Holders to Consummate any Exchange Offer.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58" w:name="page59"/>
    <w:bookmarkEnd w:id="58"/>
    <w:p>
      <w:pPr>
        <w:ind w:right="40" w:firstLine="436"/>
        <w:spacing w:after="0" w:line="254"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Amendments and Waivers. </w:t>
      </w:r>
      <w:r>
        <w:rPr>
          <w:rFonts w:ascii="Times New Roman" w:cs="Times New Roman" w:eastAsia="Times New Roman" w:hAnsi="Times New Roman"/>
          <w:sz w:val="18"/>
          <w:szCs w:val="18"/>
          <w:color w:val="auto"/>
        </w:rPr>
        <w:t>The provisions of this Agreement may not be amended, modified or supplemented, and waivers or consents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w:t>
      </w:r>
    </w:p>
    <w:p>
      <w:pPr>
        <w:spacing w:after="0" w:line="77" w:lineRule="exact"/>
        <w:rPr>
          <w:rFonts w:ascii="Times New Roman" w:cs="Times New Roman" w:eastAsia="Times New Roman" w:hAnsi="Times New Roman"/>
          <w:sz w:val="18"/>
          <w:szCs w:val="18"/>
          <w:color w:val="auto"/>
        </w:rPr>
      </w:pPr>
    </w:p>
    <w:p>
      <w:pPr>
        <w:ind w:right="120" w:firstLine="436"/>
        <w:spacing w:after="0" w:line="284"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provided for or permitted hereunder shall be made in writing by hand-delivery,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certified, return receipt requested), or air courier guaranteeing overnight delivery:</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 Holder, at the address set forth on the records of the Registrar under the Indenture, with a copy to the Registrar under the Indenture;</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Ian Simmonds</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Steven Grigoriou</w:t>
      </w:r>
    </w:p>
    <w:p>
      <w:pPr>
        <w:spacing w:after="0" w:line="207"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specified in the Indenture.</w:t>
      </w:r>
    </w:p>
    <w:p>
      <w:pPr>
        <w:spacing w:after="0" w:line="52" w:lineRule="exact"/>
        <w:rPr>
          <w:sz w:val="20"/>
          <w:szCs w:val="20"/>
          <w:color w:val="auto"/>
        </w:rPr>
      </w:pPr>
    </w:p>
    <w:p>
      <w:pPr>
        <w:jc w:val="both"/>
        <w:ind w:right="320" w:firstLine="436"/>
        <w:spacing w:after="0" w:line="261" w:lineRule="auto"/>
        <w:tabs>
          <w:tab w:leader="none" w:pos="66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Successors and Assigns. </w:t>
      </w:r>
      <w:r>
        <w:rPr>
          <w:rFonts w:ascii="Times New Roman" w:cs="Times New Roman" w:eastAsia="Times New Roman" w:hAnsi="Times New Roman"/>
          <w:sz w:val="18"/>
          <w:szCs w:val="18"/>
          <w:color w:val="auto"/>
        </w:rPr>
        <w:t>This Agreement shall inure to the benefit of and be binding upon the successors and assigns of each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without limitation, and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71" w:lineRule="exact"/>
        <w:rPr>
          <w:rFonts w:ascii="Times New Roman" w:cs="Times New Roman" w:eastAsia="Times New Roman" w:hAnsi="Times New Roman"/>
          <w:sz w:val="18"/>
          <w:szCs w:val="18"/>
          <w:color w:val="auto"/>
        </w:rPr>
      </w:pPr>
    </w:p>
    <w:p>
      <w:pPr>
        <w:ind w:right="420" w:firstLine="436"/>
        <w:spacing w:after="0" w:line="267" w:lineRule="auto"/>
        <w:tabs>
          <w:tab w:leader="none" w:pos="6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(including by facsimile or other method of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by the parties hereto in separate counterparts, each of which when so executed shall be deemed to be an original and all of which taken together shall constitute one and the same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8" w:right="459" w:bottom="1440" w:gutter="0" w:footer="0" w:header="0"/>
        </w:sectPr>
      </w:pPr>
    </w:p>
    <w:bookmarkStart w:id="59" w:name="page60"/>
    <w:bookmarkEnd w:id="59"/>
    <w:p>
      <w:pPr>
        <w:ind w:left="700" w:hanging="264"/>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Headings. </w:t>
      </w: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117" w:lineRule="exact"/>
        <w:rPr>
          <w:rFonts w:ascii="Times New Roman" w:cs="Times New Roman" w:eastAsia="Times New Roman" w:hAnsi="Times New Roman"/>
          <w:sz w:val="18"/>
          <w:szCs w:val="18"/>
          <w:color w:val="auto"/>
        </w:rPr>
      </w:pPr>
    </w:p>
    <w:p>
      <w:pPr>
        <w:ind w:right="180" w:firstLine="436"/>
        <w:spacing w:after="0" w:line="284"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THE CONFLICTS OF LAW RULES THEREOF.</w:t>
      </w:r>
    </w:p>
    <w:p>
      <w:pPr>
        <w:spacing w:after="0" w:line="50" w:lineRule="exact"/>
        <w:rPr>
          <w:rFonts w:ascii="Times New Roman" w:cs="Times New Roman" w:eastAsia="Times New Roman" w:hAnsi="Times New Roman"/>
          <w:sz w:val="18"/>
          <w:szCs w:val="18"/>
          <w:color w:val="auto"/>
        </w:rPr>
      </w:pPr>
    </w:p>
    <w:p>
      <w:pPr>
        <w:ind w:firstLine="436"/>
        <w:spacing w:after="0" w:line="267"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In the event that any one or more of the provisions contained herein, or the application thereof in any circumstance, is held invalid,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or unenforceable, the validity, legality and enforceability of any such provision in every other respect and of the remaining provisions contained herein shall not be affected or impaired thereby.</w:t>
      </w:r>
    </w:p>
    <w:p>
      <w:pPr>
        <w:spacing w:after="0" w:line="65" w:lineRule="exact"/>
        <w:rPr>
          <w:rFonts w:ascii="Times New Roman" w:cs="Times New Roman" w:eastAsia="Times New Roman" w:hAnsi="Times New Roman"/>
          <w:sz w:val="18"/>
          <w:szCs w:val="18"/>
          <w:color w:val="auto"/>
        </w:rPr>
      </w:pPr>
    </w:p>
    <w:p>
      <w:pPr>
        <w:ind w:right="100" w:firstLine="436"/>
        <w:spacing w:after="0" w:line="258"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Entire Agreement. </w:t>
      </w:r>
      <w:r>
        <w:rPr>
          <w:rFonts w:ascii="Times New Roman" w:cs="Times New Roman" w:eastAsia="Times New Roman" w:hAnsi="Times New Roman"/>
          <w:sz w:val="18"/>
          <w:szCs w:val="18"/>
          <w:color w:val="auto"/>
        </w:rPr>
        <w:t>This Agreement is intended by the parties as a final expression of their agreement and intended to be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75" w:lineRule="exact"/>
        <w:rPr>
          <w:rFonts w:ascii="Times New Roman" w:cs="Times New Roman" w:eastAsia="Times New Roman" w:hAnsi="Times New Roman"/>
          <w:sz w:val="18"/>
          <w:szCs w:val="18"/>
          <w:color w:val="auto"/>
        </w:rPr>
      </w:pPr>
    </w:p>
    <w:p>
      <w:pPr>
        <w:jc w:val="both"/>
        <w:ind w:right="120" w:firstLine="436"/>
        <w:spacing w:after="0" w:line="267"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Beneficiaries. </w:t>
      </w:r>
      <w:r>
        <w:rPr>
          <w:rFonts w:ascii="Times New Roman" w:cs="Times New Roman" w:eastAsia="Times New Roman" w:hAnsi="Times New Roman"/>
          <w:sz w:val="18"/>
          <w:szCs w:val="18"/>
          <w:color w:val="auto"/>
        </w:rPr>
        <w:t>Each Holder shall be a third party beneficiary to the agreements made hereunder between the Company,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Initial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SIXTH STREET LENDING PARTNERS</w:t>
      </w:r>
    </w:p>
    <w:p>
      <w:pPr>
        <w:spacing w:after="0" w:line="237" w:lineRule="exact"/>
        <w:rPr>
          <w:sz w:val="20"/>
          <w:szCs w:val="20"/>
          <w:color w:val="auto"/>
        </w:rPr>
      </w:pPr>
    </w:p>
    <w:p>
      <w:pPr>
        <w:ind w:left="6180"/>
        <w:spacing w:after="0"/>
        <w:tabs>
          <w:tab w:leader="none" w:pos="8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Registration Rights Agreement is hereby confirmed and accepted as of the date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62" w:name="page63"/>
    <w:bookmarkEnd w:id="62"/>
    <w:p>
      <w:pPr>
        <w:ind w:left="93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ectPr>
          <w:pgSz w:w="11900" w:h="16838" w:orient="portrait"/>
          <w:cols w:equalWidth="0" w:num="1">
            <w:col w:w="10020"/>
          </w:cols>
          <w:pgMar w:left="1440" w:top="266" w:right="4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Lending Partners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$750,000,000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6.125% Notes due 2030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6, 2025</w:t>
      </w:r>
    </w:p>
    <w:p>
      <w:pPr>
        <w:spacing w:after="0" w:line="20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following sets forth the final terms of the 6.125% Notes due 2030 and should only be read together with the preliminary offering memorandum, dated January 6, 2025 (the “Preliminary Offering Memorandum”), and supersedes the information in the Preliminary Offering Memorandum to the extent inconsistent with the information in the Preliminary Offering Memorandum. In all other respects, this pricing term sheet is qualified in its entirety by reference to the Preliminary Offering Memorandum. Terms used herein but not defined herein shall have the respective meanings as set forth in the Preliminary Offering Memorandum. All references to dollar amounts are references to U.S. dollars.</w:t>
      </w:r>
    </w:p>
    <w:p>
      <w:pPr>
        <w:sectPr>
          <w:pgSz w:w="11900" w:h="16838" w:orient="portrait"/>
          <w:cols w:equalWidth="0" w:num="1">
            <w:col w:w="11000"/>
          </w:cols>
          <w:pgMar w:left="440" w:top="266" w:right="459" w:bottom="1440" w:gutter="0" w:footer="0" w:header="0"/>
        </w:sect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Lending Partners (the “Issuer”)</w:t>
      </w:r>
    </w:p>
    <w:p>
      <w:pPr>
        <w:spacing w:after="0" w:line="128"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6.125% Notes due 2030</w:t>
      </w:r>
    </w:p>
    <w:p>
      <w:pPr>
        <w:spacing w:after="0" w:line="129"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(Moody’s/Fitch/S&amp;P)*: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Baa3 (Stable)/BBB- (Stable)/BBB- (Stable)</w:t>
      </w:r>
    </w:p>
    <w:p>
      <w:pPr>
        <w:spacing w:after="0" w:line="129"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$750,000,000</w:t>
      </w:r>
    </w:p>
    <w:p>
      <w:pPr>
        <w:spacing w:after="0" w:line="129" w:lineRule="exact"/>
        <w:rPr>
          <w:sz w:val="20"/>
          <w:szCs w:val="20"/>
          <w:color w:val="auto"/>
        </w:rPr>
      </w:pPr>
    </w:p>
    <w:p>
      <w:pPr>
        <w:sectPr>
          <w:pgSz w:w="11900" w:h="16838" w:orient="portrait"/>
          <w:cols w:equalWidth="0" w:num="2">
            <w:col w:w="2720" w:space="48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July 15, 2030, unless earlier repurchased or redeemed</w:t>
      </w:r>
    </w:p>
    <w:p>
      <w:pPr>
        <w:spacing w:after="0" w:line="129"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6, 2025</w:t>
      </w:r>
    </w:p>
    <w:p>
      <w:pPr>
        <w:spacing w:after="0" w:line="129"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Issue Price:</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99.347% of their principal amount, plus accrued interest, if any, from January 13, 2025.</w:t>
      </w:r>
    </w:p>
    <w:p>
      <w:pPr>
        <w:spacing w:after="0" w:line="54"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6.125%</w:t>
      </w:r>
    </w:p>
    <w:p>
      <w:pPr>
        <w:spacing w:after="0" w:line="117"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6.267%</w:t>
      </w:r>
    </w:p>
    <w:p>
      <w:pPr>
        <w:spacing w:after="0" w:line="117"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T+185 bps</w:t>
      </w:r>
    </w:p>
    <w:p>
      <w:pPr>
        <w:spacing w:after="0" w:line="117"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4.375% due December 31, 2029</w:t>
      </w:r>
    </w:p>
    <w:p>
      <w:pPr>
        <w:spacing w:after="0" w:line="117"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99-26 / 4.417%</w:t>
      </w:r>
    </w:p>
    <w:p>
      <w:pPr>
        <w:spacing w:after="0" w:line="117" w:lineRule="exact"/>
        <w:rPr>
          <w:sz w:val="20"/>
          <w:szCs w:val="20"/>
          <w:color w:val="auto"/>
        </w:rPr>
      </w:pPr>
    </w:p>
    <w:p>
      <w:pPr>
        <w:sectPr>
          <w:pgSz w:w="11900" w:h="16838" w:orient="portrait"/>
          <w:cols w:equalWidth="0" w:num="2">
            <w:col w:w="2700" w:space="50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15 and July 15, commencing July 15, 2025</w:t>
      </w:r>
    </w:p>
    <w:p>
      <w:pPr>
        <w:spacing w:after="0" w:line="129"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Prior to June 15, 2030 (the “Par Call Date”), equal to the greater of the following amounts, plus, in each case, accrued and unpaid interest thereon to the redemption date:</w:t>
      </w:r>
    </w:p>
    <w:p>
      <w:pPr>
        <w:spacing w:after="0" w:line="54" w:lineRule="exact"/>
        <w:rPr>
          <w:sz w:val="20"/>
          <w:szCs w:val="20"/>
          <w:color w:val="auto"/>
        </w:rPr>
      </w:pPr>
    </w:p>
    <w:p>
      <w:pPr>
        <w:sectPr>
          <w:pgSz w:w="11900" w:h="16838" w:orient="portrait"/>
          <w:cols w:equalWidth="0" w:num="2">
            <w:col w:w="2480" w:space="720"/>
            <w:col w:w="7800"/>
          </w:cols>
          <w:pgMar w:left="440" w:top="266" w:right="45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hanging="26"/>
        <w:spacing w:after="0" w:line="261" w:lineRule="auto"/>
        <w:rPr>
          <w:sz w:val="20"/>
          <w:szCs w:val="20"/>
          <w:color w:val="auto"/>
        </w:rPr>
      </w:pPr>
      <w:r>
        <w:rPr>
          <w:rFonts w:ascii="Times New Roman" w:cs="Times New Roman" w:eastAsia="Times New Roman" w:hAnsi="Times New Roman"/>
          <w:sz w:val="18"/>
          <w:szCs w:val="18"/>
          <w:color w:val="auto"/>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ectPr>
          <w:pgSz w:w="11900" w:h="16838" w:orient="portrait"/>
          <w:cols w:equalWidth="0" w:num="2">
            <w:col w:w="3400" w:space="160"/>
            <w:col w:w="7440"/>
          </w:cols>
          <w:pgMar w:left="440" w:top="266" w:right="459" w:bottom="1440" w:gutter="0" w:footer="0" w:header="0"/>
          <w:type w:val="continuous"/>
        </w:sectPr>
      </w:pPr>
    </w:p>
    <w:bookmarkStart w:id="64" w:name="page65"/>
    <w:bookmarkEnd w:id="64"/>
    <w:p>
      <w:pPr>
        <w:ind w:left="3284"/>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 100% of the principal amount of the Notes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-206375</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3404" w:space="120"/>
            <w:col w:w="7460"/>
          </w:cols>
          <w:pgMar w:left="436" w:top="270" w:right="479" w:bottom="1440" w:gutter="0" w:footer="0" w:header="0"/>
        </w:sectPr>
      </w:pPr>
    </w:p>
    <w:p>
      <w:pPr>
        <w:jc w:val="both"/>
        <w:ind w:left="3204"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 redemption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Notes will be equal to 100% of the principal amount of the Notes to be redeemed, plus accrued and unpaid interest thereon to the date of redemption.</w:t>
      </w:r>
    </w:p>
    <w:p>
      <w:pPr>
        <w:sectPr>
          <w:pgSz w:w="11900" w:h="16838" w:orient="portrait"/>
          <w:cols w:equalWidth="0" w:num="1">
            <w:col w:w="10984"/>
          </w:cols>
          <w:pgMar w:left="436" w:top="270" w:right="479" w:bottom="1440" w:gutter="0" w:footer="0" w:header="0"/>
          <w:type w:val="continuous"/>
        </w:sectPr>
      </w:pP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54"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January 13, 2025 (T+5)</w:t>
      </w:r>
    </w:p>
    <w:p>
      <w:pPr>
        <w:spacing w:after="0" w:line="129"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144A and Reg S with registration rights as set forth in the Preliminary Offering Memorandum.</w:t>
      </w:r>
    </w:p>
    <w:p>
      <w:pPr>
        <w:spacing w:after="0" w:line="129"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144A: 829932AE2 / US829932AE25</w:t>
      </w:r>
    </w:p>
    <w:p>
      <w:pPr>
        <w:spacing w:after="0" w:line="129"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3204"/>
        <w:spacing w:after="0"/>
        <w:rPr>
          <w:sz w:val="20"/>
          <w:szCs w:val="20"/>
          <w:color w:val="auto"/>
        </w:rPr>
      </w:pPr>
      <w:r>
        <w:rPr>
          <w:rFonts w:ascii="Times New Roman" w:cs="Times New Roman" w:eastAsia="Times New Roman" w:hAnsi="Times New Roman"/>
          <w:sz w:val="17"/>
          <w:szCs w:val="17"/>
          <w:color w:val="auto"/>
        </w:rPr>
        <w:t>Reg S: U82912AD5 / USU82912AD52</w:t>
      </w:r>
    </w:p>
    <w:p>
      <w:pPr>
        <w:sectPr>
          <w:pgSz w:w="11900" w:h="16838" w:orient="portrait"/>
          <w:cols w:equalWidth="0" w:num="1">
            <w:col w:w="10984"/>
          </w:cols>
          <w:pgMar w:left="436" w:top="270" w:right="479" w:bottom="1440" w:gutter="0" w:footer="0" w:header="0"/>
          <w:type w:val="continuous"/>
        </w:sectPr>
      </w:pPr>
    </w:p>
    <w:p>
      <w:pPr>
        <w:spacing w:after="0" w:line="1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M&amp;T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9"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Synovus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Keefe, Bruyette &amp; Woods,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200" w:lineRule="exact"/>
        <w:rPr>
          <w:sz w:val="20"/>
          <w:szCs w:val="20"/>
          <w:color w:val="auto"/>
        </w:rPr>
      </w:pPr>
    </w:p>
    <w:p>
      <w:pPr>
        <w:sectPr>
          <w:pgSz w:w="11900" w:h="16838" w:orient="portrait"/>
          <w:cols w:equalWidth="0" w:num="2">
            <w:col w:w="2484" w:space="720"/>
            <w:col w:w="7780"/>
          </w:cols>
          <w:pgMar w:left="436" w:top="270" w:right="479" w:bottom="1440" w:gutter="0" w:footer="0" w:header="0"/>
          <w:type w:val="continuous"/>
        </w:sectPr>
      </w:pPr>
    </w:p>
    <w:p>
      <w:pPr>
        <w:spacing w:after="0" w:line="34" w:lineRule="exact"/>
        <w:rPr>
          <w:sz w:val="20"/>
          <w:szCs w:val="20"/>
          <w:color w:val="auto"/>
        </w:rPr>
      </w:pPr>
    </w:p>
    <w:p>
      <w:pPr>
        <w:jc w:val="both"/>
        <w:ind w:left="4" w:right="680" w:hanging="4"/>
        <w:spacing w:after="0" w:line="276" w:lineRule="auto"/>
        <w:tabs>
          <w:tab w:leader="none" w:pos="436"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A securities rating is not a recommendation to buy, sell or hold securities and may be subject to revision or withdrawal at any time. ** The Issuer expects that delivery of the Notes will be made to investors on or about January 13, 2025, which will be the fifth business day</w:t>
      </w:r>
    </w:p>
    <w:p>
      <w:pPr>
        <w:ind w:left="42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prior to the business day before the delivery of the Notes will be required by virtue of the fact that the Notes initially settle in T+5, to specify an alternate settlement arrangement at the time of any such trade to prevent a failed settlement and should consult their advisors.</w:t>
      </w:r>
    </w:p>
    <w:p>
      <w:pPr>
        <w:sectPr>
          <w:pgSz w:w="11900" w:h="16838" w:orient="portrait"/>
          <w:cols w:equalWidth="0" w:num="1">
            <w:col w:w="10984"/>
          </w:cols>
          <w:pgMar w:left="436" w:top="270" w:right="479" w:bottom="1440" w:gutter="0" w:footer="0" w:header="0"/>
          <w:type w:val="continuous"/>
        </w:sectPr>
      </w:pPr>
    </w:p>
    <w:bookmarkStart w:id="65" w:name="page66"/>
    <w:bookmarkEnd w:id="65"/>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have not been registered under the Securities Act of 1933, as amended (the “Securities Act”), or any state securities laws. Unless they are registered, any Notes may be offered only in transactions exempt from or not subject to registration under the Securities Act, or any state securities laws. Accordingly, the Notes have been offered only to persons reasonably believed to be qualified institutional buyers as defined in Rule 144A under the Securities Act or to non-U.S. persons outside the United States under Regulation S under the Securities Act.</w:t>
      </w:r>
    </w:p>
    <w:p>
      <w:pPr>
        <w:spacing w:after="0" w:line="68" w:lineRule="exact"/>
        <w:rPr>
          <w:sz w:val="20"/>
          <w:szCs w:val="20"/>
          <w:color w:val="auto"/>
        </w:rPr>
      </w:pPr>
    </w:p>
    <w:p>
      <w:pPr>
        <w:ind w:right="640"/>
        <w:spacing w:after="0" w:line="317" w:lineRule="auto"/>
        <w:rPr>
          <w:sz w:val="20"/>
          <w:szCs w:val="20"/>
          <w:color w:val="auto"/>
        </w:rPr>
      </w:pPr>
      <w:r>
        <w:rPr>
          <w:rFonts w:ascii="Times New Roman" w:cs="Times New Roman" w:eastAsia="Times New Roman" w:hAnsi="Times New Roman"/>
          <w:sz w:val="17"/>
          <w:szCs w:val="17"/>
          <w:b w:val="1"/>
          <w:bCs w:val="1"/>
          <w:color w:val="auto"/>
        </w:rPr>
        <w:t>Investors are advised to carefully consider the investment objectives, risks, charges and expenses of the Issuer before investing. The Preliminary Offering Memorandum contains this and other information about the Issuer and should be read carefully before investing.</w:t>
      </w:r>
    </w:p>
    <w:p>
      <w:pPr>
        <w:spacing w:after="0" w:line="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information in the Preliminary Offering Memorandum and in this pricing term sheet is not complete and may be changed. The Preliminary Offering Memorandum and this pricing term sheet are not offers to sell any securities of the Issuer and are not soliciting an offer to buy such securities in any state or jurisdiction where such offer and sale is not permitted. The Issuer, any initial purchaser or any dealer participating in the offering will arrange to send you the Preliminary Offering Memorandum if you request it by calling BofA Securities, Inc. at 1-800-294-1322.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decimal"/>
      <w:start w:val="1"/>
    </w:lvl>
  </w:abstractNum>
  <w:abstractNum w:abstractNumId="2">
    <w:nsid w:val="7644A45C"/>
    <w:multiLevelType w:val="hybridMultilevel"/>
    <w:lvl w:ilvl="0">
      <w:lvlJc w:val="left"/>
      <w:lvlText w:val="%1."/>
      <w:numFmt w:val="decimal"/>
      <w:start w:val="2"/>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1)"/>
      <w:numFmt w:val="lowerLetter"/>
      <w:start w:val="3"/>
    </w:lvl>
  </w:abstractNum>
  <w:abstractNum w:abstractNumId="5">
    <w:nsid w:val="579478FE"/>
    <w:multiLevelType w:val="hybridMultilevel"/>
    <w:lvl w:ilvl="0">
      <w:lvlJc w:val="left"/>
      <w:lvlText w:val="(%1)"/>
      <w:numFmt w:val="lowerLetter"/>
      <w:start w:val="4"/>
    </w:lvl>
    <w:lvl w:ilvl="1">
      <w:lvlJc w:val="left"/>
      <w:lvlText w:val="(%2)"/>
      <w:numFmt w:val="lowerRoman"/>
      <w:start w:val="1"/>
    </w:lvl>
  </w:abstractNum>
  <w:abstractNum w:abstractNumId="6">
    <w:nsid w:val="749ABB43"/>
    <w:multiLevelType w:val="hybridMultilevel"/>
    <w:lvl w:ilvl="0">
      <w:lvlJc w:val="left"/>
      <w:lvlText w:val="%1"/>
      <w:numFmt w:val="decimal"/>
      <w:start w:val="1"/>
    </w:lvl>
    <w:lvl w:ilvl="1">
      <w:lvlJc w:val="left"/>
      <w:lvlText w:val="(%2)"/>
      <w:numFmt w:val="lowerRoman"/>
      <w:start w:val="3"/>
    </w:lvl>
  </w:abstractNum>
  <w:abstractNum w:abstractNumId="7">
    <w:nsid w:val="3DC240FB"/>
    <w:multiLevelType w:val="hybridMultilevel"/>
    <w:lvl w:ilvl="0">
      <w:lvlJc w:val="left"/>
      <w:lvlText w:val="%1."/>
      <w:numFmt w:val="decimal"/>
      <w:start w:val="3"/>
    </w:lvl>
    <w:lvl w:ilvl="1">
      <w:lvlJc w:val="left"/>
      <w:lvlText w:val="%2"/>
      <w:numFmt w:val="lowerRoman"/>
      <w:start w:val="1"/>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1"/>
      <w:numFmt w:val="lowerRoman"/>
      <w:start w:val="1"/>
    </w:lvl>
    <w:lvl w:ilvl="1">
      <w:lvlJc w:val="left"/>
      <w:lvlText w:val="(%2)"/>
      <w:numFmt w:val="lowerLetter"/>
      <w:start w:val="4"/>
    </w:lvl>
  </w:abstractNum>
  <w:abstractNum w:abstractNumId="10">
    <w:nsid w:val="75C6C33A"/>
    <w:multiLevelType w:val="hybridMultilevel"/>
    <w:lvl w:ilvl="0">
      <w:lvlJc w:val="left"/>
      <w:lvlText w:val="(%1)"/>
      <w:numFmt w:val="lowerRoman"/>
      <w:start w:val="1"/>
    </w:lvl>
    <w:lvl w:ilvl="1">
      <w:lvlJc w:val="left"/>
      <w:lvlText w:val="(%2)"/>
      <w:numFmt w:val="lowerLetter"/>
      <w:start w:val="7"/>
    </w:lvl>
  </w:abstractNum>
  <w:abstractNum w:abstractNumId="11">
    <w:nsid w:val="12E685FB"/>
    <w:multiLevelType w:val="hybridMultilevel"/>
    <w:lvl w:ilvl="0">
      <w:lvlJc w:val="left"/>
      <w:lvlText w:val="(%1)"/>
      <w:numFmt w:val="lowerLetter"/>
      <w:start w:val="8"/>
    </w:lvl>
  </w:abstractNum>
  <w:abstractNum w:abstractNumId="12">
    <w:nsid w:val="70C6A529"/>
    <w:multiLevelType w:val="hybridMultilevel"/>
    <w:lvl w:ilvl="0">
      <w:lvlJc w:val="left"/>
      <w:lvlText w:val="(%1)"/>
      <w:numFmt w:val="lowerLetter"/>
      <w:start w:val="12"/>
    </w:lvl>
  </w:abstractNum>
  <w:abstractNum w:abstractNumId="13">
    <w:nsid w:val="520EEDD1"/>
    <w:multiLevelType w:val="hybridMultilevel"/>
    <w:lvl w:ilvl="0">
      <w:lvlJc w:val="left"/>
      <w:lvlText w:val="(%1)"/>
      <w:numFmt w:val="lowerLetter"/>
      <w:start w:val="17"/>
    </w:lvl>
  </w:abstractNum>
  <w:abstractNum w:abstractNumId="14">
    <w:nsid w:val="374A3FE6"/>
    <w:multiLevelType w:val="hybridMultilevel"/>
    <w:lvl w:ilvl="0">
      <w:lvlJc w:val="left"/>
      <w:lvlText w:val="(%1)"/>
      <w:numFmt w:val="lowerLetter"/>
      <w:start w:val="23"/>
    </w:lvl>
  </w:abstractNum>
  <w:abstractNum w:abstractNumId="15">
    <w:nsid w:val="4F4EF005"/>
    <w:multiLevelType w:val="hybridMultilevel"/>
    <w:lvl w:ilvl="0">
      <w:lvlJc w:val="left"/>
      <w:lvlText w:val="(%1)"/>
      <w:numFmt w:val="lowerLetter"/>
      <w:start w:val="26"/>
    </w:lvl>
  </w:abstractNum>
  <w:abstractNum w:abstractNumId="16">
    <w:nsid w:val="23F9C13C"/>
    <w:multiLevelType w:val="hybridMultilevel"/>
    <w:lvl w:ilvl="0">
      <w:lvlJc w:val="left"/>
      <w:lvlText w:val="(%1)"/>
      <w:numFmt w:val="lowerLetter"/>
      <w:start w:val="27"/>
    </w:lvl>
  </w:abstractNum>
  <w:abstractNum w:abstractNumId="17">
    <w:nsid w:val="649BB77C"/>
    <w:multiLevelType w:val="hybridMultilevel"/>
    <w:lvl w:ilvl="0">
      <w:lvlJc w:val="left"/>
      <w:lvlText w:val="%1"/>
      <w:numFmt w:val="lowerLetter"/>
      <w:start w:val="1"/>
    </w:lvl>
    <w:lvl w:ilvl="1">
      <w:lvlJc w:val="left"/>
      <w:lvlText w:val="(%2)"/>
      <w:numFmt w:val="lowerLetter"/>
      <w:start w:val="30"/>
    </w:lvl>
  </w:abstractNum>
  <w:abstractNum w:abstractNumId="18">
    <w:nsid w:val="275AC794"/>
    <w:multiLevelType w:val="hybridMultilevel"/>
    <w:lvl w:ilvl="0">
      <w:lvlJc w:val="left"/>
      <w:lvlText w:val="(%1)"/>
      <w:numFmt w:val="lowerLetter"/>
      <w:start w:val="9"/>
    </w:lvl>
    <w:lvl w:ilvl="1">
      <w:lvlJc w:val="left"/>
      <w:lvlText w:val="(%2)"/>
      <w:numFmt w:val="lowerLetter"/>
      <w:start w:val="32"/>
    </w:lvl>
  </w:abstractNum>
  <w:abstractNum w:abstractNumId="19">
    <w:nsid w:val="39386575"/>
    <w:multiLevelType w:val="hybridMultilevel"/>
    <w:lvl w:ilvl="0">
      <w:lvlJc w:val="left"/>
      <w:lvlText w:val="(%1)"/>
      <w:numFmt w:val="lowerLetter"/>
      <w:start w:val="35"/>
    </w:lvl>
  </w:abstractNum>
  <w:abstractNum w:abstractNumId="20">
    <w:nsid w:val="1CF10FD8"/>
    <w:multiLevelType w:val="hybridMultilevel"/>
    <w:lvl w:ilvl="0">
      <w:lvlJc w:val="left"/>
      <w:lvlText w:val="%1"/>
      <w:numFmt w:val="lowerLetter"/>
      <w:start w:val="1"/>
    </w:lvl>
    <w:lvl w:ilvl="1">
      <w:lvlJc w:val="left"/>
      <w:lvlText w:val="(%2)"/>
      <w:numFmt w:val="lowerLetter"/>
      <w:start w:val="38"/>
    </w:lvl>
  </w:abstractNum>
  <w:abstractNum w:abstractNumId="21">
    <w:nsid w:val="180115BE"/>
    <w:multiLevelType w:val="hybridMultilevel"/>
    <w:lvl w:ilvl="0">
      <w:lvlJc w:val="left"/>
      <w:lvlText w:val="(%1)"/>
      <w:numFmt w:val="lowerLetter"/>
      <w:start w:val="9"/>
    </w:lvl>
    <w:lvl w:ilvl="1">
      <w:lvlJc w:val="left"/>
      <w:lvlText w:val="(%2)"/>
      <w:numFmt w:val="lowerLetter"/>
      <w:start w:val="40"/>
    </w:lvl>
  </w:abstractNum>
  <w:abstractNum w:abstractNumId="22">
    <w:nsid w:val="235BA861"/>
    <w:multiLevelType w:val="hybridMultilevel"/>
    <w:lvl w:ilvl="0">
      <w:lvlJc w:val="left"/>
      <w:lvlText w:val="(%1)"/>
      <w:numFmt w:val="lowerLetter"/>
      <w:start w:val="61"/>
    </w:lvl>
    <w:lvl w:ilvl="1">
      <w:lvlJc w:val="left"/>
      <w:lvlText w:val="%2"/>
      <w:numFmt w:val="lowerLetter"/>
      <w:start w:val="1"/>
    </w:lvl>
  </w:abstractNum>
  <w:abstractNum w:abstractNumId="23">
    <w:nsid w:val="47398C89"/>
    <w:multiLevelType w:val="hybridMultilevel"/>
    <w:lvl w:ilvl="0">
      <w:lvlJc w:val="left"/>
      <w:lvlText w:val="(%1)"/>
      <w:numFmt w:val="lowerLetter"/>
      <w:start w:val="41"/>
    </w:lvl>
  </w:abstractNum>
  <w:abstractNum w:abstractNumId="24">
    <w:nsid w:val="354FE9F9"/>
    <w:multiLevelType w:val="hybridMultilevel"/>
    <w:lvl w:ilvl="0">
      <w:lvlJc w:val="left"/>
      <w:lvlText w:val="(%1)"/>
      <w:numFmt w:val="lowerLetter"/>
      <w:start w:val="44"/>
    </w:lvl>
  </w:abstractNum>
  <w:abstractNum w:abstractNumId="25">
    <w:nsid w:val="15B5AF5C"/>
    <w:multiLevelType w:val="hybridMultilevel"/>
    <w:lvl w:ilvl="0">
      <w:lvlJc w:val="left"/>
      <w:lvlText w:val="%1"/>
      <w:numFmt w:val="lowerLetter"/>
      <w:start w:val="1"/>
    </w:lvl>
    <w:lvl w:ilvl="1">
      <w:lvlJc w:val="left"/>
      <w:lvlText w:val="(%2)"/>
      <w:numFmt w:val="lowerLetter"/>
      <w:start w:val="1"/>
    </w:lvl>
  </w:abstractNum>
  <w:abstractNum w:abstractNumId="26">
    <w:nsid w:val="741226BB"/>
    <w:multiLevelType w:val="hybridMultilevel"/>
    <w:lvl w:ilvl="0">
      <w:lvlJc w:val="left"/>
      <w:lvlText w:val="(%1)"/>
      <w:numFmt w:val="lowerLetter"/>
      <w:start w:val="9"/>
    </w:lvl>
    <w:lvl w:ilvl="1">
      <w:lvlJc w:val="left"/>
      <w:lvlText w:val="(%2)"/>
      <w:numFmt w:val="lowerLetter"/>
      <w:start w:val="2"/>
    </w:lvl>
  </w:abstractNum>
  <w:abstractNum w:abstractNumId="27">
    <w:nsid w:val="D34B6A8"/>
    <w:multiLevelType w:val="hybridMultilevel"/>
    <w:lvl w:ilvl="0">
      <w:lvlJc w:val="left"/>
      <w:lvlText w:val="(%1)"/>
      <w:numFmt w:val="lowerLetter"/>
      <w:start w:val="3"/>
    </w:lvl>
  </w:abstractNum>
  <w:abstractNum w:abstractNumId="28">
    <w:nsid w:val="10233C99"/>
    <w:multiLevelType w:val="hybridMultilevel"/>
    <w:lvl w:ilvl="0">
      <w:lvlJc w:val="left"/>
      <w:lvlText w:val="(%1)"/>
      <w:numFmt w:val="lowerLetter"/>
      <w:start w:val="8"/>
    </w:lvl>
  </w:abstractNum>
  <w:abstractNum w:abstractNumId="29">
    <w:nsid w:val="3F6AB60F"/>
    <w:multiLevelType w:val="hybridMultilevel"/>
    <w:lvl w:ilvl="0">
      <w:lvlJc w:val="left"/>
      <w:lvlText w:val="%1"/>
      <w:numFmt w:val="lowerRoman"/>
      <w:start w:val="1"/>
    </w:lvl>
    <w:lvl w:ilvl="1">
      <w:lvlJc w:val="left"/>
      <w:lvlText w:val="(%2)"/>
      <w:numFmt w:val="lowerLetter"/>
      <w:start w:val="12"/>
    </w:lvl>
  </w:abstractNum>
  <w:abstractNum w:abstractNumId="30">
    <w:nsid w:val="61574095"/>
    <w:multiLevelType w:val="hybridMultilevel"/>
    <w:lvl w:ilvl="0">
      <w:lvlJc w:val="left"/>
      <w:lvlText w:val="(%1)"/>
      <w:numFmt w:val="lowerRoman"/>
      <w:start w:val="1"/>
    </w:lvl>
    <w:lvl w:ilvl="1">
      <w:lvlJc w:val="left"/>
      <w:lvlText w:val="%2"/>
      <w:numFmt w:val="lowerLetter"/>
      <w:start w:val="1"/>
    </w:lvl>
  </w:abstractNum>
  <w:abstractNum w:abstractNumId="31">
    <w:nsid w:val="7E0C57B1"/>
    <w:multiLevelType w:val="hybridMultilevel"/>
    <w:lvl w:ilvl="0">
      <w:lvlJc w:val="left"/>
      <w:lvlText w:val="(%1)"/>
      <w:numFmt w:val="lowerRoman"/>
      <w:start w:val="3"/>
    </w:lvl>
    <w:lvl w:ilvl="1">
      <w:lvlJc w:val="left"/>
      <w:lvlText w:val="(%2)"/>
      <w:numFmt w:val="lowerLetter"/>
      <w:start w:val="14"/>
    </w:lvl>
  </w:abstractNum>
  <w:abstractNum w:abstractNumId="32">
    <w:nsid w:val="77AE35EB"/>
    <w:multiLevelType w:val="hybridMultilevel"/>
    <w:lvl w:ilvl="0">
      <w:lvlJc w:val="left"/>
      <w:lvlText w:val="(%1)"/>
      <w:numFmt w:val="lowerRoman"/>
      <w:start w:val="3"/>
    </w:lvl>
    <w:lvl w:ilvl="1">
      <w:lvlJc w:val="left"/>
      <w:lvlText w:val="(%2)"/>
      <w:numFmt w:val="lowerLetter"/>
      <w:start w:val="15"/>
    </w:lvl>
  </w:abstractNum>
  <w:abstractNum w:abstractNumId="33">
    <w:nsid w:val="579BE4F1"/>
    <w:multiLevelType w:val="hybridMultilevel"/>
    <w:lvl w:ilvl="0">
      <w:lvlJc w:val="left"/>
      <w:lvlText w:val="%1"/>
      <w:numFmt w:val="decimal"/>
      <w:start w:val="1"/>
    </w:lvl>
    <w:lvl w:ilvl="1">
      <w:lvlJc w:val="left"/>
      <w:lvlText w:val="(%2)"/>
      <w:numFmt w:val="lowerLetter"/>
      <w:start w:val="17"/>
    </w:lvl>
  </w:abstractNum>
  <w:abstractNum w:abstractNumId="34">
    <w:nsid w:val="310C50B3"/>
    <w:multiLevelType w:val="hybridMultilevel"/>
    <w:lvl w:ilvl="0">
      <w:lvlJc w:val="left"/>
      <w:lvlText w:val="(%1)"/>
      <w:numFmt w:val="decimal"/>
      <w:start w:val="2"/>
    </w:lvl>
    <w:lvl w:ilvl="1">
      <w:lvlJc w:val="left"/>
      <w:lvlText w:val="(%2)"/>
      <w:numFmt w:val="lowerLetter"/>
      <w:start w:val="20"/>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3"/>
    </w:lvl>
  </w:abstractNum>
  <w:abstractNum w:abstractNumId="37">
    <w:nsid w:val="25A70BF7"/>
    <w:multiLevelType w:val="hybridMultilevel"/>
    <w:lvl w:ilvl="0">
      <w:lvlJc w:val="left"/>
      <w:lvlText w:val="(%1)"/>
      <w:numFmt w:val="lowerLetter"/>
      <w:start w:val="6"/>
    </w:lvl>
  </w:abstractNum>
  <w:abstractNum w:abstractNumId="38">
    <w:nsid w:val="1DBABF00"/>
    <w:multiLevelType w:val="hybridMultilevel"/>
    <w:lvl w:ilvl="0">
      <w:lvlJc w:val="left"/>
      <w:lvlText w:val="(%1)"/>
      <w:numFmt w:val="lowerLetter"/>
      <w:start w:val="12"/>
    </w:lvl>
  </w:abstractNum>
  <w:abstractNum w:abstractNumId="39">
    <w:nsid w:val="4AD084E9"/>
    <w:multiLevelType w:val="hybridMultilevel"/>
    <w:lvl w:ilvl="0">
      <w:lvlJc w:val="left"/>
      <w:lvlText w:val="(%1)"/>
      <w:numFmt w:val="lowerLetter"/>
      <w:start w:val="18"/>
    </w:lvl>
  </w:abstractNum>
  <w:abstractNum w:abstractNumId="40">
    <w:nsid w:val="1F48EAA1"/>
    <w:multiLevelType w:val="hybridMultilevel"/>
    <w:lvl w:ilvl="0">
      <w:lvlJc w:val="left"/>
      <w:lvlText w:val="%1."/>
      <w:numFmt w:val="decimal"/>
      <w:start w:val="6"/>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lowerLetter"/>
      <w:start w:val="1"/>
    </w:lvl>
    <w:lvl w:ilvl="1">
      <w:lvlJc w:val="left"/>
      <w:lvlText w:val="(%2)"/>
      <w:numFmt w:val="lowerLetter"/>
      <w:start w:val="4"/>
    </w:lvl>
  </w:abstractNum>
  <w:abstractNum w:abstractNumId="43">
    <w:nsid w:val="100F8FCA"/>
    <w:multiLevelType w:val="hybridMultilevel"/>
    <w:lvl w:ilvl="0">
      <w:lvlJc w:val="left"/>
      <w:lvlText w:val="(%1)"/>
      <w:numFmt w:val="lowerLetter"/>
      <w:start w:val="35"/>
    </w:lvl>
    <w:lvl w:ilvl="1">
      <w:lvlJc w:val="left"/>
      <w:lvlText w:val="(%2)"/>
      <w:numFmt w:val="lowerLetter"/>
      <w:start w:val="5"/>
    </w:lvl>
  </w:abstractNum>
  <w:abstractNum w:abstractNumId="44">
    <w:nsid w:val="6590700B"/>
    <w:multiLevelType w:val="hybridMultilevel"/>
    <w:lvl w:ilvl="0">
      <w:lvlJc w:val="left"/>
      <w:lvlText w:val="(%1)"/>
      <w:numFmt w:val="lowerLetter"/>
      <w:start w:val="9"/>
    </w:lvl>
  </w:abstractNum>
  <w:abstractNum w:abstractNumId="45">
    <w:nsid w:val="15014ACB"/>
    <w:multiLevelType w:val="hybridMultilevel"/>
    <w:lvl w:ilvl="0">
      <w:lvlJc w:val="left"/>
      <w:lvlText w:val="%1."/>
      <w:numFmt w:val="decimal"/>
      <w:start w:val="8"/>
    </w:lvl>
  </w:abstractNum>
  <w:abstractNum w:abstractNumId="46">
    <w:nsid w:val="5F5E7FD0"/>
    <w:multiLevelType w:val="hybridMultilevel"/>
    <w:lvl w:ilvl="0">
      <w:lvlJc w:val="left"/>
      <w:lvlText w:val="(%1)"/>
      <w:numFmt w:val="lowerLetter"/>
      <w:start w:val="1"/>
    </w:lvl>
  </w:abstractNum>
  <w:abstractNum w:abstractNumId="47">
    <w:nsid w:val="98A3148"/>
    <w:multiLevelType w:val="hybridMultilevel"/>
    <w:lvl w:ilvl="0">
      <w:lvlJc w:val="left"/>
      <w:lvlText w:val="(%1)"/>
      <w:numFmt w:val="lowerLetter"/>
      <w:start w:val="2"/>
    </w:lvl>
  </w:abstractNum>
  <w:abstractNum w:abstractNumId="48">
    <w:nsid w:val="799D0247"/>
    <w:multiLevelType w:val="hybridMultilevel"/>
    <w:lvl w:ilvl="0">
      <w:lvlJc w:val="left"/>
      <w:lvlText w:val="(%1)"/>
      <w:numFmt w:val="lowerLetter"/>
      <w:start w:val="4"/>
    </w:lvl>
  </w:abstractNum>
  <w:abstractNum w:abstractNumId="49">
    <w:nsid w:val="6B94764"/>
    <w:multiLevelType w:val="hybridMultilevel"/>
    <w:lvl w:ilvl="0">
      <w:lvlJc w:val="left"/>
      <w:lvlText w:val="(%1)"/>
      <w:numFmt w:val="lowerLetter"/>
      <w:start w:val="5"/>
    </w:lvl>
  </w:abstractNum>
  <w:abstractNum w:abstractNumId="50">
    <w:nsid w:val="42C296BD"/>
    <w:multiLevelType w:val="hybridMultilevel"/>
    <w:lvl w:ilvl="0">
      <w:lvlJc w:val="left"/>
      <w:lvlText w:val="%1."/>
      <w:numFmt w:val="decimal"/>
      <w:start w:val="9"/>
    </w:lvl>
  </w:abstractNum>
  <w:abstractNum w:abstractNumId="51">
    <w:nsid w:val="168E121F"/>
    <w:multiLevelType w:val="hybridMultilevel"/>
    <w:lvl w:ilvl="0">
      <w:lvlJc w:val="left"/>
      <w:lvlText w:val="%1."/>
      <w:numFmt w:val="decimal"/>
      <w:start w:val="11"/>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3"/>
    </w:lvl>
  </w:abstractNum>
  <w:abstractNum w:abstractNumId="54">
    <w:nsid w:val="5DC79EA8"/>
    <w:multiLevelType w:val="hybridMultilevel"/>
    <w:lvl w:ilvl="0">
      <w:lvlJc w:val="left"/>
      <w:lvlText w:val="(%1)"/>
      <w:numFmt w:val="lowerLetter"/>
      <w:start w:val="4"/>
    </w:lvl>
  </w:abstractNum>
  <w:abstractNum w:abstractNumId="55">
    <w:nsid w:val="540A471C"/>
    <w:multiLevelType w:val="hybridMultilevel"/>
    <w:lvl w:ilvl="0">
      <w:lvlJc w:val="left"/>
      <w:lvlText w:val="%1."/>
      <w:numFmt w:val="decimal"/>
      <w:start w:val="12"/>
    </w:lvl>
  </w:abstractNum>
  <w:abstractNum w:abstractNumId="56">
    <w:nsid w:val="7BD3EE7B"/>
    <w:multiLevelType w:val="hybridMultilevel"/>
    <w:lvl w:ilvl="0">
      <w:lvlJc w:val="left"/>
      <w:lvlText w:val="(%1)"/>
      <w:numFmt w:val="lowerLetter"/>
      <w:start w:val="1"/>
    </w:lvl>
  </w:abstractNum>
  <w:abstractNum w:abstractNumId="57">
    <w:nsid w:val="51D9C564"/>
    <w:multiLevelType w:val="hybridMultilevel"/>
    <w:lvl w:ilvl="0">
      <w:lvlJc w:val="left"/>
      <w:lvlText w:val="%1."/>
      <w:numFmt w:val="decimal"/>
      <w:start w:val="13"/>
    </w:lvl>
  </w:abstractNum>
  <w:abstractNum w:abstractNumId="58">
    <w:nsid w:val="613EFDC5"/>
    <w:multiLevelType w:val="hybridMultilevel"/>
    <w:lvl w:ilvl="0">
      <w:lvlJc w:val="left"/>
      <w:lvlText w:val="%1."/>
      <w:numFmt w:val="decimal"/>
      <w:start w:val="14"/>
    </w:lvl>
  </w:abstractNum>
  <w:abstractNum w:abstractNumId="59">
    <w:nsid w:val="BF72B14"/>
    <w:multiLevelType w:val="hybridMultilevel"/>
    <w:lvl w:ilvl="0">
      <w:lvlJc w:val="left"/>
      <w:lvlText w:val="%1"/>
      <w:numFmt w:val="lowerLetter"/>
      <w:start w:val="1"/>
    </w:lvl>
    <w:lvl w:ilvl="1">
      <w:lvlJc w:val="left"/>
      <w:lvlText w:val="(%2)"/>
      <w:numFmt w:val="lowerLetter"/>
      <w:start w:val="1"/>
    </w:lvl>
  </w:abstractNum>
  <w:abstractNum w:abstractNumId="60">
    <w:nsid w:val="11447B73"/>
    <w:multiLevelType w:val="hybridMultilevel"/>
    <w:lvl w:ilvl="0">
      <w:lvlJc w:val="left"/>
      <w:lvlText w:val="(%1)"/>
      <w:numFmt w:val="lowerLetter"/>
      <w:start w:val="9"/>
    </w:lvl>
    <w:lvl w:ilvl="1">
      <w:lvlJc w:val="left"/>
      <w:lvlText w:val="%2"/>
      <w:numFmt w:val="lowerLetter"/>
      <w:start w:val="1"/>
    </w:lvl>
  </w:abstractNum>
  <w:abstractNum w:abstractNumId="61">
    <w:nsid w:val="42963E5A"/>
    <w:multiLevelType w:val="hybridMultilevel"/>
    <w:lvl w:ilvl="0">
      <w:lvlJc w:val="left"/>
      <w:lvlText w:val="%1."/>
      <w:numFmt w:val="decimal"/>
      <w:start w:val="17"/>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lowerLetter"/>
      <w:start w:val="3"/>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1)"/>
      <w:numFmt w:val="lowerLetter"/>
      <w:start w:val="2"/>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1"/>
    </w:lvl>
    <w:lvl w:ilvl="1">
      <w:lvlJc w:val="left"/>
      <w:lvlText w:val="(%2)"/>
      <w:numFmt w:val="lowerLetter"/>
      <w:start w:val="24"/>
    </w:lvl>
  </w:abstractNum>
  <w:abstractNum w:abstractNumId="71">
    <w:nsid w:val="7FFFCA11"/>
    <w:multiLevelType w:val="hybridMultilevel"/>
    <w:lvl w:ilvl="0">
      <w:lvlJc w:val="left"/>
      <w:lvlText w:val="(%1)"/>
      <w:numFmt w:val="lowerLetter"/>
      <w:start w:val="61"/>
    </w:lvl>
    <w:lvl w:ilvl="1">
      <w:lvlJc w:val="left"/>
      <w:lvlText w:val="(%2)"/>
      <w:numFmt w:val="lowerLetter"/>
      <w:start w:val="25"/>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lowerLetter"/>
      <w:start w:val="1"/>
    </w:lvl>
  </w:abstractNum>
  <w:abstractNum w:abstractNumId="74">
    <w:nsid w:val="100F59DC"/>
    <w:multiLevelType w:val="hybridMultilevel"/>
    <w:lvl w:ilvl="0">
      <w:lvlJc w:val="left"/>
      <w:lvlText w:val="%1"/>
      <w:numFmt w:val="upperLetter"/>
      <w:start w:val="1"/>
    </w:lvl>
    <w:lvl w:ilvl="1">
      <w:lvlJc w:val="left"/>
      <w:lvlText w:val="(%2)"/>
      <w:numFmt w:val="lowerRoman"/>
      <w:start w:val="1"/>
    </w:lvl>
  </w:abstractNum>
  <w:abstractNum w:abstractNumId="75">
    <w:nsid w:val="7FB7E0AA"/>
    <w:multiLevelType w:val="hybridMultilevel"/>
    <w:lvl w:ilvl="0">
      <w:lvlJc w:val="left"/>
      <w:lvlText w:val="(%1)"/>
      <w:numFmt w:val="upperLetter"/>
      <w:start w:val="2"/>
    </w:lvl>
    <w:lvl w:ilvl="1">
      <w:lvlJc w:val="left"/>
      <w:lvlText w:val="%2"/>
      <w:numFmt w:val="lowerRoman"/>
      <w:start w:val="1"/>
    </w:lvl>
  </w:abstractNum>
  <w:abstractNum w:abstractNumId="76">
    <w:nsid w:val="6EB5BD4"/>
    <w:multiLevelType w:val="hybridMultilevel"/>
    <w:lvl w:ilvl="0">
      <w:lvlJc w:val="left"/>
      <w:lvlText w:val="(%1)"/>
      <w:numFmt w:val="lowerLetter"/>
      <w:start w:val="2"/>
    </w:lvl>
    <w:lvl w:ilvl="1">
      <w:lvlJc w:val="left"/>
      <w:lvlText w:val="(%2)"/>
      <w:numFmt w:val="lowerRoman"/>
      <w:start w:val="1"/>
    </w:lvl>
  </w:abstractNum>
  <w:abstractNum w:abstractNumId="77">
    <w:nsid w:val="6F6DD9AC"/>
    <w:multiLevelType w:val="hybridMultilevel"/>
    <w:lvl w:ilvl="0">
      <w:lvlJc w:val="left"/>
      <w:lvlText w:val="%1"/>
      <w:numFmt w:val="upperLetter"/>
      <w:start w:val="1"/>
    </w:lvl>
    <w:lvl w:ilvl="1">
      <w:lvlJc w:val="left"/>
      <w:lvlText w:val="(%2)"/>
      <w:numFmt w:val="lowerRoman"/>
      <w:start w:val="3"/>
    </w:lvl>
  </w:abstractNum>
  <w:abstractNum w:abstractNumId="78">
    <w:nsid w:val="94211F2"/>
    <w:multiLevelType w:val="hybridMultilevel"/>
    <w:lvl w:ilvl="0">
      <w:lvlJc w:val="left"/>
      <w:lvlText w:val="(%1)"/>
      <w:numFmt w:val="upperLetter"/>
      <w:start w:val="1"/>
    </w:lvl>
    <w:lvl w:ilvl="1">
      <w:lvlJc w:val="left"/>
      <w:lvlText w:val="%2"/>
      <w:numFmt w:val="lowerRoman"/>
      <w:start w:val="1"/>
    </w:lvl>
  </w:abstractNum>
  <w:abstractNum w:abstractNumId="79">
    <w:nsid w:val="885E1B"/>
    <w:multiLevelType w:val="hybridMultilevel"/>
    <w:lvl w:ilvl="0">
      <w:lvlJc w:val="left"/>
      <w:lvlText w:val="(%1)"/>
      <w:numFmt w:val="upperLetter"/>
      <w:start w:val="3"/>
    </w:lvl>
    <w:lvl w:ilvl="1">
      <w:lvlJc w:val="left"/>
      <w:lvlText w:val="(%2)"/>
      <w:numFmt w:val="lowerRoman"/>
      <w:start w:val="5"/>
    </w:lvl>
  </w:abstractNum>
  <w:abstractNum w:abstractNumId="80">
    <w:nsid w:val="76272110"/>
    <w:multiLevelType w:val="hybridMultilevel"/>
    <w:lvl w:ilvl="0">
      <w:lvlJc w:val="left"/>
      <w:lvlText w:val="(%1)"/>
      <w:numFmt w:val="lowerRoman"/>
      <w:start w:val="6"/>
    </w:lvl>
  </w:abstractNum>
  <w:abstractNum w:abstractNumId="81">
    <w:nsid w:val="4C04A8AF"/>
    <w:multiLevelType w:val="hybridMultilevel"/>
    <w:lvl w:ilvl="0">
      <w:lvlJc w:val="left"/>
      <w:lvlText w:val="(%1)"/>
      <w:numFmt w:val="upperLetter"/>
      <w:start w:val="1"/>
    </w:lvl>
    <w:lvl w:ilvl="1">
      <w:lvlJc w:val="left"/>
      <w:lvlText w:val="(%2)"/>
      <w:numFmt w:val="decimal"/>
      <w:start w:val="1"/>
    </w:lvl>
  </w:abstractNum>
  <w:abstractNum w:abstractNumId="82">
    <w:nsid w:val="1716703B"/>
    <w:multiLevelType w:val="hybridMultilevel"/>
    <w:lvl w:ilvl="0">
      <w:lvlJc w:val="left"/>
      <w:lvlText w:val="(%1)"/>
      <w:numFmt w:val="lowerRoman"/>
      <w:start w:val="12"/>
    </w:lvl>
  </w:abstractNum>
  <w:abstractNum w:abstractNumId="83">
    <w:nsid w:val="14E17E33"/>
    <w:multiLevelType w:val="hybridMultilevel"/>
    <w:lvl w:ilvl="0">
      <w:lvlJc w:val="left"/>
      <w:lvlText w:val="(%1)"/>
      <w:numFmt w:val="lowerRoman"/>
      <w:start w:val="14"/>
    </w:lvl>
  </w:abstractNum>
  <w:abstractNum w:abstractNumId="84">
    <w:nsid w:val="3222E7CD"/>
    <w:multiLevelType w:val="hybridMultilevel"/>
    <w:lvl w:ilvl="0">
      <w:lvlJc w:val="left"/>
      <w:lvlText w:val="(%1)"/>
      <w:numFmt w:val="lowerRoman"/>
      <w:start w:val="20"/>
    </w:lvl>
  </w:abstractNum>
  <w:abstractNum w:abstractNumId="85">
    <w:nsid w:val="74DE0EE3"/>
    <w:multiLevelType w:val="hybridMultilevel"/>
    <w:lvl w:ilvl="0">
      <w:lvlJc w:val="left"/>
      <w:lvlText w:val="(%1)"/>
      <w:numFmt w:val="lowerRoman"/>
      <w:start w:val="16"/>
    </w:lvl>
  </w:abstractNum>
  <w:abstractNum w:abstractNumId="86">
    <w:nsid w:val="68EBC550"/>
    <w:multiLevelType w:val="hybridMultilevel"/>
    <w:lvl w:ilvl="0">
      <w:lvlJc w:val="left"/>
      <w:lvlText w:val="(%1)"/>
      <w:numFmt w:val="lowerLetter"/>
      <w:start w:val="1"/>
    </w:lvl>
  </w:abstractNum>
  <w:abstractNum w:abstractNumId="87">
    <w:nsid w:val="2DF6D648"/>
    <w:multiLevelType w:val="hybridMultilevel"/>
    <w:lvl w:ilvl="0">
      <w:lvlJc w:val="left"/>
      <w:lvlText w:val="(%1)"/>
      <w:numFmt w:val="lowerLetter"/>
      <w:start w:val="2"/>
    </w:lvl>
  </w:abstractNum>
  <w:abstractNum w:abstractNumId="88">
    <w:nsid w:val="46B7D447"/>
    <w:multiLevelType w:val="hybridMultilevel"/>
    <w:lvl w:ilvl="0">
      <w:lvlJc w:val="left"/>
      <w:lvlText w:val="(%1)"/>
      <w:numFmt w:val="lowerLetter"/>
      <w:start w:val="1"/>
    </w:lvl>
  </w:abstractNum>
  <w:abstractNum w:abstractNumId="89">
    <w:nsid w:val="4A2AC315"/>
    <w:multiLevelType w:val="hybridMultilevel"/>
    <w:lvl w:ilvl="0">
      <w:lvlJc w:val="left"/>
      <w:lvlText w:val="(%1)"/>
      <w:numFmt w:val="lowerLetter"/>
      <w:start w:val="4"/>
    </w:lvl>
    <w:lvl w:ilvl="1">
      <w:lvlJc w:val="left"/>
      <w:lvlText w:val="(%2)"/>
      <w:numFmt w:val="lowerRoman"/>
      <w:start w:val="1"/>
    </w:lvl>
  </w:abstractNum>
  <w:abstractNum w:abstractNumId="90">
    <w:nsid w:val="39EE015C"/>
    <w:multiLevelType w:val="hybridMultilevel"/>
    <w:lvl w:ilvl="0">
      <w:lvlJc w:val="left"/>
      <w:lvlText w:val="(%1)"/>
      <w:numFmt w:val="lowerLetter"/>
      <w:start w:val="6"/>
    </w:lvl>
  </w:abstractNum>
  <w:abstractNum w:abstractNumId="91">
    <w:nsid w:val="57FC4FBB"/>
    <w:multiLevelType w:val="hybridMultilevel"/>
    <w:lvl w:ilvl="0">
      <w:lvlJc w:val="left"/>
      <w:lvlText w:val="(%1)"/>
      <w:numFmt w:val="lowerLetter"/>
      <w:start w:val="8"/>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2025-01-10T15:25:17Z</dcterms:created>
  <dcterms:modified xsi:type="dcterms:W3CDTF">2025-01-10T15:25:17Z</dcterms:modified>
</cp:coreProperties>
</file>