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65601d40appa.htm"/>
      <w:bookmarkStart w:id="1" w:name="ksd865601d40appa"/>
      <w:bookmarkEnd w:id="0"/>
      <w:bookmarkEnd w:id="1"/>
      <w:r>
        <w:rPr>
          <w:rFonts w:ascii="Times New Roman" w:hAnsi="Times New Roman"/>
          <w:sz w:val="20"/>
        </w:rPr>
        <w:t xml:space="preserve">File No. 812-15729 </w:t>
      </w:r>
    </w:p>
    <w:p>
      <w:pPr>
        <w:pStyle w:val="TextBody"/>
        <w:bidi w:val="0"/>
        <w:spacing w:before="480" w:after="0"/>
        <w:jc w:val="center"/>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In the Matter of the Application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SIXTH STREET SPECIALTY LENDING ADVISERS, LLC, SIXTH STREET OPPORTUNITIES PARTNERS III (A), L.P., SIXTH STREET OPPORTUNITIES PARTNERS III (B), L.P., SIXTH STREET OPPORTUNITIES PARTNERS III (C), L.P., TOP III DELAWARE AIV I-A, L.P., OPPS III DELAWARE AIV I-B, L.P., SIXTH STREET OPPORTUNITIES PARTNERS IV (A), L.P., SIXTH STREET OPPORTUNITIES PARTNERS IV (B), L.P., SIXTH STREET OPPORTUNITIES PARTNERS IV (C), L.P., OPPS IV DELAWARE AIV I-A, L.P., OPPS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 SIXTH STREET GROWTH PARTNERS (A), L.P., SIXTH STREET GROWTH PARTNERS (B), L.P., SIXTH STREET GROWTH PARTNERS (A) AIV, L.P., SIXTH STREET GROWTH PARTNERS (B) AIV, L.P., SIXTH STREET GROWTH PARTNERS II (A), L.P., SIXTH STREET GROWTH PARTNERS II (B), L.P., SIXTH STREET GROWTH II (A) AIV, L.P., SIXTH STREET GROWTH II (B) AIV, L.P., GROWTH II LENDING, LLC, SIXTH STREET FUNDAMENTAL STRATEGIES PARTNERS (A), L.P., SIXTH STREET FUNDAMENTAL STRATEGIES PARTNERS (B), L.P., SIXTH STREET FS AIV I-A, L.P., SIXTH STREET FS AIV I-B, L.P., SIXTH STREET SPECIALTY LENDING EUROPE II,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VI 2016-2, LTD., TICP CLO VII, LTD., SIXTH STREET CLO VIII, LTD., SIXTH STREET CLO IX, LTD., TICP CLO XI, LTD., TICP CLO XII, LTD., SIXTH STREET CLO XIII, LTD., SIXTH STREET CLO XIV, LTD., SIXTH STREET CLO XV, LTD., SIXTH STREET CLO XVI, LTD., SIXTH STREET CLO XVII, LTD., SIXTH STREET CLO XVIII, LTD., SIXTH STREET CLO XIX, LTD., SIXTH STREET CLO XX, LTD., SIXTH STREET CLO EQUITY FUND IV,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MID-STAGE GROWTH PARTNERS (A), L.P., SIXTH STREET MID-STAGE GROWTH PARTNERS (B), L.P., SIXTH STREET MID-STAGE GROWTH (A) AIV, L.P., SIXTH STREET MID-STAGE GROWTH (B) AIV, L.P., SIXTH STREET ADVISERS, LLC, SIXTH STREET FUNDAMENTAL STRATEGIES I MANAGEMENT, LLC, SIXTH STREET OPPORTUNITIES III MANAGEMENT, LLC, SIXTH STREET OPPORTUNITIES IV MANAGEMENT, LLC, SIXTH STREET OPPORTUNITIES V MANAGEMENT, LLC, SIXTH STREET TAO MANAGEMENT, LLC, SIXTH STREET GROWTH I MANAGEMENT, LLC, SIXTH STREET GROWTH II MANAGEMENT, LLC, SIXTH STREET SPECIALTY LENDING EUROPE II MANAGEMENT, LLC, SIXTH STREET AGRICULTURE MANAGEMENT, LLC, SIXTH STREET STRATEGIC HOLDINGS MANAGEMENT, LLC, SIXTH STREET CMS DYNAMIC CREDIT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 LLC, TICP CLO VI 2016-2 MANAGEMENT, LLC, TICP CLO VII MANAGEMENT, LLC, SIXTH STREET CLO VIII MANAGEMENT, LLC, SIXTH STREET CLO IX MANAGEMENT, LLC, TICP CLO XI MANAGEMENT, LLC, TICP CLO XII MANAGEMENT, LLC, SIXTH STREET CLO XIII MANAGEMENT, LLC, SIXTH STREET CLO XIV MANAGEMENT, LLC, SIXTH STREET CLO XV MANAGEMENT, LLC, SIXTH STREET CLO XVI MANAGEMENT, LLC, SIXTH STREET CLO XVII MANAGEMENT, LLC, SIXTH STREET CLO XVIII MANAGEMENT, LLC, SIXTH STREET CLO XIX MANAGEMENT, LLC, SIXTH STREET CLO XX MANAGEMENT, LLC, SIXTH STREET CLO EQUITY IV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 STRUCTURED CREDIT OPPORTUNITIES V MANAGEMENT, LLC, SIXTH STREET CLO ADVISERS II, LLC, TSSP INSTITUTIONAL CREDIT III MANAGEMENT, LLC, SIXTH STREET CREDIT MARKET STRATEGIES MANAGEMENT, LLC, SIXTH STREET MID-STAGE GROWTH I MANAGEMENT, LLC, SIXTH STREET MADRONE STRATEGIC HOLDINGS MANAGEMENT, LLC, SIXTH STREET PRIVATE ASSET BASED INVESTMENT I MANAGEMENT, LLC, SIXTH STREET SPORTS AND LIVE ENTERTAINMENT MANAGEMENT, LLC, SIXTH STREET SPECIALTY LENDING EUROPE III MANAGEMENT, LLC, SIXTH STREET CLO XXI MANAGEMENT, LLC, SIXTH STREET CLO XXII MANAGEMENT, LLC, SIXTH STREET CLO XXIII MANAGEMENT, LLC, SIXTH STREET CLO XXIV MANAGEMENT, LLC, SIXTH STREET CLO XXV MANAGEMENT, LLC, SIXTH STREET CLO XXVI MANAGEMENT, LLC, SIXTH STREET CLO 27 MANAGEMENT, LLC, MSGP LENDING, LLC, SIXTH STREET AGRICULTURE PARTNERS (B), L.P., SIXTH STREET RED RIVER CREDIT FUND, L.P., SIXTH STREET MADRONE STRATEGIC HOLDINGS I, L.P. SERIES I, SIXTH STREET MADRONE STRATEGIC HOLDINGS I, L.P. SERIES II, SIXTH STREET PRIVATE ASSET BASED INVESTMENT FUND I, L.P., SIXTH STREET SPORTS AND LIVE ENTERTAINMENT (A), L.P., SIXTH STREET SPORTS AND LIVE ENTERTAINMENT (B), L.P., SIXTH STREET SPORTS AND LIVE ENTERTAINMENT DELAWARE AIV I-A, L.P., SIXTH STREET SPORTS AND LIVE ENTERTAINMENT DELAWARE AIV I-B, L.P., SIXTH STREET SPECIALTY LENDING EUROPE III (A), L.P., SIXTH STREET SPECIALTY LENDING EUROPE III (A) AIF, SCSP, SIXTH STREET SPECIALTY LENDING EUROPE III (B) AIF, SCSP, TAO REDSTONE (C) AIV-1, L.P., TAO REDSTONE (C) AIV-2, L.P., TAO REDSTONE (E) AIV-1, L.P., TAO REDSTONE (E) AIV-2, L.P., SIXTH STREET CLO XXI, LTD., SIXTH STREET CLO XXII, LTD., SIXTH STREET CLO XXIII, LTD., SIXTH STREET CLO XXIV, LTD., SIXTH STREET CLO XXV, LTD., SIXTH STREET CLO XXVI, LTD., SIXTH STREET CLO 27, LTD., SIXTH STREET LENDING PARTNERS ADVISERS, LLC AND 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center"/>
        <w:rPr>
          <w:rFonts w:ascii="Times New Roman" w:hAnsi="Times New Roman"/>
          <w:sz w:val="20"/>
        </w:rPr>
      </w:pPr>
      <w:r>
        <w:rPr>
          <w:rFonts w:ascii="Times New Roman" w:hAnsi="Times New Roman"/>
          <w:sz w:val="20"/>
        </w:rPr>
        <w:t xml:space="preserve">(469) 621-3001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sz w:val="20"/>
        </w:rPr>
      </w:pPr>
      <w:r>
        <w:rPr>
          <w:rFonts w:ascii="Times New Roman" w:hAnsi="Times New Roman"/>
          <w:sz w:val="20"/>
        </w:rPr>
        <w:t xml:space="preserve">AMENDMENT NO. 1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All Communications, Notices and Orders to: </w:t>
      </w:r>
    </w:p>
    <w:p>
      <w:pPr>
        <w:pStyle w:val="TextBody"/>
        <w:bidi w:val="0"/>
        <w:spacing w:before="480" w:after="0"/>
        <w:jc w:val="center"/>
        <w:rPr>
          <w:rFonts w:ascii="Times New Roman" w:hAnsi="Times New Roman"/>
          <w:b/>
          <w:sz w:val="20"/>
        </w:rPr>
      </w:pPr>
      <w:r>
        <w:rPr>
          <w:rFonts w:ascii="Times New Roman" w:hAnsi="Times New Roman"/>
          <w:b/>
          <w:sz w:val="20"/>
        </w:rPr>
        <w:t xml:space="preserve">Joshua Peck </w:t>
      </w:r>
    </w:p>
    <w:p>
      <w:pPr>
        <w:pStyle w:val="TextBody"/>
        <w:bidi w:val="0"/>
        <w:spacing w:before="0" w:after="0"/>
        <w:jc w:val="center"/>
        <w:rPr>
          <w:rFonts w:ascii="Times New Roman" w:hAnsi="Times New Roman"/>
          <w:b/>
          <w:sz w:val="20"/>
        </w:rPr>
      </w:pPr>
      <w:r>
        <w:rPr>
          <w:rFonts w:ascii="Times New Roman" w:hAnsi="Times New Roman"/>
          <w:b/>
          <w:sz w:val="20"/>
        </w:rPr>
        <w:t xml:space="preserve">c/o 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1 Letterman Drive, Building B, Suite B6-100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94129 </w:t>
      </w:r>
    </w:p>
    <w:p>
      <w:pPr>
        <w:pStyle w:val="TextBody"/>
        <w:bidi w:val="0"/>
        <w:spacing w:before="0" w:after="0"/>
        <w:jc w:val="center"/>
        <w:rPr>
          <w:rFonts w:ascii="Times New Roman" w:hAnsi="Times New Roman"/>
          <w:b/>
          <w:sz w:val="20"/>
        </w:rPr>
      </w:pPr>
      <w:r>
        <w:rPr>
          <w:rFonts w:ascii="Times New Roman" w:hAnsi="Times New Roman"/>
          <w:b/>
          <w:sz w:val="20"/>
        </w:rPr>
        <w:t xml:space="preserve">Email: JPeck@sixthstreet.com </w:t>
      </w:r>
    </w:p>
    <w:p>
      <w:pPr>
        <w:pStyle w:val="TextBody"/>
        <w:bidi w:val="0"/>
        <w:spacing w:before="0" w:after="0"/>
        <w:jc w:val="center"/>
        <w:rPr>
          <w:rFonts w:ascii="Times New Roman" w:hAnsi="Times New Roman"/>
          <w:b/>
          <w:sz w:val="20"/>
        </w:rPr>
      </w:pPr>
      <w:r>
        <w:rPr>
          <w:rFonts w:ascii="Times New Roman" w:hAnsi="Times New Roman"/>
          <w:b/>
          <w:sz w:val="20"/>
        </w:rPr>
        <w:t xml:space="preserve">(415) 486-5900 </w:t>
      </w:r>
      <w:r>
        <w:br w:type="page"/>
      </w:r>
    </w:p>
    <w:p>
      <w:pPr>
        <w:pStyle w:val="HorizontalLine"/>
        <w:pBdr>
          <w:bottom w:val="double" w:sz="6" w:space="0" w:color="808080"/>
        </w:pBdr>
        <w:bidi w:val="0"/>
        <w:jc w:val="left"/>
        <w:rPr/>
      </w:pPr>
      <w:r>
        <w:rPr/>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Rajib Chanda </w:t>
      </w:r>
    </w:p>
    <w:p>
      <w:pPr>
        <w:pStyle w:val="TextBody"/>
        <w:bidi w:val="0"/>
        <w:spacing w:before="0" w:after="0"/>
        <w:jc w:val="center"/>
        <w:rPr>
          <w:rFonts w:ascii="Times New Roman" w:hAnsi="Times New Roman"/>
          <w:b/>
          <w:sz w:val="20"/>
        </w:rPr>
      </w:pPr>
      <w:r>
        <w:rPr>
          <w:rFonts w:ascii="Times New Roman" w:hAnsi="Times New Roman"/>
          <w:b/>
          <w:sz w:val="20"/>
        </w:rPr>
        <w:t xml:space="preserve">Steven Grigoriou </w:t>
      </w:r>
    </w:p>
    <w:p>
      <w:pPr>
        <w:pStyle w:val="TextBody"/>
        <w:bidi w:val="0"/>
        <w:spacing w:before="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900 G Street NW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20001 </w:t>
      </w:r>
    </w:p>
    <w:p>
      <w:pPr>
        <w:pStyle w:val="TextBody"/>
        <w:bidi w:val="0"/>
        <w:spacing w:before="0" w:after="0"/>
        <w:jc w:val="center"/>
        <w:rPr>
          <w:rFonts w:ascii="Times New Roman" w:hAnsi="Times New Roman"/>
          <w:b/>
          <w:sz w:val="20"/>
        </w:rPr>
      </w:pPr>
      <w:r>
        <w:rPr>
          <w:rFonts w:ascii="Times New Roman" w:hAnsi="Times New Roman"/>
          <w:b/>
          <w:sz w:val="20"/>
        </w:rPr>
        <w:t xml:space="preserve">(202) 636-5500 </w:t>
      </w:r>
    </w:p>
    <w:p>
      <w:pPr>
        <w:pStyle w:val="TextBody"/>
        <w:bidi w:val="0"/>
        <w:spacing w:before="240" w:after="0"/>
        <w:jc w:val="center"/>
        <w:rPr>
          <w:rFonts w:ascii="Times New Roman" w:hAnsi="Times New Roman"/>
          <w:sz w:val="20"/>
        </w:rPr>
      </w:pPr>
      <w:r>
        <w:rPr>
          <w:rFonts w:ascii="Times New Roman" w:hAnsi="Times New Roman"/>
          <w:sz w:val="20"/>
        </w:rPr>
        <w:t xml:space="preserve">April 4,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OF AMERICA </w:t>
      </w:r>
    </w:p>
    <w:p>
      <w:pPr>
        <w:pStyle w:val="TextBody"/>
        <w:bidi w:val="0"/>
        <w:spacing w:before="0" w:after="0"/>
        <w:jc w:val="center"/>
        <w:rPr>
          <w:rFonts w:ascii="Times New Roman" w:hAnsi="Times New Roman"/>
          <w:b/>
          <w:sz w:val="20"/>
        </w:rPr>
      </w:pPr>
      <w:r>
        <w:rPr>
          <w:rFonts w:ascii="Times New Roman" w:hAnsi="Times New Roman"/>
          <w:b/>
          <w:sz w:val="20"/>
        </w:rPr>
        <w:t xml:space="preserve">BEFORE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AND EXCHANGE COMMISSION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0"/>
        <w:gridCol w:w="120"/>
        <w:gridCol w:w="111"/>
        <w:gridCol w:w="120"/>
        <w:gridCol w:w="6084"/>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84" w:type="dxa"/>
            <w:tcBorders/>
            <w:vAlign w:val="center"/>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i/>
              </w:rPr>
            </w:pPr>
            <w:r>
              <w:rPr>
                <w:i/>
              </w:rPr>
              <w:t>In the Matter of:</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AMENDMENT NO. 1 TO THE APPLICATION FOR AN ORDER PURSUANT</w:t>
            </w:r>
          </w:p>
        </w:tc>
      </w:tr>
      <w:tr>
        <w:trPr/>
        <w:tc>
          <w:tcPr>
            <w:tcW w:w="37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TO SECTIONS 17(d) AND 57(i) OF THE</w:t>
            </w:r>
          </w:p>
        </w:tc>
      </w:tr>
      <w:tr>
        <w:trPr/>
        <w:tc>
          <w:tcPr>
            <w:tcW w:w="3770" w:type="dxa"/>
            <w:tcBorders/>
          </w:tcPr>
          <w:p>
            <w:pPr>
              <w:pStyle w:val="TableContents"/>
              <w:bidi w:val="0"/>
              <w:spacing w:before="0" w:after="283"/>
              <w:jc w:val="left"/>
              <w:rPr/>
            </w:pPr>
            <w:r>
              <w:rPr/>
              <w:t>Sixth Street Specialty Lending, Inc.</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INVESTMENT COMPANY ACT OF 1940 AND</w:t>
            </w:r>
          </w:p>
        </w:tc>
      </w:tr>
      <w:tr>
        <w:trPr/>
        <w:tc>
          <w:tcPr>
            <w:tcW w:w="3770" w:type="dxa"/>
            <w:tcBorders/>
          </w:tcPr>
          <w:p>
            <w:pPr>
              <w:pStyle w:val="TableContents"/>
              <w:bidi w:val="0"/>
              <w:spacing w:before="0" w:after="283"/>
              <w:jc w:val="left"/>
              <w:rPr/>
            </w:pPr>
            <w:r>
              <w:rPr/>
              <w:t>Sixth Street Specialty Lending Advisers, LLC</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RULE 17d-1 UNDER THE INVESTMENT</w:t>
            </w:r>
          </w:p>
        </w:tc>
      </w:tr>
      <w:tr>
        <w:trPr/>
        <w:tc>
          <w:tcPr>
            <w:tcW w:w="3770" w:type="dxa"/>
            <w:tcBorders/>
          </w:tcPr>
          <w:p>
            <w:pPr>
              <w:pStyle w:val="TableContents"/>
              <w:bidi w:val="0"/>
              <w:spacing w:before="0" w:after="283"/>
              <w:jc w:val="left"/>
              <w:rPr/>
            </w:pPr>
            <w:r>
              <w:rPr/>
              <w:t>Sixth Street Opportunities Partners III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COMPANY ACT OF 1940 PERMITTING</w:t>
            </w:r>
          </w:p>
        </w:tc>
      </w:tr>
      <w:tr>
        <w:trPr/>
        <w:tc>
          <w:tcPr>
            <w:tcW w:w="3770" w:type="dxa"/>
            <w:tcBorders/>
          </w:tcPr>
          <w:p>
            <w:pPr>
              <w:pStyle w:val="TableContents"/>
              <w:bidi w:val="0"/>
              <w:spacing w:before="0" w:after="283"/>
              <w:jc w:val="left"/>
              <w:rPr/>
            </w:pPr>
            <w:r>
              <w:rPr/>
              <w:t>Sixth Street Opportunities Partners III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CERTAIN JOINT TRANSACTIONS</w:t>
            </w:r>
          </w:p>
        </w:tc>
      </w:tr>
      <w:tr>
        <w:trPr/>
        <w:tc>
          <w:tcPr>
            <w:tcW w:w="3770" w:type="dxa"/>
            <w:tcBorders/>
          </w:tcPr>
          <w:p>
            <w:pPr>
              <w:pStyle w:val="TableContents"/>
              <w:bidi w:val="0"/>
              <w:spacing w:before="0" w:after="283"/>
              <w:jc w:val="left"/>
              <w:rPr/>
            </w:pPr>
            <w:r>
              <w:rPr/>
              <w:t>Sixth Street Opportunities Partners III (C),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OTHERWISE PROHIBITED BY SECTIONS</w:t>
            </w:r>
          </w:p>
        </w:tc>
      </w:tr>
      <w:tr>
        <w:trPr/>
        <w:tc>
          <w:tcPr>
            <w:tcW w:w="3770" w:type="dxa"/>
            <w:tcBorders/>
          </w:tcPr>
          <w:p>
            <w:pPr>
              <w:pStyle w:val="TableContents"/>
              <w:bidi w:val="0"/>
              <w:spacing w:before="0" w:after="283"/>
              <w:jc w:val="left"/>
              <w:rPr/>
            </w:pPr>
            <w:r>
              <w:rPr/>
              <w:t>TOP III Delaware AIV 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17(d) AND 57(a)(4) OF AND RULE 17d-1</w:t>
            </w:r>
          </w:p>
        </w:tc>
      </w:tr>
      <w:tr>
        <w:trPr/>
        <w:tc>
          <w:tcPr>
            <w:tcW w:w="3770" w:type="dxa"/>
            <w:tcBorders/>
          </w:tcPr>
          <w:p>
            <w:pPr>
              <w:pStyle w:val="TableContents"/>
              <w:bidi w:val="0"/>
              <w:spacing w:before="0" w:after="283"/>
              <w:jc w:val="left"/>
              <w:rPr/>
            </w:pPr>
            <w:r>
              <w:rPr/>
              <w:t>Opps III Delaware AIV I-B,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UNDER THE INVESTMENT COMPANY ACT</w:t>
            </w:r>
          </w:p>
        </w:tc>
      </w:tr>
      <w:tr>
        <w:trPr/>
        <w:tc>
          <w:tcPr>
            <w:tcW w:w="3770" w:type="dxa"/>
            <w:tcBorders/>
          </w:tcPr>
          <w:p>
            <w:pPr>
              <w:pStyle w:val="TableContents"/>
              <w:bidi w:val="0"/>
              <w:spacing w:before="0" w:after="283"/>
              <w:jc w:val="left"/>
              <w:rPr/>
            </w:pPr>
            <w:r>
              <w:rPr/>
              <w:t>Sixth Street Opportunities Partners IV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b/>
              </w:rPr>
            </w:pPr>
            <w:r>
              <w:rPr>
                <w:b/>
              </w:rPr>
              <w:t>OF 1940</w:t>
            </w:r>
          </w:p>
        </w:tc>
      </w:tr>
      <w:tr>
        <w:trPr/>
        <w:tc>
          <w:tcPr>
            <w:tcW w:w="3770" w:type="dxa"/>
            <w:tcBorders/>
          </w:tcPr>
          <w:p>
            <w:pPr>
              <w:pStyle w:val="TableContents"/>
              <w:bidi w:val="0"/>
              <w:spacing w:before="0" w:after="283"/>
              <w:jc w:val="left"/>
              <w:rPr/>
            </w:pPr>
            <w:r>
              <w:rPr/>
              <w:t>Sixth Street Opportunities Partners IV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Opportunities Partners IV (C),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Opps IV Delaware AIV 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Opps IV Delaware AIV I-B,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Opportunities Partners V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Opportunities Partners V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Opportunities Partners V (C),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Opps V Delaware AIV 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Opps V Delaware AIV I-B,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(C),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(D),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(E),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TAO Partners (F),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Super TAO Contingent MA,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Knight TAO,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Super TAO MA,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PSERS TAO Partners Parallel Fund,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TAO (B) AIV II-A,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TAO (C) AIV II-A,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TAO (D) AIV II-A,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TAO (E) AIV II-A,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Partners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Partners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Partners (A) AIV,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Partners (B) AIV,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Partners II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Partners II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II (A) AIV,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Growth II (B) AIV,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Growth II Lending, LLC</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Fundamental Strategies Partners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Fundamental Strategies Partners (B),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FS AIV I-A,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FS AIV I-B,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Specialty Lending Europe II,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Agriculture Partners (A),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Bluegrass Strategic Holdings I,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Willow Strategic Holdings I,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283"/>
              <w:jc w:val="left"/>
              <w:rPr/>
            </w:pPr>
            <w:r>
              <w:rPr/>
              <w:t>Sixth Street Cottonwood Strategic Holdings I, L.P.</w:t>
            </w:r>
          </w:p>
        </w:tc>
        <w:tc>
          <w:tcPr>
            <w:tcW w:w="120" w:type="dxa"/>
            <w:tcBorders/>
            <w:vAlign w:val="bottom"/>
          </w:tcPr>
          <w:p>
            <w:pPr>
              <w:pStyle w:val="TableContents"/>
              <w:bidi w:val="0"/>
              <w:spacing w:before="0" w:after="283"/>
              <w:jc w:val="left"/>
              <w:rPr/>
            </w:pPr>
            <w:r>
              <w:rPr/>
              <w:t>  </w:t>
            </w:r>
          </w:p>
        </w:tc>
        <w:tc>
          <w:tcPr>
            <w:tcW w:w="1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84"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Dogwood Strategic Holdings 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Red Pine Strategic Holdings 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CMS Dynamic Credit Fund, L.P. </w:t>
      </w:r>
    </w:p>
    <w:p>
      <w:pPr>
        <w:pStyle w:val="TextBody"/>
        <w:bidi w:val="0"/>
        <w:spacing w:before="0" w:after="0"/>
        <w:jc w:val="left"/>
        <w:rPr>
          <w:rFonts w:ascii="Times New Roman" w:hAnsi="Times New Roman"/>
          <w:sz w:val="20"/>
        </w:rPr>
      </w:pPr>
      <w:r>
        <w:rPr>
          <w:rFonts w:ascii="Times New Roman" w:hAnsi="Times New Roman"/>
          <w:sz w:val="20"/>
        </w:rPr>
        <w:t xml:space="preserve">TCS Lending, LLC </w:t>
      </w:r>
    </w:p>
    <w:p>
      <w:pPr>
        <w:pStyle w:val="TextBody"/>
        <w:bidi w:val="0"/>
        <w:spacing w:before="0" w:after="0"/>
        <w:jc w:val="left"/>
        <w:rPr>
          <w:rFonts w:ascii="Times New Roman" w:hAnsi="Times New Roman"/>
          <w:sz w:val="20"/>
        </w:rPr>
      </w:pPr>
      <w:r>
        <w:rPr>
          <w:rFonts w:ascii="Times New Roman" w:hAnsi="Times New Roman"/>
          <w:sz w:val="20"/>
        </w:rPr>
        <w:t xml:space="preserve">TDL Lending, LLC </w:t>
      </w:r>
    </w:p>
    <w:p>
      <w:pPr>
        <w:pStyle w:val="TextBody"/>
        <w:bidi w:val="0"/>
        <w:spacing w:before="0" w:after="0"/>
        <w:jc w:val="left"/>
        <w:rPr>
          <w:rFonts w:ascii="Times New Roman" w:hAnsi="Times New Roman"/>
          <w:sz w:val="20"/>
        </w:rPr>
      </w:pPr>
      <w:r>
        <w:rPr>
          <w:rFonts w:ascii="Times New Roman" w:hAnsi="Times New Roman"/>
          <w:sz w:val="20"/>
        </w:rPr>
        <w:t xml:space="preserve">TOP IV Lending, LLC </w:t>
      </w:r>
    </w:p>
    <w:p>
      <w:pPr>
        <w:pStyle w:val="TextBody"/>
        <w:bidi w:val="0"/>
        <w:spacing w:before="0" w:after="0"/>
        <w:jc w:val="left"/>
        <w:rPr>
          <w:rFonts w:ascii="Times New Roman" w:hAnsi="Times New Roman"/>
          <w:sz w:val="20"/>
        </w:rPr>
      </w:pPr>
      <w:r>
        <w:rPr>
          <w:rFonts w:ascii="Times New Roman" w:hAnsi="Times New Roman"/>
          <w:sz w:val="20"/>
        </w:rPr>
        <w:t xml:space="preserve">Opps V Lending, LLC </w:t>
      </w:r>
    </w:p>
    <w:p>
      <w:pPr>
        <w:pStyle w:val="TextBody"/>
        <w:bidi w:val="0"/>
        <w:spacing w:before="0" w:after="0"/>
        <w:jc w:val="left"/>
        <w:rPr>
          <w:rFonts w:ascii="Times New Roman" w:hAnsi="Times New Roman"/>
          <w:sz w:val="20"/>
        </w:rPr>
      </w:pPr>
      <w:r>
        <w:rPr>
          <w:rFonts w:ascii="Times New Roman" w:hAnsi="Times New Roman"/>
          <w:sz w:val="20"/>
        </w:rPr>
        <w:t xml:space="preserve">FS I Lending, LLC </w:t>
      </w:r>
    </w:p>
    <w:p>
      <w:pPr>
        <w:pStyle w:val="TextBody"/>
        <w:bidi w:val="0"/>
        <w:spacing w:before="0" w:after="0"/>
        <w:jc w:val="left"/>
        <w:rPr>
          <w:rFonts w:ascii="Times New Roman" w:hAnsi="Times New Roman"/>
          <w:sz w:val="20"/>
        </w:rPr>
      </w:pPr>
      <w:r>
        <w:rPr>
          <w:rFonts w:ascii="Times New Roman" w:hAnsi="Times New Roman"/>
          <w:sz w:val="20"/>
        </w:rPr>
        <w:t xml:space="preserve">TICP CLO VI 2016-2, Ltd. </w:t>
      </w:r>
    </w:p>
    <w:p>
      <w:pPr>
        <w:pStyle w:val="TextBody"/>
        <w:bidi w:val="0"/>
        <w:spacing w:before="0" w:after="0"/>
        <w:jc w:val="left"/>
        <w:rPr>
          <w:rFonts w:ascii="Times New Roman" w:hAnsi="Times New Roman"/>
          <w:sz w:val="20"/>
        </w:rPr>
      </w:pPr>
      <w:r>
        <w:rPr>
          <w:rFonts w:ascii="Times New Roman" w:hAnsi="Times New Roman"/>
          <w:sz w:val="20"/>
        </w:rPr>
        <w:t xml:space="preserve">TICP CLO VII,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VIII,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IX, Ltd. </w:t>
      </w:r>
    </w:p>
    <w:p>
      <w:pPr>
        <w:pStyle w:val="TextBody"/>
        <w:bidi w:val="0"/>
        <w:spacing w:before="0" w:after="0"/>
        <w:jc w:val="left"/>
        <w:rPr>
          <w:rFonts w:ascii="Times New Roman" w:hAnsi="Times New Roman"/>
          <w:sz w:val="20"/>
        </w:rPr>
      </w:pPr>
      <w:r>
        <w:rPr>
          <w:rFonts w:ascii="Times New Roman" w:hAnsi="Times New Roman"/>
          <w:sz w:val="20"/>
        </w:rPr>
        <w:t xml:space="preserve">TICP CLO XI, Ltd. </w:t>
      </w:r>
    </w:p>
    <w:p>
      <w:pPr>
        <w:pStyle w:val="TextBody"/>
        <w:bidi w:val="0"/>
        <w:spacing w:before="0" w:after="0"/>
        <w:jc w:val="left"/>
        <w:rPr>
          <w:rFonts w:ascii="Times New Roman" w:hAnsi="Times New Roman"/>
          <w:sz w:val="20"/>
        </w:rPr>
      </w:pPr>
      <w:r>
        <w:rPr>
          <w:rFonts w:ascii="Times New Roman" w:hAnsi="Times New Roman"/>
          <w:sz w:val="20"/>
        </w:rPr>
        <w:t xml:space="preserve">TICP CLO XII,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XIII,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XIV,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XVIII,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XIX,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Equity Fund IV, L.P. </w:t>
      </w:r>
    </w:p>
    <w:p>
      <w:pPr>
        <w:pStyle w:val="TextBody"/>
        <w:bidi w:val="0"/>
        <w:spacing w:before="0" w:after="0"/>
        <w:jc w:val="left"/>
        <w:rPr>
          <w:rFonts w:ascii="Times New Roman" w:hAnsi="Times New Roman"/>
          <w:sz w:val="20"/>
        </w:rPr>
      </w:pPr>
      <w:r>
        <w:rPr>
          <w:rFonts w:ascii="Times New Roman" w:hAnsi="Times New Roman"/>
          <w:sz w:val="20"/>
        </w:rPr>
        <w:t xml:space="preserve">Sixth Street Wheeler Peak Rotational Credit Fund I,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Rotational Credit Fund III, L.P. </w:t>
      </w:r>
    </w:p>
    <w:p>
      <w:pPr>
        <w:pStyle w:val="TextBody"/>
        <w:bidi w:val="0"/>
        <w:spacing w:before="0" w:after="0"/>
        <w:jc w:val="left"/>
        <w:rPr>
          <w:rFonts w:ascii="Times New Roman" w:hAnsi="Times New Roman"/>
          <w:sz w:val="20"/>
        </w:rPr>
      </w:pPr>
      <w:r>
        <w:rPr>
          <w:rFonts w:ascii="Times New Roman" w:hAnsi="Times New Roman"/>
          <w:sz w:val="20"/>
        </w:rPr>
        <w:t xml:space="preserve">TSSP Structured Credit Opportunities Fund,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Fund II,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Fund III,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Fund V, L.P. </w:t>
      </w:r>
    </w:p>
    <w:p>
      <w:pPr>
        <w:pStyle w:val="TextBody"/>
        <w:bidi w:val="0"/>
        <w:spacing w:before="0" w:after="0"/>
        <w:jc w:val="left"/>
        <w:rPr>
          <w:rFonts w:ascii="Times New Roman" w:hAnsi="Times New Roman"/>
          <w:sz w:val="20"/>
        </w:rPr>
      </w:pPr>
      <w:r>
        <w:rPr>
          <w:rFonts w:ascii="Times New Roman" w:hAnsi="Times New Roman"/>
          <w:sz w:val="20"/>
        </w:rPr>
        <w:t xml:space="preserve">TICP CLO Partners II, L.P. </w:t>
      </w:r>
    </w:p>
    <w:p>
      <w:pPr>
        <w:pStyle w:val="TextBody"/>
        <w:bidi w:val="0"/>
        <w:spacing w:before="0" w:after="0"/>
        <w:jc w:val="left"/>
        <w:rPr>
          <w:rFonts w:ascii="Times New Roman" w:hAnsi="Times New Roman"/>
          <w:sz w:val="20"/>
        </w:rPr>
      </w:pPr>
      <w:r>
        <w:rPr>
          <w:rFonts w:ascii="Times New Roman" w:hAnsi="Times New Roman"/>
          <w:sz w:val="20"/>
        </w:rPr>
        <w:t xml:space="preserve">TICP CLO Holdings, L.P. </w:t>
      </w:r>
    </w:p>
    <w:p>
      <w:pPr>
        <w:pStyle w:val="TextBody"/>
        <w:bidi w:val="0"/>
        <w:spacing w:before="0" w:after="0"/>
        <w:jc w:val="left"/>
        <w:rPr>
          <w:rFonts w:ascii="Times New Roman" w:hAnsi="Times New Roman"/>
          <w:sz w:val="20"/>
        </w:rPr>
      </w:pPr>
      <w:r>
        <w:rPr>
          <w:rFonts w:ascii="Times New Roman" w:hAnsi="Times New Roman"/>
          <w:sz w:val="20"/>
        </w:rPr>
        <w:t xml:space="preserve">TSSP Institutional Credit Partners III,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Credit Market Strategies Partners 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Credit Market Strategies Partners I-A, L.P. </w:t>
      </w:r>
    </w:p>
    <w:p>
      <w:pPr>
        <w:pStyle w:val="TextBody"/>
        <w:bidi w:val="0"/>
        <w:spacing w:before="0" w:after="0"/>
        <w:jc w:val="left"/>
        <w:rPr>
          <w:rFonts w:ascii="Times New Roman" w:hAnsi="Times New Roman"/>
          <w:sz w:val="20"/>
        </w:rPr>
      </w:pPr>
      <w:r>
        <w:rPr>
          <w:rFonts w:ascii="Times New Roman" w:hAnsi="Times New Roman"/>
          <w:sz w:val="20"/>
        </w:rPr>
        <w:t xml:space="preserve">TICP III Cayman,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Mid-Stage Growth Partners (A), L.P. </w:t>
      </w:r>
    </w:p>
    <w:p>
      <w:pPr>
        <w:pStyle w:val="TextBody"/>
        <w:bidi w:val="0"/>
        <w:spacing w:before="0" w:after="0"/>
        <w:jc w:val="left"/>
        <w:rPr>
          <w:rFonts w:ascii="Times New Roman" w:hAnsi="Times New Roman"/>
          <w:sz w:val="20"/>
        </w:rPr>
      </w:pPr>
      <w:r>
        <w:rPr>
          <w:rFonts w:ascii="Times New Roman" w:hAnsi="Times New Roman"/>
          <w:sz w:val="20"/>
        </w:rPr>
        <w:t xml:space="preserve">Sixth Street Mid-Stage Growth Partners (B), L.P. </w:t>
      </w:r>
    </w:p>
    <w:p>
      <w:pPr>
        <w:pStyle w:val="TextBody"/>
        <w:bidi w:val="0"/>
        <w:spacing w:before="0" w:after="0"/>
        <w:jc w:val="left"/>
        <w:rPr>
          <w:rFonts w:ascii="Times New Roman" w:hAnsi="Times New Roman"/>
          <w:sz w:val="20"/>
        </w:rPr>
      </w:pPr>
      <w:r>
        <w:rPr>
          <w:rFonts w:ascii="Times New Roman" w:hAnsi="Times New Roman"/>
          <w:sz w:val="20"/>
        </w:rPr>
        <w:t xml:space="preserve">Sixth Street Mid-Stage Growth (A) AIV, L.P. </w:t>
      </w:r>
    </w:p>
    <w:p>
      <w:pPr>
        <w:pStyle w:val="TextBody"/>
        <w:bidi w:val="0"/>
        <w:spacing w:before="0" w:after="0"/>
        <w:jc w:val="left"/>
        <w:rPr>
          <w:rFonts w:ascii="Times New Roman" w:hAnsi="Times New Roman"/>
          <w:sz w:val="20"/>
        </w:rPr>
      </w:pPr>
      <w:r>
        <w:rPr>
          <w:rFonts w:ascii="Times New Roman" w:hAnsi="Times New Roman"/>
          <w:sz w:val="20"/>
        </w:rPr>
        <w:t xml:space="preserve">Sixth Street Mid-Stage Growth (B) AIV, L.P. </w:t>
      </w:r>
    </w:p>
    <w:p>
      <w:pPr>
        <w:pStyle w:val="TextBody"/>
        <w:bidi w:val="0"/>
        <w:spacing w:before="0" w:after="0"/>
        <w:jc w:val="left"/>
        <w:rPr>
          <w:rFonts w:ascii="Times New Roman" w:hAnsi="Times New Roman"/>
          <w:sz w:val="20"/>
        </w:rPr>
      </w:pPr>
      <w:r>
        <w:rPr>
          <w:rFonts w:ascii="Times New Roman" w:hAnsi="Times New Roman"/>
          <w:sz w:val="20"/>
        </w:rPr>
        <w:t xml:space="preserve">Sixth Street Advisers,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Fundamental Strategies 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Opportunities 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Opportunities IV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Opportunities 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TAO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Growth 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Growth 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Europe 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Agriculture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Strategic Holdings Management, LLC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CMS Dynamic Credit Management, LLC </w:t>
      </w:r>
    </w:p>
    <w:p>
      <w:pPr>
        <w:pStyle w:val="TextBody"/>
        <w:bidi w:val="0"/>
        <w:spacing w:before="0" w:after="0"/>
        <w:jc w:val="left"/>
        <w:rPr>
          <w:rFonts w:ascii="Times New Roman" w:hAnsi="Times New Roman"/>
          <w:sz w:val="20"/>
        </w:rPr>
      </w:pPr>
      <w:r>
        <w:rPr>
          <w:rFonts w:ascii="Times New Roman" w:hAnsi="Times New Roman"/>
          <w:sz w:val="20"/>
        </w:rPr>
        <w:t xml:space="preserve">TICP CLO VI 2016-2 Management, LLC </w:t>
      </w:r>
    </w:p>
    <w:p>
      <w:pPr>
        <w:pStyle w:val="TextBody"/>
        <w:bidi w:val="0"/>
        <w:spacing w:before="0" w:after="0"/>
        <w:jc w:val="left"/>
        <w:rPr>
          <w:rFonts w:ascii="Times New Roman" w:hAnsi="Times New Roman"/>
          <w:sz w:val="20"/>
        </w:rPr>
      </w:pPr>
      <w:r>
        <w:rPr>
          <w:rFonts w:ascii="Times New Roman" w:hAnsi="Times New Roman"/>
          <w:sz w:val="20"/>
        </w:rPr>
        <w:t xml:space="preserve">TICP CLO VII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VIII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IX Management, LLC </w:t>
      </w:r>
    </w:p>
    <w:p>
      <w:pPr>
        <w:pStyle w:val="TextBody"/>
        <w:bidi w:val="0"/>
        <w:spacing w:before="0" w:after="0"/>
        <w:jc w:val="left"/>
        <w:rPr>
          <w:rFonts w:ascii="Times New Roman" w:hAnsi="Times New Roman"/>
          <w:sz w:val="20"/>
        </w:rPr>
      </w:pPr>
      <w:r>
        <w:rPr>
          <w:rFonts w:ascii="Times New Roman" w:hAnsi="Times New Roman"/>
          <w:sz w:val="20"/>
        </w:rPr>
        <w:t xml:space="preserve">TICP CLO XI Management, LLC </w:t>
      </w:r>
    </w:p>
    <w:p>
      <w:pPr>
        <w:pStyle w:val="TextBody"/>
        <w:bidi w:val="0"/>
        <w:spacing w:before="0" w:after="0"/>
        <w:jc w:val="left"/>
        <w:rPr>
          <w:rFonts w:ascii="Times New Roman" w:hAnsi="Times New Roman"/>
          <w:sz w:val="20"/>
        </w:rPr>
      </w:pPr>
      <w:r>
        <w:rPr>
          <w:rFonts w:ascii="Times New Roman" w:hAnsi="Times New Roman"/>
          <w:sz w:val="20"/>
        </w:rPr>
        <w:t xml:space="preserve">TICP CLO XII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XIV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XVIII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XIX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Equity IV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Rotational Credit 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Rotational Credit 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TSSP Structured Credit Opportunities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IV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Structured Credit Opportunities 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Advisers II, LLC </w:t>
      </w:r>
    </w:p>
    <w:p>
      <w:pPr>
        <w:pStyle w:val="TextBody"/>
        <w:bidi w:val="0"/>
        <w:spacing w:before="0" w:after="0"/>
        <w:jc w:val="left"/>
        <w:rPr>
          <w:rFonts w:ascii="Times New Roman" w:hAnsi="Times New Roman"/>
          <w:sz w:val="20"/>
        </w:rPr>
      </w:pPr>
      <w:r>
        <w:rPr>
          <w:rFonts w:ascii="Times New Roman" w:hAnsi="Times New Roman"/>
          <w:sz w:val="20"/>
        </w:rPr>
        <w:t xml:space="preserve">TSSP Institutional Credit 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Credit Market Strategies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Mid-Stage Growth 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Madrone Strategic Holdings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Private Asset Based Investment 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Sports and Live Entertainment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Europe 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XXIII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XXV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XXVI Management,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27 Management, LLC </w:t>
      </w:r>
    </w:p>
    <w:p>
      <w:pPr>
        <w:pStyle w:val="TextBody"/>
        <w:bidi w:val="0"/>
        <w:spacing w:before="0" w:after="0"/>
        <w:jc w:val="left"/>
        <w:rPr>
          <w:rFonts w:ascii="Times New Roman" w:hAnsi="Times New Roman"/>
          <w:sz w:val="20"/>
        </w:rPr>
      </w:pPr>
      <w:r>
        <w:rPr>
          <w:rFonts w:ascii="Times New Roman" w:hAnsi="Times New Roman"/>
          <w:sz w:val="20"/>
        </w:rPr>
        <w:t xml:space="preserve">MSGP Lending,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Agriculture Partners (B), L.P. </w:t>
      </w:r>
    </w:p>
    <w:p>
      <w:pPr>
        <w:pStyle w:val="TextBody"/>
        <w:bidi w:val="0"/>
        <w:spacing w:before="0" w:after="0"/>
        <w:jc w:val="left"/>
        <w:rPr>
          <w:rFonts w:ascii="Times New Roman" w:hAnsi="Times New Roman"/>
          <w:sz w:val="20"/>
        </w:rPr>
      </w:pPr>
      <w:r>
        <w:rPr>
          <w:rFonts w:ascii="Times New Roman" w:hAnsi="Times New Roman"/>
          <w:sz w:val="20"/>
        </w:rPr>
        <w:t xml:space="preserve">Sixth Street Red River Credit Fund, L.P. </w:t>
      </w:r>
    </w:p>
    <w:p>
      <w:pPr>
        <w:pStyle w:val="TextBody"/>
        <w:bidi w:val="0"/>
        <w:spacing w:before="0" w:after="0"/>
        <w:jc w:val="left"/>
        <w:rPr>
          <w:rFonts w:ascii="Times New Roman" w:hAnsi="Times New Roman"/>
          <w:sz w:val="20"/>
        </w:rPr>
      </w:pPr>
      <w:r>
        <w:rPr>
          <w:rFonts w:ascii="Times New Roman" w:hAnsi="Times New Roman"/>
          <w:sz w:val="20"/>
        </w:rPr>
        <w:t xml:space="preserve">Sixth Street Madrone Strategic Holdings I, L.P. Series I </w:t>
      </w:r>
    </w:p>
    <w:p>
      <w:pPr>
        <w:pStyle w:val="TextBody"/>
        <w:bidi w:val="0"/>
        <w:spacing w:before="0" w:after="0"/>
        <w:jc w:val="left"/>
        <w:rPr>
          <w:rFonts w:ascii="Times New Roman" w:hAnsi="Times New Roman"/>
          <w:sz w:val="20"/>
        </w:rPr>
      </w:pPr>
      <w:r>
        <w:rPr>
          <w:rFonts w:ascii="Times New Roman" w:hAnsi="Times New Roman"/>
          <w:sz w:val="20"/>
        </w:rPr>
        <w:t xml:space="preserve">Sixth Street Madrone Strategic Holdings I, L.P. Series 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Private Asset Based Investment Fund I,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Sports and Live Entertainment (A),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Sports and Live Entertainment (B),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Sports and Live Entertainment Delaware AIV I-A,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Sports and Live Entertainment Delaware AIV I-B,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Europe III (A), L.P.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Europe III (A) AIF, SCSp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Europe III (B) AIF, SCSp </w:t>
      </w:r>
    </w:p>
    <w:p>
      <w:pPr>
        <w:pStyle w:val="TextBody"/>
        <w:bidi w:val="0"/>
        <w:spacing w:before="0" w:after="0"/>
        <w:jc w:val="left"/>
        <w:rPr>
          <w:rFonts w:ascii="Times New Roman" w:hAnsi="Times New Roman"/>
          <w:sz w:val="20"/>
        </w:rPr>
      </w:pPr>
      <w:r>
        <w:rPr>
          <w:rFonts w:ascii="Times New Roman" w:hAnsi="Times New Roman"/>
          <w:sz w:val="20"/>
        </w:rPr>
        <w:t xml:space="preserve">TAO Redstone (C) AIV-1, L.P. </w:t>
      </w:r>
    </w:p>
    <w:p>
      <w:pPr>
        <w:pStyle w:val="TextBody"/>
        <w:bidi w:val="0"/>
        <w:spacing w:before="0" w:after="0"/>
        <w:jc w:val="left"/>
        <w:rPr>
          <w:rFonts w:ascii="Times New Roman" w:hAnsi="Times New Roman"/>
          <w:sz w:val="20"/>
        </w:rPr>
      </w:pPr>
      <w:r>
        <w:rPr>
          <w:rFonts w:ascii="Times New Roman" w:hAnsi="Times New Roman"/>
          <w:sz w:val="20"/>
        </w:rPr>
        <w:t xml:space="preserve">TAO Redstone (C) AIV-2, L.P. </w:t>
      </w:r>
    </w:p>
    <w:p>
      <w:pPr>
        <w:pStyle w:val="TextBody"/>
        <w:bidi w:val="0"/>
        <w:spacing w:before="0" w:after="0"/>
        <w:jc w:val="left"/>
        <w:rPr>
          <w:rFonts w:ascii="Times New Roman" w:hAnsi="Times New Roman"/>
          <w:sz w:val="20"/>
        </w:rPr>
      </w:pPr>
      <w:r>
        <w:rPr>
          <w:rFonts w:ascii="Times New Roman" w:hAnsi="Times New Roman"/>
          <w:sz w:val="20"/>
        </w:rPr>
        <w:t xml:space="preserve">TAO Redstone (E) AIV-1, L.P. </w:t>
      </w:r>
    </w:p>
    <w:p>
      <w:pPr>
        <w:pStyle w:val="TextBody"/>
        <w:bidi w:val="0"/>
        <w:spacing w:before="0" w:after="0"/>
        <w:jc w:val="left"/>
        <w:rPr>
          <w:rFonts w:ascii="Times New Roman" w:hAnsi="Times New Roman"/>
          <w:sz w:val="20"/>
        </w:rPr>
      </w:pPr>
      <w:r>
        <w:rPr>
          <w:rFonts w:ascii="Times New Roman" w:hAnsi="Times New Roman"/>
          <w:sz w:val="20"/>
        </w:rPr>
        <w:t xml:space="preserve">TAO Redstone (E) AIV-2, L.P.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XXIII,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XXIV,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XXV,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XXVI,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CLO 27, Ltd. </w:t>
      </w:r>
    </w:p>
    <w:p>
      <w:pPr>
        <w:pStyle w:val="TextBody"/>
        <w:bidi w:val="0"/>
        <w:spacing w:before="0" w:after="0"/>
        <w:jc w:val="left"/>
        <w:rPr>
          <w:rFonts w:ascii="Times New Roman" w:hAnsi="Times New Roman"/>
          <w:sz w:val="20"/>
        </w:rPr>
      </w:pPr>
      <w:r>
        <w:rPr>
          <w:rFonts w:ascii="Times New Roman" w:hAnsi="Times New Roman"/>
          <w:sz w:val="20"/>
        </w:rPr>
        <w:t xml:space="preserve">Sixth Street Lending Partners Advisers, LLC </w:t>
      </w:r>
    </w:p>
    <w:p>
      <w:pPr>
        <w:pStyle w:val="TextBody"/>
        <w:bidi w:val="0"/>
        <w:spacing w:before="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12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120" w:after="0"/>
        <w:jc w:val="left"/>
        <w:rPr>
          <w:rFonts w:ascii="Times New Roman" w:hAnsi="Times New Roman"/>
          <w:sz w:val="20"/>
        </w:rPr>
      </w:pPr>
      <w:r>
        <w:rPr>
          <w:rFonts w:ascii="Times New Roman" w:hAnsi="Times New Roman"/>
          <w:sz w:val="20"/>
        </w:rPr>
        <w:t xml:space="preserve">File No. 812-15729 </w:t>
      </w:r>
    </w:p>
    <w:p>
      <w:pPr>
        <w:pStyle w:val="TextBody"/>
        <w:bidi w:val="0"/>
        <w:spacing w:before="0" w:after="0"/>
        <w:jc w:val="left"/>
        <w:rPr>
          <w:rFonts w:ascii="Times New Roman" w:hAnsi="Times New Roman"/>
          <w:sz w:val="20"/>
        </w:rPr>
      </w:pPr>
      <w:r>
        <w:rPr>
          <w:rFonts w:ascii="Times New Roman" w:hAnsi="Times New Roman"/>
          <w:sz w:val="20"/>
        </w:rPr>
        <w:t xml:space="preserve">Investment Company Act of 1940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APPLICATION </w:t>
            </w:r>
          </w:p>
        </w:tc>
      </w:tr>
    </w:tbl>
    <w:p>
      <w:pPr>
        <w:pStyle w:val="TextBody"/>
        <w:bidi w:val="0"/>
        <w:spacing w:before="120" w:after="0"/>
        <w:jc w:val="left"/>
        <w:rPr>
          <w:rFonts w:ascii="Times New Roman" w:hAnsi="Times New Roman"/>
          <w:sz w:val="20"/>
        </w:rPr>
      </w:pPr>
      <w:r>
        <w:rPr>
          <w:rFonts w:ascii="Times New Roman" w:hAnsi="Times New Roman"/>
          <w:sz w:val="20"/>
        </w:rPr>
        <w:t>The following entities hereby request an order (the </w:t>
      </w:r>
      <w:r>
        <w:rPr>
          <w:rFonts w:ascii="Times New Roman" w:hAnsi="Times New Roman"/>
          <w:b/>
          <w:i/>
          <w:sz w:val="20"/>
        </w:rPr>
        <w:t>Order</w:t>
      </w:r>
      <w:r>
        <w:rPr>
          <w:rFonts w:ascii="Times New Roman" w:hAnsi="Times New Roman"/>
          <w:sz w:val="20"/>
        </w:rPr>
        <w:t>) of the U.S. Securities and Exchange Commission (the </w:t>
      </w:r>
      <w:r>
        <w:rPr>
          <w:rFonts w:ascii="Times New Roman" w:hAnsi="Times New Roman"/>
          <w:b/>
          <w:i/>
          <w:sz w:val="20"/>
        </w:rPr>
        <w:t>SEC</w:t>
      </w:r>
      <w:r>
        <w:rPr>
          <w:rFonts w:ascii="Times New Roman" w:hAnsi="Times New Roman"/>
          <w:sz w:val="20"/>
        </w:rPr>
        <w:t> or </w:t>
      </w:r>
      <w:r>
        <w:rPr>
          <w:rFonts w:ascii="Times New Roman" w:hAnsi="Times New Roman"/>
          <w:b/>
          <w:i/>
          <w:sz w:val="20"/>
        </w:rPr>
        <w:t>Commission</w:t>
      </w:r>
      <w:r>
        <w:rPr>
          <w:rFonts w:ascii="Times New Roman" w:hAnsi="Times New Roman"/>
          <w:sz w:val="20"/>
        </w:rPr>
        <w:t>) under Section 57(i) of the Investment Company Act of 1940, as amended (the </w:t>
      </w:r>
      <w:r>
        <w:rPr>
          <w:rFonts w:ascii="Times New Roman" w:hAnsi="Times New Roman"/>
          <w:b/>
          <w:i/>
          <w:sz w:val="20"/>
        </w:rPr>
        <w:t>1940 Act</w:t>
      </w:r>
      <w:r>
        <w:rPr>
          <w:rFonts w:ascii="Times New Roman" w:hAnsi="Times New Roman"/>
          <w:sz w:val="20"/>
        </w:rPr>
        <w:t xml:space="preserve">),1 and Rule 17d-1, permitting certain joint transactions otherwise prohibited by Sections 17(d) and 57(a)(4) of the 1940 Act and Rule 17d-1 thereunder. The Order would supersede the exemptive order issued by the Commission on August 3, 2022 (the Prior Order)2 that was granted pursuant to Sections 57(a)(4), 57(i) and Rule 17d-1, with the result that no person will continue to rely on the Prior Order if the Order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 a Delaware corporation structured as an externally managed, non-diversified, closed-end management investment company that has elected to be regulated as a BDC (as defined below) under the 1940 Act (</w:t>
            </w:r>
            <w:r>
              <w:rPr>
                <w:rFonts w:ascii="Times New Roman" w:hAnsi="Times New Roman"/>
                <w:b/>
                <w:i/>
                <w:sz w:val="20"/>
              </w:rPr>
              <w:t>TSLX</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TC Lending, LLC, a Wholly-Owned Investment Sub (as defined below) of TSLX;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Lending Partners, a Delaware statutory trust structured as an externally managed, non-diversified closed-end management investment company that has elected to be regulated as a BDC under the 1940 Act (</w:t>
            </w:r>
            <w:r>
              <w:rPr>
                <w:rFonts w:ascii="Times New Roman" w:hAnsi="Times New Roman"/>
                <w:b/>
                <w:i/>
                <w:sz w:val="20"/>
              </w:rPr>
              <w:t>Sixth Street Lending Partners</w:t>
            </w:r>
            <w:r>
              <w:rPr>
                <w:rFonts w:ascii="Times New Roman" w:hAnsi="Times New Roman"/>
                <w:sz w:val="20"/>
              </w:rPr>
              <w:t> and together with TSLX, the </w:t>
            </w:r>
            <w:r>
              <w:rPr>
                <w:rFonts w:ascii="Times New Roman" w:hAnsi="Times New Roman"/>
                <w:b/>
                <w:i/>
                <w:sz w:val="20"/>
              </w:rPr>
              <w:t>Existing Regulated Funds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Specialty Lending Advisers, LLC (</w:t>
            </w:r>
            <w:r>
              <w:rPr>
                <w:rFonts w:ascii="Times New Roman" w:hAnsi="Times New Roman"/>
                <w:b/>
                <w:i/>
                <w:sz w:val="20"/>
              </w:rPr>
              <w:t>Sixth Street Specialty Lending Advisers</w:t>
            </w:r>
            <w:r>
              <w:rPr>
                <w:rFonts w:ascii="Times New Roman" w:hAnsi="Times New Roman"/>
                <w:sz w:val="20"/>
              </w:rPr>
              <w:t>), an investment adviser registered under the Investment Advisers Act of 1940 (the </w:t>
            </w:r>
            <w:r>
              <w:rPr>
                <w:rFonts w:ascii="Times New Roman" w:hAnsi="Times New Roman"/>
                <w:b/>
                <w:i/>
                <w:sz w:val="20"/>
              </w:rPr>
              <w:t>Advisers Act</w:t>
            </w:r>
            <w:r>
              <w:rPr>
                <w:rFonts w:ascii="Times New Roman" w:hAnsi="Times New Roman"/>
                <w:sz w:val="20"/>
              </w:rPr>
              <w:t xml:space="preserve">), which serves as investment adviser to TSLX;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Lending Partners Advisers, LLC (</w:t>
            </w:r>
            <w:r>
              <w:rPr>
                <w:rFonts w:ascii="Times New Roman" w:hAnsi="Times New Roman"/>
                <w:b/>
                <w:i/>
                <w:sz w:val="20"/>
              </w:rPr>
              <w:t>Sixth Street Lending Partners Advisers</w:t>
            </w:r>
            <w:r>
              <w:rPr>
                <w:rFonts w:ascii="Times New Roman" w:hAnsi="Times New Roman"/>
                <w:sz w:val="20"/>
              </w:rPr>
              <w:t>, and, together with Sixth Street Specialty Lending Advisers, the </w:t>
            </w:r>
            <w:r>
              <w:rPr>
                <w:rFonts w:ascii="Times New Roman" w:hAnsi="Times New Roman"/>
                <w:b/>
                <w:i/>
                <w:sz w:val="20"/>
              </w:rPr>
              <w:t>Existing Advisers</w:t>
            </w:r>
            <w:r>
              <w:rPr>
                <w:rFonts w:ascii="Times New Roman" w:hAnsi="Times New Roman"/>
                <w:sz w:val="20"/>
              </w:rPr>
              <w:t xml:space="preserve">), an investment adviser registered under the Advisers Act, which serves as the investment adviser to Sixth Street Lending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investment vehicles identified in Appendix A, each of which is a separate and distinct legal entity and would be an investment company but for Section 3(c)(1) or 3(c)(7) of the 1940 Act (the </w:t>
            </w:r>
            <w:r>
              <w:rPr>
                <w:rFonts w:ascii="Times New Roman" w:hAnsi="Times New Roman"/>
                <w:b/>
                <w:i/>
                <w:sz w:val="20"/>
              </w:rPr>
              <w:t>Existing Affiliated Entities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investment advisers to the Existing Affiliated Entities that are identified in Appendix A (the </w:t>
            </w:r>
            <w:r>
              <w:rPr>
                <w:rFonts w:ascii="Times New Roman" w:hAnsi="Times New Roman"/>
                <w:b/>
                <w:i/>
                <w:sz w:val="20"/>
              </w:rPr>
              <w:t>Existing Advisers to Affiliated Entities</w:t>
            </w:r>
            <w:r>
              <w:rPr>
                <w:rFonts w:ascii="Times New Roman" w:hAnsi="Times New Roman"/>
                <w:sz w:val="20"/>
              </w:rPr>
              <w:t> and, together with the Existing Regulated Funds, the Existing Advisers and the Existing Affiliated Entities, the </w:t>
            </w:r>
            <w:r>
              <w:rPr>
                <w:rFonts w:ascii="Times New Roman" w:hAnsi="Times New Roman"/>
                <w:b/>
                <w:i/>
                <w:sz w:val="20"/>
              </w:rPr>
              <w:t>Applicants</w:t>
            </w:r>
            <w:r>
              <w:rPr>
                <w:rFonts w:ascii="Times New Roman" w:hAnsi="Times New Roman"/>
                <w:sz w:val="20"/>
              </w:rPr>
              <w:t xml:space="preserve">),3 each of which is registered as an investment adviser under the Advisers Act.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and rule references herein are to the 1940 Act and rules promulgated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Sixth Street Specialty Lending, Inc., et al</w:t>
            </w:r>
            <w:r>
              <w:rPr>
                <w:rFonts w:ascii="Times New Roman" w:hAnsi="Times New Roman"/>
                <w:sz w:val="20"/>
              </w:rPr>
              <w:t xml:space="preserve">. (File No. 812-15090), Release No. IC-34644 (July 8, 2022) (notice), Release No. IC-34660 (August 3, 2022) (order).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existing entities that currently intend to rely upon the requested Order have been named as Applicants. Any other existing or future entity that subsequently relies on the Order will comply with the terms and conditions of the Application.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The relief requested in this application for the Order (the </w:t>
      </w:r>
      <w:r>
        <w:rPr>
          <w:rFonts w:ascii="Times New Roman" w:hAnsi="Times New Roman"/>
          <w:b/>
          <w:i/>
          <w:sz w:val="20"/>
        </w:rPr>
        <w:t>Application</w:t>
      </w:r>
      <w:r>
        <w:rPr>
          <w:rFonts w:ascii="Times New Roman" w:hAnsi="Times New Roman"/>
          <w:sz w:val="20"/>
        </w:rPr>
        <w:t>) would allow a Regulated Fund4 and one or more Affiliated Entities5 to engage in Co-Investment Transactions6 subject to the terms and conditions described herein. The Regulated Funds and Affiliated Entities that participate in a Co-Investment Transaction are collectively referred to herein as </w:t>
      </w:r>
      <w:r>
        <w:rPr>
          <w:rFonts w:ascii="Times New Roman" w:hAnsi="Times New Roman"/>
          <w:b/>
          <w:i/>
          <w:sz w:val="20"/>
        </w:rPr>
        <w:t>Participants</w:t>
      </w:r>
      <w:r>
        <w:rPr>
          <w:rFonts w:ascii="Times New Roman" w:hAnsi="Times New Roman"/>
          <w:sz w:val="20"/>
        </w:rPr>
        <w:t xml:space="preserve">.7 The Applicants do not seek relief for transactions effected consistent with Commission staff no-action positions.8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DESCRIPTION OF THE APPLICANTS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TSLX and TC Lending, LLC</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TSLX was organized as a Delaware corporation on July 21, 2010 for the purpose of operating as an externally managed specialty finance investment company. TSLX has elected to be regulated as a BDC under the 1940 Act. In connection with that election, TSLX has registered its shares under the Exchange Act, and is thus subject to the periodic reporting requirements of the Exchange Act.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Regulated Fund</w:t>
            </w:r>
            <w:r>
              <w:rPr>
                <w:rFonts w:ascii="Times New Roman" w:hAnsi="Times New Roman"/>
                <w:sz w:val="20"/>
              </w:rPr>
              <w:t> means the Existing Regulated Funds and any Future Regulated Funds. </w:t>
            </w:r>
            <w:r>
              <w:rPr>
                <w:rFonts w:ascii="Times New Roman" w:hAnsi="Times New Roman"/>
                <w:b/>
                <w:i/>
                <w:sz w:val="20"/>
              </w:rPr>
              <w:t>Future Regulated Fund</w:t>
            </w:r>
            <w:r>
              <w:rPr>
                <w:rFonts w:ascii="Times New Roman" w:hAnsi="Times New Roman"/>
                <w:sz w:val="20"/>
              </w:rPr>
              <w:t xml:space="preserve"> means an entity (a) that is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 </w:t>
            </w:r>
          </w:p>
        </w:tc>
      </w:tr>
    </w:tbl>
    <w:p>
      <w:pPr>
        <w:pStyle w:val="TextBody"/>
        <w:bidi w:val="0"/>
        <w:spacing w:before="120" w:after="0"/>
        <w:jc w:val="left"/>
        <w:rPr>
          <w:rFonts w:ascii="Times New Roman" w:hAnsi="Times New Roman"/>
          <w:sz w:val="20"/>
        </w:rPr>
      </w:pPr>
      <w:r>
        <w:rPr>
          <w:rFonts w:ascii="Times New Roman" w:hAnsi="Times New Roman"/>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sz w:val="20"/>
        </w:rPr>
        <w:t>Wholly-Owned Investment Sub</w:t>
      </w:r>
      <w:r>
        <w:rPr>
          <w:rFonts w:ascii="Times New Roman" w:hAnsi="Times New Roman"/>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sz w:val="20"/>
        </w:rPr>
        <w:t>Joint Venture</w:t>
      </w:r>
      <w:r>
        <w:rPr>
          <w:rFonts w:ascii="Times New Roman" w:hAnsi="Times New Roman"/>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sz w:val="20"/>
        </w:rPr>
        <w:t>BDC Downstream Fund</w:t>
      </w:r>
      <w:r>
        <w:rPr>
          <w:rFonts w:ascii="Times New Roman" w:hAnsi="Times New Roman"/>
          <w:sz w:val="20"/>
        </w:rPr>
        <w:t xml:space="preserve">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Affiliated Entity</w:t>
            </w:r>
            <w:r>
              <w:rPr>
                <w:rFonts w:ascii="Times New Roman" w:hAnsi="Times New Roman"/>
                <w:sz w:val="20"/>
              </w:rPr>
              <w:t xml:space="preserve"> means an entity not controlled by a Regulated Fund that intends to engage in Co-Investment Transactions and that is (a) with respect to a Regulated Fund, another Regulated Fund; (b) an Adviser or its affiliates (other than an open-end investment company registered under the 1940 Act), and any direct or indirect, wholly- or majority-owned subsidiary of an Adviser or its affiliates (other than of an open-end investment company registered under the 1940 Act), that is participating in a Co-Investment Transaction in a principal capacity; or (c) any entity that would be an investment company but for Section 3(c) of the 1940 Act or Rule 3a-7 thereunder and whose investment adviser is an Adviser.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that an entity described in clause (b) is not advised by an Adviser, such entity shall be deemed to be an Adviser for purposes of the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Co-Investment Transaction</w:t>
            </w:r>
            <w:r>
              <w:rPr>
                <w:rFonts w:ascii="Times New Roman" w:hAnsi="Times New Roman"/>
                <w:sz w:val="20"/>
              </w:rPr>
              <w:t xml:space="preserve"> means the acquisition or Disposition of securities of an issuer in a transaction effected in reliance on the Order or previously granted relief.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Adviser</w:t>
            </w:r>
            <w:r>
              <w:rPr>
                <w:rFonts w:ascii="Times New Roman" w:hAnsi="Times New Roman"/>
                <w:sz w:val="20"/>
              </w:rPr>
              <w:t xml:space="preserve"> means the Existing Advisers, and any other investment adviser controlling, controlled by, or under common control with the Existing Advisers. The term Adviser also includes any internally-managed Regulated Fund.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Massachusetts Mutual Life Insurance Co. (pub. avail. June 7, 2000), Massachusetts Mutual Life Insurance Co. (pub. avail. July 28, 2000) and SMC Capital, Inc. (pub. avail. Sept. 5, 1995).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TSLX initially raised capital through private offerings in reliance on the exemption from the registration requirements under the Securities Act set forth under Section 4(a)(2) thereof. TSLX completed the initial public offering of its shares of common stock on March 26, 2014. TSLXs common stock is traded on the New York Stock Exchange under the symbol TSLX. As of December 31, 2024, TSLX had 93,661,436 shares of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TSLXs current investment objective and strategy is to generate current income by targeting investments with favorable risk-adjusted returns. TSLX seeks to generate current income primarily through direct originations of senior secured loans and, to a lesser extent, originations of mezzanine and unsecured loans and investments in corporate bonds and equity securities. </w:t>
      </w:r>
    </w:p>
    <w:p>
      <w:pPr>
        <w:pStyle w:val="TextBody"/>
        <w:bidi w:val="0"/>
        <w:spacing w:before="240" w:after="0"/>
        <w:jc w:val="left"/>
        <w:rPr>
          <w:rFonts w:ascii="Times New Roman" w:hAnsi="Times New Roman"/>
          <w:sz w:val="20"/>
        </w:rPr>
      </w:pPr>
      <w:r>
        <w:rPr>
          <w:rFonts w:ascii="Times New Roman" w:hAnsi="Times New Roman"/>
          <w:sz w:val="20"/>
        </w:rPr>
        <w:t>TSLX has a ten-member board (the </w:t>
      </w:r>
      <w:r>
        <w:rPr>
          <w:rFonts w:ascii="Times New Roman" w:hAnsi="Times New Roman"/>
          <w:b/>
          <w:i/>
          <w:sz w:val="20"/>
        </w:rPr>
        <w:t>TSLX Board</w:t>
      </w:r>
      <w:r>
        <w:rPr>
          <w:rFonts w:ascii="Times New Roman" w:hAnsi="Times New Roman"/>
          <w:sz w:val="20"/>
        </w:rPr>
        <w:t xml:space="preserve">), of which six members are not interested persons of TSLX within the meaning of Section 2(a)(19) of the 1940 Act.9 </w:t>
      </w:r>
    </w:p>
    <w:p>
      <w:pPr>
        <w:pStyle w:val="TextBody"/>
        <w:bidi w:val="0"/>
        <w:spacing w:before="240" w:after="0"/>
        <w:jc w:val="left"/>
        <w:rPr>
          <w:rFonts w:ascii="Times New Roman" w:hAnsi="Times New Roman"/>
          <w:sz w:val="20"/>
        </w:rPr>
      </w:pPr>
      <w:r>
        <w:rPr>
          <w:rFonts w:ascii="Times New Roman" w:hAnsi="Times New Roman"/>
          <w:sz w:val="20"/>
        </w:rPr>
        <w:t>TSLX has elected to be treated as a regulated investment company (</w:t>
      </w:r>
      <w:r>
        <w:rPr>
          <w:rFonts w:ascii="Times New Roman" w:hAnsi="Times New Roman"/>
          <w:b/>
          <w:i/>
          <w:sz w:val="20"/>
        </w:rPr>
        <w:t>RIC</w:t>
      </w:r>
      <w:r>
        <w:rPr>
          <w:rFonts w:ascii="Times New Roman" w:hAnsi="Times New Roman"/>
          <w:sz w:val="20"/>
        </w:rPr>
        <w:t xml:space="preserve">) under Subchapter M of the Internal Revenue Code of 1986, as amended, and operates in a manner so as to qualify for the tax treatment applicable to RICs. </w:t>
      </w:r>
    </w:p>
    <w:p>
      <w:pPr>
        <w:pStyle w:val="TextBody"/>
        <w:bidi w:val="0"/>
        <w:spacing w:before="240" w:after="0"/>
        <w:jc w:val="left"/>
        <w:rPr>
          <w:rFonts w:ascii="Times New Roman" w:hAnsi="Times New Roman"/>
          <w:sz w:val="20"/>
        </w:rPr>
      </w:pPr>
      <w:r>
        <w:rPr>
          <w:rFonts w:ascii="Times New Roman" w:hAnsi="Times New Roman"/>
          <w:sz w:val="20"/>
        </w:rPr>
        <w:t xml:space="preserve">TC Lending, LLC is a Wholly-Owned Investment Sub of TSLX, whose sole business purpose is to hold one or more investments on behalf of TSLX. TC Lending, LLC is a separate and distinct legal entity. TC Lending, LLC is exempt from registration under Section 3(c)(7) of the 1940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Sixth Street Lending Partners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was organized as a Delaware statutory trust on April 7, 2022 for the purpose of operating as an externally managed specialty finance investment company. Sixth Street Lending Partners has elected to be regulated as a BDC under the 1940 Act. In connection with that election, Sixth Street Lending Partners has filed a registration statement on Form 10 for the purpose of registering its shares under the Exchange Act and is subject to the periodic reporting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raised capital through private offerings in reliance on the exemption from registration requirements under the Securities Act set forth under Section 4(a)(2) thereof. Sixth Street Lending Partners current investment objective and strategy is to generate current income by targeting investments with favorable risk-adjusted returns. Sixth Street Lending Partners seeks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0"/>
        <w:jc w:val="left"/>
        <w:rPr>
          <w:rFonts w:ascii="Times New Roman" w:hAnsi="Times New Roman"/>
          <w:sz w:val="20"/>
        </w:rPr>
      </w:pPr>
      <w:r>
        <w:rPr>
          <w:rFonts w:ascii="Times New Roman" w:hAnsi="Times New Roman"/>
          <w:sz w:val="20"/>
        </w:rPr>
        <w:t>Sixth Street Lending Partners has a seven-member board (the </w:t>
      </w:r>
      <w:r>
        <w:rPr>
          <w:rFonts w:ascii="Times New Roman" w:hAnsi="Times New Roman"/>
          <w:b/>
          <w:i/>
          <w:sz w:val="20"/>
        </w:rPr>
        <w:t>SSLP Board</w:t>
      </w:r>
      <w:r>
        <w:rPr>
          <w:rFonts w:ascii="Times New Roman" w:hAnsi="Times New Roman"/>
          <w:sz w:val="20"/>
        </w:rPr>
        <w:t> and, together with the TSLX Board, the </w:t>
      </w:r>
      <w:r>
        <w:rPr>
          <w:rFonts w:ascii="Times New Roman" w:hAnsi="Times New Roman"/>
          <w:b/>
          <w:i/>
          <w:sz w:val="20"/>
        </w:rPr>
        <w:t>Board</w:t>
      </w:r>
      <w:r>
        <w:rPr>
          <w:rFonts w:ascii="Times New Roman" w:hAnsi="Times New Roman"/>
          <w:sz w:val="20"/>
        </w:rPr>
        <w:t xml:space="preserve">), of which four members are not interested persons of Sixth Street Lending Partners within the meaning of Section 2(a)(19) of the 1940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Sixth Street Specialty Lending Advisers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Advisers, a Delaware limited liability company, is registered with the Commission as an investment adviser under the Advisers Act. Sixth Street Specialty Lending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Sixth Street Specialty Lending Advisers may in the future serve as an investment adviser to one or more Regulated Funds or Affiliated Entities.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each Future Regulated Fund will consist of a majority of members who are not interested persons of such Future Regulated Fund within the meaning of Section 2(a)(19) of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Sixth Street Lending Partners Advisers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Advisers, a Delaware limited liability company, is registered with the Commission as an investment adviser under the Advisers Act. Sixth Street Lending Partners Advisers serves as investment adviser to Sixth Street Lending Partners, and will be responsible for sourcing potential investments, conducting research and due diligence on prospective investments and equity sponsors, analyzing investment opportunities, structuring Sixth Street Lending Partners investments, and monitoring such investments and portfolio companies, on an ongoing basis. Sixth Street Lending Partners Advisers may in the future serve as an investment adviser to one or more additional Regulated Funds or Affiliated Entities.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Existing Affiliated Entities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Existing Advisers to Affiliated Entities are the investment advisers to the Existing Affiliated Entities. A complete list of the Existing Affiliated Entities and the Existing Advisers to Affiliated Entities is included in Appendix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ORDER REQUESTED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sz w:val="20"/>
        </w:rPr>
        <w:t>Conditions</w:t>
      </w:r>
      <w:r>
        <w:rPr>
          <w:rFonts w:ascii="Times New Roman" w:hAnsi="Times New Roman"/>
          <w:sz w:val="20"/>
        </w:rPr>
        <w:t xml:space="preserve">), each Regulated Fund to be able to participate with one or more Affiliated Entities in Co-Investment Transactions otherwise prohibited by Sections 17(d) and 57(a)(4) of the 1940 Act and Rule 17d-1 thereunder.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Applicable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 </w:t>
      </w:r>
    </w:p>
    <w:p>
      <w:pPr>
        <w:pStyle w:val="TextBody"/>
        <w:bidi w:val="0"/>
        <w:spacing w:before="240" w:after="0"/>
        <w:jc w:val="left"/>
        <w:rPr>
          <w:rFonts w:ascii="Times New Roman" w:hAnsi="Times New Roman"/>
          <w:sz w:val="20"/>
        </w:rPr>
      </w:pPr>
      <w:r>
        <w:rPr>
          <w:rFonts w:ascii="Times New Roman" w:hAnsi="Times New Roman"/>
          <w:sz w:val="20"/>
        </w:rPr>
        <w:t xml:space="preserve">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plan10 in which the fund is a participant without first obtaining an order from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 </w:t>
      </w:r>
    </w:p>
    <w:p>
      <w:pPr>
        <w:pStyle w:val="TextBody"/>
        <w:bidi w:val="0"/>
        <w:spacing w:before="240" w:after="0"/>
        <w:jc w:val="left"/>
        <w:rPr>
          <w:rFonts w:ascii="Times New Roman" w:hAnsi="Times New Roman"/>
          <w:sz w:val="20"/>
        </w:rPr>
      </w:pPr>
      <w:r>
        <w:rPr>
          <w:rFonts w:ascii="Times New Roman" w:hAnsi="Times New Roman"/>
          <w:sz w:val="20"/>
        </w:rPr>
        <w:t xml:space="preserve">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and any affiliated person of or principal underwriter for such registered company, or any affiliated person of such a person or principal underwriter, have a joint or a joint and several participation, or share in the profits of such enterprise or undertaking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Need for Relief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 closed-end fund or a business development company, respectively, including a sub-adviser. Thus, an Adviser and any Affiliated Entities that it advises could be deemed to be persons related to Regulated Funds in a manner described by Sections 17(d) and 57(b). Sixth Street Specialty Lending Advisers and Sixth Street Lending Partners Adviser are each wholly-owned by Sixth Street Advisers, are under common control, and are thus affiliated persons of each other. Accordingly, with respect to Sixth Street Specialty Lending Advisers, Sixth Street Lending Partners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Advisers,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Applicants agree that any Order granting the requested relief will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Same Terms</w:t>
      </w:r>
      <w:r>
        <w:rPr>
          <w:rFonts w:ascii="Times New Roman" w:hAnsi="Times New Roman"/>
          <w:sz w:val="20"/>
        </w:rPr>
        <w:t xml:space="preserve">.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person.11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Existing Investments in the Issuer</w:t>
      </w:r>
      <w:r>
        <w:rPr>
          <w:rFonts w:ascii="Times New Roman" w:hAnsi="Times New Roman"/>
          <w:sz w:val="20"/>
        </w:rPr>
        <w:t>. Prior to a Regulated Fund acquiring in a Co-Investment Transaction a security of an issuer in which an Affiliated Entity has an existing interest in such issuer, the required majority, as defined in Section 57(o) of the 1940 Act,12 of the Regulated Fund (</w:t>
      </w:r>
      <w:r>
        <w:rPr>
          <w:rFonts w:ascii="Times New Roman" w:hAnsi="Times New Roman"/>
          <w:b/>
          <w:i/>
          <w:sz w:val="20"/>
        </w:rPr>
        <w:t>Required Majority</w:t>
      </w:r>
      <w:r>
        <w:rPr>
          <w:rFonts w:ascii="Times New Roman" w:hAnsi="Times New Roman"/>
          <w:sz w:val="20"/>
        </w:rPr>
        <w:t xml:space="preserve">) will take the steps set forth in Section 57(f) of the 1940 Act,13 unless: (i) the Regulated Fund already holds the same security as each such Affiliated Entity; and (ii) the Regulated Fund and each other Affiliated Entity holding the security is participating in the acquisition in approximate proportion to its then-current holdings.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 Board can also, consistent with applicable fund documents, facilitate this opportunity by delegating the authority to veto the selection of such person to a committee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Related Expenses</w:t>
      </w:r>
      <w:r>
        <w:rPr>
          <w:rFonts w:ascii="Times New Roman" w:hAnsi="Times New Roman"/>
          <w:sz w:val="20"/>
        </w:rPr>
        <w:t xml:space="preserve">.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be.14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Remuneration</w:t>
      </w:r>
      <w:r>
        <w:rPr>
          <w:rFonts w:ascii="Times New Roman" w:hAnsi="Times New Roman"/>
          <w:sz w:val="20"/>
        </w:rPr>
        <w:t xml:space="preserve">. Any transaction fee15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Co-Investment Policies</w:t>
      </w:r>
      <w:r>
        <w:rPr>
          <w:rFonts w:ascii="Times New Roman" w:hAnsi="Times New Roman"/>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sz w:val="20"/>
        </w:rPr>
        <w:t>Co-Investment Policies</w:t>
      </w:r>
      <w:r>
        <w:rPr>
          <w:rFonts w:ascii="Times New Roman" w:hAnsi="Times New Roman"/>
          <w:sz w:val="20"/>
        </w:rPr>
        <w:t xml:space="preserve">). Each Adviser (and each Affiliated Entity that is not advised by an Adviser) will provide its Co-Investment Policies to the Regulated Funds and will notify the Regulated Funds of any material changes thereto.16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Dispositions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any Disposition17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(b)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Security.18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of an individual Participant that are incurred solely by the Participant due to its unique circumstances (such as legal and compliance expenses) will be borne by such Participant.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Applicants are not requesting and the Commission is not providing any relief for transaction fees received in connection with any Co-Investment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Entities may adopt shared Co-Investment Policies.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Disposition</w:t>
            </w:r>
            <w:r>
              <w:rPr>
                <w:rFonts w:ascii="Times New Roman" w:hAnsi="Times New Roman"/>
                <w:sz w:val="20"/>
              </w:rPr>
              <w:t xml:space="preserve"> means the sale, exchange, transfer or other disposition of an interest in a security of an issuer.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Tradable Security</w:t>
            </w:r>
            <w:r>
              <w:rPr>
                <w:rFonts w:ascii="Times New Roman" w:hAnsi="Times New Roman"/>
                <w:sz w:val="20"/>
              </w:rPr>
              <w:t xml:space="preserve">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Board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Regulated Funds directors will oversee the Regulated Funds participation in the co-investment program in the exercise of their reasonable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(b)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 </w:t>
      </w:r>
    </w:p>
    <w:p>
      <w:pPr>
        <w:pStyle w:val="TextBody"/>
        <w:bidi w:val="0"/>
        <w:spacing w:before="120" w:after="0"/>
        <w:jc w:val="left"/>
        <w:rPr>
          <w:rFonts w:ascii="Times New Roman" w:hAnsi="Times New Roman"/>
          <w:sz w:val="20"/>
        </w:rPr>
      </w:pPr>
      <w:r>
        <w:rPr>
          <w:rFonts w:ascii="Times New Roman" w:hAnsi="Times New Roman"/>
          <w:sz w:val="20"/>
        </w:rPr>
        <w:t xml:space="preserve">(c)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 </w:t>
      </w:r>
    </w:p>
    <w:p>
      <w:pPr>
        <w:pStyle w:val="TextBody"/>
        <w:bidi w:val="0"/>
        <w:spacing w:before="120" w:after="0"/>
        <w:jc w:val="left"/>
        <w:rPr>
          <w:rFonts w:ascii="Times New Roman" w:hAnsi="Times New Roman"/>
          <w:sz w:val="20"/>
        </w:rPr>
      </w:pPr>
      <w:r>
        <w:rPr>
          <w:rFonts w:ascii="Times New Roman" w:hAnsi="Times New Roman"/>
          <w:sz w:val="20"/>
        </w:rPr>
        <w:t xml:space="preserve">(d)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 </w:t>
      </w:r>
    </w:p>
    <w:p>
      <w:pPr>
        <w:pStyle w:val="TextBody"/>
        <w:bidi w:val="0"/>
        <w:spacing w:before="120" w:after="0"/>
        <w:jc w:val="left"/>
        <w:rPr>
          <w:rFonts w:ascii="Times New Roman" w:hAnsi="Times New Roman"/>
          <w:sz w:val="20"/>
        </w:rPr>
      </w:pPr>
      <w:r>
        <w:rPr>
          <w:rFonts w:ascii="Times New Roman" w:hAnsi="Times New Roman"/>
          <w:sz w:val="20"/>
        </w:rPr>
        <w:t xml:space="preserve">(e)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Recordkeeping</w:t>
      </w:r>
      <w:r>
        <w:rPr>
          <w:rFonts w:ascii="Times New Roman" w:hAnsi="Times New Roman"/>
          <w:sz w:val="20"/>
        </w:rPr>
        <w:t xml:space="preserve">.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57(f).19 </w:t>
      </w:r>
    </w:p>
    <w:p>
      <w:pPr>
        <w:pStyle w:val="TextBody"/>
        <w:bidi w:val="0"/>
        <w:spacing w:before="120" w:after="0"/>
        <w:jc w:val="left"/>
        <w:rPr>
          <w:rFonts w:ascii="Times New Roman" w:hAnsi="Times New Roman"/>
          <w:sz w:val="20"/>
        </w:rPr>
      </w:pPr>
      <w:r>
        <w:rPr>
          <w:rFonts w:ascii="Times New Roman" w:hAnsi="Times New Roman"/>
          <w:sz w:val="20"/>
        </w:rPr>
        <w:t xml:space="preserve">9. In the event that the Commission adopts a rule under the 1940 Act allowing co-investments of the type described in this Application, any relief granted by the Order will expire on the effective date of that rule.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STATEMENT IN SUPPORT OF RELIEF REQUESTED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Potential Benefits to the Regulated Funds and their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Shareholder Protections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PRECEDENTS </w:t>
            </w:r>
          </w:p>
        </w:tc>
      </w:tr>
    </w:tbl>
    <w:p>
      <w:pPr>
        <w:pStyle w:val="TextBody"/>
        <w:bidi w:val="0"/>
        <w:spacing w:before="120" w:after="0"/>
        <w:jc w:val="left"/>
        <w:rPr>
          <w:rFonts w:ascii="Times New Roman" w:hAnsi="Times New Roman"/>
          <w:sz w:val="20"/>
        </w:rPr>
      </w:pPr>
      <w:r>
        <w:rPr>
          <w:rFonts w:ascii="Times New Roman" w:hAnsi="Times New Roman"/>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sz w:val="20"/>
        </w:rPr>
        <w:t>Existing</w:t>
      </w:r>
      <w:r>
        <w:rPr>
          <w:rFonts w:ascii="Times New Roman" w:hAnsi="Times New Roman"/>
          <w:sz w:val="20"/>
        </w:rPr>
        <w:t xml:space="preserve"> </w:t>
      </w:r>
      <w:r>
        <w:rPr>
          <w:rFonts w:ascii="Times New Roman" w:hAnsi="Times New Roman"/>
          <w:b/>
          <w:i/>
          <w:sz w:val="20"/>
        </w:rPr>
        <w:t>Orders</w:t>
      </w:r>
      <w:r>
        <w:rPr>
          <w:rFonts w:ascii="Times New Roman" w:hAnsi="Times New Roman"/>
          <w:sz w:val="20"/>
        </w:rPr>
        <w:t xml:space="preserve">).20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PROCEDURAL MATTERS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address all communications concerning this Application, the Notice and the Order to: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See, e.g</w:t>
            </w:r>
            <w:r>
              <w:rPr>
                <w:rFonts w:ascii="Times New Roman" w:hAnsi="Times New Roman"/>
                <w:sz w:val="20"/>
              </w:rPr>
              <w:t xml:space="preserve">., Polen Credit Opportunities Fund, </w:t>
            </w:r>
            <w:r>
              <w:rPr>
                <w:rFonts w:ascii="Times New Roman" w:hAnsi="Times New Roman"/>
                <w:i/>
                <w:sz w:val="20"/>
              </w:rPr>
              <w:t>et al</w:t>
            </w:r>
            <w:r>
              <w:rPr>
                <w:rFonts w:ascii="Times New Roman" w:hAnsi="Times New Roman"/>
                <w:sz w:val="20"/>
              </w:rPr>
              <w:t xml:space="preserve">. (File No. 812-15457) Release No. IC-35183 (May 2, 2024) (notice), Release No. IC-35206 (May 28, 2024) (Order); Sound Point Meridian Capital, Inc., </w:t>
            </w:r>
            <w:r>
              <w:rPr>
                <w:rFonts w:ascii="Times New Roman" w:hAnsi="Times New Roman"/>
                <w:i/>
                <w:sz w:val="20"/>
              </w:rPr>
              <w:t>et al</w:t>
            </w:r>
            <w:r>
              <w:rPr>
                <w:rFonts w:ascii="Times New Roman" w:hAnsi="Times New Roman"/>
                <w:sz w:val="20"/>
              </w:rPr>
              <w:t xml:space="preserve">. (File No. 812-15476-01) Release No. IC-35173 (April 19, 2024) (notice), Release No. IC-35192 (May 15, 2024) (order); Brookfield Infrastructure Income Fund Inc., </w:t>
            </w:r>
            <w:r>
              <w:rPr>
                <w:rFonts w:ascii="Times New Roman" w:hAnsi="Times New Roman"/>
                <w:i/>
                <w:sz w:val="20"/>
              </w:rPr>
              <w:t>et al</w:t>
            </w:r>
            <w:r>
              <w:rPr>
                <w:rFonts w:ascii="Times New Roman" w:hAnsi="Times New Roman"/>
                <w:sz w:val="20"/>
              </w:rPr>
              <w:t xml:space="preserve">. (File No. 812-15415), Release No. IC-35001 (September 20, 2022) (notice), Release No. IC-35032 (October 17, 2023) (order); T. Rowe Price OHA Select Private Credit Fund, </w:t>
            </w:r>
            <w:r>
              <w:rPr>
                <w:rFonts w:ascii="Times New Roman" w:hAnsi="Times New Roman"/>
                <w:i/>
                <w:sz w:val="20"/>
              </w:rPr>
              <w:t>et al.</w:t>
            </w:r>
            <w:r>
              <w:rPr>
                <w:rFonts w:ascii="Times New Roman" w:hAnsi="Times New Roman"/>
                <w:sz w:val="20"/>
              </w:rPr>
              <w:t xml:space="preserve"> (File No. 812-15461), Release No. IC-34963 (July 24, 2023) (notice), Release No. IC-34987 (August 21, 2023) (order); KKR Real Estate Select Trust Inc., </w:t>
            </w:r>
            <w:r>
              <w:rPr>
                <w:rFonts w:ascii="Times New Roman" w:hAnsi="Times New Roman"/>
                <w:i/>
                <w:sz w:val="20"/>
              </w:rPr>
              <w:t>et al.</w:t>
            </w:r>
            <w:r>
              <w:rPr>
                <w:rFonts w:ascii="Times New Roman" w:hAnsi="Times New Roman"/>
                <w:sz w:val="20"/>
              </w:rPr>
              <w:t xml:space="preserve"> (File No. 812-15181), Release No. IC-34962 (July 18, 2023) (notice), Release No. IC-34985 (August 15, 2023) (order); MBC Total Private Markets Access Fund, </w:t>
            </w:r>
            <w:r>
              <w:rPr>
                <w:rFonts w:ascii="Times New Roman" w:hAnsi="Times New Roman"/>
                <w:i/>
                <w:sz w:val="20"/>
              </w:rPr>
              <w:t>et al.</w:t>
            </w:r>
            <w:r>
              <w:rPr>
                <w:rFonts w:ascii="Times New Roman" w:hAnsi="Times New Roman"/>
                <w:sz w:val="20"/>
              </w:rPr>
              <w:t xml:space="preserve"> (File No. 812-15422), Release No. IC-34953 (June 28, 2023) (notice), Release No. IC-34965 (July 25, 2023) (order); Vista Credit Strategic Lending Corp. </w:t>
            </w:r>
            <w:r>
              <w:rPr>
                <w:rFonts w:ascii="Times New Roman" w:hAnsi="Times New Roman"/>
                <w:i/>
                <w:sz w:val="20"/>
              </w:rPr>
              <w:t>et al.</w:t>
            </w:r>
            <w:r>
              <w:rPr>
                <w:rFonts w:ascii="Times New Roman" w:hAnsi="Times New Roman"/>
                <w:sz w:val="20"/>
              </w:rPr>
              <w:t xml:space="preserve"> (File No. 812-15323), Release No. IC-34946 (June 20, 2023) (notice), Release No. IC-34961 (July 18, 2023) (order).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Joshua Peck </w:t>
      </w:r>
    </w:p>
    <w:p>
      <w:pPr>
        <w:pStyle w:val="TextBody"/>
        <w:bidi w:val="0"/>
        <w:spacing w:before="0" w:after="0"/>
        <w:jc w:val="center"/>
        <w:rPr>
          <w:rFonts w:ascii="Times New Roman" w:hAnsi="Times New Roman"/>
          <w:sz w:val="20"/>
        </w:rPr>
      </w:pPr>
      <w:r>
        <w:rPr>
          <w:rFonts w:ascii="Times New Roman" w:hAnsi="Times New Roman"/>
          <w:sz w:val="20"/>
        </w:rPr>
        <w:t xml:space="preserve">c/o 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1 Letterman Drive, Building B, Suite B6-100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 94129 </w:t>
      </w:r>
    </w:p>
    <w:p>
      <w:pPr>
        <w:pStyle w:val="TextBody"/>
        <w:bidi w:val="0"/>
        <w:spacing w:before="0" w:after="0"/>
        <w:jc w:val="center"/>
        <w:rPr>
          <w:rFonts w:ascii="Times New Roman" w:hAnsi="Times New Roman"/>
          <w:sz w:val="20"/>
        </w:rPr>
      </w:pPr>
      <w:r>
        <w:rPr>
          <w:rFonts w:ascii="Times New Roman" w:hAnsi="Times New Roman"/>
          <w:sz w:val="20"/>
        </w:rPr>
        <w:t xml:space="preserve">Email: JPeck@sixthstreet.com </w:t>
      </w:r>
    </w:p>
    <w:p>
      <w:pPr>
        <w:pStyle w:val="TextBody"/>
        <w:bidi w:val="0"/>
        <w:spacing w:before="0" w:after="0"/>
        <w:jc w:val="center"/>
        <w:rPr>
          <w:rFonts w:ascii="Times New Roman" w:hAnsi="Times New Roman"/>
          <w:sz w:val="20"/>
        </w:rPr>
      </w:pPr>
      <w:r>
        <w:rPr>
          <w:rFonts w:ascii="Times New Roman" w:hAnsi="Times New Roman"/>
          <w:sz w:val="20"/>
        </w:rPr>
        <w:t xml:space="preserve">(415) 486-5900 </w:t>
      </w:r>
    </w:p>
    <w:p>
      <w:pPr>
        <w:pStyle w:val="TextBody"/>
        <w:bidi w:val="0"/>
        <w:spacing w:before="240" w:after="0"/>
        <w:jc w:val="left"/>
        <w:rPr>
          <w:rFonts w:ascii="Times New Roman" w:hAnsi="Times New Roman"/>
          <w:sz w:val="20"/>
        </w:rPr>
      </w:pPr>
      <w:r>
        <w:rPr>
          <w:rFonts w:ascii="Times New Roman" w:hAnsi="Times New Roman"/>
          <w:sz w:val="20"/>
        </w:rPr>
        <w:t xml:space="preserve">Please address any questions, and a copy of any communications, concerning this Application, the Notice, and the Order to: </w:t>
      </w:r>
    </w:p>
    <w:p>
      <w:pPr>
        <w:pStyle w:val="TextBody"/>
        <w:bidi w:val="0"/>
        <w:spacing w:before="240" w:after="0"/>
        <w:jc w:val="center"/>
        <w:rPr>
          <w:rFonts w:ascii="Times New Roman" w:hAnsi="Times New Roman"/>
          <w:sz w:val="20"/>
        </w:rPr>
      </w:pPr>
      <w:r>
        <w:rPr>
          <w:rFonts w:ascii="Times New Roman" w:hAnsi="Times New Roman"/>
          <w:sz w:val="20"/>
        </w:rPr>
        <w:t xml:space="preserve">Rajib Chanda </w:t>
      </w:r>
    </w:p>
    <w:p>
      <w:pPr>
        <w:pStyle w:val="TextBody"/>
        <w:bidi w:val="0"/>
        <w:spacing w:before="0" w:after="0"/>
        <w:jc w:val="center"/>
        <w:rPr>
          <w:rFonts w:ascii="Times New Roman" w:hAnsi="Times New Roman"/>
          <w:sz w:val="20"/>
        </w:rPr>
      </w:pPr>
      <w:r>
        <w:rPr>
          <w:rFonts w:ascii="Times New Roman" w:hAnsi="Times New Roman"/>
          <w:sz w:val="20"/>
        </w:rPr>
        <w:t xml:space="preserve">Steven Grigoriou </w:t>
      </w:r>
    </w:p>
    <w:p>
      <w:pPr>
        <w:pStyle w:val="TextBody"/>
        <w:bidi w:val="0"/>
        <w:spacing w:before="0" w:after="0"/>
        <w:jc w:val="center"/>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center"/>
        <w:rPr>
          <w:rFonts w:ascii="Times New Roman" w:hAnsi="Times New Roman"/>
          <w:sz w:val="20"/>
        </w:rPr>
      </w:pPr>
      <w:r>
        <w:rPr>
          <w:rFonts w:ascii="Times New Roman" w:hAnsi="Times New Roman"/>
          <w:sz w:val="20"/>
        </w:rPr>
        <w:t xml:space="preserve">(202) 636-5500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 Applicants hereby state that each Existing Regulated Fund and Existing Affiliated Entity have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have caused this Application to be duly signed on their behalf on the 4th day of April,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2"/>
        <w:gridCol w:w="110"/>
        <w:gridCol w:w="3270"/>
      </w:tblGrid>
      <w:tr>
        <w:trPr/>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INC.</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Easterly</w:t>
            </w:r>
          </w:p>
        </w:tc>
      </w:tr>
      <w:tr>
        <w:trPr/>
        <w:tc>
          <w:tcPr>
            <w:tcW w:w="70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left"/>
              <w:rPr/>
            </w:pPr>
            <w:r>
              <w:rPr/>
              <w:t>Name: Joshua Easterly</w:t>
            </w:r>
          </w:p>
        </w:tc>
      </w:tr>
      <w:tr>
        <w:trPr/>
        <w:tc>
          <w:tcPr>
            <w:tcW w:w="70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ADVISERS, LLC</w:t>
            </w:r>
          </w:p>
        </w:tc>
      </w:tr>
      <w:tr>
        <w:trPr/>
        <w:tc>
          <w:tcPr>
            <w:tcW w:w="70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left"/>
              <w:rPr>
                <w:sz w:val="4"/>
                <w:szCs w:val="4"/>
              </w:rPr>
            </w:pPr>
            <w:r>
              <w:rPr>
                <w:sz w:val="4"/>
                <w:szCs w:val="4"/>
              </w:rPr>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70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left"/>
              <w:rPr/>
            </w:pPr>
            <w:r>
              <w:rPr/>
              <w:t>Name: Joshua Peck</w:t>
            </w:r>
          </w:p>
        </w:tc>
      </w:tr>
      <w:tr>
        <w:trPr/>
        <w:tc>
          <w:tcPr>
            <w:tcW w:w="70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PARTNERS III (A), L.P.</w:t>
            </w:r>
          </w:p>
        </w:tc>
      </w:tr>
      <w:tr>
        <w:trPr/>
        <w:tc>
          <w:tcPr>
            <w:tcW w:w="4082" w:type="dxa"/>
            <w:gridSpan w:val="3"/>
            <w:tcBorders/>
          </w:tcPr>
          <w:p>
            <w:pPr>
              <w:pStyle w:val="TableContents"/>
              <w:bidi w:val="0"/>
              <w:spacing w:before="0" w:after="283"/>
              <w:jc w:val="left"/>
              <w:rPr/>
            </w:pPr>
            <w:r>
              <w:rPr/>
              <w:t>SIXTH STREET OPPORTUNITIES PARTNERS III (B), L.P.</w:t>
            </w:r>
          </w:p>
        </w:tc>
      </w:tr>
      <w:tr>
        <w:trPr/>
        <w:tc>
          <w:tcPr>
            <w:tcW w:w="4082" w:type="dxa"/>
            <w:gridSpan w:val="3"/>
            <w:tcBorders/>
          </w:tcPr>
          <w:p>
            <w:pPr>
              <w:pStyle w:val="TableContents"/>
              <w:bidi w:val="0"/>
              <w:spacing w:before="0" w:after="283"/>
              <w:jc w:val="left"/>
              <w:rPr/>
            </w:pPr>
            <w:r>
              <w:rPr/>
              <w:t>SIXTH STREET OPPORTUNITIES PARTNERS III (C), L.P.</w:t>
            </w:r>
          </w:p>
        </w:tc>
      </w:tr>
      <w:tr>
        <w:trPr/>
        <w:tc>
          <w:tcPr>
            <w:tcW w:w="4082" w:type="dxa"/>
            <w:gridSpan w:val="3"/>
            <w:tcBorders/>
          </w:tcPr>
          <w:p>
            <w:pPr>
              <w:pStyle w:val="TableContents"/>
              <w:bidi w:val="0"/>
              <w:spacing w:before="0" w:after="283"/>
              <w:jc w:val="left"/>
              <w:rPr/>
            </w:pPr>
            <w:r>
              <w:rPr/>
              <w:t>TOP III DELAWARE AIV I-A, L.P.</w:t>
            </w:r>
          </w:p>
        </w:tc>
      </w:tr>
      <w:tr>
        <w:trPr/>
        <w:tc>
          <w:tcPr>
            <w:tcW w:w="4082" w:type="dxa"/>
            <w:gridSpan w:val="3"/>
            <w:tcBorders/>
          </w:tcPr>
          <w:p>
            <w:pPr>
              <w:pStyle w:val="TableContents"/>
              <w:bidi w:val="0"/>
              <w:spacing w:before="0" w:after="283"/>
              <w:jc w:val="left"/>
              <w:rPr/>
            </w:pPr>
            <w:r>
              <w:rPr/>
              <w:t>OPPS III DELAWARE AIV I-B, 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Opportunities GenPar III,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Opportunities GenPar III Advisers,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PARTNERS IV (A), L.P.</w:t>
            </w:r>
          </w:p>
        </w:tc>
      </w:tr>
      <w:tr>
        <w:trPr/>
        <w:tc>
          <w:tcPr>
            <w:tcW w:w="4082" w:type="dxa"/>
            <w:gridSpan w:val="3"/>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PARTNERS IV (B), L.P.</w:t>
            </w:r>
          </w:p>
        </w:tc>
      </w:tr>
      <w:tr>
        <w:trPr/>
        <w:tc>
          <w:tcPr>
            <w:tcW w:w="4082" w:type="dxa"/>
            <w:gridSpan w:val="3"/>
            <w:tcBorders/>
          </w:tcPr>
          <w:p>
            <w:pPr>
              <w:pStyle w:val="TableContents"/>
              <w:bidi w:val="0"/>
              <w:spacing w:before="0" w:after="283"/>
              <w:jc w:val="left"/>
              <w:rPr/>
            </w:pPr>
            <w:r>
              <w:rPr/>
              <w:t>SIXTH STREET OPPORTUNITIES PARTNERS IV (C), L.P.</w:t>
            </w:r>
          </w:p>
        </w:tc>
      </w:tr>
      <w:tr>
        <w:trPr/>
        <w:tc>
          <w:tcPr>
            <w:tcW w:w="4082" w:type="dxa"/>
            <w:gridSpan w:val="3"/>
            <w:tcBorders/>
          </w:tcPr>
          <w:p>
            <w:pPr>
              <w:pStyle w:val="TableContents"/>
              <w:bidi w:val="0"/>
              <w:spacing w:before="0" w:after="283"/>
              <w:jc w:val="left"/>
              <w:rPr/>
            </w:pPr>
            <w:r>
              <w:rPr/>
              <w:t>OPPS IV DELAWARE AIV I-A, L.P.</w:t>
            </w:r>
          </w:p>
        </w:tc>
      </w:tr>
      <w:tr>
        <w:trPr/>
        <w:tc>
          <w:tcPr>
            <w:tcW w:w="4082" w:type="dxa"/>
            <w:gridSpan w:val="3"/>
            <w:tcBorders/>
          </w:tcPr>
          <w:p>
            <w:pPr>
              <w:pStyle w:val="TableContents"/>
              <w:bidi w:val="0"/>
              <w:spacing w:before="0" w:after="283"/>
              <w:jc w:val="left"/>
              <w:rPr/>
            </w:pPr>
            <w:r>
              <w:rPr/>
              <w:t>OPPS IV DELAWARE AIV I-B,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Opportunities GenPar IV,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Opportunities GenPar IV Advisers,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i/>
              </w:rPr>
              <w:t>Name</w:t>
            </w:r>
            <w:r>
              <w:rPr/>
              <w:t>: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PARTNERS V (A), L.P.</w:t>
            </w:r>
          </w:p>
        </w:tc>
      </w:tr>
      <w:tr>
        <w:trPr/>
        <w:tc>
          <w:tcPr>
            <w:tcW w:w="4082" w:type="dxa"/>
            <w:gridSpan w:val="3"/>
            <w:tcBorders/>
          </w:tcPr>
          <w:p>
            <w:pPr>
              <w:pStyle w:val="TableContents"/>
              <w:bidi w:val="0"/>
              <w:spacing w:before="0" w:after="283"/>
              <w:jc w:val="left"/>
              <w:rPr/>
            </w:pPr>
            <w:r>
              <w:rPr/>
              <w:t>SIXTH STREET OPPORTUNITIES PARTNERS V (B), L.P.</w:t>
            </w:r>
          </w:p>
        </w:tc>
      </w:tr>
      <w:tr>
        <w:trPr/>
        <w:tc>
          <w:tcPr>
            <w:tcW w:w="4082" w:type="dxa"/>
            <w:gridSpan w:val="3"/>
            <w:tcBorders/>
          </w:tcPr>
          <w:p>
            <w:pPr>
              <w:pStyle w:val="TableContents"/>
              <w:bidi w:val="0"/>
              <w:spacing w:before="0" w:after="283"/>
              <w:jc w:val="left"/>
              <w:rPr/>
            </w:pPr>
            <w:r>
              <w:rPr/>
              <w:t>SIXTH STREET OPPORTUNITIES PARTNERS V (C), L.P.</w:t>
            </w:r>
          </w:p>
        </w:tc>
      </w:tr>
      <w:tr>
        <w:trPr/>
        <w:tc>
          <w:tcPr>
            <w:tcW w:w="4082" w:type="dxa"/>
            <w:gridSpan w:val="3"/>
            <w:tcBorders/>
          </w:tcPr>
          <w:p>
            <w:pPr>
              <w:pStyle w:val="TableContents"/>
              <w:bidi w:val="0"/>
              <w:spacing w:before="0" w:after="283"/>
              <w:jc w:val="left"/>
              <w:rPr/>
            </w:pPr>
            <w:r>
              <w:rPr/>
              <w:t>SIXTH STREET OPPS V DELAWARE AIV I-A, L.P.</w:t>
            </w:r>
          </w:p>
        </w:tc>
      </w:tr>
      <w:tr>
        <w:trPr/>
        <w:tc>
          <w:tcPr>
            <w:tcW w:w="4082" w:type="dxa"/>
            <w:gridSpan w:val="3"/>
            <w:tcBorders/>
          </w:tcPr>
          <w:p>
            <w:pPr>
              <w:pStyle w:val="TableContents"/>
              <w:bidi w:val="0"/>
              <w:spacing w:before="0" w:after="283"/>
              <w:jc w:val="left"/>
              <w:rPr/>
            </w:pPr>
            <w:r>
              <w:rPr/>
              <w:t>SIXTH STREET OPPS V DELAWARE AIV I-B,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Opportunities GenPar V,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Opportunities GenPar V Advisers,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TAO PARTNERS, L.P.</w:t>
            </w:r>
          </w:p>
        </w:tc>
      </w:tr>
      <w:tr>
        <w:trPr/>
        <w:tc>
          <w:tcPr>
            <w:tcW w:w="4082" w:type="dxa"/>
            <w:gridSpan w:val="3"/>
            <w:tcBorders/>
          </w:tcPr>
          <w:p>
            <w:pPr>
              <w:pStyle w:val="TableContents"/>
              <w:bidi w:val="0"/>
              <w:spacing w:before="0" w:after="283"/>
              <w:jc w:val="left"/>
              <w:rPr/>
            </w:pPr>
            <w:r>
              <w:rPr/>
              <w:t>SIXTH STREET TAO PARTNERS (A), L.P.</w:t>
            </w:r>
          </w:p>
        </w:tc>
      </w:tr>
      <w:tr>
        <w:trPr/>
        <w:tc>
          <w:tcPr>
            <w:tcW w:w="4082" w:type="dxa"/>
            <w:gridSpan w:val="3"/>
            <w:tcBorders/>
          </w:tcPr>
          <w:p>
            <w:pPr>
              <w:pStyle w:val="TableContents"/>
              <w:bidi w:val="0"/>
              <w:spacing w:before="0" w:after="283"/>
              <w:jc w:val="left"/>
              <w:rPr/>
            </w:pPr>
            <w:r>
              <w:rPr/>
              <w:t>SIXTH STREET TAO PARTNERS (B), L.P.</w:t>
            </w:r>
          </w:p>
        </w:tc>
      </w:tr>
      <w:tr>
        <w:trPr/>
        <w:tc>
          <w:tcPr>
            <w:tcW w:w="4082" w:type="dxa"/>
            <w:gridSpan w:val="3"/>
            <w:tcBorders/>
          </w:tcPr>
          <w:p>
            <w:pPr>
              <w:pStyle w:val="TableContents"/>
              <w:bidi w:val="0"/>
              <w:spacing w:before="0" w:after="283"/>
              <w:jc w:val="left"/>
              <w:rPr/>
            </w:pPr>
            <w:r>
              <w:rPr/>
              <w:t>SIXTH STREET TAO PARTNERS (C), L.P.</w:t>
            </w:r>
          </w:p>
        </w:tc>
      </w:tr>
      <w:tr>
        <w:trPr/>
        <w:tc>
          <w:tcPr>
            <w:tcW w:w="4082" w:type="dxa"/>
            <w:gridSpan w:val="3"/>
            <w:tcBorders/>
          </w:tcPr>
          <w:p>
            <w:pPr>
              <w:pStyle w:val="TableContents"/>
              <w:bidi w:val="0"/>
              <w:spacing w:before="0" w:after="283"/>
              <w:jc w:val="left"/>
              <w:rPr/>
            </w:pPr>
            <w:r>
              <w:rPr/>
              <w:t>SIXTH STREET TAO PARTNERS (D), L.P.</w:t>
            </w:r>
          </w:p>
        </w:tc>
      </w:tr>
      <w:tr>
        <w:trPr/>
        <w:tc>
          <w:tcPr>
            <w:tcW w:w="4082" w:type="dxa"/>
            <w:gridSpan w:val="3"/>
            <w:tcBorders/>
          </w:tcPr>
          <w:p>
            <w:pPr>
              <w:pStyle w:val="TableContents"/>
              <w:bidi w:val="0"/>
              <w:spacing w:before="0" w:after="283"/>
              <w:jc w:val="left"/>
              <w:rPr/>
            </w:pPr>
            <w:r>
              <w:rPr/>
              <w:t>SIXTH STREET TAO PARTNERS (E), L.P.</w:t>
            </w:r>
          </w:p>
        </w:tc>
      </w:tr>
      <w:tr>
        <w:trPr/>
        <w:tc>
          <w:tcPr>
            <w:tcW w:w="4082" w:type="dxa"/>
            <w:gridSpan w:val="3"/>
            <w:tcBorders/>
          </w:tcPr>
          <w:p>
            <w:pPr>
              <w:pStyle w:val="TableContents"/>
              <w:bidi w:val="0"/>
              <w:spacing w:before="0" w:after="283"/>
              <w:jc w:val="left"/>
              <w:rPr/>
            </w:pPr>
            <w:r>
              <w:rPr/>
              <w:t>SIXTH STREET TAO PARTNERS (F), L.P.</w:t>
            </w:r>
          </w:p>
        </w:tc>
      </w:tr>
      <w:tr>
        <w:trPr/>
        <w:tc>
          <w:tcPr>
            <w:tcW w:w="4082" w:type="dxa"/>
            <w:gridSpan w:val="3"/>
            <w:tcBorders/>
          </w:tcPr>
          <w:p>
            <w:pPr>
              <w:pStyle w:val="TableContents"/>
              <w:bidi w:val="0"/>
              <w:spacing w:before="0" w:after="283"/>
              <w:jc w:val="left"/>
              <w:rPr/>
            </w:pPr>
            <w:r>
              <w:rPr/>
              <w:t>KNIGHT TAO, 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 TAO MA, L.P.</w:t>
            </w:r>
          </w:p>
        </w:tc>
      </w:tr>
      <w:tr>
        <w:trPr/>
        <w:tc>
          <w:tcPr>
            <w:tcW w:w="4082" w:type="dxa"/>
            <w:gridSpan w:val="3"/>
            <w:tcBorders/>
          </w:tcPr>
          <w:p>
            <w:pPr>
              <w:pStyle w:val="TableContents"/>
              <w:bidi w:val="0"/>
              <w:spacing w:before="0" w:after="283"/>
              <w:jc w:val="left"/>
              <w:rPr/>
            </w:pPr>
            <w:r>
              <w:rPr/>
              <w:t>SUPER TAO CONTINGENT MA, L.P.</w:t>
            </w:r>
          </w:p>
        </w:tc>
      </w:tr>
      <w:tr>
        <w:trPr/>
        <w:tc>
          <w:tcPr>
            <w:tcW w:w="4082" w:type="dxa"/>
            <w:gridSpan w:val="3"/>
            <w:tcBorders/>
          </w:tcPr>
          <w:p>
            <w:pPr>
              <w:pStyle w:val="TableContents"/>
              <w:bidi w:val="0"/>
              <w:spacing w:before="0" w:after="283"/>
              <w:jc w:val="left"/>
              <w:rPr/>
            </w:pPr>
            <w:r>
              <w:rPr/>
              <w:t>PSERS TAO PARTNERS PARALLEL FUND, L.P.</w:t>
            </w:r>
          </w:p>
        </w:tc>
      </w:tr>
      <w:tr>
        <w:trPr/>
        <w:tc>
          <w:tcPr>
            <w:tcW w:w="4082" w:type="dxa"/>
            <w:gridSpan w:val="3"/>
            <w:tcBorders/>
          </w:tcPr>
          <w:p>
            <w:pPr>
              <w:pStyle w:val="TableContents"/>
              <w:bidi w:val="0"/>
              <w:spacing w:before="0" w:after="283"/>
              <w:jc w:val="left"/>
              <w:rPr/>
            </w:pPr>
            <w:r>
              <w:rPr/>
              <w:t>TAO (B) AIV II-A, L.P.</w:t>
            </w:r>
          </w:p>
        </w:tc>
      </w:tr>
      <w:tr>
        <w:trPr/>
        <w:tc>
          <w:tcPr>
            <w:tcW w:w="4082" w:type="dxa"/>
            <w:gridSpan w:val="3"/>
            <w:tcBorders/>
          </w:tcPr>
          <w:p>
            <w:pPr>
              <w:pStyle w:val="TableContents"/>
              <w:bidi w:val="0"/>
              <w:spacing w:before="0" w:after="283"/>
              <w:jc w:val="left"/>
              <w:rPr/>
            </w:pPr>
            <w:r>
              <w:rPr/>
              <w:t>TAO (C) AIV II-A, L.P.</w:t>
            </w:r>
          </w:p>
        </w:tc>
      </w:tr>
      <w:tr>
        <w:trPr/>
        <w:tc>
          <w:tcPr>
            <w:tcW w:w="4082" w:type="dxa"/>
            <w:gridSpan w:val="3"/>
            <w:tcBorders/>
          </w:tcPr>
          <w:p>
            <w:pPr>
              <w:pStyle w:val="TableContents"/>
              <w:bidi w:val="0"/>
              <w:spacing w:before="0" w:after="283"/>
              <w:jc w:val="left"/>
              <w:rPr/>
            </w:pPr>
            <w:r>
              <w:rPr/>
              <w:t>TAO (D) AIV II-A, L.P.</w:t>
            </w:r>
          </w:p>
        </w:tc>
      </w:tr>
      <w:tr>
        <w:trPr/>
        <w:tc>
          <w:tcPr>
            <w:tcW w:w="4082" w:type="dxa"/>
            <w:gridSpan w:val="3"/>
            <w:tcBorders/>
          </w:tcPr>
          <w:p>
            <w:pPr>
              <w:pStyle w:val="TableContents"/>
              <w:bidi w:val="0"/>
              <w:spacing w:before="0" w:after="283"/>
              <w:jc w:val="left"/>
              <w:rPr/>
            </w:pPr>
            <w:r>
              <w:rPr/>
              <w:t>TAO (E) AIV II-A, L.P.</w:t>
            </w:r>
          </w:p>
        </w:tc>
      </w:tr>
      <w:tr>
        <w:trPr/>
        <w:tc>
          <w:tcPr>
            <w:tcW w:w="4082" w:type="dxa"/>
            <w:gridSpan w:val="3"/>
            <w:tcBorders/>
          </w:tcPr>
          <w:p>
            <w:pPr>
              <w:pStyle w:val="TableContents"/>
              <w:bidi w:val="0"/>
              <w:spacing w:before="0" w:after="283"/>
              <w:jc w:val="left"/>
              <w:rPr/>
            </w:pPr>
            <w:r>
              <w:rPr/>
              <w:t>TAO REDSTONE (C) AIV-1, L.P.</w:t>
            </w:r>
          </w:p>
        </w:tc>
      </w:tr>
      <w:tr>
        <w:trPr/>
        <w:tc>
          <w:tcPr>
            <w:tcW w:w="4082" w:type="dxa"/>
            <w:gridSpan w:val="3"/>
            <w:tcBorders/>
          </w:tcPr>
          <w:p>
            <w:pPr>
              <w:pStyle w:val="TableContents"/>
              <w:bidi w:val="0"/>
              <w:spacing w:before="0" w:after="283"/>
              <w:jc w:val="left"/>
              <w:rPr/>
            </w:pPr>
            <w:r>
              <w:rPr/>
              <w:t>TAO REDSTONE (C) AIV-2, L.P.</w:t>
            </w:r>
          </w:p>
        </w:tc>
      </w:tr>
      <w:tr>
        <w:trPr/>
        <w:tc>
          <w:tcPr>
            <w:tcW w:w="4082" w:type="dxa"/>
            <w:gridSpan w:val="3"/>
            <w:tcBorders/>
          </w:tcPr>
          <w:p>
            <w:pPr>
              <w:pStyle w:val="TableContents"/>
              <w:bidi w:val="0"/>
              <w:spacing w:before="0" w:after="283"/>
              <w:jc w:val="left"/>
              <w:rPr/>
            </w:pPr>
            <w:r>
              <w:rPr/>
              <w:t>TAO REDSTONE (E) AIV-1, L.P.</w:t>
            </w:r>
          </w:p>
        </w:tc>
      </w:tr>
      <w:tr>
        <w:trPr/>
        <w:tc>
          <w:tcPr>
            <w:tcW w:w="4082" w:type="dxa"/>
            <w:gridSpan w:val="3"/>
            <w:tcBorders/>
          </w:tcPr>
          <w:p>
            <w:pPr>
              <w:pStyle w:val="TableContents"/>
              <w:bidi w:val="0"/>
              <w:spacing w:before="0" w:after="283"/>
              <w:jc w:val="left"/>
              <w:rPr/>
            </w:pPr>
            <w:r>
              <w:rPr/>
              <w:t>TAO REDSTONE (E) AIV-2, L.P.</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 xml:space="preserve">Sixth Street TAO GenPar, L.P., </w:t>
            </w:r>
            <w:r>
              <w:rPr>
                <w:i/>
              </w:rPr>
              <w:t>as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 xml:space="preserve">Sixth Street TAO GenPar Advisers, LLC, </w:t>
            </w:r>
            <w:r>
              <w:rPr>
                <w:i/>
              </w:rPr>
              <w:t>as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Joshua Peck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GROWTH PARTNERS (A), L.P.</w:t>
            </w:r>
          </w:p>
        </w:tc>
      </w:tr>
      <w:tr>
        <w:trPr/>
        <w:tc>
          <w:tcPr>
            <w:tcW w:w="4082" w:type="dxa"/>
            <w:gridSpan w:val="3"/>
            <w:tcBorders/>
          </w:tcPr>
          <w:p>
            <w:pPr>
              <w:pStyle w:val="TableContents"/>
              <w:bidi w:val="0"/>
              <w:spacing w:before="0" w:after="283"/>
              <w:jc w:val="left"/>
              <w:rPr/>
            </w:pPr>
            <w:r>
              <w:rPr/>
              <w:t>SIXTH STREET GROWTH PARTNERS (B), L.P.</w:t>
            </w:r>
          </w:p>
        </w:tc>
      </w:tr>
      <w:tr>
        <w:trPr/>
        <w:tc>
          <w:tcPr>
            <w:tcW w:w="4082" w:type="dxa"/>
            <w:gridSpan w:val="3"/>
            <w:tcBorders/>
          </w:tcPr>
          <w:p>
            <w:pPr>
              <w:pStyle w:val="TableContents"/>
              <w:bidi w:val="0"/>
              <w:spacing w:before="0" w:after="283"/>
              <w:jc w:val="left"/>
              <w:rPr/>
            </w:pPr>
            <w:r>
              <w:rPr/>
              <w:t>SIXTH STREET GROWTH PARTNERS (A) AIV, L.P.</w:t>
            </w:r>
          </w:p>
        </w:tc>
      </w:tr>
      <w:tr>
        <w:trPr/>
        <w:tc>
          <w:tcPr>
            <w:tcW w:w="4082" w:type="dxa"/>
            <w:gridSpan w:val="3"/>
            <w:tcBorders/>
          </w:tcPr>
          <w:p>
            <w:pPr>
              <w:pStyle w:val="TableContents"/>
              <w:bidi w:val="0"/>
              <w:spacing w:before="0" w:after="283"/>
              <w:jc w:val="left"/>
              <w:rPr/>
            </w:pPr>
            <w:r>
              <w:rPr/>
              <w:t>SIXTH STREET GROWTH PARTNERS (B) AIV, L.P.</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 xml:space="preserve">Sixth Street Growth GenPar, L.P., </w:t>
            </w:r>
            <w:r>
              <w:rPr>
                <w:i/>
              </w:rPr>
              <w:t>as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 xml:space="preserve">Sixth Street Growth GenPar Advisers, LLC, </w:t>
            </w:r>
            <w:r>
              <w:rPr>
                <w:i/>
              </w:rPr>
              <w:t>as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Joshua Peck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GROWTH PARTNERS II (A), L.P.</w:t>
            </w:r>
          </w:p>
        </w:tc>
      </w:tr>
      <w:tr>
        <w:trPr/>
        <w:tc>
          <w:tcPr>
            <w:tcW w:w="4082" w:type="dxa"/>
            <w:gridSpan w:val="3"/>
            <w:tcBorders/>
          </w:tcPr>
          <w:p>
            <w:pPr>
              <w:pStyle w:val="TableContents"/>
              <w:bidi w:val="0"/>
              <w:spacing w:before="0" w:after="283"/>
              <w:jc w:val="left"/>
              <w:rPr/>
            </w:pPr>
            <w:r>
              <w:rPr/>
              <w:t>SIXTH STREET GROWTH PARTNERS II (B), L.P.</w:t>
            </w:r>
          </w:p>
        </w:tc>
      </w:tr>
      <w:tr>
        <w:trPr/>
        <w:tc>
          <w:tcPr>
            <w:tcW w:w="4082" w:type="dxa"/>
            <w:gridSpan w:val="3"/>
            <w:tcBorders/>
          </w:tcPr>
          <w:p>
            <w:pPr>
              <w:pStyle w:val="TableContents"/>
              <w:bidi w:val="0"/>
              <w:spacing w:before="0" w:after="283"/>
              <w:jc w:val="left"/>
              <w:rPr/>
            </w:pPr>
            <w:r>
              <w:rPr/>
              <w:t>SIXTH STREET GROWTH II (A) AIV, L.P.</w:t>
            </w:r>
          </w:p>
        </w:tc>
      </w:tr>
      <w:tr>
        <w:trPr/>
        <w:tc>
          <w:tcPr>
            <w:tcW w:w="4082" w:type="dxa"/>
            <w:gridSpan w:val="3"/>
            <w:tcBorders/>
          </w:tcPr>
          <w:p>
            <w:pPr>
              <w:pStyle w:val="TableContents"/>
              <w:bidi w:val="0"/>
              <w:spacing w:before="0" w:after="283"/>
              <w:jc w:val="left"/>
              <w:rPr/>
            </w:pPr>
            <w:r>
              <w:rPr/>
              <w:t>SIXTH STREET GROWTH II (B) AIV, L.P.</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 xml:space="preserve">Sixth Street Growth GenPar II, L.P., </w:t>
            </w:r>
            <w:r>
              <w:rPr>
                <w:i/>
              </w:rPr>
              <w:t>as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 xml:space="preserve">Sixth Street Growth GenPar II Advisers, LLC, </w:t>
            </w:r>
            <w:r>
              <w:rPr>
                <w:i/>
              </w:rPr>
              <w:t>as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Joshua Peck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GROWTH II LENDING,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David Stiepleman</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FUNDAMENTAL STRATEGIES PARTNERS (A), L.P.</w:t>
            </w:r>
          </w:p>
        </w:tc>
      </w:tr>
      <w:tr>
        <w:trPr/>
        <w:tc>
          <w:tcPr>
            <w:tcW w:w="4082" w:type="dxa"/>
            <w:gridSpan w:val="3"/>
            <w:tcBorders/>
          </w:tcPr>
          <w:p>
            <w:pPr>
              <w:pStyle w:val="TableContents"/>
              <w:bidi w:val="0"/>
              <w:spacing w:before="0" w:after="283"/>
              <w:jc w:val="left"/>
              <w:rPr/>
            </w:pPr>
            <w:r>
              <w:rPr/>
              <w:t>SIXTH STREET FUNDAMENTAL STRATEGIES PARTNERS (B), L.P.</w:t>
            </w:r>
          </w:p>
        </w:tc>
      </w:tr>
      <w:tr>
        <w:trPr/>
        <w:tc>
          <w:tcPr>
            <w:tcW w:w="4082" w:type="dxa"/>
            <w:gridSpan w:val="3"/>
            <w:tcBorders/>
          </w:tcPr>
          <w:p>
            <w:pPr>
              <w:pStyle w:val="TableContents"/>
              <w:bidi w:val="0"/>
              <w:spacing w:before="0" w:after="283"/>
              <w:jc w:val="left"/>
              <w:rPr/>
            </w:pPr>
            <w:r>
              <w:rPr/>
              <w:t>SIXTH STREET FS AIV I-A, L.P.</w:t>
            </w:r>
          </w:p>
        </w:tc>
      </w:tr>
      <w:tr>
        <w:trPr/>
        <w:tc>
          <w:tcPr>
            <w:tcW w:w="4082" w:type="dxa"/>
            <w:gridSpan w:val="3"/>
            <w:tcBorders/>
          </w:tcPr>
          <w:p>
            <w:pPr>
              <w:pStyle w:val="TableContents"/>
              <w:bidi w:val="0"/>
              <w:spacing w:before="0" w:after="283"/>
              <w:jc w:val="left"/>
              <w:rPr/>
            </w:pPr>
            <w:r>
              <w:rPr/>
              <w:t>SIXTH STREET FS AIV I-B, L.P.</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 xml:space="preserve">Sixth Street Fundamental Strategies GenPar, L.P., </w:t>
            </w:r>
            <w:r>
              <w:rPr>
                <w:i/>
              </w:rPr>
              <w:t>as 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 xml:space="preserve">Sixth Street Fundamental Strategies GenPar Advisers, LLC, </w:t>
            </w:r>
            <w:r>
              <w:rPr>
                <w:i/>
              </w:rPr>
              <w:t>as 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i/>
              </w:rPr>
              <w:t>Name</w:t>
            </w:r>
            <w:r>
              <w:rPr/>
              <w:t>: Joshua Peck</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EUROPE II,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Specialty Lending Europe GenPar II L.P.,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Specialty Lending Europe GenPar II Advisers,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AGRICULTURE PARTNERS (A),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Agriculture GenPar, L.P.,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Agriculture GenPar Advisers,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BLUEGRASS STRATEGIC HOLDINGS I,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Strategic Holdings GenPar,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WILLOW STRATEGIC HOLDINGS I,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Strategic Holdings GenPar,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COTTONWOOD STRATEGIC HOLDINGS I, L.P.</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 xml:space="preserve">Sixth Street Strategic Holdings GenPar, LLC, </w:t>
            </w:r>
            <w:r>
              <w:rPr>
                <w:i/>
              </w:rPr>
              <w:t>as general partner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DOGWOOD STRATEGIC HOLDINGS I, L.P.</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 xml:space="preserve">Sixth Street Strategic Holdings GenPar, LLC, </w:t>
            </w:r>
            <w:r>
              <w:rPr>
                <w:i/>
              </w:rPr>
              <w:t>as general partner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RED PINE STRATEGIC HOLDINGS I, L.P.</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 xml:space="preserve">Sixth Street Strategic Holdings GenPar, LLC, </w:t>
            </w:r>
            <w:r>
              <w:rPr>
                <w:i/>
              </w:rPr>
              <w:t>as general partner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i/>
              </w:rPr>
              <w:t>Name</w:t>
            </w:r>
            <w:r>
              <w:rPr/>
              <w:t>: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CMS DYNAMIC CREDIT FUND, L.P.</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 xml:space="preserve">Sixth Street CMS Dynamic Credit GenPar, LLC, </w:t>
            </w:r>
            <w:r>
              <w:rPr>
                <w:i/>
              </w:rPr>
              <w:t>as general partner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i/>
              </w:rPr>
              <w:t>Name</w:t>
            </w:r>
            <w:r>
              <w:rPr/>
              <w:t>: Joshua Peck</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TCS LENDING,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i/>
              </w:rPr>
              <w:t>Name</w:t>
            </w:r>
            <w:r>
              <w:rPr/>
              <w:t>: David Stiepleman</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TDL LENDING,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David Stiepleman</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TOP IV LENDING,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i/>
              </w:rPr>
              <w:t>Name</w:t>
            </w:r>
            <w:r>
              <w:rPr/>
              <w:t>: David Stiepleman</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OPPS V LENDING,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David Stiepleman</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FS I LENDING,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David Stiepleman</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ADVISERS,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VI 2016-2,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TICP CLO VI 2016-2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VII,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TICP CLO VII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VIII,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VIII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IX,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IX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XI,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TICP CLO XI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XII,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TICP CLO XII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XIII,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XIII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XIV,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XIV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XV,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XV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XVI,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XVI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XVII,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XVII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XVIII,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XVIII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XIX,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XIX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CLO XX Management, LLC, </w:t>
            </w:r>
            <w:r>
              <w:rPr>
                <w:i/>
              </w:rPr>
              <w:t>its</w:t>
            </w:r>
            <w:r>
              <w:rPr/>
              <w:t xml:space="preserve"> </w:t>
            </w:r>
            <w:r>
              <w:rPr>
                <w:i/>
              </w:rPr>
              <w:t>collateral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EQUITY FUND IV,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CLO Equity GenPar IV,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TICP SPV GP,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WHEELER PEAK ROTATIONAL CREDIT FUND I,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ROTATIONAL CREDIT FUND III,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Rotational Credit Fund GenPar III,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TRCF SPV GP,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TSSP STRUCTURED CREDIT OPPORTUNITIES FUND,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TSSP Structured Credit Opportunities Fund GenPar,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TSCOF SPV GP,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FUND II,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TSCOF SPV GP,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FUND III,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Structured Credit Opportunities GenPar III,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TSCOF SPV GP,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FUND V,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Structured Credit Opportunities GenPar V, L.P.,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TSCOF SPV GP, LLC, </w:t>
            </w:r>
            <w:r>
              <w:rPr>
                <w:i/>
              </w:rPr>
              <w:t>as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PARTNERS II,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TICP CLO GenPar II, LLC, </w:t>
            </w:r>
            <w:r>
              <w:rPr>
                <w:i/>
              </w:rPr>
              <w:t>as</w:t>
            </w:r>
            <w:r>
              <w:rPr/>
              <w:t xml:space="preserve"> </w:t>
            </w:r>
            <w:r>
              <w:rPr>
                <w:i/>
              </w:rPr>
              <w:t>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HOLDINGS,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TICP CLO Holdings GenPar, LLC, </w:t>
            </w:r>
            <w:r>
              <w:rPr>
                <w:i/>
              </w:rPr>
              <w:t>as</w:t>
            </w:r>
            <w:r>
              <w:rPr/>
              <w:t xml:space="preserve"> </w:t>
            </w:r>
            <w:r>
              <w:rPr>
                <w:i/>
              </w:rPr>
              <w:t>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TSSP INSTITUTIONAL CREDIT PARTNERS III,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TSSP Institutional Credit GenPar III, L.P., </w:t>
            </w:r>
            <w:r>
              <w:rPr>
                <w:i/>
              </w:rPr>
              <w:t>as</w:t>
            </w:r>
            <w:r>
              <w:rPr/>
              <w:t xml:space="preserve"> </w:t>
            </w:r>
            <w:r>
              <w:rPr>
                <w:i/>
              </w:rPr>
              <w:t>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TICP SPV GP, LLC, as </w:t>
            </w:r>
            <w:r>
              <w:rPr>
                <w:i/>
              </w:rPr>
              <w:t>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CREDIT MARKET STRATEGIES PARTNERS I, L.P.</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 xml:space="preserve">Sixth Street Credit Market Strategies GenPar, L.P., </w:t>
            </w:r>
            <w:r>
              <w:rPr>
                <w:i/>
              </w:rPr>
              <w:t>as 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 xml:space="preserve">TICP SPV GP, LLC, </w:t>
            </w:r>
            <w:r>
              <w:rPr>
                <w:i/>
              </w:rPr>
              <w:t>as</w:t>
            </w:r>
            <w:r>
              <w:rPr/>
              <w:t xml:space="preserve"> </w:t>
            </w:r>
            <w:r>
              <w:rPr>
                <w:i/>
              </w:rPr>
              <w:t>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CREDIT MARKET STRATEGIES PARTNERS I-A, L.P.</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 xml:space="preserve">Sixth Street Credit Market Strategies GenPar, L.P., </w:t>
            </w:r>
            <w:r>
              <w:rPr>
                <w:i/>
              </w:rPr>
              <w:t>as</w:t>
            </w:r>
            <w:r>
              <w:rPr/>
              <w:t xml:space="preserve"> </w:t>
            </w:r>
            <w:r>
              <w:rPr>
                <w:i/>
              </w:rPr>
              <w:t>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 xml:space="preserve">TICP SPV GP, LLC, </w:t>
            </w:r>
            <w:r>
              <w:rPr>
                <w:i/>
              </w:rPr>
              <w:t>as 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III CAYMAN, LTD.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SIXTH STREET MID-STAGE GROWTH PARTNERS (A), L.P.</w:t>
            </w:r>
          </w:p>
          <w:p>
            <w:pPr>
              <w:pStyle w:val="TableContents"/>
              <w:bidi w:val="0"/>
              <w:spacing w:before="0" w:after="0"/>
              <w:jc w:val="left"/>
              <w:rPr>
                <w:rFonts w:ascii="Times New Roman" w:hAnsi="Times New Roman"/>
                <w:sz w:val="20"/>
              </w:rPr>
            </w:pPr>
            <w:r>
              <w:rPr>
                <w:rFonts w:ascii="Times New Roman" w:hAnsi="Times New Roman"/>
                <w:sz w:val="20"/>
              </w:rPr>
              <w:t>SIXTH STREET MID-STAGE GROWTH PARTNERS (B), L.P.</w:t>
            </w:r>
          </w:p>
          <w:p>
            <w:pPr>
              <w:pStyle w:val="TableContents"/>
              <w:bidi w:val="0"/>
              <w:spacing w:before="0" w:after="0"/>
              <w:jc w:val="left"/>
              <w:rPr>
                <w:rFonts w:ascii="Times New Roman" w:hAnsi="Times New Roman"/>
                <w:sz w:val="20"/>
              </w:rPr>
            </w:pPr>
            <w:r>
              <w:rPr>
                <w:rFonts w:ascii="Times New Roman" w:hAnsi="Times New Roman"/>
                <w:sz w:val="20"/>
              </w:rPr>
              <w:t>SIXTH STREET MID-STAGE GROWTH (A) AIV, L.P.</w:t>
            </w:r>
          </w:p>
          <w:p>
            <w:pPr>
              <w:pStyle w:val="TableContents"/>
              <w:bidi w:val="0"/>
              <w:spacing w:before="0" w:after="20"/>
              <w:jc w:val="left"/>
              <w:rPr>
                <w:rFonts w:ascii="Times New Roman" w:hAnsi="Times New Roman"/>
                <w:sz w:val="20"/>
              </w:rPr>
            </w:pPr>
            <w:r>
              <w:rPr>
                <w:rFonts w:ascii="Times New Roman" w:hAnsi="Times New Roman"/>
                <w:sz w:val="20"/>
              </w:rPr>
              <w:t>SIXTH STREET MID-STAGE GROWTH (B) AIV, L.P.</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 xml:space="preserve">Sixth Street Mid-Stage Growth GenPar, L.P., </w:t>
            </w:r>
            <w:r>
              <w:rPr>
                <w:i/>
              </w:rPr>
              <w:t>as</w:t>
            </w:r>
            <w:r>
              <w:rPr/>
              <w:t xml:space="preserve"> </w:t>
            </w:r>
            <w:r>
              <w:rPr>
                <w:i/>
              </w:rPr>
              <w:t>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 xml:space="preserve">Sixth Street Mid-Stage Growth GenPar, Advisers, LLC, </w:t>
            </w:r>
            <w:r>
              <w:rPr>
                <w:i/>
              </w:rPr>
              <w:t>as</w:t>
            </w:r>
            <w:r>
              <w:rPr/>
              <w:t xml:space="preserve"> </w:t>
            </w:r>
            <w:r>
              <w:rPr>
                <w:i/>
              </w:rPr>
              <w:t>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Joshua Peck</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MSGP LENDING,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Stiepleman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David Stiepleman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AGRICULTURE PARTNERS (B),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Agriculture GenPar, L.P.,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Agriculture GenPar Advisers,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RED RIVER CREDIT FUND,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Strategic Holdings GenPar,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MADRONE STRATEGIC HOLDINGS I, L.P. SERIES I</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Madrone Strategic Holdings GenPar, L.P.,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Madrone Strategic Holdings GenPar Advisers,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MADRONE STRATEGIC HOLDINGS I, L.P. SERIES II</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Madrone Strategic Holdings GenPar, L.P.,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 xml:space="preserve">Sixth Street Madrone Strategic Holdings GenPar Advisers, LLC, </w:t>
            </w:r>
            <w:r>
              <w:rPr>
                <w:i/>
              </w:rPr>
              <w:t>as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Joshua Peck</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PRIVATE ASSET BASED INVESTMENT FUND I, L.P.</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xml:space="preserve">Sixth Street Private Asset Based Investment GenPar I, LLC, </w:t>
            </w:r>
            <w:r>
              <w:rPr>
                <w:i/>
              </w:rPr>
              <w:t>as general partner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Joshua Peck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SIXTH STREET SPORTS AND LIVE ENTERTAINMENT (A), L.P.</w:t>
            </w:r>
          </w:p>
          <w:p>
            <w:pPr>
              <w:pStyle w:val="TableContents"/>
              <w:bidi w:val="0"/>
              <w:spacing w:before="0" w:after="0"/>
              <w:jc w:val="left"/>
              <w:rPr>
                <w:rFonts w:ascii="Times New Roman" w:hAnsi="Times New Roman"/>
                <w:sz w:val="20"/>
              </w:rPr>
            </w:pPr>
            <w:r>
              <w:rPr>
                <w:rFonts w:ascii="Times New Roman" w:hAnsi="Times New Roman"/>
                <w:sz w:val="20"/>
              </w:rPr>
              <w:t>SIXTH STREET SPORTS AND LIVE ENTERTAINMENT (B), L.P.</w:t>
            </w:r>
          </w:p>
          <w:p>
            <w:pPr>
              <w:pStyle w:val="TableContents"/>
              <w:bidi w:val="0"/>
              <w:spacing w:before="0" w:after="0"/>
              <w:jc w:val="left"/>
              <w:rPr>
                <w:rFonts w:ascii="Times New Roman" w:hAnsi="Times New Roman"/>
                <w:sz w:val="20"/>
              </w:rPr>
            </w:pPr>
            <w:r>
              <w:rPr>
                <w:rFonts w:ascii="Times New Roman" w:hAnsi="Times New Roman"/>
                <w:sz w:val="20"/>
              </w:rPr>
              <w:t>SIXTH STREET SPORTS AND LIVE ENTERTAINMENT DELAWARE AIV I-A, L.P.</w:t>
            </w:r>
          </w:p>
          <w:p>
            <w:pPr>
              <w:pStyle w:val="TableContents"/>
              <w:bidi w:val="0"/>
              <w:spacing w:before="0" w:after="20"/>
              <w:jc w:val="left"/>
              <w:rPr>
                <w:rFonts w:ascii="Times New Roman" w:hAnsi="Times New Roman"/>
                <w:sz w:val="20"/>
              </w:rPr>
            </w:pPr>
            <w:r>
              <w:rPr>
                <w:rFonts w:ascii="Times New Roman" w:hAnsi="Times New Roman"/>
                <w:sz w:val="20"/>
              </w:rPr>
              <w:t>SIXTH STREET SPORTS AND LIVE ENTERTAINMENT DELAWARE AIV I-B, L.P.</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xml:space="preserve">Sixth Street Sports and Live Entertainment GenPar, L.P., </w:t>
            </w:r>
            <w:r>
              <w:rPr>
                <w:i/>
              </w:rPr>
              <w:t>as general partner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xml:space="preserve">Sixth Street Sports and Live Entertainment GenPar Advisers, LLC, </w:t>
            </w:r>
            <w:r>
              <w:rPr>
                <w:i/>
              </w:rPr>
              <w:t>as general partner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Joshua Peck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EUROPE III (A), L.P.</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xml:space="preserve">Sixth Street Specialty Lending Europe GenPar III, L.P., </w:t>
            </w:r>
            <w:r>
              <w:rPr>
                <w:i/>
              </w:rPr>
              <w:t>as general partner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xml:space="preserve">Sixth Street Specialty Lending Europe GenPar III Advisers, LLC, </w:t>
            </w:r>
            <w:r>
              <w:rPr>
                <w:i/>
              </w:rPr>
              <w:t>as general partner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Joshua Peck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SIXTH STREET SPECIALTY LENDING EUROPE III (A) AIF, SCSP</w:t>
            </w:r>
          </w:p>
          <w:p>
            <w:pPr>
              <w:pStyle w:val="TableContents"/>
              <w:bidi w:val="0"/>
              <w:spacing w:before="0" w:after="20"/>
              <w:jc w:val="left"/>
              <w:rPr>
                <w:rFonts w:ascii="Times New Roman" w:hAnsi="Times New Roman"/>
                <w:sz w:val="20"/>
              </w:rPr>
            </w:pPr>
            <w:r>
              <w:rPr>
                <w:rFonts w:ascii="Times New Roman" w:hAnsi="Times New Roman"/>
                <w:sz w:val="20"/>
              </w:rPr>
              <w:t>SIXTH STREET SPECIALTY LENDING EUROPE III (B) AIF, SCSP</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xml:space="preserve">Sixth Street Specialty Lending Europe III GP, S.à r.l, </w:t>
            </w:r>
            <w:r>
              <w:rPr>
                <w:i/>
              </w:rPr>
              <w:t>as general partner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Wanek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Daniel Wanek</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XXI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XXII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XXIII,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XXIII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XXIV,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XXIV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XXV, LTD.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Sixth Street CLO XXV Management, LLC, </w:t>
            </w:r>
            <w:r>
              <w:rPr>
                <w:i/>
              </w:rPr>
              <w:t>its</w:t>
            </w:r>
            <w:r>
              <w:rPr/>
              <w:t xml:space="preserve"> </w:t>
            </w:r>
            <w:r>
              <w:rPr>
                <w:i/>
              </w:rPr>
              <w:t>collateral manager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Joshua Peck</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XXVI,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CLO XXVI Management, LLC, </w:t>
            </w:r>
            <w:r>
              <w:rPr>
                <w:i/>
              </w:rPr>
              <w:t>its</w:t>
            </w:r>
            <w:r>
              <w:rPr/>
              <w:t xml:space="preserve"> </w:t>
            </w:r>
            <w:r>
              <w:rPr>
                <w:i/>
              </w:rPr>
              <w:t>collateral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27,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 xml:space="preserve">Sixth Street CLO 27 Management, LLC, </w:t>
            </w:r>
            <w:r>
              <w:rPr>
                <w:i/>
              </w:rPr>
              <w:t>its</w:t>
            </w:r>
            <w:r>
              <w:rPr/>
              <w:t xml:space="preserve"> </w:t>
            </w:r>
            <w:r>
              <w:rPr>
                <w:i/>
              </w:rPr>
              <w:t>collateral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III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IV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OPPORTUNITIES V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Joshua Peck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TAO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GROWTH I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17"/>
        <w:gridCol w:w="60"/>
        <w:gridCol w:w="3605"/>
      </w:tblGrid>
      <w:tr>
        <w:trPr/>
        <w:tc>
          <w:tcPr>
            <w:tcW w:w="4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GROWTH II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FUNDAMENTAL STRATEGIES I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EUROPE II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AGRICULTURE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STRATEGIC HOLDINGS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CMS DYNAMIC CREDIT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VI 2016-2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VII MANAGEMENT, LLC</w:t>
            </w:r>
          </w:p>
        </w:tc>
      </w:tr>
      <w:tr>
        <w:trPr>
          <w:trHeight w:val="240" w:hRule="atLeast"/>
        </w:trPr>
        <w:tc>
          <w:tcPr>
            <w:tcW w:w="417" w:type="dxa"/>
            <w:tcBorders/>
            <w:vAlign w:val="center"/>
          </w:tcPr>
          <w:p>
            <w:pPr>
              <w:pStyle w:val="TableContents"/>
              <w:bidi w:val="0"/>
              <w:spacing w:before="0" w:after="283"/>
              <w:jc w:val="left"/>
              <w:rPr>
                <w:sz w:val="4"/>
                <w:szCs w:val="4"/>
              </w:rPr>
            </w:pPr>
            <w:r>
              <w:rPr>
                <w:sz w:val="4"/>
                <w:szCs w:val="4"/>
              </w:rPr>
            </w:r>
          </w:p>
        </w:tc>
        <w:tc>
          <w:tcPr>
            <w:tcW w:w="3665" w:type="dxa"/>
            <w:gridSpan w:val="2"/>
            <w:tcBorders/>
            <w:vAlign w:val="center"/>
          </w:tcPr>
          <w:p>
            <w:pPr>
              <w:pStyle w:val="TableContents"/>
              <w:bidi w:val="0"/>
              <w:spacing w:before="0" w:after="283"/>
              <w:jc w:val="left"/>
              <w:rPr>
                <w:sz w:val="4"/>
                <w:szCs w:val="4"/>
              </w:rPr>
            </w:pPr>
            <w:r>
              <w:rPr>
                <w:sz w:val="4"/>
                <w:szCs w:val="4"/>
              </w:rPr>
            </w:r>
          </w:p>
        </w:tc>
      </w:tr>
      <w:tr>
        <w:trPr/>
        <w:tc>
          <w:tcPr>
            <w:tcW w:w="4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Name: Joshua Peck</w:t>
            </w:r>
          </w:p>
        </w:tc>
      </w:tr>
      <w:tr>
        <w:trPr/>
        <w:tc>
          <w:tcPr>
            <w:tcW w:w="4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VIII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IX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XI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TICP CLO XII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XIII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XIV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XV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XVI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960" w:type="dxa"/>
        <w:jc w:val="right"/>
        <w:tblInd w:w="0" w:type="dxa"/>
        <w:tblLayout w:type="fixed"/>
        <w:tblCellMar>
          <w:top w:w="0" w:type="dxa"/>
          <w:left w:w="0" w:type="dxa"/>
          <w:bottom w:w="0" w:type="dxa"/>
          <w:right w:w="0" w:type="dxa"/>
        </w:tblCellMar>
      </w:tblPr>
      <w:tblGrid>
        <w:gridCol w:w="1175"/>
        <w:gridCol w:w="193"/>
        <w:gridCol w:w="4592"/>
      </w:tblGrid>
      <w:tr>
        <w:trPr/>
        <w:tc>
          <w:tcPr>
            <w:tcW w:w="117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4592" w:type="dxa"/>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CLO XVII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r>
        <w:trPr>
          <w:trHeight w:val="240" w:hRule="atLeast"/>
        </w:trPr>
        <w:tc>
          <w:tcPr>
            <w:tcW w:w="5960" w:type="dxa"/>
            <w:gridSpan w:val="3"/>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CLO XVIII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r>
        <w:trPr>
          <w:trHeight w:val="240" w:hRule="atLeast"/>
        </w:trPr>
        <w:tc>
          <w:tcPr>
            <w:tcW w:w="5960" w:type="dxa"/>
            <w:gridSpan w:val="3"/>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CLO XIX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r>
        <w:trPr>
          <w:trHeight w:val="240" w:hRule="atLeast"/>
        </w:trPr>
        <w:tc>
          <w:tcPr>
            <w:tcW w:w="5960" w:type="dxa"/>
            <w:gridSpan w:val="3"/>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CLO XX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r>
        <w:trPr>
          <w:trHeight w:val="240" w:hRule="atLeast"/>
        </w:trPr>
        <w:tc>
          <w:tcPr>
            <w:tcW w:w="5960" w:type="dxa"/>
            <w:gridSpan w:val="3"/>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CLO EQUITY IV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r>
        <w:trPr>
          <w:trHeight w:val="240" w:hRule="atLeast"/>
        </w:trPr>
        <w:tc>
          <w:tcPr>
            <w:tcW w:w="5960" w:type="dxa"/>
            <w:gridSpan w:val="3"/>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ROTATIONAL CREDIT II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r>
        <w:trPr>
          <w:trHeight w:val="240" w:hRule="atLeast"/>
        </w:trPr>
        <w:tc>
          <w:tcPr>
            <w:tcW w:w="5960" w:type="dxa"/>
            <w:gridSpan w:val="3"/>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Pr>
          <w:p>
            <w:pPr>
              <w:pStyle w:val="TableContents"/>
              <w:bidi w:val="0"/>
              <w:spacing w:before="0" w:after="283"/>
              <w:jc w:val="left"/>
              <w:rPr/>
            </w:pPr>
            <w:r>
              <w:rPr/>
              <w:t>SIXTH STREET ROTATIONAL CREDIT III MANAGEMENT, LLC</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478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Joshua Peck</w:t>
            </w:r>
          </w:p>
        </w:tc>
      </w:tr>
      <w:tr>
        <w:trPr/>
        <w:tc>
          <w:tcPr>
            <w:tcW w:w="1175"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TSSP STRUCTURED CREDIT OPPORTUNITIES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II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III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IV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STRUCTURED CREDIT OPPORTUNITIES V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ADVISERS II,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TSSP INSTITUTIONAL CREDIT III MANAGEMENT,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Joshua Peck</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05"/>
        <w:gridCol w:w="68"/>
        <w:gridCol w:w="3409"/>
      </w:tblGrid>
      <w:tr>
        <w:trPr/>
        <w:tc>
          <w:tcPr>
            <w:tcW w:w="60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CREDIT MARKET STRATEGIES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MID-STAGE GROWTH I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MADRONE STRATEGIC HOLDINGS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PRIVATE ASSET BASED INVESTMENT I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SPORTS AND LIVE ENTERTAINMENT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EUROPE III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 MANAGEMENT, LLC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 Joshua Peck</w:t>
            </w:r>
          </w:p>
        </w:tc>
      </w:tr>
      <w:tr>
        <w:trPr/>
        <w:tc>
          <w:tcPr>
            <w:tcW w:w="605"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XXIII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XXIV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XXV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XXVI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CLO 27 MANAGEMENT,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 ADVISERS,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Peck</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VERIFICATION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attached application, dated as of April 4, 2025,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left"/>
              <w:rPr/>
            </w:pPr>
            <w:r>
              <w:rPr/>
              <w:t>Joshua Peck</w:t>
            </w:r>
          </w:p>
        </w:tc>
      </w:tr>
      <w:tr>
        <w:trPr/>
        <w:tc>
          <w:tcPr>
            <w:tcW w:w="670"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left"/>
              <w:rPr/>
            </w:pPr>
            <w:r>
              <w:rPr/>
              <w:t>April 4,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A </w:t>
      </w:r>
    </w:p>
    <w:p>
      <w:pPr>
        <w:pStyle w:val="TextBody"/>
        <w:bidi w:val="0"/>
        <w:spacing w:before="480" w:after="0"/>
        <w:jc w:val="center"/>
        <w:rPr>
          <w:rFonts w:ascii="Times New Roman" w:hAnsi="Times New Roman"/>
          <w:b/>
          <w:sz w:val="20"/>
        </w:rPr>
      </w:pPr>
      <w:r>
        <w:rPr>
          <w:rFonts w:ascii="Times New Roman" w:hAnsi="Times New Roman"/>
          <w:b/>
          <w:sz w:val="20"/>
        </w:rPr>
        <w:t xml:space="preserve">Existing Advisers to Affiliated Entities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Advisers,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IV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Fundamental Strategies 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Europe 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Agriculture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Strategic Holdings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CMS Dynamic Credit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VI 2016-2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VII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VIII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IX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XI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XII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XIV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XIX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 Management,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Rotational Credit 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Rotational Credit 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TSSP Structured Credit Opportunities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IV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Advisers II,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TSSP Institutional Credit 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Credit Market Strategies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Equity IV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Mid-Stage Growth 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Madrone Strategic Holdings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Private Asset Based Investment 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Sports and Live Entertainment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Europe 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XXIII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XXV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XXVI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27 Management, LLC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Existing Affiliated Entities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III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III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III (C),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 III Delaware AIV I-A,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Opps III Delaware AIV I-B,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IV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IV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IV (C),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Opps IV Delaware AIV 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Opps IV Delaware AIV I-B,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 IV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V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V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Opportunities Partners V (C),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Opps V Delaware AIV 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Opps V Delaware AIV I-B,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Opps V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(C),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(D),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(E),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TAO Partners (F),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 TAO Contingent MA,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Knight TAO,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 TAO MA,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PSERS TAO Partners Parallel Fund,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(B) AIV II-A,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(C) AIV II-A,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(D) AIV II-A,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(E) AIV II-A,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TDL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Partners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Partners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Partners (A) AIV,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Partners (B) AIV,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TCS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Partners II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Partners II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II (A) AIV,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Growth II (B) AIV,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Growth II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Fundamental Strategies Partners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Fundamental Strategies Partners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FS AIV 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FS AIV I-B,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FS I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Europe 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Agriculture Partners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Bluegrass Strategic Holdings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Willow Strategic Holdings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Cottonwood Strategic Holdings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Dogwood Strategic Holdings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Red Pine Strategic Holdings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CMS Dynamic Credit Fund,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VI 2016-2,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VII,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VIII,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IX, Ltd.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XI,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XII,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XIII,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XIV,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XVIII,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XIX,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Wheeler Peak Rotational Credit Fund I,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Rotational Credit Fund III,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TSSP Structured Credit Opportunities Fund,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Fund 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Fund III,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Structured Credit Opportunities Fund 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Partners 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CLO Holdings,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TSSP Institutional Credit Partners III,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Credit Market Strategies Partners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Credit Market Strategies Partners 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TICP III Cayman,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Equity Fund 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Mid-Stage Growth Partners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Mid-Stage Growth Partners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Mid-Stage Growth (A) AIV,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Mid-Stage Growth (B) AIV,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MSGP Lending,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Agriculture Partners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Red River Credit Fund,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Madrone Strategic Holdings I, L.P. Series 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Madrone Strategic Holdings I, L.P. Series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Private Asset Based Investment Fund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Sports and Live Entertainment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Sports and Live Entertainment (B),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Sports and Live Entertainment Delaware AIV 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Sports and Live Entertainment Delaware AIV I-B,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Europe III (A),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Europe III (A) AIF, SCSp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Europe III (B) AIF, SCSp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Redstone (C) AIV-1,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Redstone (C) AIV-2,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Redstone (E) AIV-1,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Redstone (E) AIV-2,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XXIII,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XXIV,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XXV,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XXVI,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CLO 27, Ltd.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B </w:t>
      </w:r>
    </w:p>
    <w:p>
      <w:pPr>
        <w:pStyle w:val="TextBody"/>
        <w:bidi w:val="0"/>
        <w:spacing w:before="480" w:after="0"/>
        <w:jc w:val="center"/>
        <w:rPr>
          <w:rFonts w:ascii="Times New Roman" w:hAnsi="Times New Roman"/>
          <w:b/>
          <w:sz w:val="20"/>
        </w:rPr>
      </w:pPr>
      <w:r>
        <w:rPr>
          <w:rFonts w:ascii="Times New Roman" w:hAnsi="Times New Roman"/>
          <w:b/>
          <w:sz w:val="20"/>
        </w:rPr>
        <w:t xml:space="preserve">Resolutions of the Board of Directors of Sixth Street Specialty Lending, Inc.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has reviewed the Companys Co-Investment Exemptive Application (the </w:t>
      </w:r>
      <w:r>
        <w:rPr>
          <w:rFonts w:ascii="Times New Roman" w:hAnsi="Times New Roman"/>
          <w:b/>
          <w:i/>
          <w:sz w:val="20"/>
        </w:rPr>
        <w:t>Exemptive Application</w:t>
      </w:r>
      <w:r>
        <w:rPr>
          <w:rFonts w:ascii="Times New Roman" w:hAnsi="Times New Roman"/>
          <w:sz w:val="20"/>
        </w:rPr>
        <w:t xml:space="preserve">), a copy of which is attached hereto as </w:t>
      </w:r>
      <w:r>
        <w:rPr>
          <w:rFonts w:ascii="Times New Roman" w:hAnsi="Times New Roman"/>
          <w:sz w:val="20"/>
          <w:u w:val="single"/>
        </w:rPr>
        <w:t>Exhibit A,</w:t>
      </w:r>
      <w:r>
        <w:rPr>
          <w:rFonts w:ascii="Times New Roman" w:hAnsi="Times New Roman"/>
          <w:sz w:val="20"/>
        </w:rPr>
        <w:t xml:space="preserve"> for an order of the U.S. Securities and Exchange Commission (the </w:t>
      </w:r>
      <w:r>
        <w:rPr>
          <w:rFonts w:ascii="Times New Roman" w:hAnsi="Times New Roman"/>
          <w:b/>
          <w:i/>
          <w:sz w:val="20"/>
        </w:rPr>
        <w:t>SEC</w:t>
      </w:r>
      <w:r>
        <w:rPr>
          <w:rFonts w:ascii="Times New Roman" w:hAnsi="Times New Roman"/>
          <w:sz w:val="20"/>
        </w:rPr>
        <w:t>) pursuant to Sections 17(d) and 57(i) of the Investment Company Act of 1940, as amended (the </w:t>
      </w:r>
      <w:r>
        <w:rPr>
          <w:rFonts w:ascii="Times New Roman" w:hAnsi="Times New Roman"/>
          <w:b/>
          <w:i/>
          <w:sz w:val="20"/>
        </w:rPr>
        <w:t>Act</w:t>
      </w:r>
      <w:r>
        <w:rPr>
          <w:rFonts w:ascii="Times New Roman" w:hAnsi="Times New Roman"/>
          <w:sz w:val="20"/>
        </w:rPr>
        <w:t xml:space="preserve">), and Rule 17d-1 under the Act to permit certain joint transactions otherwise prohibited by Sections 17(d) and 57(a)(4) of the Act and Rule 17d-1 under the Act;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Authorized Officers, shall be, and each of them individually hereby is, authorized, empowered and directed, in the name and on behalf of the Company, to cause to be executed, delivered and filed with the SEC the Exemptive Application, in substantially the form attached hereto as </w:t>
      </w:r>
      <w:r>
        <w:rPr>
          <w:rFonts w:ascii="Times New Roman" w:hAnsi="Times New Roman"/>
          <w:sz w:val="20"/>
          <w:u w:val="single"/>
        </w:rPr>
        <w:t>Exhibit 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shall be, and each of them individually hereby is, authorized, empowered and directed, in 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all acts and things previously done by any of the Authorized Officers, on or prior to the date hereof, in the name and on behalf of the Company in connection with the foregoing resolutions are in all respects authorized, ratified, approved, confirmed and adopted as the acts and deeds by and on behalf of the Company;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be, and each of them hereby is, authorized, empowered and directed to certify and deliver 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for purposes of the foregoing resolutions, the Authorized Officers of the Company shall be the Chief Executive Officer, President, Chief Financial Officer, Secretary and any Vice President of the Company (collectively, the </w:t>
      </w:r>
      <w:r>
        <w:rPr>
          <w:rFonts w:ascii="Times New Roman" w:hAnsi="Times New Roman"/>
          <w:b/>
          <w:i/>
          <w:sz w:val="20"/>
        </w:rPr>
        <w:t>Authorized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(Approved by unanimous written consent of the Board of Directors on March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C </w:t>
      </w:r>
    </w:p>
    <w:p>
      <w:pPr>
        <w:pStyle w:val="TextBody"/>
        <w:bidi w:val="0"/>
        <w:spacing w:before="480" w:after="0"/>
        <w:jc w:val="center"/>
        <w:rPr>
          <w:rFonts w:ascii="Times New Roman" w:hAnsi="Times New Roman"/>
          <w:b/>
          <w:sz w:val="20"/>
        </w:rPr>
      </w:pPr>
      <w:r>
        <w:rPr>
          <w:rFonts w:ascii="Times New Roman" w:hAnsi="Times New Roman"/>
          <w:b/>
          <w:sz w:val="20"/>
        </w:rPr>
        <w:t xml:space="preserve">Resolutions of the Board of Trustees of Sixth Street Lending Partners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Trustees has reviewed the Companys Co-Investment Exemptive Application (the </w:t>
      </w:r>
      <w:r>
        <w:rPr>
          <w:rFonts w:ascii="Times New Roman" w:hAnsi="Times New Roman"/>
          <w:b/>
          <w:i/>
          <w:sz w:val="20"/>
        </w:rPr>
        <w:t>Exemptive Application</w:t>
      </w:r>
      <w:r>
        <w:rPr>
          <w:rFonts w:ascii="Times New Roman" w:hAnsi="Times New Roman"/>
          <w:sz w:val="20"/>
        </w:rPr>
        <w:t xml:space="preserve">), a copy of which is attached hereto as </w:t>
      </w:r>
      <w:r>
        <w:rPr>
          <w:rFonts w:ascii="Times New Roman" w:hAnsi="Times New Roman"/>
          <w:sz w:val="20"/>
          <w:u w:val="single"/>
        </w:rPr>
        <w:t>Exhibit A</w:t>
      </w:r>
      <w:r>
        <w:rPr>
          <w:rFonts w:ascii="Times New Roman" w:hAnsi="Times New Roman"/>
          <w:sz w:val="20"/>
        </w:rPr>
        <w:t>, for an order of the U.S. Securities and Exchange Commission (the </w:t>
      </w:r>
      <w:r>
        <w:rPr>
          <w:rFonts w:ascii="Times New Roman" w:hAnsi="Times New Roman"/>
          <w:b/>
          <w:i/>
          <w:sz w:val="20"/>
        </w:rPr>
        <w:t>SEC</w:t>
      </w:r>
      <w:r>
        <w:rPr>
          <w:rFonts w:ascii="Times New Roman" w:hAnsi="Times New Roman"/>
          <w:sz w:val="20"/>
        </w:rPr>
        <w:t xml:space="preserve">) pursuant to Sections 17(d) and 57(i) of the Investment Company Act of 1940, as amended (the </w:t>
      </w:r>
      <w:r>
        <w:rPr>
          <w:rFonts w:ascii="Times New Roman" w:hAnsi="Times New Roman"/>
          <w:i/>
          <w:sz w:val="20"/>
        </w:rPr>
        <w:t></w:t>
      </w:r>
      <w:r>
        <w:rPr>
          <w:rFonts w:ascii="Times New Roman" w:hAnsi="Times New Roman"/>
          <w:b/>
          <w:i/>
          <w:sz w:val="20"/>
        </w:rPr>
        <w:t>Act</w:t>
      </w:r>
      <w:r>
        <w:rPr>
          <w:rFonts w:ascii="Times New Roman" w:hAnsi="Times New Roman"/>
          <w:i/>
          <w:sz w:val="20"/>
        </w:rPr>
        <w:t xml:space="preserve">), </w:t>
      </w:r>
      <w:r>
        <w:rPr>
          <w:rFonts w:ascii="Times New Roman" w:hAnsi="Times New Roman"/>
          <w:sz w:val="20"/>
        </w:rPr>
        <w:t xml:space="preserve">and Rule 17d-1 under the Act to permit certain joint transactions otherwise prohibited by Sections 17(d) and 57(a)(4) of the Act and Rule 17d-1 under the Act;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Authorized Officers, shall be, and each of them individually hereby is, authorized, empowered and directed, in the name and on behalf of the Company, to cause to be executed, delivered and filed with the SEC the Exemptive Application, in substantially the form attached hereto as </w:t>
      </w:r>
      <w:r>
        <w:rPr>
          <w:rFonts w:ascii="Times New Roman" w:hAnsi="Times New Roman"/>
          <w:sz w:val="20"/>
          <w:u w:val="single"/>
        </w:rPr>
        <w:t>Exhibit 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shall be, and each of them individually hereby is, authorized, empowered and directed, in 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all acts and things previously done by any of the Authorized Officers, on or prior to the date hereof, in the name and on behalf of the Company in connection with the foregoing resolutions are in all respects authorized, ratified, approved, confirmed and adopted as the acts and deeds by and on behalf of the Company;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be, and each of them hereby is, authorized, empowered and directed to certify and deliver 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for purposes of the foregoing resolutions, the Authorized Officers of the Company shall be the Chief Executive Officer, Chief Financial Officer, Secretary and any Vice President of the Company (collectively, the </w:t>
      </w:r>
      <w:r>
        <w:rPr>
          <w:rFonts w:ascii="Times New Roman" w:hAnsi="Times New Roman"/>
          <w:b/>
          <w:i/>
          <w:sz w:val="20"/>
        </w:rPr>
        <w:t>Authorized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(Unanimously approved at a meeting of the Board of Trustees on March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13180</Words>
  <Characters>69371</Characters>
  <CharactersWithSpaces>82162</CharactersWithSpaces>
  <Paragraphs>2338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40-APP/A</dc:title>
</cp:coreProperties>
</file>