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-606425</wp:posOffset>
            </wp:positionV>
            <wp:extent cx="57150" cy="619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26670</wp:posOffset>
            </wp:positionV>
            <wp:extent cx="7048500" cy="6522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6522720"/>
                    </a:xfrm>
                    <a:prstGeom prst="rect">
                      <a:avLst/>
                    </a:prstGeom>
                    <a:noFill/>
                  </pic:spPr>
                </pic:pic>
              </a:graphicData>
            </a:graphic>
          </wp:anchor>
        </w:drawing>
      </w:r>
    </w:p>
    <w:p>
      <w:pPr>
        <w:spacing w:after="0" w:line="115" w:lineRule="exact"/>
        <w:rPr>
          <w:sz w:val="24"/>
          <w:szCs w:val="24"/>
          <w:color w:val="auto"/>
        </w:rPr>
      </w:pPr>
    </w:p>
    <w:p>
      <w:pPr>
        <w:sectPr>
          <w:pgSz w:w="11900" w:h="16838" w:orient="portrait"/>
          <w:cols w:equalWidth="0" w:num="2">
            <w:col w:w="2180" w:space="480"/>
            <w:col w:w="842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Public Institution for Social Security</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24324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Sixth Street Lending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NONE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09/28/2022</w:t>
      </w:r>
    </w:p>
    <w:p>
      <w:pPr>
        <w:spacing w:after="0" w:line="20" w:lineRule="exact"/>
        <w:rPr>
          <w:sz w:val="24"/>
          <w:szCs w:val="24"/>
          <w:color w:val="auto"/>
        </w:rPr>
      </w:pPr>
      <w:r>
        <w:rPr>
          <w:sz w:val="24"/>
          <w:szCs w:val="24"/>
          <w:color w:val="auto"/>
        </w:rPr>
        <w:br w:type="column"/>
      </w:r>
    </w:p>
    <w:p>
      <w:pPr>
        <w:ind w:left="4" w:right="720" w:hanging="4"/>
        <w:spacing w:after="0" w:line="271"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64" w:val="left"/>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spacing w:after="0" w:line="66"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3" w:lineRule="exact"/>
        <w:rPr>
          <w:sz w:val="24"/>
          <w:szCs w:val="24"/>
          <w:color w:val="auto"/>
        </w:rPr>
      </w:pPr>
    </w:p>
    <w:p>
      <w:pPr>
        <w:sectPr>
          <w:pgSz w:w="11900" w:h="16838" w:orient="portrait"/>
          <w:cols w:equalWidth="0" w:num="3">
            <w:col w:w="3180" w:space="720"/>
            <w:col w:w="3116" w:space="720"/>
            <w:col w:w="3344"/>
          </w:cols>
          <w:pgMar w:left="460" w:top="214" w:right="359" w:bottom="0" w:gutter="0" w:footer="0" w:header="0"/>
          <w:type w:val="continuous"/>
        </w:sectPr>
      </w:pPr>
    </w:p>
    <w:p>
      <w:pPr>
        <w:spacing w:after="0" w:line="128"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SAFAT 13104</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M6</w:t>
            </w:r>
          </w:p>
        </w:tc>
        <w:tc>
          <w:tcPr>
            <w:tcW w:w="1620" w:type="dxa"/>
            <w:vAlign w:val="bottom"/>
          </w:tcPr>
          <w:p>
            <w:pPr>
              <w:spacing w:after="0"/>
              <w:rPr>
                <w:sz w:val="19"/>
                <w:szCs w:val="19"/>
                <w:color w:val="auto"/>
              </w:rPr>
            </w:pP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(City)</w:t>
            </w:r>
          </w:p>
        </w:tc>
        <w:tc>
          <w:tcPr>
            <w:tcW w:w="960" w:type="dxa"/>
            <w:vAlign w:val="bottom"/>
          </w:tcPr>
          <w:p>
            <w:pPr>
              <w:ind w:left="1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1" w:lineRule="exact"/>
        <w:rPr>
          <w:sz w:val="24"/>
          <w:szCs w:val="24"/>
          <w:color w:val="auto"/>
        </w:rPr>
      </w:pPr>
    </w:p>
    <w:p>
      <w:pPr>
        <w:ind w:left="3840"/>
        <w:spacing w:after="0"/>
        <w:rPr>
          <w:sz w:val="20"/>
          <w:szCs w:val="20"/>
          <w:color w:val="auto"/>
        </w:rPr>
      </w:pPr>
      <w:r>
        <w:rPr>
          <w:rFonts w:ascii="Arial" w:cs="Arial" w:eastAsia="Arial" w:hAnsi="Arial"/>
          <w:sz w:val="12"/>
          <w:szCs w:val="12"/>
          <w:color w:val="auto"/>
        </w:rPr>
        <w:t>Line)</w:t>
      </w:r>
    </w:p>
    <w:p>
      <w:pPr>
        <w:spacing w:after="0" w:line="5" w:lineRule="exact"/>
        <w:rPr>
          <w:sz w:val="24"/>
          <w:szCs w:val="24"/>
          <w:color w:val="auto"/>
        </w:rPr>
      </w:pPr>
    </w:p>
    <w:p>
      <w:pPr>
        <w:ind w:left="4040"/>
        <w:spacing w:after="0"/>
        <w:tabs>
          <w:tab w:leader="none" w:pos="436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85" w:lineRule="exact"/>
        <w:rPr>
          <w:sz w:val="24"/>
          <w:szCs w:val="24"/>
          <w:color w:val="auto"/>
        </w:rPr>
      </w:pPr>
    </w:p>
    <w:p>
      <w:pPr>
        <w:jc w:val="right"/>
        <w:ind w:right="220"/>
        <w:spacing w:after="0"/>
        <w:rPr>
          <w:sz w:val="20"/>
          <w:szCs w:val="20"/>
          <w:color w:val="auto"/>
        </w:rPr>
      </w:pPr>
      <w:r>
        <w:rPr>
          <w:rFonts w:ascii="Arial" w:cs="Arial" w:eastAsia="Arial" w:hAnsi="Arial"/>
          <w:sz w:val="12"/>
          <w:szCs w:val="12"/>
          <w:color w:val="auto"/>
        </w:rPr>
        <w:t>Form filed by More than One Reporting Person</w:t>
      </w:r>
    </w:p>
    <w:p>
      <w:pPr>
        <w:spacing w:after="0" w:line="423" w:lineRule="exact"/>
        <w:rPr>
          <w:sz w:val="24"/>
          <w:szCs w:val="24"/>
          <w:color w:val="auto"/>
        </w:rPr>
      </w:pPr>
    </w:p>
    <w:p>
      <w:pPr>
        <w:sectPr>
          <w:pgSz w:w="11900" w:h="16838" w:orient="portrait"/>
          <w:cols w:equalWidth="0" w:num="2">
            <w:col w:w="3760" w:space="140"/>
            <w:col w:w="718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60" w:type="dxa"/>
            <w:vAlign w:val="bottom"/>
          </w:tcPr>
          <w:p>
            <w:pPr>
              <w:spacing w:after="0"/>
              <w:rPr>
                <w:sz w:val="12"/>
                <w:szCs w:val="12"/>
                <w:color w:val="auto"/>
              </w:rPr>
            </w:pPr>
          </w:p>
        </w:tc>
        <w:tc>
          <w:tcPr>
            <w:tcW w:w="1080" w:type="dxa"/>
            <w:vAlign w:val="bottom"/>
            <w:gridSpan w:val="3"/>
          </w:tcPr>
          <w:p>
            <w:pPr>
              <w:ind w:left="1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2"/>
                <w:szCs w:val="12"/>
                <w:color w:val="auto"/>
              </w:rPr>
            </w:pPr>
          </w:p>
        </w:tc>
        <w:tc>
          <w:tcPr>
            <w:tcW w:w="19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line="125"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shares of beneficial interest, par value</w:t>
            </w: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09/28/2022</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center"/>
              <w:ind w:right="126"/>
              <w:spacing w:after="0"/>
              <w:rPr>
                <w:sz w:val="20"/>
                <w:szCs w:val="20"/>
                <w:color w:val="auto"/>
              </w:rPr>
            </w:pPr>
            <w:r>
              <w:rPr>
                <w:rFonts w:ascii="Times New Roman" w:cs="Times New Roman" w:eastAsia="Times New Roman" w:hAnsi="Times New Roman"/>
                <w:sz w:val="24"/>
                <w:szCs w:val="24"/>
                <w:color w:val="0000FF"/>
                <w:w w:val="85"/>
                <w:vertAlign w:val="subscript"/>
              </w:rPr>
              <w:t>X</w:t>
            </w:r>
            <w:r>
              <w:rPr>
                <w:rFonts w:ascii="Times New Roman" w:cs="Times New Roman" w:eastAsia="Times New Roman" w:hAnsi="Times New Roman"/>
                <w:sz w:val="10"/>
                <w:szCs w:val="10"/>
                <w:color w:val="008000"/>
                <w:w w:val="85"/>
              </w:rPr>
              <w:t>(1)</w:t>
            </w:r>
          </w:p>
        </w:tc>
        <w:tc>
          <w:tcPr>
            <w:tcW w:w="160" w:type="dxa"/>
            <w:vAlign w:val="bottom"/>
          </w:tcPr>
          <w:p>
            <w:pPr>
              <w:spacing w:after="0"/>
              <w:rPr>
                <w:sz w:val="20"/>
                <w:szCs w:val="20"/>
                <w:color w:val="auto"/>
              </w:rPr>
            </w:pPr>
          </w:p>
        </w:tc>
        <w:tc>
          <w:tcPr>
            <w:tcW w:w="102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6"/>
                <w:szCs w:val="16"/>
                <w:color w:val="0000FF"/>
              </w:rPr>
              <w:t>1,321,844</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24.66</w:t>
            </w:r>
          </w:p>
        </w:tc>
        <w:tc>
          <w:tcPr>
            <w:tcW w:w="40" w:type="dxa"/>
            <w:vAlign w:val="bottom"/>
          </w:tcPr>
          <w:p>
            <w:pPr>
              <w:spacing w:after="0"/>
              <w:rPr>
                <w:sz w:val="20"/>
                <w:szCs w:val="20"/>
                <w:color w:val="auto"/>
              </w:rPr>
            </w:pP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2,088,311</w:t>
            </w:r>
          </w:p>
        </w:tc>
        <w:tc>
          <w:tcPr>
            <w:tcW w:w="260" w:type="dxa"/>
            <w:vAlign w:val="bottom"/>
          </w:tcPr>
          <w:p>
            <w:pPr>
              <w:spacing w:after="0"/>
              <w:rPr>
                <w:sz w:val="20"/>
                <w:szCs w:val="20"/>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$0.001</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shares of beneficial interest, par value</w:t>
            </w: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10/27/2022</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center"/>
              <w:ind w:right="126"/>
              <w:spacing w:after="0"/>
              <w:rPr>
                <w:sz w:val="20"/>
                <w:szCs w:val="20"/>
                <w:color w:val="auto"/>
              </w:rPr>
            </w:pPr>
            <w:r>
              <w:rPr>
                <w:rFonts w:ascii="Times New Roman" w:cs="Times New Roman" w:eastAsia="Times New Roman" w:hAnsi="Times New Roman"/>
                <w:sz w:val="24"/>
                <w:szCs w:val="24"/>
                <w:color w:val="0000FF"/>
                <w:w w:val="85"/>
                <w:vertAlign w:val="subscript"/>
              </w:rPr>
              <w:t>X</w:t>
            </w:r>
            <w:r>
              <w:rPr>
                <w:rFonts w:ascii="Times New Roman" w:cs="Times New Roman" w:eastAsia="Times New Roman" w:hAnsi="Times New Roman"/>
                <w:sz w:val="10"/>
                <w:szCs w:val="10"/>
                <w:color w:val="008000"/>
                <w:w w:val="85"/>
              </w:rPr>
              <w:t>(3)</w:t>
            </w:r>
          </w:p>
        </w:tc>
        <w:tc>
          <w:tcPr>
            <w:tcW w:w="160" w:type="dxa"/>
            <w:vAlign w:val="bottom"/>
          </w:tcPr>
          <w:p>
            <w:pPr>
              <w:spacing w:after="0"/>
              <w:rPr>
                <w:sz w:val="20"/>
                <w:szCs w:val="20"/>
                <w:color w:val="auto"/>
              </w:rPr>
            </w:pPr>
          </w:p>
        </w:tc>
        <w:tc>
          <w:tcPr>
            <w:tcW w:w="102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6"/>
                <w:szCs w:val="16"/>
                <w:color w:val="0000FF"/>
              </w:rPr>
              <w:t>1,193,313</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24.61</w:t>
            </w:r>
          </w:p>
        </w:tc>
        <w:tc>
          <w:tcPr>
            <w:tcW w:w="40" w:type="dxa"/>
            <w:vAlign w:val="bottom"/>
          </w:tcPr>
          <w:p>
            <w:pPr>
              <w:spacing w:after="0"/>
              <w:rPr>
                <w:sz w:val="20"/>
                <w:szCs w:val="20"/>
                <w:color w:val="auto"/>
              </w:rPr>
            </w:pP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3,281,624</w:t>
            </w:r>
          </w:p>
        </w:tc>
        <w:tc>
          <w:tcPr>
            <w:tcW w:w="260" w:type="dxa"/>
            <w:vAlign w:val="bottom"/>
          </w:tcPr>
          <w:p>
            <w:pPr>
              <w:spacing w:after="0"/>
              <w:rPr>
                <w:sz w:val="20"/>
                <w:szCs w:val="20"/>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$0.001</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shares of beneficial interest, par value</w:t>
            </w: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12/13/2022</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center"/>
              <w:ind w:right="126"/>
              <w:spacing w:after="0"/>
              <w:rPr>
                <w:sz w:val="20"/>
                <w:szCs w:val="20"/>
                <w:color w:val="auto"/>
              </w:rPr>
            </w:pPr>
            <w:r>
              <w:rPr>
                <w:rFonts w:ascii="Times New Roman" w:cs="Times New Roman" w:eastAsia="Times New Roman" w:hAnsi="Times New Roman"/>
                <w:sz w:val="24"/>
                <w:szCs w:val="24"/>
                <w:color w:val="0000FF"/>
                <w:w w:val="85"/>
                <w:vertAlign w:val="subscript"/>
              </w:rPr>
              <w:t>X</w:t>
            </w:r>
            <w:r>
              <w:rPr>
                <w:rFonts w:ascii="Times New Roman" w:cs="Times New Roman" w:eastAsia="Times New Roman" w:hAnsi="Times New Roman"/>
                <w:sz w:val="10"/>
                <w:szCs w:val="10"/>
                <w:color w:val="008000"/>
                <w:w w:val="85"/>
              </w:rPr>
              <w:t>(4)</w:t>
            </w:r>
          </w:p>
        </w:tc>
        <w:tc>
          <w:tcPr>
            <w:tcW w:w="160" w:type="dxa"/>
            <w:vAlign w:val="bottom"/>
          </w:tcPr>
          <w:p>
            <w:pPr>
              <w:spacing w:after="0"/>
              <w:rPr>
                <w:sz w:val="20"/>
                <w:szCs w:val="20"/>
                <w:color w:val="auto"/>
              </w:rPr>
            </w:pPr>
          </w:p>
        </w:tc>
        <w:tc>
          <w:tcPr>
            <w:tcW w:w="102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6"/>
                <w:szCs w:val="16"/>
                <w:color w:val="0000FF"/>
              </w:rPr>
              <w:t>303,861</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24.99</w:t>
            </w:r>
          </w:p>
        </w:tc>
        <w:tc>
          <w:tcPr>
            <w:tcW w:w="40" w:type="dxa"/>
            <w:vAlign w:val="bottom"/>
          </w:tcPr>
          <w:p>
            <w:pPr>
              <w:spacing w:after="0"/>
              <w:rPr>
                <w:sz w:val="20"/>
                <w:szCs w:val="20"/>
                <w:color w:val="auto"/>
              </w:rPr>
            </w:pP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3,585,485</w:t>
            </w:r>
          </w:p>
        </w:tc>
        <w:tc>
          <w:tcPr>
            <w:tcW w:w="260" w:type="dxa"/>
            <w:vAlign w:val="bottom"/>
          </w:tcPr>
          <w:p>
            <w:pPr>
              <w:spacing w:after="0"/>
              <w:rPr>
                <w:sz w:val="20"/>
                <w:szCs w:val="20"/>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$0.001</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84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4"/>
          </w:tcPr>
          <w:p>
            <w:pPr>
              <w:jc w:val="center"/>
              <w:ind w:righ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80" w:type="dxa"/>
            <w:vAlign w:val="bottom"/>
            <w:gridSpan w:val="12"/>
          </w:tcPr>
          <w:p>
            <w:pPr>
              <w:jc w:val="center"/>
              <w:ind w:right="2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40"/>
              <w:spacing w:after="0" w:line="125"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14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shares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Obligation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24.66</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09/28/2022</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ind w:left="40"/>
              <w:spacing w:after="0" w:line="200" w:lineRule="exact"/>
              <w:rPr>
                <w:sz w:val="20"/>
                <w:szCs w:val="20"/>
                <w:color w:val="auto"/>
              </w:rPr>
            </w:pPr>
            <w:r>
              <w:rPr>
                <w:rFonts w:ascii="Times New Roman" w:cs="Times New Roman" w:eastAsia="Times New Roman" w:hAnsi="Times New Roman"/>
                <w:sz w:val="23"/>
                <w:szCs w:val="23"/>
                <w:color w:val="0000FF"/>
                <w:vertAlign w:val="subscript"/>
              </w:rPr>
              <w:t>X</w:t>
            </w:r>
            <w:r>
              <w:rPr>
                <w:rFonts w:ascii="Times New Roman" w:cs="Times New Roman" w:eastAsia="Times New Roman" w:hAnsi="Times New Roman"/>
                <w:sz w:val="10"/>
                <w:szCs w:val="10"/>
                <w:color w:val="008000"/>
              </w:rPr>
              <w:t>(1)</w:t>
            </w:r>
          </w:p>
        </w:tc>
        <w:tc>
          <w:tcPr>
            <w:tcW w:w="940" w:type="dxa"/>
            <w:vAlign w:val="bottom"/>
          </w:tcPr>
          <w:p>
            <w:pPr>
              <w:jc w:val="center"/>
              <w:ind w:left="183"/>
              <w:spacing w:after="0"/>
              <w:rPr>
                <w:sz w:val="20"/>
                <w:szCs w:val="20"/>
                <w:color w:val="auto"/>
              </w:rPr>
            </w:pPr>
            <w:r>
              <w:rPr>
                <w:rFonts w:ascii="Times New Roman" w:cs="Times New Roman" w:eastAsia="Times New Roman" w:hAnsi="Times New Roman"/>
                <w:sz w:val="12"/>
                <w:szCs w:val="12"/>
                <w:color w:val="0000FF"/>
              </w:rPr>
              <w:t>1,321,844</w:t>
            </w:r>
          </w:p>
        </w:tc>
        <w:tc>
          <w:tcPr>
            <w:tcW w:w="740" w:type="dxa"/>
            <w:vAlign w:val="bottom"/>
            <w:gridSpan w:val="2"/>
          </w:tcPr>
          <w:p>
            <w:pPr>
              <w:jc w:val="center"/>
              <w:ind w:right="6"/>
              <w:spacing w:after="0"/>
              <w:rPr>
                <w:sz w:val="20"/>
                <w:szCs w:val="20"/>
                <w:color w:val="auto"/>
              </w:rPr>
            </w:pPr>
            <w:r>
              <w:rPr>
                <w:rFonts w:ascii="Times New Roman" w:cs="Times New Roman" w:eastAsia="Times New Roman" w:hAnsi="Times New Roman"/>
                <w:sz w:val="10"/>
                <w:szCs w:val="10"/>
                <w:color w:val="008000"/>
              </w:rPr>
              <w:t>(1)</w:t>
            </w:r>
          </w:p>
        </w:tc>
        <w:tc>
          <w:tcPr>
            <w:tcW w:w="160" w:type="dxa"/>
            <w:vAlign w:val="bottom"/>
          </w:tcPr>
          <w:p>
            <w:pPr>
              <w:spacing w:after="0"/>
              <w:rPr>
                <w:sz w:val="17"/>
                <w:szCs w:val="17"/>
                <w:color w:val="auto"/>
              </w:rPr>
            </w:pPr>
          </w:p>
        </w:tc>
        <w:tc>
          <w:tcPr>
            <w:tcW w:w="520" w:type="dxa"/>
            <w:vAlign w:val="bottom"/>
          </w:tcPr>
          <w:p>
            <w:pPr>
              <w:jc w:val="center"/>
              <w:ind w:right="9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beneficial</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1,321,844</w:t>
            </w:r>
          </w:p>
        </w:tc>
        <w:tc>
          <w:tcPr>
            <w:tcW w:w="40" w:type="dxa"/>
            <w:vAlign w:val="bottom"/>
          </w:tcPr>
          <w:p>
            <w:pPr>
              <w:spacing w:after="0"/>
              <w:rPr>
                <w:sz w:val="17"/>
                <w:szCs w:val="17"/>
                <w:color w:val="auto"/>
              </w:rPr>
            </w:pPr>
          </w:p>
        </w:tc>
        <w:tc>
          <w:tcPr>
            <w:tcW w:w="680" w:type="dxa"/>
            <w:vAlign w:val="bottom"/>
          </w:tcPr>
          <w:p>
            <w:pPr>
              <w:jc w:val="center"/>
              <w:ind w:right="40"/>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60" w:type="dxa"/>
            <w:vAlign w:val="bottom"/>
          </w:tcPr>
          <w:p>
            <w:pPr>
              <w:spacing w:after="0"/>
              <w:rPr>
                <w:sz w:val="17"/>
                <w:szCs w:val="17"/>
                <w:color w:val="auto"/>
              </w:rPr>
            </w:pPr>
          </w:p>
        </w:tc>
        <w:tc>
          <w:tcPr>
            <w:tcW w:w="660" w:type="dxa"/>
            <w:vAlign w:val="bottom"/>
          </w:tcPr>
          <w:p>
            <w:pPr>
              <w:ind w:left="300"/>
              <w:spacing w:after="0" w:line="200"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tcPr>
          <w:p>
            <w:pPr>
              <w:ind w:left="60"/>
              <w:spacing w:after="0" w:line="75" w:lineRule="exact"/>
              <w:rPr>
                <w:sz w:val="20"/>
                <w:szCs w:val="20"/>
                <w:color w:val="auto"/>
              </w:rPr>
            </w:pPr>
            <w:r>
              <w:rPr>
                <w:rFonts w:ascii="Times New Roman" w:cs="Times New Roman" w:eastAsia="Times New Roman" w:hAnsi="Times New Roman"/>
                <w:sz w:val="8"/>
                <w:szCs w:val="8"/>
                <w:color w:val="0000FF"/>
              </w:rPr>
              <w:t>to Buy</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jc w:val="center"/>
              <w:ind w:left="41"/>
              <w:spacing w:after="0" w:line="75" w:lineRule="exact"/>
              <w:rPr>
                <w:sz w:val="20"/>
                <w:szCs w:val="20"/>
                <w:color w:val="auto"/>
              </w:rPr>
            </w:pPr>
            <w:r>
              <w:rPr>
                <w:rFonts w:ascii="Times New Roman" w:cs="Times New Roman" w:eastAsia="Times New Roman" w:hAnsi="Times New Roman"/>
                <w:sz w:val="8"/>
                <w:szCs w:val="8"/>
                <w:color w:val="0000FF"/>
              </w:rPr>
              <w:t>interest,</w:t>
            </w: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par value</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ind w:left="61"/>
              <w:spacing w:after="0"/>
              <w:rPr>
                <w:sz w:val="20"/>
                <w:szCs w:val="20"/>
                <w:color w:val="auto"/>
              </w:rPr>
            </w:pPr>
            <w:r>
              <w:rPr>
                <w:rFonts w:ascii="Times New Roman" w:cs="Times New Roman" w:eastAsia="Times New Roman" w:hAnsi="Times New Roman"/>
                <w:sz w:val="12"/>
                <w:szCs w:val="12"/>
                <w:color w:val="0000FF"/>
              </w:rPr>
              <w:t>$0.001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shares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Obligation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24.61</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10/27/2022</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ind w:left="40"/>
              <w:spacing w:after="0" w:line="200" w:lineRule="exact"/>
              <w:rPr>
                <w:sz w:val="20"/>
                <w:szCs w:val="20"/>
                <w:color w:val="auto"/>
              </w:rPr>
            </w:pPr>
            <w:r>
              <w:rPr>
                <w:rFonts w:ascii="Times New Roman" w:cs="Times New Roman" w:eastAsia="Times New Roman" w:hAnsi="Times New Roman"/>
                <w:sz w:val="23"/>
                <w:szCs w:val="23"/>
                <w:color w:val="0000FF"/>
                <w:vertAlign w:val="subscript"/>
              </w:rPr>
              <w:t>X</w:t>
            </w:r>
            <w:r>
              <w:rPr>
                <w:rFonts w:ascii="Times New Roman" w:cs="Times New Roman" w:eastAsia="Times New Roman" w:hAnsi="Times New Roman"/>
                <w:sz w:val="10"/>
                <w:szCs w:val="10"/>
                <w:color w:val="008000"/>
              </w:rPr>
              <w:t>(3)</w:t>
            </w:r>
          </w:p>
        </w:tc>
        <w:tc>
          <w:tcPr>
            <w:tcW w:w="940" w:type="dxa"/>
            <w:vAlign w:val="bottom"/>
          </w:tcPr>
          <w:p>
            <w:pPr>
              <w:jc w:val="center"/>
              <w:ind w:left="183"/>
              <w:spacing w:after="0"/>
              <w:rPr>
                <w:sz w:val="20"/>
                <w:szCs w:val="20"/>
                <w:color w:val="auto"/>
              </w:rPr>
            </w:pPr>
            <w:r>
              <w:rPr>
                <w:rFonts w:ascii="Times New Roman" w:cs="Times New Roman" w:eastAsia="Times New Roman" w:hAnsi="Times New Roman"/>
                <w:sz w:val="12"/>
                <w:szCs w:val="12"/>
                <w:color w:val="0000FF"/>
              </w:rPr>
              <w:t>1,193,313</w:t>
            </w:r>
          </w:p>
        </w:tc>
        <w:tc>
          <w:tcPr>
            <w:tcW w:w="740" w:type="dxa"/>
            <w:vAlign w:val="bottom"/>
            <w:gridSpan w:val="2"/>
          </w:tcPr>
          <w:p>
            <w:pPr>
              <w:jc w:val="center"/>
              <w:ind w:right="6"/>
              <w:spacing w:after="0"/>
              <w:rPr>
                <w:sz w:val="20"/>
                <w:szCs w:val="20"/>
                <w:color w:val="auto"/>
              </w:rPr>
            </w:pPr>
            <w:r>
              <w:rPr>
                <w:rFonts w:ascii="Times New Roman" w:cs="Times New Roman" w:eastAsia="Times New Roman" w:hAnsi="Times New Roman"/>
                <w:sz w:val="10"/>
                <w:szCs w:val="10"/>
                <w:color w:val="008000"/>
              </w:rPr>
              <w:t>(3)</w:t>
            </w:r>
          </w:p>
        </w:tc>
        <w:tc>
          <w:tcPr>
            <w:tcW w:w="160" w:type="dxa"/>
            <w:vAlign w:val="bottom"/>
          </w:tcPr>
          <w:p>
            <w:pPr>
              <w:spacing w:after="0"/>
              <w:rPr>
                <w:sz w:val="17"/>
                <w:szCs w:val="17"/>
                <w:color w:val="auto"/>
              </w:rPr>
            </w:pPr>
          </w:p>
        </w:tc>
        <w:tc>
          <w:tcPr>
            <w:tcW w:w="520" w:type="dxa"/>
            <w:vAlign w:val="bottom"/>
          </w:tcPr>
          <w:p>
            <w:pPr>
              <w:jc w:val="center"/>
              <w:ind w:right="97"/>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beneficial</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1,193,313</w:t>
            </w:r>
          </w:p>
        </w:tc>
        <w:tc>
          <w:tcPr>
            <w:tcW w:w="40" w:type="dxa"/>
            <w:vAlign w:val="bottom"/>
          </w:tcPr>
          <w:p>
            <w:pPr>
              <w:spacing w:after="0"/>
              <w:rPr>
                <w:sz w:val="17"/>
                <w:szCs w:val="17"/>
                <w:color w:val="auto"/>
              </w:rPr>
            </w:pPr>
          </w:p>
        </w:tc>
        <w:tc>
          <w:tcPr>
            <w:tcW w:w="680" w:type="dxa"/>
            <w:vAlign w:val="bottom"/>
          </w:tcPr>
          <w:p>
            <w:pPr>
              <w:jc w:val="center"/>
              <w:ind w:right="40"/>
              <w:spacing w:after="0"/>
              <w:rPr>
                <w:sz w:val="20"/>
                <w:szCs w:val="20"/>
                <w:color w:val="auto"/>
              </w:rPr>
            </w:pPr>
            <w:r>
              <w:rPr>
                <w:rFonts w:ascii="Times New Roman" w:cs="Times New Roman" w:eastAsia="Times New Roman" w:hAnsi="Times New Roman"/>
                <w:sz w:val="10"/>
                <w:szCs w:val="10"/>
                <w:color w:val="008000"/>
              </w:rPr>
              <w:t>(3)</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60" w:type="dxa"/>
            <w:vAlign w:val="bottom"/>
          </w:tcPr>
          <w:p>
            <w:pPr>
              <w:spacing w:after="0"/>
              <w:rPr>
                <w:sz w:val="17"/>
                <w:szCs w:val="17"/>
                <w:color w:val="auto"/>
              </w:rPr>
            </w:pPr>
          </w:p>
        </w:tc>
        <w:tc>
          <w:tcPr>
            <w:tcW w:w="660" w:type="dxa"/>
            <w:vAlign w:val="bottom"/>
          </w:tcPr>
          <w:p>
            <w:pPr>
              <w:ind w:left="300"/>
              <w:spacing w:after="0" w:line="200"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tcPr>
          <w:p>
            <w:pPr>
              <w:ind w:left="60"/>
              <w:spacing w:after="0" w:line="75" w:lineRule="exact"/>
              <w:rPr>
                <w:sz w:val="20"/>
                <w:szCs w:val="20"/>
                <w:color w:val="auto"/>
              </w:rPr>
            </w:pPr>
            <w:r>
              <w:rPr>
                <w:rFonts w:ascii="Times New Roman" w:cs="Times New Roman" w:eastAsia="Times New Roman" w:hAnsi="Times New Roman"/>
                <w:sz w:val="8"/>
                <w:szCs w:val="8"/>
                <w:color w:val="0000FF"/>
              </w:rPr>
              <w:t>to Buy</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jc w:val="center"/>
              <w:ind w:left="41"/>
              <w:spacing w:after="0" w:line="75" w:lineRule="exact"/>
              <w:rPr>
                <w:sz w:val="20"/>
                <w:szCs w:val="20"/>
                <w:color w:val="auto"/>
              </w:rPr>
            </w:pPr>
            <w:r>
              <w:rPr>
                <w:rFonts w:ascii="Times New Roman" w:cs="Times New Roman" w:eastAsia="Times New Roman" w:hAnsi="Times New Roman"/>
                <w:sz w:val="8"/>
                <w:szCs w:val="8"/>
                <w:color w:val="0000FF"/>
              </w:rPr>
              <w:t>interest,</w:t>
            </w: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par value</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ind w:left="61"/>
              <w:spacing w:after="0"/>
              <w:rPr>
                <w:sz w:val="20"/>
                <w:szCs w:val="20"/>
                <w:color w:val="auto"/>
              </w:rPr>
            </w:pPr>
            <w:r>
              <w:rPr>
                <w:rFonts w:ascii="Times New Roman" w:cs="Times New Roman" w:eastAsia="Times New Roman" w:hAnsi="Times New Roman"/>
                <w:sz w:val="12"/>
                <w:szCs w:val="12"/>
                <w:color w:val="0000FF"/>
              </w:rPr>
              <w:t>$0.001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shares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Obligation</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24.99</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12/13/2022</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40"/>
              <w:spacing w:after="0" w:line="263" w:lineRule="exact"/>
              <w:rPr>
                <w:sz w:val="20"/>
                <w:szCs w:val="20"/>
                <w:color w:val="auto"/>
              </w:rPr>
            </w:pPr>
            <w:r>
              <w:rPr>
                <w:rFonts w:ascii="Times New Roman" w:cs="Times New Roman" w:eastAsia="Times New Roman" w:hAnsi="Times New Roman"/>
                <w:sz w:val="24"/>
                <w:szCs w:val="24"/>
                <w:color w:val="0000FF"/>
                <w:vertAlign w:val="subscript"/>
              </w:rPr>
              <w:t>X</w:t>
            </w:r>
            <w:r>
              <w:rPr>
                <w:rFonts w:ascii="Times New Roman" w:cs="Times New Roman" w:eastAsia="Times New Roman" w:hAnsi="Times New Roman"/>
                <w:sz w:val="10"/>
                <w:szCs w:val="10"/>
                <w:color w:val="008000"/>
              </w:rPr>
              <w:t>(4)</w:t>
            </w:r>
          </w:p>
        </w:tc>
        <w:tc>
          <w:tcPr>
            <w:tcW w:w="940" w:type="dxa"/>
            <w:vAlign w:val="bottom"/>
            <w:vMerge w:val="restart"/>
          </w:tcPr>
          <w:p>
            <w:pPr>
              <w:jc w:val="center"/>
              <w:ind w:left="203"/>
              <w:spacing w:after="0"/>
              <w:rPr>
                <w:sz w:val="20"/>
                <w:szCs w:val="20"/>
                <w:color w:val="auto"/>
              </w:rPr>
            </w:pPr>
            <w:r>
              <w:rPr>
                <w:rFonts w:ascii="Times New Roman" w:cs="Times New Roman" w:eastAsia="Times New Roman" w:hAnsi="Times New Roman"/>
                <w:sz w:val="12"/>
                <w:szCs w:val="12"/>
                <w:color w:val="0000FF"/>
              </w:rPr>
              <w:t>303,861</w:t>
            </w:r>
          </w:p>
        </w:tc>
        <w:tc>
          <w:tcPr>
            <w:tcW w:w="74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(4)</w:t>
            </w:r>
          </w:p>
        </w:tc>
        <w:tc>
          <w:tcPr>
            <w:tcW w:w="160" w:type="dxa"/>
            <w:vAlign w:val="bottom"/>
          </w:tcPr>
          <w:p>
            <w:pPr>
              <w:spacing w:after="0"/>
              <w:rPr>
                <w:sz w:val="11"/>
                <w:szCs w:val="11"/>
                <w:color w:val="auto"/>
              </w:rPr>
            </w:pPr>
          </w:p>
        </w:tc>
        <w:tc>
          <w:tcPr>
            <w:tcW w:w="520" w:type="dxa"/>
            <w:vAlign w:val="bottom"/>
            <w:vMerge w:val="restart"/>
          </w:tcPr>
          <w:p>
            <w:pPr>
              <w:jc w:val="center"/>
              <w:ind w:right="97"/>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beneficial</w:t>
            </w:r>
          </w:p>
        </w:tc>
        <w:tc>
          <w:tcPr>
            <w:tcW w:w="720" w:type="dxa"/>
            <w:vAlign w:val="bottom"/>
            <w:vMerge w:val="restart"/>
          </w:tcPr>
          <w:p>
            <w:pPr>
              <w:jc w:val="center"/>
              <w:ind w:right="9"/>
              <w:spacing w:after="0"/>
              <w:rPr>
                <w:sz w:val="20"/>
                <w:szCs w:val="20"/>
                <w:color w:val="auto"/>
              </w:rPr>
            </w:pPr>
            <w:r>
              <w:rPr>
                <w:rFonts w:ascii="Times New Roman" w:cs="Times New Roman" w:eastAsia="Times New Roman" w:hAnsi="Times New Roman"/>
                <w:sz w:val="16"/>
                <w:szCs w:val="16"/>
                <w:color w:val="0000FF"/>
                <w:w w:val="99"/>
              </w:rPr>
              <w:t>303,861</w:t>
            </w:r>
          </w:p>
        </w:tc>
        <w:tc>
          <w:tcPr>
            <w:tcW w:w="40" w:type="dxa"/>
            <w:vAlign w:val="bottom"/>
          </w:tcPr>
          <w:p>
            <w:pPr>
              <w:spacing w:after="0"/>
              <w:rPr>
                <w:sz w:val="11"/>
                <w:szCs w:val="11"/>
                <w:color w:val="auto"/>
              </w:rPr>
            </w:pP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60" w:type="dxa"/>
            <w:vAlign w:val="bottom"/>
          </w:tcPr>
          <w:p>
            <w:pPr>
              <w:spacing w:after="0"/>
              <w:rPr>
                <w:sz w:val="11"/>
                <w:szCs w:val="11"/>
                <w:color w:val="auto"/>
              </w:rPr>
            </w:pPr>
          </w:p>
        </w:tc>
        <w:tc>
          <w:tcPr>
            <w:tcW w:w="660" w:type="dxa"/>
            <w:vAlign w:val="bottom"/>
            <w:vMerge w:val="restart"/>
          </w:tcPr>
          <w:p>
            <w:pPr>
              <w:ind w:left="300"/>
              <w:spacing w:after="0" w:line="263"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to Buy</w:t>
            </w:r>
          </w:p>
        </w:tc>
        <w:tc>
          <w:tcPr>
            <w:tcW w:w="7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5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interest,</w:t>
            </w: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jc w:val="center"/>
        <w:ind w:left="2980"/>
        <w:spacing w:after="0"/>
        <w:rPr>
          <w:sz w:val="20"/>
          <w:szCs w:val="20"/>
          <w:color w:val="auto"/>
        </w:rPr>
      </w:pPr>
      <w:r>
        <w:rPr>
          <w:rFonts w:ascii="Times New Roman" w:cs="Times New Roman" w:eastAsia="Times New Roman" w:hAnsi="Times New Roman"/>
          <w:sz w:val="12"/>
          <w:szCs w:val="12"/>
          <w:color w:val="0000FF"/>
        </w:rPr>
        <w:t>par value</w:t>
      </w:r>
    </w:p>
    <w:p>
      <w:pPr>
        <w:jc w:val="center"/>
        <w:ind w:left="2980"/>
        <w:spacing w:after="0"/>
        <w:rPr>
          <w:sz w:val="20"/>
          <w:szCs w:val="20"/>
          <w:color w:val="auto"/>
        </w:rPr>
      </w:pPr>
      <w:r>
        <w:rPr>
          <w:rFonts w:ascii="Times New Roman" w:cs="Times New Roman" w:eastAsia="Times New Roman" w:hAnsi="Times New Roman"/>
          <w:sz w:val="12"/>
          <w:szCs w:val="12"/>
          <w:color w:val="0000FF"/>
        </w:rPr>
        <w:t>$0.001</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34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September 28, 2022, Sixth Street Lending Partners, a Delaware statutory trust (the "Issuer"), issued 1,321,844 of its common shares of beneficial interest, par value $0.001 per share ("Shares"), to the reporting person in connection with a mandatory capital call submitted by the Issuer pursuant to the terms and conditions of the Subscription Agreement previously entered into between the reporting person and the Issuer.</w:t>
      </w:r>
    </w:p>
    <w:p>
      <w:pPr>
        <w:ind w:left="40" w:right="18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states that neither the filing of this statement nor anything herein shall be deemed an admission that the reporting person is, for purposes of Section 16 of the Securities Exchange Act of 1934, as amended or otherwise, the beneficial owner of any securities covered by this statement. The reporting person disclaims beneficial ownership of the securities covered by this statement, except to the extent of the pecuniary interest of the reporting person in such securities.</w:t>
      </w:r>
    </w:p>
    <w:p>
      <w:pPr>
        <w:spacing w:after="0" w:line="13" w:lineRule="exact"/>
        <w:rPr>
          <w:rFonts w:ascii="Times New Roman" w:cs="Times New Roman" w:eastAsia="Times New Roman" w:hAnsi="Times New Roman"/>
          <w:sz w:val="12"/>
          <w:szCs w:val="12"/>
          <w:color w:val="008000"/>
        </w:rPr>
      </w:pPr>
    </w:p>
    <w:p>
      <w:pPr>
        <w:ind w:left="40" w:right="72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October 27, 2022, the Issuer issued 1,193,313 Shares to the reporting person in connection with a mandatory capital call submitted by the Issuer pursuant to the terms and conditions of the Subscription Agreement previously entered into between the reporting person and the Issuer.</w:t>
      </w:r>
    </w:p>
    <w:p>
      <w:pPr>
        <w:ind w:left="40" w:right="700" w:hanging="3"/>
        <w:spacing w:after="0" w:line="281"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December 13, 2022, the Issuer issued 303,861 Shares to the reporting person in connection with a mandatory capital call submitted by the Issuer pursuant to the terms and conditions of the Subscription Agreement previously entered into between the reporting person and the Issuer.</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Exhibit Index Exhibit 24.1 - Power of Attorney (incorporated by reference to Exhibit 24.1 to the Form 3 filed on December 22, 2022)</w:t>
      </w:r>
    </w:p>
    <w:p>
      <w:pPr>
        <w:spacing w:after="0" w:line="7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THE PUBLIC INSTITUTION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-5080</wp:posOffset>
            </wp:positionV>
            <wp:extent cx="1264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FOR SOCIAL SECURITY,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-12065</wp:posOffset>
            </wp:positionV>
            <wp:extent cx="13144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4450" cy="7620"/>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 Ricardo Davidovich, Name:</w:t>
        <w:tab/>
        <w:t>12/22/2022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-12065</wp:posOffset>
            </wp:positionV>
            <wp:extent cx="1863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37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Ricardo Davidovich, Title: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-12065</wp:posOffset>
            </wp:positionV>
            <wp:extent cx="11036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36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Authorized Signatory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-12065</wp:posOffset>
            </wp:positionV>
            <wp:extent cx="8896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89635" cy="7620"/>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35851" TargetMode="External"/><Relationship Id="rId13"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2022-12-22T16:05:00Z</dcterms:created>
  <dcterms:modified xsi:type="dcterms:W3CDTF">2022-12-22T16:05:00Z</dcterms:modified>
</cp:coreProperties>
</file>