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422910</wp:posOffset>
            </wp:positionH>
            <wp:positionV relativeFrom="page">
              <wp:posOffset>933450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61595</wp:posOffset>
            </wp:positionV>
            <wp:extent cx="13417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80645</wp:posOffset>
            </wp:positionV>
            <wp:extent cx="13417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1" w:lineRule="exact"/>
        <w:rPr>
          <w:sz w:val="24"/>
          <w:szCs w:val="24"/>
          <w:color w:val="auto"/>
        </w:rPr>
      </w:pPr>
    </w:p>
    <w:p>
      <w:pPr>
        <w:ind w:left="880" w:right="340" w:hanging="790"/>
        <w:spacing w:after="0" w:line="287" w:lineRule="auto"/>
        <w:tabs>
          <w:tab w:leader="none" w:pos="880" w:val="left"/>
        </w:tabs>
        <w:numPr>
          <w:ilvl w:val="0"/>
          <w:numId w:val="1"/>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0" w:lineRule="exact"/>
        <w:rPr>
          <w:sz w:val="24"/>
          <w:szCs w:val="24"/>
          <w:color w:val="auto"/>
        </w:rPr>
      </w:pPr>
    </w:p>
    <w:p>
      <w:pPr>
        <w:ind w:left="880" w:right="340" w:hanging="790"/>
        <w:spacing w:after="0" w:line="283" w:lineRule="auto"/>
        <w:tabs>
          <w:tab w:leader="none" w:pos="880" w:val="left"/>
        </w:tabs>
        <w:numPr>
          <w:ilvl w:val="0"/>
          <w:numId w:val="2"/>
        </w:numPr>
        <w:rPr>
          <w:rFonts w:ascii="MS PGothic" w:cs="MS PGothic" w:eastAsia="MS PGothic" w:hAnsi="MS PGothic"/>
          <w:sz w:val="19"/>
          <w:szCs w:val="19"/>
          <w:b w:val="1"/>
          <w:bCs w:val="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40" w:orient="portrait"/>
          <w:cols w:equalWidth="0" w:num="1">
            <w:col w:w="10560"/>
          </w:cols>
          <w:pgMar w:left="660" w:top="1440" w:right="680" w:bottom="1440" w:gutter="0" w:footer="0" w:header="0"/>
        </w:sectPr>
      </w:pPr>
    </w:p>
    <w:p>
      <w:pPr>
        <w:spacing w:after="0" w:line="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sectPr>
          <w:pgSz w:w="11900" w:h="16840" w:orient="portrait"/>
          <w:cols w:equalWidth="0" w:num="2">
            <w:col w:w="5920" w:space="720"/>
            <w:col w:w="3920"/>
          </w:cols>
          <w:pgMar w:left="660" w:top="1440" w:right="68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814-01543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82550</wp:posOffset>
            </wp:positionV>
            <wp:extent cx="13417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Sixth Street Lending Partners</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55245</wp:posOffset>
            </wp:positionV>
            <wp:extent cx="13417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70" w:lineRule="exact"/>
        <w:rPr>
          <w:sz w:val="24"/>
          <w:szCs w:val="24"/>
          <w:color w:val="auto"/>
        </w:rPr>
      </w:pPr>
    </w:p>
    <w:tbl>
      <w:tblPr>
        <w:tblLayout w:type="fixed"/>
        <w:tblInd w:w="1440" w:type="dxa"/>
        <w:tblCellMar>
          <w:top w:w="0" w:type="dxa"/>
          <w:left w:w="0" w:type="dxa"/>
          <w:bottom w:w="0" w:type="dxa"/>
          <w:right w:w="0" w:type="dxa"/>
        </w:tblCellMar>
      </w:tblPr>
      <w:tr>
        <w:trPr>
          <w:trHeight w:val="184"/>
        </w:trPr>
        <w:tc>
          <w:tcPr>
            <w:tcW w:w="4200" w:type="dxa"/>
            <w:vAlign w:val="bottom"/>
          </w:tcPr>
          <w:p>
            <w:pPr>
              <w:jc w:val="center"/>
              <w:ind w:right="172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00" w:type="dxa"/>
            <w:vAlign w:val="bottom"/>
          </w:tcPr>
          <w:p>
            <w:pPr>
              <w:jc w:val="right"/>
              <w:ind w:right="69"/>
              <w:spacing w:after="0"/>
              <w:rPr>
                <w:sz w:val="20"/>
                <w:szCs w:val="20"/>
                <w:color w:val="auto"/>
              </w:rPr>
            </w:pPr>
            <w:r>
              <w:rPr>
                <w:rFonts w:ascii="Times New Roman" w:cs="Times New Roman" w:eastAsia="Times New Roman" w:hAnsi="Times New Roman"/>
                <w:sz w:val="16"/>
                <w:szCs w:val="16"/>
                <w:b w:val="1"/>
                <w:bCs w:val="1"/>
                <w:color w:val="auto"/>
              </w:rPr>
              <w:t>88-1710161</w:t>
            </w:r>
          </w:p>
        </w:tc>
      </w:tr>
      <w:tr>
        <w:trPr>
          <w:trHeight w:val="156"/>
        </w:trPr>
        <w:tc>
          <w:tcPr>
            <w:tcW w:w="4200" w:type="dxa"/>
            <w:vAlign w:val="bottom"/>
          </w:tcPr>
          <w:p>
            <w:pPr>
              <w:jc w:val="center"/>
              <w:ind w:right="1708"/>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800" w:type="dxa"/>
            <w:vAlign w:val="bottom"/>
          </w:tcPr>
          <w:p>
            <w:pPr>
              <w:jc w:val="center"/>
              <w:ind w:left="1709"/>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4200" w:type="dxa"/>
            <w:vAlign w:val="bottom"/>
          </w:tcPr>
          <w:p>
            <w:pPr>
              <w:jc w:val="center"/>
              <w:ind w:right="1708"/>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800" w:type="dxa"/>
            <w:vAlign w:val="bottom"/>
          </w:tcPr>
          <w:p>
            <w:pPr>
              <w:jc w:val="center"/>
              <w:ind w:left="1709"/>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45"/>
        </w:trPr>
        <w:tc>
          <w:tcPr>
            <w:tcW w:w="4200" w:type="dxa"/>
            <w:vAlign w:val="bottom"/>
          </w:tcPr>
          <w:p>
            <w:pPr>
              <w:jc w:val="center"/>
              <w:ind w:right="1728"/>
              <w:spacing w:after="0"/>
              <w:rPr>
                <w:sz w:val="20"/>
                <w:szCs w:val="20"/>
                <w:color w:val="auto"/>
              </w:rPr>
            </w:pPr>
            <w:r>
              <w:rPr>
                <w:rFonts w:ascii="Times New Roman" w:cs="Times New Roman" w:eastAsia="Times New Roman" w:hAnsi="Times New Roman"/>
                <w:sz w:val="16"/>
                <w:szCs w:val="16"/>
                <w:b w:val="1"/>
                <w:bCs w:val="1"/>
                <w:color w:val="auto"/>
                <w:w w:val="97"/>
              </w:rPr>
              <w:t>2100 McKinney Avenue, Suite 1500,</w:t>
            </w:r>
          </w:p>
        </w:tc>
        <w:tc>
          <w:tcPr>
            <w:tcW w:w="2800" w:type="dxa"/>
            <w:vAlign w:val="bottom"/>
          </w:tcPr>
          <w:p>
            <w:pPr>
              <w:spacing w:after="0"/>
              <w:rPr>
                <w:sz w:val="21"/>
                <w:szCs w:val="21"/>
                <w:color w:val="auto"/>
              </w:rPr>
            </w:pPr>
          </w:p>
        </w:tc>
      </w:tr>
      <w:tr>
        <w:trPr>
          <w:trHeight w:val="181"/>
        </w:trPr>
        <w:tc>
          <w:tcPr>
            <w:tcW w:w="4200" w:type="dxa"/>
            <w:vAlign w:val="bottom"/>
          </w:tcPr>
          <w:p>
            <w:pPr>
              <w:jc w:val="center"/>
              <w:ind w:right="1728"/>
              <w:spacing w:after="0" w:line="181" w:lineRule="exact"/>
              <w:rPr>
                <w:sz w:val="20"/>
                <w:szCs w:val="20"/>
                <w:color w:val="auto"/>
              </w:rPr>
            </w:pPr>
            <w:r>
              <w:rPr>
                <w:rFonts w:ascii="Times New Roman" w:cs="Times New Roman" w:eastAsia="Times New Roman" w:hAnsi="Times New Roman"/>
                <w:sz w:val="16"/>
                <w:szCs w:val="16"/>
                <w:b w:val="1"/>
                <w:bCs w:val="1"/>
                <w:color w:val="auto"/>
                <w:w w:val="98"/>
              </w:rPr>
              <w:t>Dallas, TX</w:t>
            </w:r>
          </w:p>
        </w:tc>
        <w:tc>
          <w:tcPr>
            <w:tcW w:w="2800" w:type="dxa"/>
            <w:vAlign w:val="bottom"/>
          </w:tcPr>
          <w:p>
            <w:pPr>
              <w:jc w:val="right"/>
              <w:ind w:right="249"/>
              <w:spacing w:after="0" w:line="181" w:lineRule="exact"/>
              <w:rPr>
                <w:sz w:val="20"/>
                <w:szCs w:val="20"/>
                <w:color w:val="auto"/>
              </w:rPr>
            </w:pPr>
            <w:r>
              <w:rPr>
                <w:rFonts w:ascii="Times New Roman" w:cs="Times New Roman" w:eastAsia="Times New Roman" w:hAnsi="Times New Roman"/>
                <w:sz w:val="16"/>
                <w:szCs w:val="16"/>
                <w:b w:val="1"/>
                <w:bCs w:val="1"/>
                <w:color w:val="auto"/>
              </w:rPr>
              <w:t>75201</w:t>
            </w:r>
          </w:p>
        </w:tc>
      </w:tr>
      <w:tr>
        <w:trPr>
          <w:trHeight w:val="174"/>
        </w:trPr>
        <w:tc>
          <w:tcPr>
            <w:tcW w:w="4200" w:type="dxa"/>
            <w:vAlign w:val="bottom"/>
          </w:tcPr>
          <w:p>
            <w:pPr>
              <w:jc w:val="center"/>
              <w:ind w:right="170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jc w:val="center"/>
              <w:ind w:left="1709"/>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(469) 621-3001</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4"/>
                <w:szCs w:val="14"/>
                <w:color w:val="auto"/>
              </w:rPr>
            </w:pPr>
          </w:p>
        </w:tc>
        <w:tc>
          <w:tcPr>
            <w:tcW w:w="34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100" w:type="dxa"/>
            <w:vAlign w:val="bottom"/>
          </w:tcPr>
          <w:p>
            <w:pPr>
              <w:spacing w:after="0"/>
              <w:rPr>
                <w:sz w:val="14"/>
                <w:szCs w:val="14"/>
                <w:color w:val="auto"/>
              </w:rPr>
            </w:pPr>
          </w:p>
        </w:tc>
        <w:tc>
          <w:tcPr>
            <w:tcW w:w="34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386"/>
        </w:trPr>
        <w:tc>
          <w:tcPr>
            <w:tcW w:w="3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None</w:t>
            </w:r>
          </w:p>
        </w:tc>
        <w:tc>
          <w:tcPr>
            <w:tcW w:w="120" w:type="dxa"/>
            <w:vAlign w:val="bottom"/>
          </w:tcPr>
          <w:p>
            <w:pPr>
              <w:spacing w:after="0"/>
              <w:rPr>
                <w:sz w:val="24"/>
                <w:szCs w:val="24"/>
                <w:color w:val="auto"/>
              </w:rPr>
            </w:pPr>
          </w:p>
        </w:tc>
        <w:tc>
          <w:tcPr>
            <w:tcW w:w="3400" w:type="dxa"/>
            <w:vAlign w:val="bottom"/>
          </w:tcPr>
          <w:p>
            <w:pPr>
              <w:ind w:left="1460"/>
              <w:spacing w:after="0"/>
              <w:rPr>
                <w:sz w:val="20"/>
                <w:szCs w:val="20"/>
                <w:color w:val="auto"/>
              </w:rPr>
            </w:pPr>
            <w:r>
              <w:rPr>
                <w:rFonts w:ascii="Times New Roman" w:cs="Times New Roman" w:eastAsia="Times New Roman" w:hAnsi="Times New Roman"/>
                <w:sz w:val="16"/>
                <w:szCs w:val="16"/>
                <w:b w:val="1"/>
                <w:bCs w:val="1"/>
                <w:color w:val="auto"/>
              </w:rPr>
              <w:t>None</w:t>
            </w:r>
          </w:p>
        </w:tc>
        <w:tc>
          <w:tcPr>
            <w:tcW w:w="100" w:type="dxa"/>
            <w:vAlign w:val="bottom"/>
          </w:tcPr>
          <w:p>
            <w:pPr>
              <w:spacing w:after="0"/>
              <w:rPr>
                <w:sz w:val="24"/>
                <w:szCs w:val="24"/>
                <w:color w:val="auto"/>
              </w:rPr>
            </w:pPr>
          </w:p>
        </w:tc>
        <w:tc>
          <w:tcPr>
            <w:tcW w:w="3420" w:type="dxa"/>
            <w:vAlign w:val="bottom"/>
          </w:tcPr>
          <w:p>
            <w:pPr>
              <w:ind w:left="1500"/>
              <w:spacing w:after="0"/>
              <w:rPr>
                <w:sz w:val="20"/>
                <w:szCs w:val="20"/>
                <w:color w:val="auto"/>
              </w:rPr>
            </w:pPr>
            <w:r>
              <w:rPr>
                <w:rFonts w:ascii="Times New Roman" w:cs="Times New Roman" w:eastAsia="Times New Roman" w:hAnsi="Times New Roman"/>
                <w:sz w:val="16"/>
                <w:szCs w:val="16"/>
                <w:b w:val="1"/>
                <w:bCs w:val="1"/>
                <w:color w:val="auto"/>
              </w:rPr>
              <w:t>None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184150</wp:posOffset>
            </wp:positionV>
            <wp:extent cx="13417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367" w:lineRule="exact"/>
        <w:rPr>
          <w:sz w:val="24"/>
          <w:szCs w:val="24"/>
          <w:color w:val="auto"/>
        </w:rPr>
      </w:pPr>
    </w:p>
    <w:p>
      <w:pPr>
        <w:ind w:right="18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ind w:right="34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1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rPr>
              <w:t>☐</w:t>
            </w:r>
          </w:p>
        </w:tc>
        <w:tc>
          <w:tcPr>
            <w:tcW w:w="4380" w:type="dxa"/>
            <w:vAlign w:val="bottom"/>
          </w:tcPr>
          <w:p>
            <w:pPr>
              <w:ind w:left="2300"/>
              <w:spacing w:after="0"/>
              <w:rPr>
                <w:sz w:val="20"/>
                <w:szCs w:val="20"/>
                <w:color w:val="auto"/>
              </w:rPr>
            </w:pPr>
            <w:r>
              <w:rPr>
                <w:rFonts w:ascii="Times New Roman" w:cs="Times New Roman" w:eastAsia="Times New Roman" w:hAnsi="Times New Roman"/>
                <w:sz w:val="13"/>
                <w:szCs w:val="13"/>
                <w:color w:val="auto"/>
              </w:rPr>
              <w:t>Accelerated filer</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56"/>
        </w:trPr>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1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rPr>
              <w:t>☒</w:t>
            </w:r>
          </w:p>
        </w:tc>
        <w:tc>
          <w:tcPr>
            <w:tcW w:w="4380" w:type="dxa"/>
            <w:vAlign w:val="bottom"/>
          </w:tcPr>
          <w:p>
            <w:pPr>
              <w:ind w:left="23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3"/>
        </w:trPr>
        <w:tc>
          <w:tcPr>
            <w:tcW w:w="19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380" w:type="dxa"/>
            <w:vAlign w:val="bottom"/>
          </w:tcPr>
          <w:p>
            <w:pPr>
              <w:ind w:left="2300"/>
              <w:spacing w:after="0"/>
              <w:rPr>
                <w:sz w:val="20"/>
                <w:szCs w:val="20"/>
                <w:color w:val="auto"/>
              </w:rPr>
            </w:pPr>
            <w:r>
              <w:rPr>
                <w:rFonts w:ascii="Times New Roman" w:cs="Times New Roman" w:eastAsia="Times New Roman" w:hAnsi="Times New Roman"/>
                <w:sz w:val="13"/>
                <w:szCs w:val="13"/>
                <w:color w:val="auto"/>
              </w:rPr>
              <w:t>Emerging growth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8" w:lineRule="exact"/>
        <w:rPr>
          <w:sz w:val="24"/>
          <w:szCs w:val="24"/>
          <w:color w:val="auto"/>
        </w:rPr>
      </w:pPr>
    </w:p>
    <w:p>
      <w:pPr>
        <w:ind w:right="240"/>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jc w:val="both"/>
        <w:ind w:right="3560"/>
        <w:spacing w:after="0" w:line="20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The number of common shares of beneficial interest, $.001 par value per share, outstanding at November 5, 2025 was 144,703,043.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670750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428625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Lending Partners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74"/>
        </w:trPr>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9"/>
          </w:tcPr>
          <w:p>
            <w:pPr>
              <w:ind w:left="32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02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NO.</w:t>
            </w:r>
          </w:p>
        </w:tc>
      </w:tr>
      <w:tr>
        <w:trPr>
          <w:trHeight w:val="26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PART I.</w:t>
            </w:r>
          </w:p>
        </w:tc>
        <w:tc>
          <w:tcPr>
            <w:tcW w:w="1960" w:type="dxa"/>
            <w:vAlign w:val="bottom"/>
            <w:tcBorders>
              <w:bottom w:val="single" w:sz="8" w:color="0000EE"/>
            </w:tcBorders>
            <w:gridSpan w:val="8"/>
          </w:tcPr>
          <w:p>
            <w:pPr>
              <w:spacing w:after="0"/>
              <w:rPr>
                <w:rFonts w:ascii="Times New Roman" w:cs="Times New Roman" w:eastAsia="Times New Roman" w:hAnsi="Times New Roman"/>
                <w:sz w:val="16"/>
                <w:szCs w:val="16"/>
                <w:color w:val="0000FF"/>
                <w:w w:val="95"/>
              </w:rPr>
            </w:pPr>
            <w:hyperlink w:anchor="page4">
              <w:r>
                <w:rPr>
                  <w:rFonts w:ascii="Times New Roman" w:cs="Times New Roman" w:eastAsia="Times New Roman" w:hAnsi="Times New Roman"/>
                  <w:sz w:val="16"/>
                  <w:szCs w:val="16"/>
                  <w:color w:val="0000FF"/>
                  <w:w w:val="95"/>
                </w:rPr>
                <w:t>FINANCIAL INFORMATION</w:t>
              </w:r>
            </w:hyperlink>
          </w:p>
        </w:tc>
        <w:tc>
          <w:tcPr>
            <w:tcW w:w="6600" w:type="dxa"/>
            <w:vAlign w:val="bottom"/>
            <w:gridSpan w:val="13"/>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1300" w:type="dxa"/>
            <w:vAlign w:val="bottom"/>
            <w:tcBorders>
              <w:bottom w:val="single" w:sz="8" w:color="0000EE"/>
            </w:tcBorders>
            <w:gridSpan w:val="5"/>
          </w:tcPr>
          <w:p>
            <w:pPr>
              <w:spacing w:after="0"/>
              <w:rPr>
                <w:rFonts w:ascii="Times New Roman" w:cs="Times New Roman" w:eastAsia="Times New Roman" w:hAnsi="Times New Roman"/>
                <w:sz w:val="16"/>
                <w:szCs w:val="16"/>
                <w:color w:val="0000FF"/>
                <w:w w:val="95"/>
              </w:rPr>
            </w:pPr>
            <w:hyperlink w:anchor="page4">
              <w:r>
                <w:rPr>
                  <w:rFonts w:ascii="Times New Roman" w:cs="Times New Roman" w:eastAsia="Times New Roman" w:hAnsi="Times New Roman"/>
                  <w:sz w:val="16"/>
                  <w:szCs w:val="16"/>
                  <w:color w:val="0000FF"/>
                  <w:w w:val="95"/>
                </w:rPr>
                <w:t>Financial Statements</w:t>
              </w:r>
            </w:hyperlink>
          </w:p>
        </w:tc>
        <w:tc>
          <w:tcPr>
            <w:tcW w:w="7260" w:type="dxa"/>
            <w:vAlign w:val="bottom"/>
            <w:gridSpan w:val="16"/>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68"/>
        </w:trPr>
        <w:tc>
          <w:tcPr>
            <w:tcW w:w="980" w:type="dxa"/>
            <w:vAlign w:val="bottom"/>
          </w:tcPr>
          <w:p>
            <w:pPr>
              <w:spacing w:after="0"/>
              <w:rPr>
                <w:sz w:val="23"/>
                <w:szCs w:val="23"/>
                <w:color w:val="auto"/>
              </w:rPr>
            </w:pPr>
          </w:p>
        </w:tc>
        <w:tc>
          <w:tcPr>
            <w:tcW w:w="8560" w:type="dxa"/>
            <w:vAlign w:val="bottom"/>
            <w:gridSpan w:val="21"/>
          </w:tcPr>
          <w:p>
            <w:pPr>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Consolidated Balance Sheets as of September 30, 2025 (Unaudited) and December 31, 2024</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8"/>
        </w:trPr>
        <w:tc>
          <w:tcPr>
            <w:tcW w:w="980" w:type="dxa"/>
            <w:vAlign w:val="bottom"/>
          </w:tcPr>
          <w:p>
            <w:pPr>
              <w:spacing w:after="0"/>
              <w:rPr>
                <w:sz w:val="23"/>
                <w:szCs w:val="23"/>
                <w:color w:val="auto"/>
              </w:rPr>
            </w:pPr>
          </w:p>
        </w:tc>
        <w:tc>
          <w:tcPr>
            <w:tcW w:w="8560" w:type="dxa"/>
            <w:vAlign w:val="bottom"/>
            <w:gridSpan w:val="21"/>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Consolidated Statements of Operations for the three and nine months ended September 30, 2025 and 2024 (Unaudited)</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68"/>
        </w:trPr>
        <w:tc>
          <w:tcPr>
            <w:tcW w:w="980" w:type="dxa"/>
            <w:vAlign w:val="bottom"/>
          </w:tcPr>
          <w:p>
            <w:pPr>
              <w:spacing w:after="0"/>
              <w:rPr>
                <w:sz w:val="23"/>
                <w:szCs w:val="23"/>
                <w:color w:val="auto"/>
              </w:rPr>
            </w:pPr>
          </w:p>
        </w:tc>
        <w:tc>
          <w:tcPr>
            <w:tcW w:w="6620" w:type="dxa"/>
            <w:vAlign w:val="bottom"/>
            <w:tcBorders>
              <w:top w:val="single" w:sz="8" w:color="0000EE"/>
            </w:tcBorders>
            <w:gridSpan w:val="16"/>
          </w:tcPr>
          <w:p>
            <w:pPr>
              <w:spacing w:after="0"/>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 xml:space="preserve">Consolidated Schedules of Investments as of September 30, 2025 (Unaudited) </w:t>
              </w:r>
            </w:hyperlink>
            <w:r>
              <w:rPr>
                <w:rFonts w:ascii="Times New Roman" w:cs="Times New Roman" w:eastAsia="Times New Roman" w:hAnsi="Times New Roman"/>
                <w:sz w:val="16"/>
                <w:szCs w:val="16"/>
                <w:color w:val="0000FF"/>
              </w:rPr>
              <w:t>and December 31, 2024</w:t>
            </w:r>
          </w:p>
        </w:tc>
        <w:tc>
          <w:tcPr>
            <w:tcW w:w="20" w:type="dxa"/>
            <w:vAlign w:val="bottom"/>
          </w:tcPr>
          <w:p>
            <w:pPr>
              <w:spacing w:after="0"/>
              <w:rPr>
                <w:sz w:val="23"/>
                <w:szCs w:val="23"/>
                <w:color w:val="auto"/>
              </w:rPr>
            </w:pPr>
          </w:p>
        </w:tc>
        <w:tc>
          <w:tcPr>
            <w:tcW w:w="760" w:type="dxa"/>
            <w:vAlign w:val="bottom"/>
            <w:tcBorders>
              <w:top w:val="single" w:sz="8" w:color="0000EE"/>
            </w:tcBorders>
            <w:gridSpan w:val="2"/>
          </w:tcPr>
          <w:p>
            <w:pPr>
              <w:spacing w:after="0"/>
              <w:rPr>
                <w:sz w:val="23"/>
                <w:szCs w:val="23"/>
                <w:color w:val="auto"/>
              </w:rPr>
            </w:pPr>
          </w:p>
        </w:tc>
        <w:tc>
          <w:tcPr>
            <w:tcW w:w="1160" w:type="dxa"/>
            <w:vAlign w:val="bottom"/>
            <w:gridSpan w:val="2"/>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8"/>
        </w:trPr>
        <w:tc>
          <w:tcPr>
            <w:tcW w:w="980" w:type="dxa"/>
            <w:vAlign w:val="bottom"/>
          </w:tcPr>
          <w:p>
            <w:pPr>
              <w:spacing w:after="0"/>
              <w:rPr>
                <w:sz w:val="23"/>
                <w:szCs w:val="23"/>
                <w:color w:val="auto"/>
              </w:rPr>
            </w:pPr>
          </w:p>
        </w:tc>
        <w:tc>
          <w:tcPr>
            <w:tcW w:w="8560" w:type="dxa"/>
            <w:vAlign w:val="bottom"/>
            <w:gridSpan w:val="21"/>
          </w:tcPr>
          <w:p>
            <w:pPr>
              <w:spacing w:after="0"/>
              <w:rPr>
                <w:rFonts w:ascii="Times New Roman" w:cs="Times New Roman" w:eastAsia="Times New Roman" w:hAnsi="Times New Roman"/>
                <w:sz w:val="16"/>
                <w:szCs w:val="16"/>
                <w:color w:val="0000FF"/>
              </w:rPr>
            </w:pPr>
            <w:hyperlink w:anchor="page18">
              <w:r>
                <w:rPr>
                  <w:rFonts w:ascii="Times New Roman" w:cs="Times New Roman" w:eastAsia="Times New Roman" w:hAnsi="Times New Roman"/>
                  <w:sz w:val="16"/>
                  <w:szCs w:val="16"/>
                  <w:color w:val="0000FF"/>
                </w:rPr>
                <w:t>Consolidated Statements of Changes in Net Assets for the three and nine months ended September 30, 2025 and 2024 (Unaudited)</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68"/>
        </w:trPr>
        <w:tc>
          <w:tcPr>
            <w:tcW w:w="980" w:type="dxa"/>
            <w:vAlign w:val="bottom"/>
          </w:tcPr>
          <w:p>
            <w:pPr>
              <w:spacing w:after="0"/>
              <w:rPr>
                <w:sz w:val="23"/>
                <w:szCs w:val="23"/>
                <w:color w:val="auto"/>
              </w:rPr>
            </w:pPr>
          </w:p>
        </w:tc>
        <w:tc>
          <w:tcPr>
            <w:tcW w:w="684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6"/>
                <w:szCs w:val="16"/>
                <w:color w:val="0000FF"/>
                <w:w w:val="96"/>
              </w:rPr>
            </w:pPr>
            <w:hyperlink w:anchor="page20">
              <w:r>
                <w:rPr>
                  <w:rFonts w:ascii="Times New Roman" w:cs="Times New Roman" w:eastAsia="Times New Roman" w:hAnsi="Times New Roman"/>
                  <w:sz w:val="16"/>
                  <w:szCs w:val="16"/>
                  <w:color w:val="0000FF"/>
                  <w:w w:val="96"/>
                </w:rPr>
                <w:t>Consolidated Statements of Cash Flows for the nine months ended September 30, 2025 and 2024 (Unaudited)</w:t>
              </w:r>
            </w:hyperlink>
          </w:p>
        </w:tc>
        <w:tc>
          <w:tcPr>
            <w:tcW w:w="1280" w:type="dxa"/>
            <w:vAlign w:val="bottom"/>
            <w:tcBorders>
              <w:top w:val="single" w:sz="8" w:color="0000EE"/>
            </w:tcBorders>
            <w:gridSpan w:val="2"/>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68"/>
        </w:trPr>
        <w:tc>
          <w:tcPr>
            <w:tcW w:w="980" w:type="dxa"/>
            <w:vAlign w:val="bottom"/>
          </w:tcPr>
          <w:p>
            <w:pPr>
              <w:spacing w:after="0"/>
              <w:rPr>
                <w:sz w:val="23"/>
                <w:szCs w:val="23"/>
                <w:color w:val="auto"/>
              </w:rPr>
            </w:pPr>
          </w:p>
        </w:tc>
        <w:tc>
          <w:tcPr>
            <w:tcW w:w="8560" w:type="dxa"/>
            <w:vAlign w:val="bottom"/>
            <w:gridSpan w:val="21"/>
          </w:tcPr>
          <w:p>
            <w:pPr>
              <w:spacing w:after="0"/>
              <w:rPr>
                <w:rFonts w:ascii="Times New Roman" w:cs="Times New Roman" w:eastAsia="Times New Roman" w:hAnsi="Times New Roman"/>
                <w:sz w:val="16"/>
                <w:szCs w:val="16"/>
                <w:color w:val="0000FF"/>
              </w:rPr>
            </w:pPr>
            <w:hyperlink w:anchor="page21">
              <w:r>
                <w:rPr>
                  <w:rFonts w:ascii="Times New Roman" w:cs="Times New Roman" w:eastAsia="Times New Roman" w:hAnsi="Times New Roman"/>
                  <w:sz w:val="16"/>
                  <w:szCs w:val="16"/>
                  <w:color w:val="0000FF"/>
                </w:rPr>
                <w:t>Notes to Consolidated Financial Statements (Unaudited)</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5600" w:type="dxa"/>
            <w:vAlign w:val="bottom"/>
            <w:tcBorders>
              <w:bottom w:val="single" w:sz="8" w:color="0000EE"/>
            </w:tcBorders>
            <w:gridSpan w:val="14"/>
          </w:tcPr>
          <w:p>
            <w:pPr>
              <w:spacing w:after="0"/>
              <w:rPr>
                <w:rFonts w:ascii="Times New Roman" w:cs="Times New Roman" w:eastAsia="Times New Roman" w:hAnsi="Times New Roman"/>
                <w:sz w:val="16"/>
                <w:szCs w:val="16"/>
                <w:color w:val="0000FF"/>
                <w:w w:val="97"/>
              </w:rPr>
            </w:pPr>
            <w:hyperlink w:anchor="page47">
              <w:r>
                <w:rPr>
                  <w:rFonts w:ascii="Times New Roman" w:cs="Times New Roman" w:eastAsia="Times New Roman" w:hAnsi="Times New Roman"/>
                  <w:sz w:val="16"/>
                  <w:szCs w:val="16"/>
                  <w:color w:val="0000FF"/>
                  <w:w w:val="97"/>
                </w:rPr>
                <w:t>Management’s Discussion and Analysis of Financial Condition and Results of Operations</w:t>
              </w:r>
            </w:hyperlink>
          </w:p>
        </w:tc>
        <w:tc>
          <w:tcPr>
            <w:tcW w:w="2960" w:type="dxa"/>
            <w:vAlign w:val="bottom"/>
            <w:gridSpan w:val="7"/>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3780" w:type="dxa"/>
            <w:vAlign w:val="bottom"/>
            <w:tcBorders>
              <w:bottom w:val="single" w:sz="8" w:color="0000EE"/>
            </w:tcBorders>
            <w:gridSpan w:val="12"/>
          </w:tcPr>
          <w:p>
            <w:pPr>
              <w:spacing w:after="0"/>
              <w:rPr>
                <w:rFonts w:ascii="Times New Roman" w:cs="Times New Roman" w:eastAsia="Times New Roman" w:hAnsi="Times New Roman"/>
                <w:sz w:val="16"/>
                <w:szCs w:val="16"/>
                <w:color w:val="0000FF"/>
                <w:w w:val="97"/>
              </w:rPr>
            </w:pPr>
            <w:hyperlink w:anchor="page68">
              <w:r>
                <w:rPr>
                  <w:rFonts w:ascii="Times New Roman" w:cs="Times New Roman" w:eastAsia="Times New Roman" w:hAnsi="Times New Roman"/>
                  <w:sz w:val="16"/>
                  <w:szCs w:val="16"/>
                  <w:color w:val="0000FF"/>
                  <w:w w:val="97"/>
                </w:rPr>
                <w:t>Quantitative and Qualitative Disclosures About Market Risk</w:t>
              </w:r>
            </w:hyperlink>
          </w:p>
        </w:tc>
        <w:tc>
          <w:tcPr>
            <w:tcW w:w="4780" w:type="dxa"/>
            <w:vAlign w:val="bottom"/>
            <w:gridSpan w:val="9"/>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1520" w:type="dxa"/>
            <w:vAlign w:val="bottom"/>
            <w:tcBorders>
              <w:bottom w:val="single" w:sz="8" w:color="0000EE"/>
            </w:tcBorders>
            <w:gridSpan w:val="6"/>
          </w:tcPr>
          <w:p>
            <w:pPr>
              <w:spacing w:after="0"/>
              <w:rPr>
                <w:rFonts w:ascii="Times New Roman" w:cs="Times New Roman" w:eastAsia="Times New Roman" w:hAnsi="Times New Roman"/>
                <w:sz w:val="16"/>
                <w:szCs w:val="16"/>
                <w:color w:val="0000FF"/>
                <w:w w:val="95"/>
              </w:rPr>
            </w:pPr>
            <w:hyperlink w:anchor="page69">
              <w:r>
                <w:rPr>
                  <w:rFonts w:ascii="Times New Roman" w:cs="Times New Roman" w:eastAsia="Times New Roman" w:hAnsi="Times New Roman"/>
                  <w:sz w:val="16"/>
                  <w:szCs w:val="16"/>
                  <w:color w:val="0000FF"/>
                  <w:w w:val="95"/>
                </w:rPr>
                <w:t>Controls and Procedures</w:t>
              </w:r>
            </w:hyperlink>
          </w:p>
        </w:tc>
        <w:tc>
          <w:tcPr>
            <w:tcW w:w="7040" w:type="dxa"/>
            <w:vAlign w:val="bottom"/>
            <w:gridSpan w:val="15"/>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PART II.</w:t>
            </w:r>
          </w:p>
        </w:tc>
        <w:tc>
          <w:tcPr>
            <w:tcW w:w="1640" w:type="dxa"/>
            <w:vAlign w:val="bottom"/>
            <w:tcBorders>
              <w:bottom w:val="single" w:sz="8" w:color="0000EE"/>
            </w:tcBorders>
            <w:gridSpan w:val="7"/>
          </w:tcPr>
          <w:p>
            <w:pPr>
              <w:spacing w:after="0"/>
              <w:rPr>
                <w:rFonts w:ascii="Times New Roman" w:cs="Times New Roman" w:eastAsia="Times New Roman" w:hAnsi="Times New Roman"/>
                <w:sz w:val="16"/>
                <w:szCs w:val="16"/>
                <w:color w:val="0000FF"/>
                <w:w w:val="95"/>
              </w:rPr>
            </w:pPr>
            <w:hyperlink w:anchor="page69">
              <w:r>
                <w:rPr>
                  <w:rFonts w:ascii="Times New Roman" w:cs="Times New Roman" w:eastAsia="Times New Roman" w:hAnsi="Times New Roman"/>
                  <w:sz w:val="16"/>
                  <w:szCs w:val="16"/>
                  <w:color w:val="0000FF"/>
                  <w:w w:val="95"/>
                </w:rPr>
                <w:t>OTHER INFORMATION</w:t>
              </w:r>
            </w:hyperlink>
          </w:p>
        </w:tc>
        <w:tc>
          <w:tcPr>
            <w:tcW w:w="6920" w:type="dxa"/>
            <w:vAlign w:val="bottom"/>
            <w:gridSpan w:val="14"/>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8560" w:type="dxa"/>
            <w:vAlign w:val="bottom"/>
            <w:gridSpan w:val="21"/>
          </w:tcPr>
          <w:p>
            <w:pPr>
              <w:spacing w:after="0"/>
              <w:rPr>
                <w:rFonts w:ascii="Times New Roman" w:cs="Times New Roman" w:eastAsia="Times New Roman" w:hAnsi="Times New Roman"/>
                <w:sz w:val="16"/>
                <w:szCs w:val="16"/>
                <w:color w:val="0000FF"/>
              </w:rPr>
            </w:pPr>
            <w:hyperlink w:anchor="page69">
              <w:r>
                <w:rPr>
                  <w:rFonts w:ascii="Times New Roman" w:cs="Times New Roman" w:eastAsia="Times New Roman" w:hAnsi="Times New Roman"/>
                  <w:sz w:val="16"/>
                  <w:szCs w:val="16"/>
                  <w:color w:val="0000FF"/>
                </w:rPr>
                <w:t>Legal Proceedings</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1140" w:type="dxa"/>
            <w:vAlign w:val="bottom"/>
            <w:tcBorders>
              <w:top w:val="single" w:sz="8" w:color="0000EE"/>
            </w:tcBorders>
            <w:gridSpan w:val="4"/>
          </w:tcPr>
          <w:p>
            <w:pPr>
              <w:spacing w:after="0"/>
              <w:rPr>
                <w:rFonts w:ascii="Times New Roman" w:cs="Times New Roman" w:eastAsia="Times New Roman" w:hAnsi="Times New Roman"/>
                <w:sz w:val="16"/>
                <w:szCs w:val="16"/>
                <w:color w:val="0000FF"/>
              </w:rPr>
            </w:pPr>
            <w:hyperlink w:anchor="page69">
              <w:r>
                <w:rPr>
                  <w:rFonts w:ascii="Times New Roman" w:cs="Times New Roman" w:eastAsia="Times New Roman" w:hAnsi="Times New Roman"/>
                  <w:sz w:val="16"/>
                  <w:szCs w:val="16"/>
                  <w:color w:val="0000FF"/>
                </w:rPr>
                <w:t>Risk Factors</w:t>
              </w:r>
            </w:hyperlink>
          </w:p>
        </w:tc>
        <w:tc>
          <w:tcPr>
            <w:tcW w:w="7420" w:type="dxa"/>
            <w:vAlign w:val="bottom"/>
            <w:gridSpan w:val="17"/>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0" w:type="dxa"/>
            <w:vAlign w:val="bottom"/>
            <w:gridSpan w:val="1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3760" w:type="dxa"/>
            <w:vAlign w:val="bottom"/>
            <w:tcBorders>
              <w:bottom w:val="single" w:sz="8" w:color="0000EE"/>
            </w:tcBorders>
            <w:gridSpan w:val="11"/>
          </w:tcPr>
          <w:p>
            <w:pPr>
              <w:spacing w:after="0"/>
              <w:rPr>
                <w:rFonts w:ascii="Times New Roman" w:cs="Times New Roman" w:eastAsia="Times New Roman" w:hAnsi="Times New Roman"/>
                <w:sz w:val="16"/>
                <w:szCs w:val="16"/>
                <w:color w:val="0000FF"/>
                <w:w w:val="96"/>
              </w:rPr>
            </w:pPr>
            <w:hyperlink w:anchor="page69">
              <w:r>
                <w:rPr>
                  <w:rFonts w:ascii="Times New Roman" w:cs="Times New Roman" w:eastAsia="Times New Roman" w:hAnsi="Times New Roman"/>
                  <w:sz w:val="16"/>
                  <w:szCs w:val="16"/>
                  <w:color w:val="0000FF"/>
                  <w:w w:val="96"/>
                </w:rPr>
                <w:t>Unregistered Sales of Equity Securities and Use of Proceeds</w:t>
              </w:r>
            </w:hyperlink>
          </w:p>
        </w:tc>
        <w:tc>
          <w:tcPr>
            <w:tcW w:w="4800" w:type="dxa"/>
            <w:vAlign w:val="bottom"/>
            <w:gridSpan w:val="10"/>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2000" w:type="dxa"/>
            <w:vAlign w:val="bottom"/>
            <w:tcBorders>
              <w:bottom w:val="single" w:sz="8" w:color="0000EE"/>
            </w:tcBorders>
            <w:gridSpan w:val="9"/>
          </w:tcPr>
          <w:p>
            <w:pPr>
              <w:spacing w:after="0"/>
              <w:rPr>
                <w:rFonts w:ascii="Times New Roman" w:cs="Times New Roman" w:eastAsia="Times New Roman" w:hAnsi="Times New Roman"/>
                <w:sz w:val="16"/>
                <w:szCs w:val="16"/>
                <w:color w:val="0000FF"/>
                <w:w w:val="95"/>
              </w:rPr>
            </w:pPr>
            <w:hyperlink w:anchor="page69">
              <w:r>
                <w:rPr>
                  <w:rFonts w:ascii="Times New Roman" w:cs="Times New Roman" w:eastAsia="Times New Roman" w:hAnsi="Times New Roman"/>
                  <w:sz w:val="16"/>
                  <w:szCs w:val="16"/>
                  <w:color w:val="0000FF"/>
                  <w:w w:val="95"/>
                </w:rPr>
                <w:t>Defaults Upon Senior Securities</w:t>
              </w:r>
            </w:hyperlink>
          </w:p>
        </w:tc>
        <w:tc>
          <w:tcPr>
            <w:tcW w:w="6560" w:type="dxa"/>
            <w:vAlign w:val="bottom"/>
            <w:gridSpan w:val="12"/>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1520" w:type="dxa"/>
            <w:vAlign w:val="bottom"/>
            <w:tcBorders>
              <w:bottom w:val="single" w:sz="8" w:color="0000EE"/>
            </w:tcBorders>
            <w:gridSpan w:val="6"/>
          </w:tcPr>
          <w:p>
            <w:pPr>
              <w:spacing w:after="0"/>
              <w:rPr>
                <w:rFonts w:ascii="Times New Roman" w:cs="Times New Roman" w:eastAsia="Times New Roman" w:hAnsi="Times New Roman"/>
                <w:sz w:val="16"/>
                <w:szCs w:val="16"/>
                <w:color w:val="0000FF"/>
                <w:w w:val="95"/>
              </w:rPr>
            </w:pPr>
            <w:hyperlink w:anchor="page69">
              <w:r>
                <w:rPr>
                  <w:rFonts w:ascii="Times New Roman" w:cs="Times New Roman" w:eastAsia="Times New Roman" w:hAnsi="Times New Roman"/>
                  <w:sz w:val="16"/>
                  <w:szCs w:val="16"/>
                  <w:color w:val="0000FF"/>
                  <w:w w:val="95"/>
                </w:rPr>
                <w:t>Mine Safety Disclosures</w:t>
              </w:r>
            </w:hyperlink>
          </w:p>
        </w:tc>
        <w:tc>
          <w:tcPr>
            <w:tcW w:w="7040" w:type="dxa"/>
            <w:vAlign w:val="bottom"/>
            <w:gridSpan w:val="15"/>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8560" w:type="dxa"/>
            <w:vAlign w:val="bottom"/>
            <w:gridSpan w:val="21"/>
          </w:tcPr>
          <w:p>
            <w:pPr>
              <w:spacing w:after="0"/>
              <w:rPr>
                <w:rFonts w:ascii="Times New Roman" w:cs="Times New Roman" w:eastAsia="Times New Roman" w:hAnsi="Times New Roman"/>
                <w:sz w:val="16"/>
                <w:szCs w:val="16"/>
                <w:color w:val="0000FF"/>
              </w:rPr>
            </w:pPr>
            <w:hyperlink w:anchor="page69">
              <w:r>
                <w:rPr>
                  <w:rFonts w:ascii="Times New Roman" w:cs="Times New Roman" w:eastAsia="Times New Roman" w:hAnsi="Times New Roman"/>
                  <w:sz w:val="16"/>
                  <w:szCs w:val="16"/>
                  <w:color w:val="0000FF"/>
                </w:rPr>
                <w:t>Other Information</w:t>
              </w:r>
            </w:hyperlink>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6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1120" w:type="dxa"/>
            <w:vAlign w:val="bottom"/>
            <w:tcBorders>
              <w:top w:val="single" w:sz="8" w:color="0000EE"/>
            </w:tcBorders>
            <w:gridSpan w:val="3"/>
          </w:tcPr>
          <w:p>
            <w:pPr>
              <w:spacing w:after="0"/>
              <w:rPr>
                <w:rFonts w:ascii="Times New Roman" w:cs="Times New Roman" w:eastAsia="Times New Roman" w:hAnsi="Times New Roman"/>
                <w:sz w:val="16"/>
                <w:szCs w:val="16"/>
                <w:color w:val="0000FF"/>
              </w:rPr>
            </w:pPr>
            <w:hyperlink w:anchor="page70">
              <w:r>
                <w:rPr>
                  <w:rFonts w:ascii="Times New Roman" w:cs="Times New Roman" w:eastAsia="Times New Roman" w:hAnsi="Times New Roman"/>
                  <w:sz w:val="16"/>
                  <w:szCs w:val="16"/>
                  <w:color w:val="0000FF"/>
                </w:rPr>
                <w:t>Exhibits</w:t>
              </w:r>
            </w:hyperlink>
          </w:p>
        </w:tc>
        <w:tc>
          <w:tcPr>
            <w:tcW w:w="7440" w:type="dxa"/>
            <w:vAlign w:val="bottom"/>
            <w:gridSpan w:val="18"/>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60" w:type="dxa"/>
            <w:vAlign w:val="bottom"/>
            <w:gridSpan w:val="2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8"/>
        </w:trPr>
        <w:tc>
          <w:tcPr>
            <w:tcW w:w="980" w:type="dxa"/>
            <w:vAlign w:val="bottom"/>
            <w:tcBorders>
              <w:bottom w:val="single" w:sz="8" w:color="0000EE"/>
            </w:tcBorders>
          </w:tcPr>
          <w:p>
            <w:pPr>
              <w:spacing w:after="0"/>
              <w:rPr>
                <w:rFonts w:ascii="Times New Roman" w:cs="Times New Roman" w:eastAsia="Times New Roman" w:hAnsi="Times New Roman"/>
                <w:sz w:val="16"/>
                <w:szCs w:val="16"/>
                <w:color w:val="0000FF"/>
                <w:w w:val="94"/>
              </w:rPr>
            </w:pPr>
            <w:hyperlink w:anchor="page71">
              <w:r>
                <w:rPr>
                  <w:rFonts w:ascii="Times New Roman" w:cs="Times New Roman" w:eastAsia="Times New Roman" w:hAnsi="Times New Roman"/>
                  <w:sz w:val="16"/>
                  <w:szCs w:val="16"/>
                  <w:color w:val="0000FF"/>
                  <w:w w:val="94"/>
                </w:rPr>
                <w:t>SIGNATURES</w:t>
              </w:r>
            </w:hyperlink>
          </w:p>
        </w:tc>
        <w:tc>
          <w:tcPr>
            <w:tcW w:w="8560" w:type="dxa"/>
            <w:vAlign w:val="bottom"/>
            <w:gridSpan w:val="21"/>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bl>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428625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5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3"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In addition to factors previously identified elsewhere in the reports and other documents Sixth Street Lending Partners (the “Company”, “we”, “us” or “our”), has filed with the U.S. Securities and Exchange Commission (the “SEC”), the following factors, among others, could cause actual results to differ materially from forward-looking statements or historical performance:</w:t>
      </w:r>
    </w:p>
    <w:p>
      <w:pPr>
        <w:spacing w:after="0" w:line="68" w:lineRule="exact"/>
        <w:rPr>
          <w:sz w:val="20"/>
          <w:szCs w:val="20"/>
          <w:color w:val="auto"/>
        </w:rPr>
      </w:pPr>
    </w:p>
    <w:p>
      <w:pPr>
        <w:ind w:left="240" w:right="100"/>
        <w:spacing w:after="0" w:line="259" w:lineRule="auto"/>
        <w:rPr>
          <w:sz w:val="20"/>
          <w:szCs w:val="20"/>
          <w:color w:val="auto"/>
        </w:rPr>
      </w:pPr>
      <w:r>
        <w:rPr>
          <w:rFonts w:ascii="Times New Roman" w:cs="Times New Roman" w:eastAsia="Times New Roman" w:hAnsi="Times New Roman"/>
          <w:sz w:val="16"/>
          <w:szCs w:val="16"/>
          <w:color w:val="auto"/>
        </w:rPr>
        <w:t>•an economic downturn, which could impair our portfolio companies’ abilities to continue to operate, and could lead to the loss of some or all of our investments in those portfolio companies;</w:t>
      </w:r>
    </w:p>
    <w:p>
      <w:pPr>
        <w:spacing w:after="0" w:line="59" w:lineRule="exact"/>
        <w:rPr>
          <w:sz w:val="20"/>
          <w:szCs w:val="20"/>
          <w:color w:val="auto"/>
        </w:rPr>
      </w:pPr>
    </w:p>
    <w:p>
      <w:pPr>
        <w:ind w:left="240" w:right="700"/>
        <w:spacing w:after="0" w:line="259" w:lineRule="auto"/>
        <w:rPr>
          <w:sz w:val="20"/>
          <w:szCs w:val="20"/>
          <w:color w:val="auto"/>
        </w:rPr>
      </w:pPr>
      <w:r>
        <w:rPr>
          <w:rFonts w:ascii="Times New Roman" w:cs="Times New Roman" w:eastAsia="Times New Roman" w:hAnsi="Times New Roman"/>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•such an economic downturn could also impact availability and pricing of our financing;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inability to access the capital markets could impair our ability to raise capital and our investment activities;</w:t>
      </w:r>
    </w:p>
    <w:p>
      <w:pPr>
        <w:spacing w:after="0" w:line="92" w:lineRule="exact"/>
        <w:rPr>
          <w:sz w:val="20"/>
          <w:szCs w:val="20"/>
          <w:color w:val="auto"/>
        </w:rPr>
      </w:pPr>
    </w:p>
    <w:p>
      <w:pPr>
        <w:ind w:left="240" w:right="580"/>
        <w:spacing w:after="0" w:line="259" w:lineRule="auto"/>
        <w:rPr>
          <w:sz w:val="20"/>
          <w:szCs w:val="20"/>
          <w:color w:val="auto"/>
        </w:rPr>
      </w:pPr>
      <w:r>
        <w:rPr>
          <w:rFonts w:ascii="Times New Roman" w:cs="Times New Roman" w:eastAsia="Times New Roman" w:hAnsi="Times New Roman"/>
          <w:sz w:val="16"/>
          <w:szCs w:val="16"/>
          <w:color w:val="auto"/>
        </w:rPr>
        <w:t>•inflation could negatively impact our business, including our ability to access the debt markets on favorable terms, or could negatively impact our portfolio companies;</w:t>
      </w:r>
    </w:p>
    <w:p>
      <w:pPr>
        <w:spacing w:after="0" w:line="59"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•changes in political, economic or industry conditions, the interest rate environment or conditions affecting the financial and capital markets, including the effects of trade policies and government regulation; and</w:t>
      </w:r>
    </w:p>
    <w:p>
      <w:pPr>
        <w:spacing w:after="0" w:line="59" w:lineRule="exact"/>
        <w:rPr>
          <w:sz w:val="20"/>
          <w:szCs w:val="20"/>
          <w:color w:val="auto"/>
        </w:rPr>
      </w:pPr>
    </w:p>
    <w:p>
      <w:pPr>
        <w:ind w:left="240" w:right="360"/>
        <w:spacing w:after="0" w:line="259" w:lineRule="auto"/>
        <w:rPr>
          <w:sz w:val="20"/>
          <w:szCs w:val="20"/>
          <w:color w:val="auto"/>
        </w:rPr>
      </w:pPr>
      <w:r>
        <w:rPr>
          <w:rFonts w:ascii="Times New Roman" w:cs="Times New Roman" w:eastAsia="Times New Roman" w:hAnsi="Times New Roman"/>
          <w:sz w:val="16"/>
          <w:szCs w:val="16"/>
          <w:color w:val="auto"/>
        </w:rPr>
        <w:t>•the risks, uncertainties and other factors we identify in the section entitled “Risk Factors” in this report, in our Annual Report on Form 10-K for the year ended December 31, 2024, filed with the SEC on February 14, 2025, and elsewhere in our filings with the SEC.</w:t>
      </w:r>
    </w:p>
    <w:p>
      <w:pPr>
        <w:spacing w:after="0" w:line="15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Lending Partners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3"/>
                <w:szCs w:val="13"/>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Investments at fair value</w:t>
            </w: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Non-controlled, non-affiliated investments (amortized cost of $7,440,176 and $7,079,994, respectively)</w:t>
            </w: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7,724,072</w:t>
            </w: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7,244,282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(restricted cash of $106,770 and $43,371, respectively)</w:t>
            </w:r>
          </w:p>
        </w:tc>
        <w:tc>
          <w:tcPr>
            <w:tcW w:w="28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1,284,566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1,198,013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 receivable</w:t>
            </w:r>
          </w:p>
        </w:tc>
        <w:tc>
          <w:tcPr>
            <w:tcW w:w="28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73,313</w:t>
            </w: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67,896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80" w:type="dxa"/>
            <w:vAlign w:val="bottom"/>
          </w:tcPr>
          <w:p>
            <w:pPr>
              <w:spacing w:after="0"/>
              <w:rPr>
                <w:sz w:val="13"/>
                <w:szCs w:val="13"/>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57,195</w:t>
            </w: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80" w:type="dxa"/>
            <w:vAlign w:val="bottom"/>
            <w:tcBorders>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9,139,146</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8,513,442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8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Debt (net of deferred financing costs of $39,500 and $28,306, respectively)</w:t>
            </w: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4,641,519</w:t>
            </w: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4,288,601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Management fees payable to affiliate</w:t>
            </w:r>
          </w:p>
        </w:tc>
        <w:tc>
          <w:tcPr>
            <w:tcW w:w="280" w:type="dxa"/>
            <w:vAlign w:val="bottom"/>
          </w:tcPr>
          <w:p>
            <w:pPr>
              <w:spacing w:after="0"/>
              <w:rPr>
                <w:sz w:val="13"/>
                <w:szCs w:val="13"/>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10,149</w:t>
            </w: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Incentive fees on net investment income payable to affiliate</w:t>
            </w:r>
          </w:p>
        </w:tc>
        <w:tc>
          <w:tcPr>
            <w:tcW w:w="28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20,228</w:t>
            </w: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16,232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Incentive fees on net capital gains accrued to affiliate</w:t>
            </w:r>
          </w:p>
        </w:tc>
        <w:tc>
          <w:tcPr>
            <w:tcW w:w="280" w:type="dxa"/>
            <w:vAlign w:val="bottom"/>
          </w:tcPr>
          <w:p>
            <w:pPr>
              <w:spacing w:after="0"/>
              <w:rPr>
                <w:sz w:val="13"/>
                <w:szCs w:val="13"/>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20,738</w:t>
            </w:r>
          </w:p>
        </w:tc>
        <w:tc>
          <w:tcPr>
            <w:tcW w:w="24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24,549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payables to affiliate</w:t>
            </w:r>
          </w:p>
        </w:tc>
        <w:tc>
          <w:tcPr>
            <w:tcW w:w="2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3,436</w:t>
            </w: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Dividends payable</w:t>
            </w:r>
          </w:p>
        </w:tc>
        <w:tc>
          <w:tcPr>
            <w:tcW w:w="2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101,292</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93,939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28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46,559</w:t>
            </w: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42,605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4,843,921</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4,476,972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Commitments and contingencies (Note 8)</w:t>
            </w:r>
          </w:p>
        </w:tc>
        <w:tc>
          <w:tcPr>
            <w:tcW w:w="2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Common shares, $0.001 par value; unlimited shares authorized (144,703,043 and 140,208,028, shares issued and outstanding,</w:t>
            </w:r>
          </w:p>
        </w:tc>
        <w:tc>
          <w:tcPr>
            <w:tcW w:w="2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respectively)</w:t>
            </w:r>
          </w:p>
        </w:tc>
        <w:tc>
          <w:tcPr>
            <w:tcW w:w="28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4,054,484</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3,923,739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Distributable earnings</w:t>
            </w:r>
          </w:p>
        </w:tc>
        <w:tc>
          <w:tcPr>
            <w:tcW w:w="28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240,596</w:t>
            </w: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112,591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8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2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4,295,225</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4,036,470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280" w:type="dxa"/>
            <w:vAlign w:val="bottom"/>
            <w:tcBorders>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9,139,146</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8,513,442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80" w:type="dxa"/>
            <w:vAlign w:val="bottom"/>
          </w:tcPr>
          <w:p>
            <w:pPr>
              <w:ind w:left="240"/>
              <w:spacing w:after="0" w:line="133" w:lineRule="exact"/>
              <w:rPr>
                <w:sz w:val="20"/>
                <w:szCs w:val="20"/>
                <w:color w:val="auto"/>
              </w:rPr>
            </w:pPr>
            <w:r>
              <w:rPr>
                <w:rFonts w:ascii="Times New Roman" w:cs="Times New Roman" w:eastAsia="Times New Roman" w:hAnsi="Times New Roman"/>
                <w:sz w:val="13"/>
                <w:szCs w:val="13"/>
                <w:b w:val="1"/>
                <w:bCs w:val="1"/>
                <w:color w:val="auto"/>
              </w:rPr>
              <w:t>Net Asset Value Per Share</w:t>
            </w:r>
          </w:p>
        </w:tc>
        <w:tc>
          <w:tcPr>
            <w:tcW w:w="280" w:type="dxa"/>
            <w:vAlign w:val="bottom"/>
            <w:tcBorders>
              <w:bottom w:val="single" w:sz="8" w:color="auto"/>
            </w:tcBorders>
          </w:tcPr>
          <w:p>
            <w:pPr>
              <w:jc w:val="right"/>
              <w:ind w:right="13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29.68</w:t>
            </w:r>
          </w:p>
        </w:tc>
        <w:tc>
          <w:tcPr>
            <w:tcW w:w="180" w:type="dxa"/>
            <w:vAlign w:val="bottom"/>
          </w:tcPr>
          <w:p>
            <w:pPr>
              <w:spacing w:after="0"/>
              <w:rPr>
                <w:sz w:val="11"/>
                <w:szCs w:val="11"/>
                <w:color w:val="auto"/>
              </w:rPr>
            </w:pPr>
          </w:p>
        </w:tc>
        <w:tc>
          <w:tcPr>
            <w:tcW w:w="240" w:type="dxa"/>
            <w:vAlign w:val="bottom"/>
            <w:tcBorders>
              <w:bottom w:val="single" w:sz="8" w:color="auto"/>
            </w:tcBorders>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28.79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428625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Lending Partners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6"/>
          </w:tcPr>
          <w:p>
            <w:pPr>
              <w:jc w:val="right"/>
              <w:ind w:right="10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40" w:type="dxa"/>
            <w:vAlign w:val="bottom"/>
            <w:gridSpan w:val="5"/>
          </w:tcPr>
          <w:p>
            <w:pPr>
              <w:jc w:val="right"/>
              <w:ind w:right="108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Investment income from non-controlled, non-affiliated investments:</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Interest from investments</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197,047</w:t>
            </w:r>
          </w:p>
        </w:tc>
        <w:tc>
          <w:tcPr>
            <w:tcW w:w="12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162,261</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629,558</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416,384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Paid-in-kind interest income</w:t>
            </w:r>
          </w:p>
        </w:tc>
        <w:tc>
          <w:tcPr>
            <w:tcW w:w="12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18,969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50,256</w:t>
            </w:r>
          </w:p>
        </w:tc>
        <w:tc>
          <w:tcPr>
            <w:tcW w:w="12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22,463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Dividend income</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1,293</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4,604</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income</w:t>
            </w:r>
          </w:p>
        </w:tc>
        <w:tc>
          <w:tcPr>
            <w:tcW w:w="120" w:type="dxa"/>
            <w:vAlign w:val="bottom"/>
          </w:tcPr>
          <w:p>
            <w:pPr>
              <w:spacing w:after="0"/>
              <w:rPr>
                <w:sz w:val="17"/>
                <w:szCs w:val="17"/>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19,699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32,914</w:t>
            </w:r>
          </w:p>
        </w:tc>
        <w:tc>
          <w:tcPr>
            <w:tcW w:w="1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27,804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235,715</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178,888</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717,332</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467,944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59,989</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49,991</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175,158</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132,094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Management fees</w:t>
            </w:r>
          </w:p>
        </w:tc>
        <w:tc>
          <w:tcPr>
            <w:tcW w:w="12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28,051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18,857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79,920</w:t>
            </w:r>
          </w:p>
        </w:tc>
        <w:tc>
          <w:tcPr>
            <w:tcW w:w="12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45,034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Incentive fees on net investment income</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20,228</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14,893</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62,622</w:t>
            </w:r>
          </w:p>
        </w:tc>
        <w:tc>
          <w:tcPr>
            <w:tcW w:w="1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38,432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Incentive fees on net capital gains (losses)</w:t>
            </w:r>
          </w:p>
        </w:tc>
        <w:tc>
          <w:tcPr>
            <w:tcW w:w="12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(977)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(3,795)</w:t>
            </w: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Offering expense</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Professional fees</w:t>
            </w: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Trustees’ fees</w:t>
            </w: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Other general and administrative</w:t>
            </w: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Total expenses</w:t>
            </w: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111,045</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90,345</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325,285</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234,312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Management fees waived (Note 3)</w:t>
            </w:r>
          </w:p>
        </w:tc>
        <w:tc>
          <w:tcPr>
            <w:tcW w:w="12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(17,901)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(12,323)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(50,122)</w:t>
            </w:r>
          </w:p>
        </w:tc>
        <w:tc>
          <w:tcPr>
            <w:tcW w:w="120" w:type="dxa"/>
            <w:vAlign w:val="bottom"/>
          </w:tcPr>
          <w:p>
            <w:pPr>
              <w:spacing w:after="0"/>
              <w:rPr>
                <w:sz w:val="13"/>
                <w:szCs w:val="13"/>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(28,389)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b w:val="1"/>
                <w:bCs w:val="1"/>
                <w:color w:val="auto"/>
              </w:rPr>
              <w:t>Net Expenses</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93,144</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78,022</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275,163</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205,923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Investment Income Before Income Taxes</w:t>
            </w: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142,571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100,866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442,169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Income taxes, including excise taxes</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142,571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100,866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442,152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259,852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Unrealized and Realized Gains (Losses)</w:t>
            </w: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unrealized gains (losses):</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(19,272)</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56,096</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119,608</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90,577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Translation of other assets and liabilities in foreign currencies</w:t>
            </w: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(29,936)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(137,408)</w:t>
            </w:r>
          </w:p>
        </w:tc>
        <w:tc>
          <w:tcPr>
            <w:tcW w:w="120" w:type="dxa"/>
            <w:vAlign w:val="bottom"/>
          </w:tcPr>
          <w:p>
            <w:pPr>
              <w:spacing w:after="0"/>
              <w:rPr>
                <w:sz w:val="13"/>
                <w:szCs w:val="13"/>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(24,997)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Foreign currency forward contracts</w:t>
            </w: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7,394</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1,734</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Income tax provision</w:t>
            </w: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net change in unrealized gains (losses)</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(5,031)</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26,158</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(16,066)</w:t>
            </w:r>
          </w:p>
        </w:tc>
        <w:tc>
          <w:tcPr>
            <w:tcW w:w="1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65,567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Realized gains (losses):</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6,160</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15,147</w:t>
            </w: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Foreign currency transactions</w:t>
            </w:r>
          </w:p>
        </w:tc>
        <w:tc>
          <w:tcPr>
            <w:tcW w:w="12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(1,451)</w:t>
            </w: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Foreign currency forward contracts</w:t>
            </w:r>
          </w:p>
        </w:tc>
        <w:tc>
          <w:tcPr>
            <w:tcW w:w="12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(4,038)</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(14,260)</w:t>
            </w: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1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Income tax provision</w:t>
            </w:r>
          </w:p>
        </w:tc>
        <w:tc>
          <w:tcPr>
            <w:tcW w:w="120" w:type="dxa"/>
            <w:vAlign w:val="bottom"/>
          </w:tcPr>
          <w:p>
            <w:pPr>
              <w:spacing w:after="0"/>
              <w:rPr>
                <w:sz w:val="10"/>
                <w:szCs w:val="10"/>
                <w:color w:val="auto"/>
              </w:rPr>
            </w:pPr>
          </w:p>
        </w:tc>
        <w:tc>
          <w:tcPr>
            <w:tcW w:w="13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(1,108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color w:val="auto"/>
              </w:rPr>
              <w:t>(1,108</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8"/>
                <w:szCs w:val="8"/>
                <w:color w:val="auto"/>
              </w:rPr>
            </w:pPr>
          </w:p>
        </w:tc>
        <w:tc>
          <w:tcPr>
            <w:tcW w:w="1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net realized gains (losses)</w:t>
            </w: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(44)</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(1,672)</w:t>
            </w: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6,880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Net Unrealized and Realized Gains (Losses)</w:t>
            </w:r>
          </w:p>
        </w:tc>
        <w:tc>
          <w:tcPr>
            <w:tcW w:w="12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(4,190)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26,114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(17,738)</w:t>
            </w:r>
          </w:p>
        </w:tc>
        <w:tc>
          <w:tcPr>
            <w:tcW w:w="12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72,447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3"/>
                <w:szCs w:val="13"/>
                <w:b w:val="1"/>
                <w:bCs w:val="1"/>
                <w:color w:val="auto"/>
              </w:rPr>
              <w:t>Increase (Decrease) in Net Assets Resulting from Operations</w:t>
            </w:r>
          </w:p>
        </w:tc>
        <w:tc>
          <w:tcPr>
            <w:tcW w:w="12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138,381</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126,980</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424,414</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332,299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Earnings per common share—basic and diluted</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0.96</w:t>
            </w:r>
          </w:p>
        </w:tc>
        <w:tc>
          <w:tcPr>
            <w:tcW w:w="1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3"/>
                <w:szCs w:val="13"/>
                <w:color w:val="auto"/>
              </w:rPr>
              <w:t>1.32</w:t>
            </w:r>
          </w:p>
        </w:tc>
        <w:tc>
          <w:tcPr>
            <w:tcW w:w="2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5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3"/>
                <w:szCs w:val="13"/>
                <w:color w:val="auto"/>
              </w:rPr>
              <w:t>2.98</w:t>
            </w:r>
          </w:p>
        </w:tc>
        <w:tc>
          <w:tcPr>
            <w:tcW w:w="1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tcPr>
          <w:p>
            <w:pPr>
              <w:jc w:val="right"/>
              <w:ind w:right="100"/>
              <w:spacing w:after="0" w:line="133" w:lineRule="exact"/>
              <w:rPr>
                <w:sz w:val="20"/>
                <w:szCs w:val="20"/>
                <w:color w:val="auto"/>
              </w:rPr>
            </w:pPr>
            <w:r>
              <w:rPr>
                <w:rFonts w:ascii="Times New Roman" w:cs="Times New Roman" w:eastAsia="Times New Roman" w:hAnsi="Times New Roman"/>
                <w:sz w:val="13"/>
                <w:szCs w:val="13"/>
                <w:color w:val="auto"/>
              </w:rPr>
              <w:t>3.98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Weighted average common shares outstanding—basic and diluted</w:t>
            </w: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144,109,918</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95,855,394</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142,632,179</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83,485,668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428625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Sixth Street Lending Partners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as of September 30, 2025</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419735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35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32"/>
        </w:trPr>
        <w:tc>
          <w:tcPr>
            <w:tcW w:w="18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8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940" w:type="dxa"/>
            <w:vAlign w:val="bottom"/>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22"/>
        </w:trPr>
        <w:tc>
          <w:tcPr>
            <w:tcW w:w="18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98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940" w:type="dxa"/>
            <w:vAlign w:val="bottom"/>
          </w:tcPr>
          <w:p>
            <w:pPr>
              <w:jc w:val="center"/>
              <w:ind w:right="1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ind w:right="267"/>
              <w:spacing w:after="0" w:line="122"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r>
      <w:tr>
        <w:trPr>
          <w:trHeight w:val="144"/>
        </w:trPr>
        <w:tc>
          <w:tcPr>
            <w:tcW w:w="1800" w:type="dxa"/>
            <w:vAlign w:val="bottom"/>
          </w:tcPr>
          <w:p>
            <w:pPr>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Company </w:t>
            </w:r>
            <w:r>
              <w:rPr>
                <w:rFonts w:ascii="Times New Roman" w:cs="Times New Roman" w:eastAsia="Times New Roman" w:hAnsi="Times New Roman"/>
                <w:sz w:val="14"/>
                <w:szCs w:val="14"/>
                <w:b w:val="1"/>
                <w:bCs w:val="1"/>
                <w:color w:val="auto"/>
                <w:vertAlign w:val="superscript"/>
              </w:rPr>
              <w:t>(1)(9)</w:t>
            </w:r>
          </w:p>
        </w:tc>
        <w:tc>
          <w:tcPr>
            <w:tcW w:w="2500" w:type="dxa"/>
            <w:vAlign w:val="bottom"/>
          </w:tcPr>
          <w:p>
            <w:pPr>
              <w:ind w:left="100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8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94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104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200" w:type="dxa"/>
            <w:vAlign w:val="bottom"/>
          </w:tcPr>
          <w:p>
            <w:pPr>
              <w:spacing w:after="0"/>
              <w:rPr>
                <w:sz w:val="12"/>
                <w:szCs w:val="12"/>
                <w:color w:val="auto"/>
              </w:rPr>
            </w:pPr>
          </w:p>
        </w:tc>
        <w:tc>
          <w:tcPr>
            <w:tcW w:w="880" w:type="dxa"/>
            <w:vAlign w:val="bottom"/>
          </w:tcPr>
          <w:p>
            <w:pPr>
              <w:jc w:val="right"/>
              <w:ind w:right="287"/>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6"/>
                <w:szCs w:val="6"/>
                <w:b w:val="1"/>
                <w:bCs w:val="1"/>
                <w:color w:val="auto"/>
              </w:rPr>
              <w:t xml:space="preserve"> (2) (7)</w:t>
            </w:r>
          </w:p>
        </w:tc>
        <w:tc>
          <w:tcPr>
            <w:tcW w:w="200" w:type="dxa"/>
            <w:vAlign w:val="bottom"/>
          </w:tcPr>
          <w:p>
            <w:pPr>
              <w:spacing w:after="0"/>
              <w:rPr>
                <w:sz w:val="12"/>
                <w:szCs w:val="12"/>
                <w:color w:val="auto"/>
              </w:rPr>
            </w:pPr>
          </w:p>
        </w:tc>
        <w:tc>
          <w:tcPr>
            <w:tcW w:w="1020" w:type="dxa"/>
            <w:vAlign w:val="bottom"/>
          </w:tcPr>
          <w:p>
            <w:pPr>
              <w:jc w:val="right"/>
              <w:ind w:right="286"/>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(6)</w:t>
            </w:r>
          </w:p>
        </w:tc>
        <w:tc>
          <w:tcPr>
            <w:tcW w:w="10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of Net Assets</w:t>
            </w:r>
          </w:p>
        </w:tc>
      </w:tr>
      <w:tr>
        <w:trPr>
          <w:trHeight w:val="144"/>
        </w:trPr>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Debt Investments</w:t>
            </w:r>
          </w:p>
        </w:tc>
        <w:tc>
          <w:tcPr>
            <w:tcW w:w="25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r>
      <w:tr>
        <w:trPr>
          <w:trHeight w:val="132"/>
        </w:trPr>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2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2"/>
        </w:trPr>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Truck-Lite Co., LLC </w:t>
            </w:r>
            <w:r>
              <w:rPr>
                <w:rFonts w:ascii="Times New Roman" w:cs="Times New Roman" w:eastAsia="Times New Roman" w:hAnsi="Times New Roman"/>
                <w:sz w:val="14"/>
                <w:szCs w:val="14"/>
                <w:color w:val="auto"/>
                <w:vertAlign w:val="superscript"/>
              </w:rPr>
              <w:t>(3)</w:t>
            </w: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($298,266 par, due 2/2032)</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2/13/2024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9.14%</w:t>
            </w:r>
          </w:p>
        </w:tc>
        <w:tc>
          <w:tcPr>
            <w:tcW w:w="2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295,508</w:t>
            </w:r>
          </w:p>
        </w:tc>
        <w:tc>
          <w:tcPr>
            <w:tcW w:w="2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298,267</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w:t>
            </w:r>
          </w:p>
        </w:tc>
      </w:tr>
      <w:tr>
        <w:trPr>
          <w:trHeight w:val="132"/>
        </w:trPr>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Business Services</w:t>
            </w:r>
          </w:p>
        </w:tc>
        <w:tc>
          <w:tcPr>
            <w:tcW w:w="2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2"/>
        </w:trPr>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Artisan Bidco, Inc.</w:t>
            </w:r>
            <w:r>
              <w:rPr>
                <w:rFonts w:ascii="Times New Roman" w:cs="Times New Roman" w:eastAsia="Times New Roman" w:hAnsi="Times New Roman"/>
                <w:sz w:val="14"/>
                <w:szCs w:val="14"/>
                <w:color w:val="auto"/>
                <w:vertAlign w:val="superscript"/>
              </w:rPr>
              <w:t>(3)</w:t>
            </w: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($113,281 par, due 11/2029)</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11/7/2023</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+ 7.00%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11.32%</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111,614</w:t>
            </w: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113,281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32"/>
        </w:trPr>
        <w:tc>
          <w:tcPr>
            <w:tcW w:w="1800" w:type="dxa"/>
            <w:vAlign w:val="bottom"/>
          </w:tcPr>
          <w:p>
            <w:pPr>
              <w:spacing w:after="0"/>
              <w:rPr>
                <w:sz w:val="11"/>
                <w:szCs w:val="11"/>
                <w:color w:val="auto"/>
              </w:rPr>
            </w:pPr>
          </w:p>
        </w:tc>
        <w:tc>
          <w:tcPr>
            <w:tcW w:w="2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(EUR 51,470 par, due 11/2029)</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11/7/2023</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+ 7.00%</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8.94%</w:t>
            </w: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54,485</w:t>
            </w:r>
          </w:p>
        </w:tc>
        <w:tc>
          <w:tcPr>
            <w:tcW w:w="200" w:type="dxa"/>
            <w:vAlign w:val="bottom"/>
          </w:tcPr>
          <w:p>
            <w:pPr>
              <w:spacing w:after="0"/>
              <w:rPr>
                <w:sz w:val="11"/>
                <w:szCs w:val="11"/>
                <w:color w:val="auto"/>
              </w:rPr>
            </w:pP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60,477</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32"/>
        </w:trPr>
        <w:tc>
          <w:tcPr>
            <w:tcW w:w="18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(EUR 51,470)</w:t>
            </w:r>
          </w:p>
        </w:tc>
        <w:tc>
          <w:tcPr>
            <w:tcW w:w="1000" w:type="dxa"/>
            <w:vAlign w:val="bottom"/>
          </w:tcPr>
          <w:p>
            <w:pPr>
              <w:spacing w:after="0"/>
              <w:rPr>
                <w:sz w:val="11"/>
                <w:szCs w:val="11"/>
                <w:color w:val="auto"/>
              </w:rPr>
            </w:pPr>
          </w:p>
        </w:tc>
      </w:tr>
      <w:tr>
        <w:trPr>
          <w:trHeight w:val="132"/>
        </w:trPr>
        <w:tc>
          <w:tcPr>
            <w:tcW w:w="1800" w:type="dxa"/>
            <w:vAlign w:val="bottom"/>
            <w:shd w:val="clear" w:color="auto" w:fill="CFF0FC"/>
          </w:tcPr>
          <w:p>
            <w:pPr>
              <w:spacing w:after="0"/>
              <w:rPr>
                <w:sz w:val="11"/>
                <w:szCs w:val="11"/>
                <w:color w:val="auto"/>
              </w:rPr>
            </w:pP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revolving loan ($10,694 par, due 11/2029)</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11/7/2023</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+ 7.00%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11.19%</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10,464</w:t>
            </w: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10,694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Azurite Intermediate Holdings, Inc. </w:t>
            </w:r>
            <w:r>
              <w:rPr>
                <w:rFonts w:ascii="Times New Roman" w:cs="Times New Roman" w:eastAsia="Times New Roman" w:hAnsi="Times New Roman"/>
                <w:sz w:val="14"/>
                <w:szCs w:val="14"/>
                <w:color w:val="auto"/>
                <w:vertAlign w:val="superscript"/>
              </w:rPr>
              <w:t>(3)</w:t>
            </w:r>
          </w:p>
        </w:tc>
        <w:tc>
          <w:tcPr>
            <w:tcW w:w="2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($213,750 par, due 3/2031)</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3/19/2024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+ 6.00%</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10.16%</w:t>
            </w: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210,595</w:t>
            </w:r>
          </w:p>
        </w:tc>
        <w:tc>
          <w:tcPr>
            <w:tcW w:w="200" w:type="dxa"/>
            <w:vAlign w:val="bottom"/>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216,125</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r>
      <w:tr>
        <w:trPr>
          <w:trHeight w:val="132"/>
        </w:trPr>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BCTO Ignition Purchaser, Inc. </w:t>
            </w:r>
            <w:r>
              <w:rPr>
                <w:rFonts w:ascii="Times New Roman" w:cs="Times New Roman" w:eastAsia="Times New Roman" w:hAnsi="Times New Roman"/>
                <w:sz w:val="14"/>
                <w:szCs w:val="14"/>
                <w:color w:val="auto"/>
                <w:vertAlign w:val="superscript"/>
              </w:rPr>
              <w:t>(3)</w:t>
            </w: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holdco loan ($212,131 par, due 10/2030)</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4/18/2023</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+ 7.50%</w:t>
            </w:r>
          </w:p>
        </w:tc>
        <w:tc>
          <w:tcPr>
            <w:tcW w:w="10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11.83% PIK</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208,642</w:t>
            </w: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215,843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w:t>
            </w:r>
          </w:p>
        </w:tc>
      </w:tr>
      <w:tr>
        <w:trPr>
          <w:trHeight w:val="132"/>
        </w:trPr>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Crewline Buyer, Inc. </w:t>
            </w:r>
            <w:r>
              <w:rPr>
                <w:rFonts w:ascii="Times New Roman" w:cs="Times New Roman" w:eastAsia="Times New Roman" w:hAnsi="Times New Roman"/>
                <w:sz w:val="14"/>
                <w:szCs w:val="14"/>
                <w:color w:val="auto"/>
                <w:vertAlign w:val="superscript"/>
              </w:rPr>
              <w:t>(3)</w:t>
            </w:r>
          </w:p>
        </w:tc>
        <w:tc>
          <w:tcPr>
            <w:tcW w:w="2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($152,696 par, due 11/2030)</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11/8/2023</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+ 6.75%</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10.91%</w:t>
            </w: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149,320</w:t>
            </w:r>
          </w:p>
        </w:tc>
        <w:tc>
          <w:tcPr>
            <w:tcW w:w="200" w:type="dxa"/>
            <w:vAlign w:val="bottom"/>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153,957</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32"/>
        </w:trPr>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Dye &amp; Durham Corp. </w:t>
            </w:r>
            <w:r>
              <w:rPr>
                <w:rFonts w:ascii="Times New Roman" w:cs="Times New Roman" w:eastAsia="Times New Roman" w:hAnsi="Times New Roman"/>
                <w:sz w:val="14"/>
                <w:szCs w:val="14"/>
                <w:color w:val="auto"/>
                <w:vertAlign w:val="superscript"/>
              </w:rPr>
              <w:t>(3)(4)(12)</w:t>
            </w: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($947 par, due 4/2031)</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4/4/2024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+ 4.35%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935</w:t>
            </w: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941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Elements Finco Limited </w:t>
            </w:r>
            <w:r>
              <w:rPr>
                <w:rFonts w:ascii="Times New Roman" w:cs="Times New Roman" w:eastAsia="Times New Roman" w:hAnsi="Times New Roman"/>
                <w:sz w:val="14"/>
                <w:szCs w:val="14"/>
                <w:color w:val="auto"/>
                <w:vertAlign w:val="superscript"/>
              </w:rPr>
              <w:t>(3)(4)</w:t>
            </w:r>
          </w:p>
        </w:tc>
        <w:tc>
          <w:tcPr>
            <w:tcW w:w="2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($25,473 par, due 4/2031)</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4/29/2024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9.41% (incl. 2.25%</w:t>
            </w: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25,308</w:t>
            </w:r>
          </w:p>
        </w:tc>
        <w:tc>
          <w:tcPr>
            <w:tcW w:w="200" w:type="dxa"/>
            <w:vAlign w:val="bottom"/>
          </w:tcPr>
          <w:p>
            <w:pPr>
              <w:spacing w:after="0"/>
              <w:rPr>
                <w:sz w:val="11"/>
                <w:szCs w:val="11"/>
                <w:color w:val="auto"/>
              </w:rPr>
            </w:pP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25,791</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32"/>
        </w:trPr>
        <w:tc>
          <w:tcPr>
            <w:tcW w:w="18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PIK)</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2"/>
        </w:trPr>
        <w:tc>
          <w:tcPr>
            <w:tcW w:w="1800" w:type="dxa"/>
            <w:vAlign w:val="bottom"/>
            <w:shd w:val="clear" w:color="auto" w:fill="CFF0FC"/>
          </w:tcPr>
          <w:p>
            <w:pPr>
              <w:spacing w:after="0"/>
              <w:rPr>
                <w:sz w:val="11"/>
                <w:szCs w:val="11"/>
                <w:color w:val="auto"/>
              </w:rPr>
            </w:pP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($20,857 par, due 4/2031)</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4/29/2024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9.16%</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20,691</w:t>
            </w: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21,118</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32"/>
        </w:trPr>
        <w:tc>
          <w:tcPr>
            <w:tcW w:w="1800" w:type="dxa"/>
            <w:vAlign w:val="bottom"/>
          </w:tcPr>
          <w:p>
            <w:pPr>
              <w:spacing w:after="0"/>
              <w:rPr>
                <w:sz w:val="11"/>
                <w:szCs w:val="11"/>
                <w:color w:val="auto"/>
              </w:rPr>
            </w:pPr>
          </w:p>
        </w:tc>
        <w:tc>
          <w:tcPr>
            <w:tcW w:w="2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(GBP 118,058 par, due 4/2031)</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4/29/2024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 + 5.50%</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9.47% (incl. 2.50%</w:t>
            </w: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147,070</w:t>
            </w:r>
          </w:p>
        </w:tc>
        <w:tc>
          <w:tcPr>
            <w:tcW w:w="200" w:type="dxa"/>
            <w:vAlign w:val="bottom"/>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161,320</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r>
      <w:tr>
        <w:trPr>
          <w:trHeight w:val="132"/>
        </w:trPr>
        <w:tc>
          <w:tcPr>
            <w:tcW w:w="18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PIK)</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(GBP 119,829)</w:t>
            </w:r>
          </w:p>
        </w:tc>
        <w:tc>
          <w:tcPr>
            <w:tcW w:w="1000" w:type="dxa"/>
            <w:vAlign w:val="bottom"/>
          </w:tcPr>
          <w:p>
            <w:pPr>
              <w:spacing w:after="0"/>
              <w:rPr>
                <w:sz w:val="11"/>
                <w:szCs w:val="11"/>
                <w:color w:val="auto"/>
              </w:rPr>
            </w:pPr>
          </w:p>
        </w:tc>
      </w:tr>
      <w:tr>
        <w:trPr>
          <w:trHeight w:val="132"/>
        </w:trPr>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Galileo Parent, Inc. </w:t>
            </w:r>
            <w:r>
              <w:rPr>
                <w:rFonts w:ascii="Times New Roman" w:cs="Times New Roman" w:eastAsia="Times New Roman" w:hAnsi="Times New Roman"/>
                <w:sz w:val="14"/>
                <w:szCs w:val="14"/>
                <w:color w:val="auto"/>
                <w:vertAlign w:val="superscript"/>
              </w:rPr>
              <w:t>(3)</w:t>
            </w: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($148,413 par, due 5/2030)</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5/3/2023</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+ 5.75%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9.75%</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145,497</w:t>
            </w: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149,898</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32"/>
        </w:trPr>
        <w:tc>
          <w:tcPr>
            <w:tcW w:w="1800" w:type="dxa"/>
            <w:vAlign w:val="bottom"/>
          </w:tcPr>
          <w:p>
            <w:pPr>
              <w:spacing w:after="0"/>
              <w:rPr>
                <w:sz w:val="11"/>
                <w:szCs w:val="11"/>
                <w:color w:val="auto"/>
              </w:rPr>
            </w:pPr>
          </w:p>
        </w:tc>
        <w:tc>
          <w:tcPr>
            <w:tcW w:w="2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revolving loan ($15,481 par, due 5/2030)</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5/3/2023</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+ 5.75%</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w:t>
            </w: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15,058</w:t>
            </w:r>
          </w:p>
        </w:tc>
        <w:tc>
          <w:tcPr>
            <w:tcW w:w="200" w:type="dxa"/>
            <w:vAlign w:val="bottom"/>
          </w:tcPr>
          <w:p>
            <w:pPr>
              <w:spacing w:after="0"/>
              <w:rPr>
                <w:sz w:val="11"/>
                <w:szCs w:val="11"/>
                <w:color w:val="auto"/>
              </w:rPr>
            </w:pP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15,716</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32"/>
        </w:trPr>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Lynx BidCo </w:t>
            </w:r>
            <w:r>
              <w:rPr>
                <w:rFonts w:ascii="Times New Roman" w:cs="Times New Roman" w:eastAsia="Times New Roman" w:hAnsi="Times New Roman"/>
                <w:sz w:val="14"/>
                <w:szCs w:val="14"/>
                <w:color w:val="auto"/>
                <w:vertAlign w:val="superscript"/>
              </w:rPr>
              <w:t>(3)(4)</w:t>
            </w: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($42,240 par, due 7/2031)</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7/5/2024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+ 6.50%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41,213</w:t>
            </w: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42,423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32"/>
        </w:trPr>
        <w:tc>
          <w:tcPr>
            <w:tcW w:w="1800" w:type="dxa"/>
            <w:vAlign w:val="bottom"/>
          </w:tcPr>
          <w:p>
            <w:pPr>
              <w:spacing w:after="0"/>
              <w:rPr>
                <w:sz w:val="11"/>
                <w:szCs w:val="11"/>
                <w:color w:val="auto"/>
              </w:rPr>
            </w:pPr>
          </w:p>
        </w:tc>
        <w:tc>
          <w:tcPr>
            <w:tcW w:w="2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(EUR 62,746 par, due 7/2031)</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7/5/2024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+ 6.50%</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w:t>
            </w: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70,367</w:t>
            </w:r>
          </w:p>
        </w:tc>
        <w:tc>
          <w:tcPr>
            <w:tcW w:w="200" w:type="dxa"/>
            <w:vAlign w:val="bottom"/>
          </w:tcPr>
          <w:p>
            <w:pPr>
              <w:spacing w:after="0"/>
              <w:rPr>
                <w:sz w:val="11"/>
                <w:szCs w:val="11"/>
                <w:color w:val="auto"/>
              </w:rPr>
            </w:pP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73,662</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32"/>
        </w:trPr>
        <w:tc>
          <w:tcPr>
            <w:tcW w:w="18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(EUR 62,691)</w:t>
            </w:r>
          </w:p>
        </w:tc>
        <w:tc>
          <w:tcPr>
            <w:tcW w:w="1000" w:type="dxa"/>
            <w:vAlign w:val="bottom"/>
          </w:tcPr>
          <w:p>
            <w:pPr>
              <w:spacing w:after="0"/>
              <w:rPr>
                <w:sz w:val="11"/>
                <w:szCs w:val="11"/>
                <w:color w:val="auto"/>
              </w:rPr>
            </w:pPr>
          </w:p>
        </w:tc>
      </w:tr>
      <w:tr>
        <w:trPr>
          <w:trHeight w:val="132"/>
        </w:trPr>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Price Fx Inc. </w:t>
            </w:r>
            <w:r>
              <w:rPr>
                <w:rFonts w:ascii="Times New Roman" w:cs="Times New Roman" w:eastAsia="Times New Roman" w:hAnsi="Times New Roman"/>
                <w:sz w:val="14"/>
                <w:szCs w:val="14"/>
                <w:color w:val="auto"/>
                <w:vertAlign w:val="superscript"/>
              </w:rPr>
              <w:t>(3)(4)</w:t>
            </w: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(EUR 910 par, due 10/2029)</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10/27/2023</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+ 7.00%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8.97%</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969</w:t>
            </w: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1,083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18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(EUR 921)</w:t>
            </w:r>
          </w:p>
        </w:tc>
        <w:tc>
          <w:tcPr>
            <w:tcW w:w="1000" w:type="dxa"/>
            <w:vAlign w:val="bottom"/>
            <w:shd w:val="clear" w:color="auto" w:fill="CFF0FC"/>
          </w:tcPr>
          <w:p>
            <w:pPr>
              <w:spacing w:after="0"/>
              <w:rPr>
                <w:sz w:val="11"/>
                <w:szCs w:val="11"/>
                <w:color w:val="auto"/>
              </w:rPr>
            </w:pPr>
          </w:p>
        </w:tc>
      </w:tr>
      <w:tr>
        <w:trPr>
          <w:trHeight w:val="132"/>
        </w:trPr>
        <w:tc>
          <w:tcPr>
            <w:tcW w:w="1800" w:type="dxa"/>
            <w:vAlign w:val="bottom"/>
          </w:tcPr>
          <w:p>
            <w:pPr>
              <w:spacing w:after="0"/>
              <w:rPr>
                <w:sz w:val="11"/>
                <w:szCs w:val="11"/>
                <w:color w:val="auto"/>
              </w:rPr>
            </w:pPr>
          </w:p>
        </w:tc>
        <w:tc>
          <w:tcPr>
            <w:tcW w:w="2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(EUR 910 par, due 10/2029)</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12/19/2024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+ 6.25%</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8.22%</w:t>
            </w: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925</w:t>
            </w:r>
          </w:p>
        </w:tc>
        <w:tc>
          <w:tcPr>
            <w:tcW w:w="200" w:type="dxa"/>
            <w:vAlign w:val="bottom"/>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1,080</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18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(EUR 919)</w:t>
            </w:r>
          </w:p>
        </w:tc>
        <w:tc>
          <w:tcPr>
            <w:tcW w:w="1000" w:type="dxa"/>
            <w:vAlign w:val="bottom"/>
          </w:tcPr>
          <w:p>
            <w:pPr>
              <w:spacing w:after="0"/>
              <w:rPr>
                <w:sz w:val="11"/>
                <w:szCs w:val="11"/>
                <w:color w:val="auto"/>
              </w:rPr>
            </w:pPr>
          </w:p>
        </w:tc>
      </w:tr>
      <w:tr>
        <w:trPr>
          <w:trHeight w:val="132"/>
        </w:trPr>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USA DeBusk, LLC </w:t>
            </w:r>
            <w:r>
              <w:rPr>
                <w:rFonts w:ascii="Times New Roman" w:cs="Times New Roman" w:eastAsia="Times New Roman" w:hAnsi="Times New Roman"/>
                <w:sz w:val="14"/>
                <w:szCs w:val="14"/>
                <w:color w:val="auto"/>
                <w:vertAlign w:val="superscript"/>
              </w:rPr>
              <w:t>(3)</w:t>
            </w: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($104,529 par, due 4/2031)</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4/30/2024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9.45%</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103,025</w:t>
            </w: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105,205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32"/>
        </w:trPr>
        <w:tc>
          <w:tcPr>
            <w:tcW w:w="1800" w:type="dxa"/>
            <w:vAlign w:val="bottom"/>
          </w:tcPr>
          <w:p>
            <w:pPr>
              <w:spacing w:after="0"/>
              <w:rPr>
                <w:sz w:val="11"/>
                <w:szCs w:val="11"/>
                <w:color w:val="auto"/>
              </w:rPr>
            </w:pPr>
          </w:p>
        </w:tc>
        <w:tc>
          <w:tcPr>
            <w:tcW w:w="2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revolving loan ($8,015 par, due 4/2030)</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4/30/2024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9.41%</w:t>
            </w: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7,808</w:t>
            </w:r>
          </w:p>
        </w:tc>
        <w:tc>
          <w:tcPr>
            <w:tcW w:w="200" w:type="dxa"/>
            <w:vAlign w:val="bottom"/>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8,118</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Wrangler TopCo, LLC </w:t>
            </w:r>
            <w:r>
              <w:rPr>
                <w:rFonts w:ascii="Times New Roman" w:cs="Times New Roman" w:eastAsia="Times New Roman" w:hAnsi="Times New Roman"/>
                <w:sz w:val="14"/>
                <w:szCs w:val="14"/>
                <w:color w:val="auto"/>
                <w:vertAlign w:val="superscript"/>
              </w:rPr>
              <w:t>(3)</w:t>
            </w: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($135,318 par, due 9/2029)</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7/7/2023</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+ 6.00%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10.07%</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133,097</w:t>
            </w: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137,260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32"/>
        </w:trPr>
        <w:tc>
          <w:tcPr>
            <w:tcW w:w="18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1,457,083</w:t>
            </w:r>
          </w:p>
        </w:tc>
        <w:tc>
          <w:tcPr>
            <w:tcW w:w="200" w:type="dxa"/>
            <w:vAlign w:val="bottom"/>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1,513,992</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w:t>
            </w:r>
          </w:p>
        </w:tc>
      </w:tr>
      <w:tr>
        <w:trPr>
          <w:trHeight w:val="132"/>
        </w:trPr>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Chemicals</w:t>
            </w:r>
          </w:p>
        </w:tc>
        <w:tc>
          <w:tcPr>
            <w:tcW w:w="25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r>
      <w:tr>
        <w:trPr>
          <w:trHeight w:val="132"/>
        </w:trPr>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Erling Lux Bidco SARL </w:t>
            </w:r>
            <w:r>
              <w:rPr>
                <w:rFonts w:ascii="Times New Roman" w:cs="Times New Roman" w:eastAsia="Times New Roman" w:hAnsi="Times New Roman"/>
                <w:sz w:val="14"/>
                <w:szCs w:val="14"/>
                <w:color w:val="auto"/>
                <w:vertAlign w:val="superscript"/>
              </w:rPr>
              <w:t>(3)(4)</w:t>
            </w:r>
          </w:p>
        </w:tc>
        <w:tc>
          <w:tcPr>
            <w:tcW w:w="2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(EUR 11,549 par, due 9/2028)</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9/6/2022</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+ 7.00%</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11,626</w:t>
            </w:r>
          </w:p>
        </w:tc>
        <w:tc>
          <w:tcPr>
            <w:tcW w:w="200" w:type="dxa"/>
            <w:vAlign w:val="bottom"/>
          </w:tcPr>
          <w:p>
            <w:pPr>
              <w:spacing w:after="0"/>
              <w:rPr>
                <w:sz w:val="11"/>
                <w:szCs w:val="11"/>
                <w:color w:val="auto"/>
              </w:rPr>
            </w:pP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13,817</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32"/>
        </w:trPr>
        <w:tc>
          <w:tcPr>
            <w:tcW w:w="18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(EUR 11,759)</w:t>
            </w:r>
          </w:p>
        </w:tc>
        <w:tc>
          <w:tcPr>
            <w:tcW w:w="1000" w:type="dxa"/>
            <w:vAlign w:val="bottom"/>
          </w:tcPr>
          <w:p>
            <w:pPr>
              <w:spacing w:after="0"/>
              <w:rPr>
                <w:sz w:val="11"/>
                <w:szCs w:val="11"/>
                <w:color w:val="auto"/>
              </w:rPr>
            </w:pPr>
          </w:p>
        </w:tc>
      </w:tr>
      <w:tr>
        <w:trPr>
          <w:trHeight w:val="132"/>
        </w:trPr>
        <w:tc>
          <w:tcPr>
            <w:tcW w:w="1800" w:type="dxa"/>
            <w:vAlign w:val="bottom"/>
            <w:shd w:val="clear" w:color="auto" w:fill="CFF0FC"/>
          </w:tcPr>
          <w:p>
            <w:pPr>
              <w:spacing w:after="0"/>
              <w:rPr>
                <w:sz w:val="11"/>
                <w:szCs w:val="11"/>
                <w:color w:val="auto"/>
              </w:rPr>
            </w:pP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(GBP 19,592 par, due 9/2028)</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9/6/2022</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 + 7.00%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10.97%</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23,139</w:t>
            </w: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26,705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32"/>
        </w:trPr>
        <w:tc>
          <w:tcPr>
            <w:tcW w:w="18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(GBP 19,836)</w:t>
            </w:r>
          </w:p>
        </w:tc>
        <w:tc>
          <w:tcPr>
            <w:tcW w:w="1000" w:type="dxa"/>
            <w:vAlign w:val="bottom"/>
            <w:shd w:val="clear" w:color="auto" w:fill="CFF0FC"/>
          </w:tcPr>
          <w:p>
            <w:pPr>
              <w:spacing w:after="0"/>
              <w:rPr>
                <w:sz w:val="11"/>
                <w:szCs w:val="11"/>
                <w:color w:val="auto"/>
              </w:rPr>
            </w:pPr>
          </w:p>
        </w:tc>
      </w:tr>
      <w:tr>
        <w:trPr>
          <w:trHeight w:val="132"/>
        </w:trPr>
        <w:tc>
          <w:tcPr>
            <w:tcW w:w="1800" w:type="dxa"/>
            <w:vAlign w:val="bottom"/>
          </w:tcPr>
          <w:p>
            <w:pPr>
              <w:spacing w:after="0"/>
              <w:rPr>
                <w:sz w:val="11"/>
                <w:szCs w:val="11"/>
                <w:color w:val="auto"/>
              </w:rPr>
            </w:pPr>
          </w:p>
        </w:tc>
        <w:tc>
          <w:tcPr>
            <w:tcW w:w="2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(NOK 7,427 par, due 9/2028)</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9/6/2022</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N + 7.00%</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11.33%</w:t>
            </w: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711</w:t>
            </w:r>
          </w:p>
        </w:tc>
        <w:tc>
          <w:tcPr>
            <w:tcW w:w="200" w:type="dxa"/>
            <w:vAlign w:val="bottom"/>
          </w:tcPr>
          <w:p>
            <w:pPr>
              <w:spacing w:after="0"/>
              <w:rPr>
                <w:sz w:val="11"/>
                <w:szCs w:val="11"/>
                <w:color w:val="auto"/>
              </w:rPr>
            </w:pP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754</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18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(NOK 7,520)</w:t>
            </w:r>
          </w:p>
        </w:tc>
        <w:tc>
          <w:tcPr>
            <w:tcW w:w="1000" w:type="dxa"/>
            <w:vAlign w:val="bottom"/>
          </w:tcPr>
          <w:p>
            <w:pPr>
              <w:spacing w:after="0"/>
              <w:rPr>
                <w:sz w:val="11"/>
                <w:szCs w:val="11"/>
                <w:color w:val="auto"/>
              </w:rPr>
            </w:pPr>
          </w:p>
        </w:tc>
      </w:tr>
      <w:tr>
        <w:trPr>
          <w:trHeight w:val="132"/>
        </w:trPr>
        <w:tc>
          <w:tcPr>
            <w:tcW w:w="1800" w:type="dxa"/>
            <w:vAlign w:val="bottom"/>
            <w:shd w:val="clear" w:color="auto" w:fill="CFF0FC"/>
          </w:tcPr>
          <w:p>
            <w:pPr>
              <w:spacing w:after="0"/>
              <w:rPr>
                <w:sz w:val="11"/>
                <w:szCs w:val="11"/>
                <w:color w:val="auto"/>
              </w:rPr>
            </w:pP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revolving loan (GBP 499 par, due 9/2028)</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9/6/2022</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 + 7.00%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10.97%</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610</w:t>
            </w: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680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18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(GBP 505)</w:t>
            </w:r>
          </w:p>
        </w:tc>
        <w:tc>
          <w:tcPr>
            <w:tcW w:w="1000" w:type="dxa"/>
            <w:vAlign w:val="bottom"/>
            <w:shd w:val="clear" w:color="auto" w:fill="CFF0FC"/>
          </w:tcPr>
          <w:p>
            <w:pPr>
              <w:spacing w:after="0"/>
              <w:rPr>
                <w:sz w:val="11"/>
                <w:szCs w:val="11"/>
                <w:color w:val="auto"/>
              </w:rPr>
            </w:pPr>
          </w:p>
        </w:tc>
      </w:tr>
      <w:tr>
        <w:trPr>
          <w:trHeight w:val="132"/>
        </w:trPr>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FGI Acquisition Corp. </w:t>
            </w:r>
            <w:r>
              <w:rPr>
                <w:rFonts w:ascii="Times New Roman" w:cs="Times New Roman" w:eastAsia="Times New Roman" w:hAnsi="Times New Roman"/>
                <w:sz w:val="14"/>
                <w:szCs w:val="14"/>
                <w:color w:val="auto"/>
                <w:vertAlign w:val="superscript"/>
              </w:rPr>
              <w:t>(3)(4)</w:t>
            </w:r>
          </w:p>
        </w:tc>
        <w:tc>
          <w:tcPr>
            <w:tcW w:w="2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($89,775 par, due 6/2032)</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6/4/2025</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+ 5.50%</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9.66%</w:t>
            </w: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88,039</w:t>
            </w:r>
          </w:p>
        </w:tc>
        <w:tc>
          <w:tcPr>
            <w:tcW w:w="200" w:type="dxa"/>
            <w:vAlign w:val="bottom"/>
          </w:tcPr>
          <w:p>
            <w:pPr>
              <w:spacing w:after="0"/>
              <w:rPr>
                <w:sz w:val="11"/>
                <w:szCs w:val="11"/>
                <w:color w:val="auto"/>
              </w:rPr>
            </w:pP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88,428</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32"/>
        </w:trPr>
        <w:tc>
          <w:tcPr>
            <w:tcW w:w="18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124,125</w:t>
            </w: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130,384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32"/>
        </w:trPr>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Communications</w:t>
            </w:r>
          </w:p>
        </w:tc>
        <w:tc>
          <w:tcPr>
            <w:tcW w:w="2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2"/>
        </w:trPr>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w w:val="99"/>
              </w:rPr>
              <w:t xml:space="preserve">Aurelia Netherlands MidCo 2 B.V. </w:t>
            </w:r>
            <w:r>
              <w:rPr>
                <w:rFonts w:ascii="Times New Roman" w:cs="Times New Roman" w:eastAsia="Times New Roman" w:hAnsi="Times New Roman"/>
                <w:sz w:val="14"/>
                <w:szCs w:val="14"/>
                <w:color w:val="auto"/>
                <w:w w:val="99"/>
                <w:vertAlign w:val="superscript"/>
              </w:rPr>
              <w:t>(3)(4)</w:t>
            </w: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(EUR 326,566 par, due 5/2031)</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5/22/2024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+ 4.75%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6.78%</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354,623</w:t>
            </w: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383,715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w:t>
            </w:r>
          </w:p>
        </w:tc>
      </w:tr>
      <w:tr>
        <w:trPr>
          <w:trHeight w:val="132"/>
        </w:trPr>
        <w:tc>
          <w:tcPr>
            <w:tcW w:w="18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(EUR 326,566)</w:t>
            </w:r>
          </w:p>
        </w:tc>
        <w:tc>
          <w:tcPr>
            <w:tcW w:w="1000" w:type="dxa"/>
            <w:vAlign w:val="bottom"/>
            <w:shd w:val="clear" w:color="auto" w:fill="CFF0FC"/>
          </w:tcPr>
          <w:p>
            <w:pPr>
              <w:spacing w:after="0"/>
              <w:rPr>
                <w:sz w:val="11"/>
                <w:szCs w:val="11"/>
                <w:color w:val="auto"/>
              </w:rPr>
            </w:pPr>
          </w:p>
        </w:tc>
      </w:tr>
      <w:tr>
        <w:trPr>
          <w:trHeight w:val="132"/>
        </w:trPr>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X Holdings. Inc. </w:t>
            </w:r>
            <w:r>
              <w:rPr>
                <w:rFonts w:ascii="Times New Roman" w:cs="Times New Roman" w:eastAsia="Times New Roman" w:hAnsi="Times New Roman"/>
                <w:sz w:val="14"/>
                <w:szCs w:val="14"/>
                <w:color w:val="auto"/>
                <w:vertAlign w:val="superscript"/>
              </w:rPr>
              <w:t>(12)</w:t>
            </w:r>
          </w:p>
        </w:tc>
        <w:tc>
          <w:tcPr>
            <w:tcW w:w="2500" w:type="dxa"/>
            <w:vAlign w:val="bottom"/>
          </w:tcPr>
          <w:p>
            <w:pPr>
              <w:ind w:left="80"/>
              <w:spacing w:after="0" w:line="132" w:lineRule="exact"/>
              <w:rPr>
                <w:sz w:val="20"/>
                <w:szCs w:val="20"/>
                <w:color w:val="auto"/>
              </w:rPr>
            </w:pPr>
            <w:r>
              <w:rPr>
                <w:rFonts w:ascii="Times New Roman" w:cs="Times New Roman" w:eastAsia="Times New Roman" w:hAnsi="Times New Roman"/>
                <w:sz w:val="11"/>
                <w:szCs w:val="11"/>
                <w:color w:val="auto"/>
              </w:rPr>
              <w:t xml:space="preserve">First-lien loan ($37,447 par, due 10/2029) </w:t>
            </w:r>
            <w:r>
              <w:rPr>
                <w:rFonts w:ascii="Times New Roman" w:cs="Times New Roman" w:eastAsia="Times New Roman" w:hAnsi="Times New Roman"/>
                <w:sz w:val="14"/>
                <w:szCs w:val="14"/>
                <w:color w:val="auto"/>
                <w:vertAlign w:val="superscript"/>
              </w:rPr>
              <w:t>(3)</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2/5/2025</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+ 6.65%</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10.96%</w:t>
            </w: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36,434</w:t>
            </w:r>
          </w:p>
        </w:tc>
        <w:tc>
          <w:tcPr>
            <w:tcW w:w="200" w:type="dxa"/>
            <w:vAlign w:val="bottom"/>
          </w:tcPr>
          <w:p>
            <w:pPr>
              <w:spacing w:after="0"/>
              <w:rPr>
                <w:sz w:val="11"/>
                <w:szCs w:val="11"/>
                <w:color w:val="auto"/>
              </w:rPr>
            </w:pP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36,703</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r>
      <w:tr>
        <w:trPr>
          <w:trHeight w:val="132"/>
        </w:trPr>
        <w:tc>
          <w:tcPr>
            <w:tcW w:w="1800" w:type="dxa"/>
            <w:vAlign w:val="bottom"/>
            <w:shd w:val="clear" w:color="auto" w:fill="CFF0FC"/>
          </w:tcPr>
          <w:p>
            <w:pPr>
              <w:spacing w:after="0"/>
              <w:rPr>
                <w:sz w:val="11"/>
                <w:szCs w:val="11"/>
                <w:color w:val="auto"/>
              </w:rPr>
            </w:pP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($29,710 par, due 10/2029)</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4/28/2025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9.50%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29,003</w:t>
            </w: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29,781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0.7%</w:t>
            </w:r>
          </w:p>
        </w:tc>
      </w:tr>
      <w:tr>
        <w:trPr>
          <w:trHeight w:val="132"/>
        </w:trPr>
        <w:tc>
          <w:tcPr>
            <w:tcW w:w="18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420,060</w:t>
            </w:r>
          </w:p>
        </w:tc>
        <w:tc>
          <w:tcPr>
            <w:tcW w:w="200" w:type="dxa"/>
            <w:vAlign w:val="bottom"/>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450,199</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r>
      <w:tr>
        <w:trPr>
          <w:trHeight w:val="144"/>
        </w:trPr>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Education</w:t>
            </w:r>
          </w:p>
        </w:tc>
        <w:tc>
          <w:tcPr>
            <w:tcW w:w="25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r>
      <w:tr>
        <w:trPr>
          <w:trHeight w:val="132"/>
        </w:trPr>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Kangaroo Bidco AS </w:t>
            </w:r>
            <w:r>
              <w:rPr>
                <w:rFonts w:ascii="Times New Roman" w:cs="Times New Roman" w:eastAsia="Times New Roman" w:hAnsi="Times New Roman"/>
                <w:sz w:val="14"/>
                <w:szCs w:val="14"/>
                <w:color w:val="auto"/>
                <w:vertAlign w:val="superscript"/>
              </w:rPr>
              <w:t>(3)(4)</w:t>
            </w:r>
          </w:p>
        </w:tc>
        <w:tc>
          <w:tcPr>
            <w:tcW w:w="2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($157,500 par, due 11/2030)</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11/2/2023</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+ 6.25%</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10.43%</w:t>
            </w: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153,821</w:t>
            </w:r>
          </w:p>
        </w:tc>
        <w:tc>
          <w:tcPr>
            <w:tcW w:w="200" w:type="dxa"/>
            <w:vAlign w:val="bottom"/>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160,650</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32"/>
        </w:trPr>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Severin Acquisition, LLC </w:t>
            </w:r>
            <w:r>
              <w:rPr>
                <w:rFonts w:ascii="Times New Roman" w:cs="Times New Roman" w:eastAsia="Times New Roman" w:hAnsi="Times New Roman"/>
                <w:sz w:val="14"/>
                <w:szCs w:val="14"/>
                <w:color w:val="auto"/>
                <w:vertAlign w:val="superscript"/>
              </w:rPr>
              <w:t>(3)</w:t>
            </w: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($186,816 par, due 10/2031)</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10/1/2024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10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9.16% (incl. 2.25%</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186,593</w:t>
            </w: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186,215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w:t>
            </w:r>
          </w:p>
        </w:tc>
      </w:tr>
      <w:tr>
        <w:trPr>
          <w:trHeight w:val="132"/>
        </w:trPr>
        <w:tc>
          <w:tcPr>
            <w:tcW w:w="1800" w:type="dxa"/>
            <w:vAlign w:val="bottom"/>
            <w:shd w:val="clear" w:color="auto" w:fill="CFF0FC"/>
          </w:tcPr>
          <w:p>
            <w:pPr>
              <w:spacing w:after="0"/>
              <w:rPr>
                <w:sz w:val="11"/>
                <w:szCs w:val="11"/>
                <w:color w:val="auto"/>
              </w:rPr>
            </w:pPr>
          </w:p>
        </w:tc>
        <w:tc>
          <w:tcPr>
            <w:tcW w:w="25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PIK)</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r>
      <w:tr>
        <w:trPr>
          <w:trHeight w:val="132"/>
        </w:trPr>
        <w:tc>
          <w:tcPr>
            <w:tcW w:w="18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340,414</w:t>
            </w:r>
          </w:p>
        </w:tc>
        <w:tc>
          <w:tcPr>
            <w:tcW w:w="200" w:type="dxa"/>
            <w:vAlign w:val="bottom"/>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346,865</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r>
      <w:tr>
        <w:trPr>
          <w:trHeight w:val="132"/>
        </w:trPr>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Electronics</w:t>
            </w:r>
          </w:p>
        </w:tc>
        <w:tc>
          <w:tcPr>
            <w:tcW w:w="25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r>
      <w:tr>
        <w:trPr>
          <w:trHeight w:val="132"/>
        </w:trPr>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Sapphire Software Buyer, Inc. </w:t>
            </w:r>
            <w:r>
              <w:rPr>
                <w:rFonts w:ascii="Times New Roman" w:cs="Times New Roman" w:eastAsia="Times New Roman" w:hAnsi="Times New Roman"/>
                <w:sz w:val="14"/>
                <w:szCs w:val="14"/>
                <w:color w:val="auto"/>
                <w:vertAlign w:val="superscript"/>
              </w:rPr>
              <w:t>(3)</w:t>
            </w:r>
          </w:p>
        </w:tc>
        <w:tc>
          <w:tcPr>
            <w:tcW w:w="2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($225,253 par, due 9/2031)</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9/30/2024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8.87%</w:t>
            </w: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223,064</w:t>
            </w:r>
          </w:p>
        </w:tc>
        <w:tc>
          <w:tcPr>
            <w:tcW w:w="200" w:type="dxa"/>
            <w:vAlign w:val="bottom"/>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224,622</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r>
      <w:tr>
        <w:trPr>
          <w:trHeight w:val="132"/>
        </w:trPr>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25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r>
      <w:tr>
        <w:trPr>
          <w:trHeight w:val="132"/>
        </w:trPr>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Alaska Bidco Oy </w:t>
            </w:r>
            <w:r>
              <w:rPr>
                <w:rFonts w:ascii="Times New Roman" w:cs="Times New Roman" w:eastAsia="Times New Roman" w:hAnsi="Times New Roman"/>
                <w:sz w:val="14"/>
                <w:szCs w:val="14"/>
                <w:color w:val="auto"/>
                <w:vertAlign w:val="superscript"/>
              </w:rPr>
              <w:t>(3)(4)</w:t>
            </w:r>
          </w:p>
        </w:tc>
        <w:tc>
          <w:tcPr>
            <w:tcW w:w="2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(EUR 727 par, due 5/2030)</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5/30/2023</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+ 5.75%</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7.75%</w:t>
            </w:r>
          </w:p>
        </w:tc>
        <w:tc>
          <w:tcPr>
            <w:tcW w:w="200" w:type="dxa"/>
            <w:vAlign w:val="bottom"/>
          </w:tcPr>
          <w:p>
            <w:pPr>
              <w:spacing w:after="0"/>
              <w:rPr>
                <w:sz w:val="11"/>
                <w:szCs w:val="11"/>
                <w:color w:val="auto"/>
              </w:rPr>
            </w:pPr>
          </w:p>
        </w:tc>
        <w:tc>
          <w:tcPr>
            <w:tcW w:w="8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762</w:t>
            </w:r>
          </w:p>
        </w:tc>
        <w:tc>
          <w:tcPr>
            <w:tcW w:w="200" w:type="dxa"/>
            <w:vAlign w:val="bottom"/>
          </w:tcPr>
          <w:p>
            <w:pPr>
              <w:spacing w:after="0"/>
              <w:rPr>
                <w:sz w:val="11"/>
                <w:szCs w:val="11"/>
                <w:color w:val="auto"/>
              </w:rPr>
            </w:pP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860</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18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(EUR 732)</w:t>
            </w:r>
          </w:p>
        </w:tc>
        <w:tc>
          <w:tcPr>
            <w:tcW w:w="1000" w:type="dxa"/>
            <w:vAlign w:val="bottom"/>
          </w:tcPr>
          <w:p>
            <w:pPr>
              <w:spacing w:after="0"/>
              <w:rPr>
                <w:sz w:val="11"/>
                <w:szCs w:val="11"/>
                <w:color w:val="auto"/>
              </w:rPr>
            </w:pPr>
          </w:p>
        </w:tc>
      </w:tr>
      <w:tr>
        <w:trPr>
          <w:trHeight w:val="132"/>
        </w:trPr>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Arlberg Bidco, LLC </w:t>
            </w:r>
            <w:r>
              <w:rPr>
                <w:rFonts w:ascii="Times New Roman" w:cs="Times New Roman" w:eastAsia="Times New Roman" w:hAnsi="Times New Roman"/>
                <w:sz w:val="14"/>
                <w:szCs w:val="14"/>
                <w:color w:val="auto"/>
                <w:vertAlign w:val="superscript"/>
              </w:rPr>
              <w:t>(3)(4)(5)</w:t>
            </w:r>
          </w:p>
        </w:tc>
        <w:tc>
          <w:tcPr>
            <w:tcW w:w="2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($5,000 par, due 2/2031)</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2/14/2025</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+ 5.75%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9.98%</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4,900</w:t>
            </w:r>
          </w:p>
        </w:tc>
        <w:tc>
          <w:tcPr>
            <w:tcW w:w="2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4,963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96" w:right="68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GreenShoot BidCo B.V. </w:t>
            </w:r>
            <w:r>
              <w:rPr>
                <w:rFonts w:ascii="Times New Roman" w:cs="Times New Roman" w:eastAsia="Times New Roman" w:hAnsi="Times New Roman"/>
                <w:sz w:val="14"/>
                <w:szCs w:val="14"/>
                <w:color w:val="auto"/>
                <w:vertAlign w:val="superscript"/>
              </w:rPr>
              <w:t>(3)(4)</w:t>
            </w:r>
          </w:p>
        </w:tc>
        <w:tc>
          <w:tcPr>
            <w:tcW w:w="25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(EUR 5,107 par, due 5/2030)</w:t>
            </w: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5/28/2024</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+ 5.75%</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7.78%</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5,426</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5,936</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5,052)</w:t>
            </w:r>
          </w:p>
        </w:tc>
        <w:tc>
          <w:tcPr>
            <w:tcW w:w="7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Volante Technologies, Inc.</w:t>
            </w:r>
          </w:p>
        </w:tc>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($3,473 par, due 9/2028)</w:t>
            </w:r>
          </w:p>
        </w:tc>
        <w:tc>
          <w:tcPr>
            <w:tcW w:w="8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9/29/2023</w:t>
            </w:r>
          </w:p>
        </w:tc>
        <w:tc>
          <w:tcPr>
            <w:tcW w:w="10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16.50%</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16.50% PIK</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3,466</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3,603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14,554</w:t>
            </w:r>
          </w:p>
        </w:tc>
        <w:tc>
          <w:tcPr>
            <w:tcW w:w="13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15,362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25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Edge Bidco B.V </w:t>
            </w:r>
            <w:r>
              <w:rPr>
                <w:rFonts w:ascii="Times New Roman" w:cs="Times New Roman" w:eastAsia="Times New Roman" w:hAnsi="Times New Roman"/>
                <w:sz w:val="14"/>
                <w:szCs w:val="14"/>
                <w:color w:val="auto"/>
                <w:vertAlign w:val="superscript"/>
              </w:rPr>
              <w:t>(3)(4)(5)</w:t>
            </w:r>
          </w:p>
        </w:tc>
        <w:tc>
          <w:tcPr>
            <w:tcW w:w="25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(EUR 5,918 par, due 2/2029)</w:t>
            </w: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2/24/2023</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+ 6.50%</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8.50%</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6,218</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7,074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6,021)</w:t>
            </w:r>
          </w:p>
        </w:tc>
        <w:tc>
          <w:tcPr>
            <w:tcW w:w="720" w:type="dxa"/>
            <w:vAlign w:val="bottom"/>
          </w:tcPr>
          <w:p>
            <w:pPr>
              <w:spacing w:after="0"/>
              <w:rPr>
                <w:sz w:val="11"/>
                <w:szCs w:val="11"/>
                <w:color w:val="auto"/>
              </w:rPr>
            </w:pPr>
          </w:p>
        </w:tc>
      </w:tr>
      <w:tr>
        <w:trPr>
          <w:trHeight w:val="196"/>
        </w:trPr>
        <w:tc>
          <w:tcPr>
            <w:tcW w:w="20" w:type="dxa"/>
            <w:vAlign w:val="bottom"/>
          </w:tcPr>
          <w:p>
            <w:pPr>
              <w:spacing w:after="0"/>
              <w:rPr>
                <w:sz w:val="17"/>
                <w:szCs w:val="17"/>
                <w:color w:val="auto"/>
              </w:rPr>
            </w:pPr>
          </w:p>
        </w:tc>
        <w:tc>
          <w:tcPr>
            <w:tcW w:w="1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 xml:space="preserve">Eventus Buyer, LLC </w:t>
            </w:r>
            <w:r>
              <w:rPr>
                <w:rFonts w:ascii="Times New Roman" w:cs="Times New Roman" w:eastAsia="Times New Roman" w:hAnsi="Times New Roman"/>
                <w:sz w:val="14"/>
                <w:szCs w:val="14"/>
                <w:color w:val="auto"/>
                <w:vertAlign w:val="superscript"/>
              </w:rPr>
              <w:t>(3)</w:t>
            </w:r>
          </w:p>
        </w:tc>
        <w:tc>
          <w:tcPr>
            <w:tcW w:w="25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($48,228 par, due 11/2030)</w:t>
            </w:r>
          </w:p>
        </w:tc>
        <w:tc>
          <w:tcPr>
            <w:tcW w:w="820" w:type="dxa"/>
            <w:vAlign w:val="bottom"/>
            <w:tcBorders>
              <w:bottom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11/1/2024</w:t>
            </w:r>
          </w:p>
        </w:tc>
        <w:tc>
          <w:tcPr>
            <w:tcW w:w="1000" w:type="dxa"/>
            <w:vAlign w:val="bottom"/>
            <w:tcBorders>
              <w:bottom w:val="single" w:sz="8" w:color="CFF0FC"/>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+ 5.50%</w:t>
            </w:r>
          </w:p>
        </w:tc>
        <w:tc>
          <w:tcPr>
            <w:tcW w:w="1340" w:type="dxa"/>
            <w:vAlign w:val="bottom"/>
            <w:tcBorders>
              <w:bottom w:val="single" w:sz="8" w:color="CFF0FC"/>
            </w:tcBorders>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9.50%</w:t>
            </w:r>
          </w:p>
        </w:tc>
        <w:tc>
          <w:tcPr>
            <w:tcW w:w="940" w:type="dxa"/>
            <w:vAlign w:val="bottom"/>
            <w:tcBorders>
              <w:bottom w:val="single" w:sz="8" w:color="CFF0FC"/>
            </w:tcBorders>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47,537</w:t>
            </w:r>
          </w:p>
        </w:tc>
        <w:tc>
          <w:tcPr>
            <w:tcW w:w="1340" w:type="dxa"/>
            <w:vAlign w:val="bottom"/>
            <w:tcBorders>
              <w:bottom w:val="single" w:sz="8" w:color="CFF0FC"/>
            </w:tcBorders>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color w:val="auto"/>
              </w:rPr>
              <w:t>47,768</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revolving loan ($3,493 par, due 11/2030)</w:t>
            </w: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11/1/2024</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+ 5.50%</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9.50%</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3,410</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3,444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HMP Omnimedia, LLC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($125,227 par, due 7/2032)</w:t>
            </w:r>
          </w:p>
        </w:tc>
        <w:tc>
          <w:tcPr>
            <w:tcW w:w="8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7/31/2025</w:t>
            </w:r>
          </w:p>
        </w:tc>
        <w:tc>
          <w:tcPr>
            <w:tcW w:w="10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9.41%</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122,437</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123,802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w:t>
            </w: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Ingenovis Health Finance, LLC </w:t>
            </w:r>
            <w:r>
              <w:rPr>
                <w:rFonts w:ascii="Times New Roman" w:cs="Times New Roman" w:eastAsia="Times New Roman" w:hAnsi="Times New Roman"/>
                <w:sz w:val="14"/>
                <w:szCs w:val="14"/>
                <w:color w:val="auto"/>
                <w:vertAlign w:val="superscript"/>
              </w:rPr>
              <w:t>(3)</w:t>
            </w:r>
          </w:p>
        </w:tc>
        <w:tc>
          <w:tcPr>
            <w:tcW w:w="25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revolving loan ($10,000 par, due 5/2030)</w:t>
            </w: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5/13/2025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+ 6.00%</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10.20%</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9,631</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9,800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4"/>
                <w:szCs w:val="14"/>
                <w:color w:val="auto"/>
                <w:vertAlign w:val="superscript"/>
              </w:rPr>
              <w:t>(3)(5)</w:t>
            </w:r>
          </w:p>
        </w:tc>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($113,968 par, due 3/2029)</w:t>
            </w:r>
          </w:p>
        </w:tc>
        <w:tc>
          <w:tcPr>
            <w:tcW w:w="8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3/24/2023</w:t>
            </w:r>
          </w:p>
        </w:tc>
        <w:tc>
          <w:tcPr>
            <w:tcW w:w="10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+ 6.25%</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10.41%</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111,691</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115,150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w:t>
            </w:r>
          </w:p>
        </w:tc>
      </w:tr>
      <w:tr>
        <w:trPr>
          <w:trHeight w:val="144"/>
        </w:trPr>
        <w:tc>
          <w:tcPr>
            <w:tcW w:w="20" w:type="dxa"/>
            <w:vAlign w:val="bottom"/>
          </w:tcPr>
          <w:p>
            <w:pPr>
              <w:spacing w:after="0"/>
              <w:rPr>
                <w:sz w:val="12"/>
                <w:szCs w:val="12"/>
                <w:color w:val="auto"/>
              </w:rPr>
            </w:pPr>
          </w:p>
        </w:tc>
        <w:tc>
          <w:tcPr>
            <w:tcW w:w="18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Symplr Software Inc. </w:t>
            </w:r>
            <w:r>
              <w:rPr>
                <w:rFonts w:ascii="Times New Roman" w:cs="Times New Roman" w:eastAsia="Times New Roman" w:hAnsi="Times New Roman"/>
                <w:sz w:val="16"/>
                <w:szCs w:val="16"/>
                <w:color w:val="auto"/>
                <w:vertAlign w:val="superscript"/>
              </w:rPr>
              <w:t>(3)(12)</w:t>
            </w:r>
          </w:p>
        </w:tc>
        <w:tc>
          <w:tcPr>
            <w:tcW w:w="25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($1,273 par, due 12/2027)</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4/4/2025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+ 4.60%</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8.91%</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1,087</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1,141</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44"/>
        </w:trPr>
        <w:tc>
          <w:tcPr>
            <w:tcW w:w="20" w:type="dxa"/>
            <w:vAlign w:val="bottom"/>
          </w:tcPr>
          <w:p>
            <w:pPr>
              <w:spacing w:after="0"/>
              <w:rPr>
                <w:sz w:val="12"/>
                <w:szCs w:val="12"/>
                <w:color w:val="auto"/>
              </w:rPr>
            </w:pPr>
          </w:p>
        </w:tc>
        <w:tc>
          <w:tcPr>
            <w:tcW w:w="18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Velocity Clinical Research, Inc. </w:t>
            </w:r>
            <w:r>
              <w:rPr>
                <w:rFonts w:ascii="Times New Roman" w:cs="Times New Roman" w:eastAsia="Times New Roman" w:hAnsi="Times New Roman"/>
                <w:sz w:val="16"/>
                <w:szCs w:val="16"/>
                <w:color w:val="auto"/>
                <w:vertAlign w:val="superscript"/>
              </w:rPr>
              <w:t>(3)</w:t>
            </w:r>
          </w:p>
        </w:tc>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($262,425 par, due 9/2031)</w:t>
            </w:r>
          </w:p>
        </w:tc>
        <w:tc>
          <w:tcPr>
            <w:tcW w:w="8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9/9/2025</w:t>
            </w:r>
          </w:p>
        </w:tc>
        <w:tc>
          <w:tcPr>
            <w:tcW w:w="10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+ 7.50%</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11.50%</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257,231</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256,520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w:t>
            </w:r>
          </w:p>
        </w:tc>
      </w:tr>
      <w:tr>
        <w:trPr>
          <w:trHeight w:val="142"/>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revolving loan ($2,236 par, due 9/2031)</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9/9/2025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+ 7.50%</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11.50%</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1,970</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1,934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561,212</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566,633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13.2%</w:t>
            </w: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Hotel, Gaming, and Leisure</w:t>
            </w:r>
          </w:p>
        </w:tc>
        <w:tc>
          <w:tcPr>
            <w:tcW w:w="2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AVSC Holding Corp.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($247,178 par, due 12/2031)</w:t>
            </w:r>
          </w:p>
        </w:tc>
        <w:tc>
          <w:tcPr>
            <w:tcW w:w="8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12/5/2024</w:t>
            </w:r>
          </w:p>
        </w:tc>
        <w:tc>
          <w:tcPr>
            <w:tcW w:w="10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9.16%</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242,223</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245,124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w:t>
            </w: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Equinox Holdings, Inc.</w:t>
            </w:r>
          </w:p>
        </w:tc>
        <w:tc>
          <w:tcPr>
            <w:tcW w:w="2580" w:type="dxa"/>
            <w:vAlign w:val="bottom"/>
          </w:tcPr>
          <w:p>
            <w:pPr>
              <w:ind w:left="60"/>
              <w:spacing w:after="0" w:line="132" w:lineRule="exact"/>
              <w:rPr>
                <w:sz w:val="20"/>
                <w:szCs w:val="20"/>
                <w:color w:val="auto"/>
              </w:rPr>
            </w:pPr>
            <w:r>
              <w:rPr>
                <w:rFonts w:ascii="Times New Roman" w:cs="Times New Roman" w:eastAsia="Times New Roman" w:hAnsi="Times New Roman"/>
                <w:sz w:val="11"/>
                <w:szCs w:val="11"/>
                <w:color w:val="auto"/>
              </w:rPr>
              <w:t xml:space="preserve">First-lien loan ($204,632 par, due 3/2029) </w:t>
            </w:r>
            <w:r>
              <w:rPr>
                <w:rFonts w:ascii="Times New Roman" w:cs="Times New Roman" w:eastAsia="Times New Roman" w:hAnsi="Times New Roman"/>
                <w:sz w:val="14"/>
                <w:szCs w:val="14"/>
                <w:color w:val="auto"/>
                <w:vertAlign w:val="superscript"/>
              </w:rPr>
              <w:t>(3)</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3/8/2024</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+ 8.25%</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12.25% (incl.</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202,259</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209,748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4.13% PIK)</w:t>
            </w: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Second-lien loan ($10,557 par, due 6/2027)</w:t>
            </w:r>
          </w:p>
        </w:tc>
        <w:tc>
          <w:tcPr>
            <w:tcW w:w="8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3/13/2024</w:t>
            </w:r>
          </w:p>
        </w:tc>
        <w:tc>
          <w:tcPr>
            <w:tcW w:w="10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16.00%</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16.00% PIK</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10,411</w:t>
            </w:r>
          </w:p>
        </w:tc>
        <w:tc>
          <w:tcPr>
            <w:tcW w:w="1340" w:type="dxa"/>
            <w:vAlign w:val="bottom"/>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color w:val="auto"/>
              </w:rPr>
              <w:t>11,085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Sport Alliance GmbH </w:t>
            </w:r>
            <w:r>
              <w:rPr>
                <w:rFonts w:ascii="Times New Roman" w:cs="Times New Roman" w:eastAsia="Times New Roman" w:hAnsi="Times New Roman"/>
                <w:sz w:val="14"/>
                <w:szCs w:val="14"/>
                <w:color w:val="auto"/>
                <w:vertAlign w:val="superscript"/>
              </w:rPr>
              <w:t>(3)(4)</w:t>
            </w:r>
          </w:p>
        </w:tc>
        <w:tc>
          <w:tcPr>
            <w:tcW w:w="25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(EUR 37,013 par, due 4/2030)</w:t>
            </w: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4/10/2024</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+ 7.75%</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9.66% (incl. 4.13%</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41,810</w:t>
            </w:r>
          </w:p>
        </w:tc>
        <w:tc>
          <w:tcPr>
            <w:tcW w:w="13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43,190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PIK)</w:t>
            </w:r>
          </w:p>
        </w:tc>
        <w:tc>
          <w:tcPr>
            <w:tcW w:w="94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36,758)</w:t>
            </w:r>
          </w:p>
        </w:tc>
        <w:tc>
          <w:tcPr>
            <w:tcW w:w="7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revolving loan (EUR 208 par, due 4/2030)</w:t>
            </w:r>
          </w:p>
        </w:tc>
        <w:tc>
          <w:tcPr>
            <w:tcW w:w="8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4/10/2024</w:t>
            </w:r>
          </w:p>
        </w:tc>
        <w:tc>
          <w:tcPr>
            <w:tcW w:w="10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+ 7.25%</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9.25%</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211</w:t>
            </w:r>
          </w:p>
        </w:tc>
        <w:tc>
          <w:tcPr>
            <w:tcW w:w="1340" w:type="dxa"/>
            <w:vAlign w:val="bottom"/>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color w:val="auto"/>
              </w:rPr>
              <w:t>256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218)</w:t>
            </w:r>
          </w:p>
        </w:tc>
        <w:tc>
          <w:tcPr>
            <w:tcW w:w="720" w:type="dxa"/>
            <w:vAlign w:val="bottom"/>
            <w:shd w:val="clear" w:color="auto" w:fill="CFF0FC"/>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496,914</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509,403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w:t>
            </w: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Human Resource Support Services</w:t>
            </w:r>
          </w:p>
        </w:tc>
        <w:tc>
          <w:tcPr>
            <w:tcW w:w="25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bswift, LLC </w:t>
            </w:r>
            <w:r>
              <w:rPr>
                <w:rFonts w:ascii="Times New Roman" w:cs="Times New Roman" w:eastAsia="Times New Roman" w:hAnsi="Times New Roman"/>
                <w:sz w:val="14"/>
                <w:szCs w:val="14"/>
                <w:color w:val="auto"/>
                <w:vertAlign w:val="superscript"/>
              </w:rPr>
              <w:t>(3)(5)</w:t>
            </w:r>
          </w:p>
        </w:tc>
        <w:tc>
          <w:tcPr>
            <w:tcW w:w="25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($172,507 par, due 11/2028)</w:t>
            </w: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11/7/2022</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+ 4.75%</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9.07%</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169,766</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172,938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HireVue, Inc.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($108,947 par, due 5/2029)</w:t>
            </w:r>
          </w:p>
        </w:tc>
        <w:tc>
          <w:tcPr>
            <w:tcW w:w="8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5/3/2023</w:t>
            </w:r>
          </w:p>
        </w:tc>
        <w:tc>
          <w:tcPr>
            <w:tcW w:w="10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+ 6.75%</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11.06%</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107,048</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110,036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revolving loan ($10,585 par, due 5/2029)</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5/3/2023</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+ 6.75%</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10.99%</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10,339</w:t>
            </w:r>
          </w:p>
        </w:tc>
        <w:tc>
          <w:tcPr>
            <w:tcW w:w="13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10,726</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MadCap Software, Inc. </w:t>
            </w:r>
            <w:r>
              <w:rPr>
                <w:rFonts w:ascii="Times New Roman" w:cs="Times New Roman" w:eastAsia="Times New Roman" w:hAnsi="Times New Roman"/>
                <w:sz w:val="14"/>
                <w:szCs w:val="14"/>
                <w:color w:val="auto"/>
                <w:vertAlign w:val="superscript"/>
              </w:rPr>
              <w:t>(3)(5)</w:t>
            </w:r>
          </w:p>
        </w:tc>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($2,456 par, due 12/2026)</w:t>
            </w:r>
          </w:p>
        </w:tc>
        <w:tc>
          <w:tcPr>
            <w:tcW w:w="8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12/15/2023</w:t>
            </w:r>
          </w:p>
        </w:tc>
        <w:tc>
          <w:tcPr>
            <w:tcW w:w="10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+ 6.10%</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10.10%</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2,431</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2,463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289,584</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296,163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25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Arrow Buyer, Inc. </w:t>
            </w:r>
            <w:r>
              <w:rPr>
                <w:rFonts w:ascii="Times New Roman" w:cs="Times New Roman" w:eastAsia="Times New Roman" w:hAnsi="Times New Roman"/>
                <w:sz w:val="14"/>
                <w:szCs w:val="14"/>
                <w:color w:val="auto"/>
                <w:vertAlign w:val="superscript"/>
              </w:rPr>
              <w:t>(3)</w:t>
            </w:r>
          </w:p>
        </w:tc>
        <w:tc>
          <w:tcPr>
            <w:tcW w:w="25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($135,189 par, due 7/2030)</w:t>
            </w: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6/30/2023</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9.00%</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132,632</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135,527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Big Wombat Holdings, Inc.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($8,727 par, due 4/2031)</w:t>
            </w:r>
          </w:p>
        </w:tc>
        <w:tc>
          <w:tcPr>
            <w:tcW w:w="8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4/16/2025</w:t>
            </w:r>
          </w:p>
        </w:tc>
        <w:tc>
          <w:tcPr>
            <w:tcW w:w="10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+ 7.00%</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11.00%</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8,549</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8,609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Coupa Holdings, LLC </w:t>
            </w:r>
            <w:r>
              <w:rPr>
                <w:rFonts w:ascii="Times New Roman" w:cs="Times New Roman" w:eastAsia="Times New Roman" w:hAnsi="Times New Roman"/>
                <w:sz w:val="14"/>
                <w:szCs w:val="14"/>
                <w:color w:val="auto"/>
                <w:vertAlign w:val="superscript"/>
              </w:rPr>
              <w:t>(3)</w:t>
            </w:r>
          </w:p>
        </w:tc>
        <w:tc>
          <w:tcPr>
            <w:tcW w:w="25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($127,953 par, due 2/2030)</w:t>
            </w: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2/27/2023</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9.56%</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125,722</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129,808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EDB Parent, LLC </w:t>
            </w:r>
            <w:r>
              <w:rPr>
                <w:rFonts w:ascii="Times New Roman" w:cs="Times New Roman" w:eastAsia="Times New Roman" w:hAnsi="Times New Roman"/>
                <w:sz w:val="14"/>
                <w:szCs w:val="14"/>
                <w:color w:val="auto"/>
                <w:vertAlign w:val="superscript"/>
              </w:rPr>
              <w:t>(3)(5)</w:t>
            </w:r>
          </w:p>
        </w:tc>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($17,437 par, due 7/2028)</w:t>
            </w:r>
          </w:p>
        </w:tc>
        <w:tc>
          <w:tcPr>
            <w:tcW w:w="8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8/6/2025</w:t>
            </w:r>
          </w:p>
        </w:tc>
        <w:tc>
          <w:tcPr>
            <w:tcW w:w="10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+ 7.00%</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11.25%</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17,239</w:t>
            </w:r>
          </w:p>
        </w:tc>
        <w:tc>
          <w:tcPr>
            <w:tcW w:w="1340" w:type="dxa"/>
            <w:vAlign w:val="bottom"/>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color w:val="auto"/>
              </w:rPr>
              <w:t>17,437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Flight Intermediate HoldCo, Inc.</w:t>
            </w:r>
          </w:p>
        </w:tc>
        <w:tc>
          <w:tcPr>
            <w:tcW w:w="25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($46,500 par, due 4/2030)</w:t>
            </w: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10/3/2024</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11.50%</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11.50%</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45,309</w:t>
            </w:r>
          </w:p>
        </w:tc>
        <w:tc>
          <w:tcPr>
            <w:tcW w:w="13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46,384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Hippo XPA Bidco AB </w:t>
            </w:r>
            <w:r>
              <w:rPr>
                <w:rFonts w:ascii="Times New Roman" w:cs="Times New Roman" w:eastAsia="Times New Roman" w:hAnsi="Times New Roman"/>
                <w:sz w:val="14"/>
                <w:szCs w:val="14"/>
                <w:color w:val="auto"/>
                <w:vertAlign w:val="superscript"/>
              </w:rPr>
              <w:t>(3)(4)</w:t>
            </w:r>
          </w:p>
        </w:tc>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(SEK 211,306 par, due 2/2031)</w:t>
            </w:r>
          </w:p>
        </w:tc>
        <w:tc>
          <w:tcPr>
            <w:tcW w:w="8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2/20/2024</w:t>
            </w:r>
          </w:p>
        </w:tc>
        <w:tc>
          <w:tcPr>
            <w:tcW w:w="10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STIBOR + 6.50%</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8.58% (incl. 3.50%</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20,961</w:t>
            </w:r>
          </w:p>
        </w:tc>
        <w:tc>
          <w:tcPr>
            <w:tcW w:w="1340" w:type="dxa"/>
            <w:vAlign w:val="bottom"/>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color w:val="auto"/>
              </w:rPr>
              <w:t>22,788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PIK)</w:t>
            </w: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(SEK 214,325)</w:t>
            </w:r>
          </w:p>
        </w:tc>
        <w:tc>
          <w:tcPr>
            <w:tcW w:w="720" w:type="dxa"/>
            <w:vAlign w:val="bottom"/>
            <w:shd w:val="clear" w:color="auto" w:fill="CFF0FC"/>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(EUR 2,537 par, due 2/2031)</w:t>
            </w: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2/20/2024</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+ 6.50%</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8.56% (incl. 3.50%</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2,715</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3,011</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PIK)</w:t>
            </w:r>
          </w:p>
        </w:tc>
        <w:tc>
          <w:tcPr>
            <w:tcW w:w="94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2,562)</w:t>
            </w:r>
          </w:p>
        </w:tc>
        <w:tc>
          <w:tcPr>
            <w:tcW w:w="7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Kryptona BidCo US, LLC </w:t>
            </w:r>
            <w:r>
              <w:rPr>
                <w:rFonts w:ascii="Times New Roman" w:cs="Times New Roman" w:eastAsia="Times New Roman" w:hAnsi="Times New Roman"/>
                <w:sz w:val="14"/>
                <w:szCs w:val="14"/>
                <w:color w:val="auto"/>
                <w:vertAlign w:val="superscript"/>
              </w:rPr>
              <w:t>(3)</w:t>
            </w:r>
          </w:p>
        </w:tc>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($138,449 par, due 12/2031)</w:t>
            </w:r>
          </w:p>
        </w:tc>
        <w:tc>
          <w:tcPr>
            <w:tcW w:w="8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12/18/2024</w:t>
            </w:r>
          </w:p>
        </w:tc>
        <w:tc>
          <w:tcPr>
            <w:tcW w:w="10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+ 6.00%</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10.03% (incl.</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135,746</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139,598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w:t>
            </w: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3.25% PIK)</w:t>
            </w: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(EUR 32,040 par, due 12/2031)</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12/18/2024</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+ 6.00%</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8.02% (incl. 3.25%</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33,039</w:t>
            </w:r>
          </w:p>
        </w:tc>
        <w:tc>
          <w:tcPr>
            <w:tcW w:w="13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37,930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PIK)</w:t>
            </w:r>
          </w:p>
        </w:tc>
        <w:tc>
          <w:tcPr>
            <w:tcW w:w="94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32,281)</w:t>
            </w:r>
          </w:p>
        </w:tc>
        <w:tc>
          <w:tcPr>
            <w:tcW w:w="720" w:type="dxa"/>
            <w:vAlign w:val="bottom"/>
          </w:tcPr>
          <w:p>
            <w:pPr>
              <w:spacing w:after="0"/>
              <w:rPr>
                <w:sz w:val="11"/>
                <w:szCs w:val="11"/>
                <w:color w:val="auto"/>
              </w:rPr>
            </w:pPr>
          </w:p>
        </w:tc>
      </w:tr>
      <w:tr>
        <w:trPr>
          <w:trHeight w:val="108"/>
        </w:trPr>
        <w:tc>
          <w:tcPr>
            <w:tcW w:w="20" w:type="dxa"/>
            <w:vAlign w:val="bottom"/>
          </w:tcPr>
          <w:p>
            <w:pPr>
              <w:spacing w:after="0"/>
              <w:rPr>
                <w:sz w:val="9"/>
                <w:szCs w:val="9"/>
                <w:color w:val="auto"/>
              </w:rPr>
            </w:pPr>
          </w:p>
        </w:tc>
        <w:tc>
          <w:tcPr>
            <w:tcW w:w="18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Merit Software Finance Holdings, LLC</w:t>
            </w:r>
          </w:p>
        </w:tc>
        <w:tc>
          <w:tcPr>
            <w:tcW w:w="258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1"/>
                <w:szCs w:val="11"/>
                <w:color w:val="auto"/>
              </w:rPr>
              <w:t>First-lien loan ($17,929 par, due 6/2029)</w:t>
            </w:r>
          </w:p>
        </w:tc>
        <w:tc>
          <w:tcPr>
            <w:tcW w:w="820" w:type="dxa"/>
            <w:vAlign w:val="bottom"/>
            <w:shd w:val="clear" w:color="auto" w:fill="CFF0FC"/>
          </w:tcPr>
          <w:p>
            <w:pPr>
              <w:jc w:val="right"/>
              <w:ind w:right="26"/>
              <w:spacing w:after="0" w:line="108" w:lineRule="exact"/>
              <w:rPr>
                <w:sz w:val="20"/>
                <w:szCs w:val="20"/>
                <w:color w:val="auto"/>
              </w:rPr>
            </w:pPr>
            <w:r>
              <w:rPr>
                <w:rFonts w:ascii="Times New Roman" w:cs="Times New Roman" w:eastAsia="Times New Roman" w:hAnsi="Times New Roman"/>
                <w:sz w:val="11"/>
                <w:szCs w:val="11"/>
                <w:color w:val="auto"/>
              </w:rPr>
              <w:t>6/20/2024</w:t>
            </w:r>
          </w:p>
        </w:tc>
        <w:tc>
          <w:tcPr>
            <w:tcW w:w="1000" w:type="dxa"/>
            <w:vAlign w:val="bottom"/>
            <w:shd w:val="clear" w:color="auto" w:fill="CFF0FC"/>
          </w:tcPr>
          <w:p>
            <w:pPr>
              <w:jc w:val="right"/>
              <w:ind w:right="86"/>
              <w:spacing w:after="0" w:line="108" w:lineRule="exact"/>
              <w:rPr>
                <w:sz w:val="20"/>
                <w:szCs w:val="20"/>
                <w:color w:val="auto"/>
              </w:rPr>
            </w:pPr>
            <w:r>
              <w:rPr>
                <w:rFonts w:ascii="Times New Roman" w:cs="Times New Roman" w:eastAsia="Times New Roman" w:hAnsi="Times New Roman"/>
                <w:sz w:val="11"/>
                <w:szCs w:val="11"/>
                <w:color w:val="auto"/>
              </w:rPr>
              <w:t>SOFR + 7.50%</w:t>
            </w:r>
          </w:p>
        </w:tc>
        <w:tc>
          <w:tcPr>
            <w:tcW w:w="1340" w:type="dxa"/>
            <w:vAlign w:val="bottom"/>
            <w:shd w:val="clear" w:color="auto" w:fill="CFF0FC"/>
          </w:tcPr>
          <w:p>
            <w:pPr>
              <w:jc w:val="right"/>
              <w:ind w:right="286"/>
              <w:spacing w:after="0" w:line="108" w:lineRule="exact"/>
              <w:rPr>
                <w:sz w:val="20"/>
                <w:szCs w:val="20"/>
                <w:color w:val="auto"/>
              </w:rPr>
            </w:pPr>
            <w:r>
              <w:rPr>
                <w:rFonts w:ascii="Times New Roman" w:cs="Times New Roman" w:eastAsia="Times New Roman" w:hAnsi="Times New Roman"/>
                <w:sz w:val="11"/>
                <w:szCs w:val="11"/>
                <w:color w:val="auto"/>
              </w:rPr>
              <w:t>11.69%</w:t>
            </w:r>
          </w:p>
        </w:tc>
        <w:tc>
          <w:tcPr>
            <w:tcW w:w="940" w:type="dxa"/>
            <w:vAlign w:val="bottom"/>
            <w:shd w:val="clear" w:color="auto" w:fill="CFF0FC"/>
          </w:tcPr>
          <w:p>
            <w:pPr>
              <w:jc w:val="right"/>
              <w:ind w:right="206"/>
              <w:spacing w:after="0" w:line="108" w:lineRule="exact"/>
              <w:rPr>
                <w:sz w:val="20"/>
                <w:szCs w:val="20"/>
                <w:color w:val="auto"/>
              </w:rPr>
            </w:pPr>
            <w:r>
              <w:rPr>
                <w:rFonts w:ascii="Times New Roman" w:cs="Times New Roman" w:eastAsia="Times New Roman" w:hAnsi="Times New Roman"/>
                <w:sz w:val="11"/>
                <w:szCs w:val="11"/>
                <w:color w:val="auto"/>
              </w:rPr>
              <w:t>17,554</w:t>
            </w:r>
          </w:p>
        </w:tc>
        <w:tc>
          <w:tcPr>
            <w:tcW w:w="1340" w:type="dxa"/>
            <w:vAlign w:val="bottom"/>
            <w:shd w:val="clear" w:color="auto" w:fill="CFF0FC"/>
          </w:tcPr>
          <w:p>
            <w:pPr>
              <w:jc w:val="right"/>
              <w:ind w:right="406"/>
              <w:spacing w:after="0" w:line="108" w:lineRule="exact"/>
              <w:rPr>
                <w:sz w:val="20"/>
                <w:szCs w:val="20"/>
                <w:color w:val="auto"/>
              </w:rPr>
            </w:pPr>
            <w:r>
              <w:rPr>
                <w:rFonts w:ascii="Times New Roman" w:cs="Times New Roman" w:eastAsia="Times New Roman" w:hAnsi="Times New Roman"/>
                <w:sz w:val="11"/>
                <w:szCs w:val="11"/>
                <w:color w:val="auto"/>
              </w:rPr>
              <w:t>17,834</w:t>
            </w:r>
          </w:p>
        </w:tc>
        <w:tc>
          <w:tcPr>
            <w:tcW w:w="7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0.4%</w:t>
            </w:r>
          </w:p>
        </w:tc>
      </w:tr>
      <w:tr>
        <w:trPr>
          <w:trHeight w:val="100"/>
        </w:trPr>
        <w:tc>
          <w:tcPr>
            <w:tcW w:w="20" w:type="dxa"/>
            <w:vAlign w:val="bottom"/>
          </w:tcPr>
          <w:p>
            <w:pPr>
              <w:spacing w:after="0"/>
              <w:rPr>
                <w:sz w:val="8"/>
                <w:szCs w:val="8"/>
                <w:color w:val="auto"/>
              </w:rPr>
            </w:pPr>
          </w:p>
        </w:tc>
        <w:tc>
          <w:tcPr>
            <w:tcW w:w="1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7"/>
                <w:szCs w:val="7"/>
                <w:color w:val="auto"/>
              </w:rPr>
              <w:t>(3)</w:t>
            </w:r>
          </w:p>
        </w:tc>
        <w:tc>
          <w:tcPr>
            <w:tcW w:w="2580" w:type="dxa"/>
            <w:vAlign w:val="bottom"/>
            <w:tcBorders>
              <w:bottom w:val="single" w:sz="8" w:color="CFF0FC"/>
            </w:tcBorders>
            <w:shd w:val="clear" w:color="auto" w:fill="CFF0FC"/>
          </w:tcPr>
          <w:p>
            <w:pPr>
              <w:spacing w:after="0"/>
              <w:rPr>
                <w:sz w:val="8"/>
                <w:szCs w:val="8"/>
                <w:color w:val="auto"/>
              </w:rPr>
            </w:pPr>
          </w:p>
        </w:tc>
        <w:tc>
          <w:tcPr>
            <w:tcW w:w="820" w:type="dxa"/>
            <w:vAlign w:val="bottom"/>
            <w:tcBorders>
              <w:bottom w:val="single" w:sz="8" w:color="CFF0FC"/>
            </w:tcBorders>
            <w:shd w:val="clear" w:color="auto" w:fill="CFF0FC"/>
          </w:tcPr>
          <w:p>
            <w:pPr>
              <w:spacing w:after="0"/>
              <w:rPr>
                <w:sz w:val="8"/>
                <w:szCs w:val="8"/>
                <w:color w:val="auto"/>
              </w:rPr>
            </w:pPr>
          </w:p>
        </w:tc>
        <w:tc>
          <w:tcPr>
            <w:tcW w:w="1000" w:type="dxa"/>
            <w:vAlign w:val="bottom"/>
            <w:tcBorders>
              <w:bottom w:val="single" w:sz="8" w:color="CFF0FC"/>
            </w:tcBorders>
            <w:shd w:val="clear" w:color="auto" w:fill="CFF0FC"/>
          </w:tcPr>
          <w:p>
            <w:pPr>
              <w:spacing w:after="0"/>
              <w:rPr>
                <w:sz w:val="8"/>
                <w:szCs w:val="8"/>
                <w:color w:val="auto"/>
              </w:rPr>
            </w:pPr>
          </w:p>
        </w:tc>
        <w:tc>
          <w:tcPr>
            <w:tcW w:w="1340" w:type="dxa"/>
            <w:vAlign w:val="bottom"/>
            <w:tcBorders>
              <w:bottom w:val="single" w:sz="8" w:color="CFF0FC"/>
            </w:tcBorders>
            <w:shd w:val="clear" w:color="auto" w:fill="CFF0FC"/>
          </w:tcPr>
          <w:p>
            <w:pPr>
              <w:spacing w:after="0"/>
              <w:rPr>
                <w:sz w:val="8"/>
                <w:szCs w:val="8"/>
                <w:color w:val="auto"/>
              </w:rPr>
            </w:pPr>
          </w:p>
        </w:tc>
        <w:tc>
          <w:tcPr>
            <w:tcW w:w="940" w:type="dxa"/>
            <w:vAlign w:val="bottom"/>
            <w:tcBorders>
              <w:bottom w:val="single" w:sz="8" w:color="CFF0FC"/>
            </w:tcBorders>
            <w:shd w:val="clear" w:color="auto" w:fill="CFF0FC"/>
          </w:tcPr>
          <w:p>
            <w:pPr>
              <w:spacing w:after="0"/>
              <w:rPr>
                <w:sz w:val="8"/>
                <w:szCs w:val="8"/>
                <w:color w:val="auto"/>
              </w:rPr>
            </w:pPr>
          </w:p>
        </w:tc>
        <w:tc>
          <w:tcPr>
            <w:tcW w:w="1340" w:type="dxa"/>
            <w:vAlign w:val="bottom"/>
            <w:tcBorders>
              <w:bottom w:val="single" w:sz="8" w:color="CFF0FC"/>
            </w:tcBorders>
            <w:shd w:val="clear" w:color="auto" w:fill="CFF0FC"/>
          </w:tcPr>
          <w:p>
            <w:pPr>
              <w:spacing w:after="0"/>
              <w:rPr>
                <w:sz w:val="8"/>
                <w:szCs w:val="8"/>
                <w:color w:val="auto"/>
              </w:rPr>
            </w:pPr>
          </w:p>
        </w:tc>
        <w:tc>
          <w:tcPr>
            <w:tcW w:w="720" w:type="dxa"/>
            <w:vAlign w:val="bottom"/>
            <w:tcBorders>
              <w:bottom w:val="single" w:sz="8" w:color="CFF0FC"/>
            </w:tcBorders>
            <w:shd w:val="clear" w:color="auto" w:fill="CFF0FC"/>
          </w:tcPr>
          <w:p>
            <w:pPr>
              <w:spacing w:after="0"/>
              <w:rPr>
                <w:sz w:val="8"/>
                <w:szCs w:val="8"/>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Rainfocus, LLC </w:t>
            </w:r>
            <w:r>
              <w:rPr>
                <w:rFonts w:ascii="Times New Roman" w:cs="Times New Roman" w:eastAsia="Times New Roman" w:hAnsi="Times New Roman"/>
                <w:sz w:val="14"/>
                <w:szCs w:val="14"/>
                <w:color w:val="auto"/>
                <w:vertAlign w:val="superscript"/>
              </w:rPr>
              <w:t>(3)(5)</w:t>
            </w:r>
          </w:p>
        </w:tc>
        <w:tc>
          <w:tcPr>
            <w:tcW w:w="25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($10,446 par, due 4/2031)</w:t>
            </w: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4/25/2025</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+ 6.38%</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10.25%</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10,353</w:t>
            </w:r>
          </w:p>
        </w:tc>
        <w:tc>
          <w:tcPr>
            <w:tcW w:w="13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10,420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w w:val="99"/>
              </w:rPr>
              <w:t xml:space="preserve">SMA Technologies Holdings, LLC </w:t>
            </w:r>
            <w:r>
              <w:rPr>
                <w:rFonts w:ascii="Times New Roman" w:cs="Times New Roman" w:eastAsia="Times New Roman" w:hAnsi="Times New Roman"/>
                <w:sz w:val="14"/>
                <w:szCs w:val="14"/>
                <w:color w:val="auto"/>
                <w:w w:val="99"/>
                <w:vertAlign w:val="superscript"/>
              </w:rPr>
              <w:t>(3)(5)</w:t>
            </w:r>
          </w:p>
        </w:tc>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($31,921 par, due 10/2028)</w:t>
            </w:r>
          </w:p>
        </w:tc>
        <w:tc>
          <w:tcPr>
            <w:tcW w:w="8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10/31/2022</w:t>
            </w:r>
          </w:p>
        </w:tc>
        <w:tc>
          <w:tcPr>
            <w:tcW w:w="10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+ 6.50%</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10.70%</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31,383</w:t>
            </w:r>
          </w:p>
        </w:tc>
        <w:tc>
          <w:tcPr>
            <w:tcW w:w="1340" w:type="dxa"/>
            <w:vAlign w:val="bottom"/>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color w:val="auto"/>
              </w:rPr>
              <w:t>32,191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0.7%</w:t>
            </w: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581,202</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601,537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w:t>
            </w: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Manufacturing</w:t>
            </w:r>
          </w:p>
        </w:tc>
        <w:tc>
          <w:tcPr>
            <w:tcW w:w="25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ASP Unifrax Holdings, Inc. </w:t>
            </w:r>
            <w:r>
              <w:rPr>
                <w:rFonts w:ascii="Times New Roman" w:cs="Times New Roman" w:eastAsia="Times New Roman" w:hAnsi="Times New Roman"/>
                <w:sz w:val="14"/>
                <w:szCs w:val="14"/>
                <w:color w:val="auto"/>
                <w:vertAlign w:val="superscript"/>
              </w:rPr>
              <w:t>(12)</w:t>
            </w:r>
          </w:p>
        </w:tc>
        <w:tc>
          <w:tcPr>
            <w:tcW w:w="2580" w:type="dxa"/>
            <w:vAlign w:val="bottom"/>
          </w:tcPr>
          <w:p>
            <w:pPr>
              <w:ind w:left="60"/>
              <w:spacing w:after="0" w:line="132" w:lineRule="exact"/>
              <w:rPr>
                <w:sz w:val="20"/>
                <w:szCs w:val="20"/>
                <w:color w:val="auto"/>
              </w:rPr>
            </w:pPr>
            <w:r>
              <w:rPr>
                <w:rFonts w:ascii="Times New Roman" w:cs="Times New Roman" w:eastAsia="Times New Roman" w:hAnsi="Times New Roman"/>
                <w:sz w:val="11"/>
                <w:szCs w:val="11"/>
                <w:color w:val="auto"/>
              </w:rPr>
              <w:t xml:space="preserve">First-lien loan ($3,575 par, due 9/2029) </w:t>
            </w:r>
            <w:r>
              <w:rPr>
                <w:rFonts w:ascii="Times New Roman" w:cs="Times New Roman" w:eastAsia="Times New Roman" w:hAnsi="Times New Roman"/>
                <w:sz w:val="14"/>
                <w:szCs w:val="14"/>
                <w:color w:val="auto"/>
                <w:vertAlign w:val="superscript"/>
              </w:rPr>
              <w:t>(3)</w:t>
            </w: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9/30/2024</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+ 7.75%</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11.75% (incl.</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3,511</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3,289</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4.75% PIK)</w:t>
            </w: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Second-lien note ($2,018 par, due 9/2029)</w:t>
            </w:r>
          </w:p>
        </w:tc>
        <w:tc>
          <w:tcPr>
            <w:tcW w:w="82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8/31/2023</w:t>
            </w:r>
          </w:p>
        </w:tc>
        <w:tc>
          <w:tcPr>
            <w:tcW w:w="10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7.10%</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7.10% (incl. 1.25%</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1,588</w:t>
            </w:r>
          </w:p>
        </w:tc>
        <w:tc>
          <w:tcPr>
            <w:tcW w:w="1340" w:type="dxa"/>
            <w:vAlign w:val="bottom"/>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color w:val="auto"/>
              </w:rPr>
              <w:t>795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PIK)</w:t>
            </w: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90"/>
        </w:trPr>
        <w:tc>
          <w:tcPr>
            <w:tcW w:w="20" w:type="dxa"/>
            <w:vAlign w:val="bottom"/>
          </w:tcPr>
          <w:p>
            <w:pPr>
              <w:spacing w:after="0"/>
              <w:rPr>
                <w:sz w:val="16"/>
                <w:szCs w:val="16"/>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w w:val="97"/>
              </w:rPr>
              <w:t xml:space="preserve">Heritage Environmental Services, Inc. </w:t>
            </w:r>
            <w:r>
              <w:rPr>
                <w:rFonts w:ascii="Times New Roman" w:cs="Times New Roman" w:eastAsia="Times New Roman" w:hAnsi="Times New Roman"/>
                <w:sz w:val="14"/>
                <w:szCs w:val="14"/>
                <w:color w:val="auto"/>
                <w:w w:val="97"/>
                <w:vertAlign w:val="superscript"/>
              </w:rPr>
              <w:t>(3)</w:t>
            </w:r>
          </w:p>
        </w:tc>
        <w:tc>
          <w:tcPr>
            <w:tcW w:w="25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($130,689 par, due 1/2031)</w:t>
            </w:r>
          </w:p>
        </w:tc>
        <w:tc>
          <w:tcPr>
            <w:tcW w:w="8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1/31/2024</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9.56%</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130,094</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131,815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69" w:right="68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($33,198 par, due 1/2031)</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9/27/2024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9.07%</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32,972</w:t>
            </w:r>
          </w:p>
        </w:tc>
        <w:tc>
          <w:tcPr>
            <w:tcW w:w="1340" w:type="dxa"/>
            <w:vAlign w:val="bottom"/>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color w:val="auto"/>
              </w:rPr>
              <w:t>33,089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Skylark UK DebtCo Limited </w:t>
            </w:r>
            <w:r>
              <w:rPr>
                <w:rFonts w:ascii="Times New Roman" w:cs="Times New Roman" w:eastAsia="Times New Roman" w:hAnsi="Times New Roman"/>
                <w:sz w:val="14"/>
                <w:szCs w:val="14"/>
                <w:color w:val="auto"/>
                <w:vertAlign w:val="superscript"/>
              </w:rPr>
              <w:t>(3)(4)</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($56,651 par, due 9/2030)</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9/7/2023</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+ 5.66%</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9.66%</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55,440</w:t>
            </w:r>
          </w:p>
        </w:tc>
        <w:tc>
          <w:tcPr>
            <w:tcW w:w="13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57,217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(EUR 16,819 par, due 9/2030)</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9/7/2023</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+ 5.66%</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7.66%</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17,628</w:t>
            </w:r>
          </w:p>
        </w:tc>
        <w:tc>
          <w:tcPr>
            <w:tcW w:w="1340" w:type="dxa"/>
            <w:vAlign w:val="bottom"/>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color w:val="auto"/>
              </w:rPr>
              <w:t>19,960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16,987)</w:t>
            </w: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(GBP 76,921 par, due 9/2030)</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9/7/2023</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 + 5.66%</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9.63%</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94,027</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104,590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(GBP 77,690)</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(GBP 54,224 par, due 9/2030)</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2/20/2025</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 + 5.00%</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8.97%</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67,216</w:t>
            </w:r>
          </w:p>
        </w:tc>
        <w:tc>
          <w:tcPr>
            <w:tcW w:w="1340" w:type="dxa"/>
            <w:vAlign w:val="bottom"/>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color w:val="auto"/>
              </w:rPr>
              <w:t>73,850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(GBP 54,856)</w:t>
            </w: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Varinem German BidCo GmbH </w:t>
            </w:r>
            <w:r>
              <w:rPr>
                <w:rFonts w:ascii="Times New Roman" w:cs="Times New Roman" w:eastAsia="Times New Roman" w:hAnsi="Times New Roman"/>
                <w:sz w:val="14"/>
                <w:szCs w:val="14"/>
                <w:color w:val="auto"/>
                <w:vertAlign w:val="superscript"/>
              </w:rPr>
              <w:t>(3)(4)</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(EUR 12,696 par, due 7/2031)</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7/11/2024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+ 5.50%</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7.57%</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13,695</w:t>
            </w:r>
          </w:p>
        </w:tc>
        <w:tc>
          <w:tcPr>
            <w:tcW w:w="13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15,104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12,855)</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(EUR 4,392 par, due 7/2031)</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7/11/2024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+ 4.75%</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6.82%</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4,680</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5,136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4,371)</w:t>
            </w: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420,851</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444,845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Oil, Gas and Consumable Fuels</w:t>
            </w:r>
          </w:p>
        </w:tc>
        <w:tc>
          <w:tcPr>
            <w:tcW w:w="25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Laramie Energy, LLC </w:t>
            </w:r>
            <w:r>
              <w:rPr>
                <w:rFonts w:ascii="Times New Roman" w:cs="Times New Roman" w:eastAsia="Times New Roman" w:hAnsi="Times New Roman"/>
                <w:sz w:val="14"/>
                <w:szCs w:val="14"/>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($97,561 par, due 2/2027)</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2/21/2023</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+ 7.10%</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11.26%</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96,884</w:t>
            </w:r>
          </w:p>
        </w:tc>
        <w:tc>
          <w:tcPr>
            <w:tcW w:w="13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98,293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Boréal Bidco </w:t>
            </w:r>
            <w:r>
              <w:rPr>
                <w:rFonts w:ascii="Times New Roman" w:cs="Times New Roman" w:eastAsia="Times New Roman" w:hAnsi="Times New Roman"/>
                <w:sz w:val="14"/>
                <w:szCs w:val="14"/>
                <w:color w:val="auto"/>
                <w:vertAlign w:val="superscript"/>
              </w:rPr>
              <w:t>(3)(4)</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note (EUR 128,919 par, due 3/2032)</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3/24/2025</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+ 7.25%</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9.25% (incl. 5.75%</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136,682</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150,344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PIK)</w:t>
            </w: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127,952)</w:t>
            </w: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Cast &amp; Crew, LLC </w:t>
            </w:r>
            <w:r>
              <w:rPr>
                <w:rFonts w:ascii="Times New Roman" w:cs="Times New Roman" w:eastAsia="Times New Roman" w:hAnsi="Times New Roman"/>
                <w:sz w:val="14"/>
                <w:szCs w:val="14"/>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(CAD 142,374 par, due 1/2029)</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2/27/2025</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C + 5.50%</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8.04%</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96,137</w:t>
            </w:r>
          </w:p>
        </w:tc>
        <w:tc>
          <w:tcPr>
            <w:tcW w:w="13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92,348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(CAD 128,493)</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Scorpio Bidco </w:t>
            </w:r>
            <w:r>
              <w:rPr>
                <w:rFonts w:ascii="Times New Roman" w:cs="Times New Roman" w:eastAsia="Times New Roman" w:hAnsi="Times New Roman"/>
                <w:sz w:val="14"/>
                <w:szCs w:val="14"/>
                <w:color w:val="auto"/>
                <w:vertAlign w:val="superscript"/>
              </w:rPr>
              <w:t>(3)(4)</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(EUR 75,326 par, due 4/2031)</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4/4/2024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+ 5.75%</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7.75%</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80,377</w:t>
            </w:r>
          </w:p>
        </w:tc>
        <w:tc>
          <w:tcPr>
            <w:tcW w:w="1340" w:type="dxa"/>
            <w:vAlign w:val="bottom"/>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color w:val="auto"/>
              </w:rPr>
              <w:t>89,037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75,776)</w:t>
            </w: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Sky Bidco S.p.A. </w:t>
            </w:r>
            <w:r>
              <w:rPr>
                <w:rFonts w:ascii="Times New Roman" w:cs="Times New Roman" w:eastAsia="Times New Roman" w:hAnsi="Times New Roman"/>
                <w:sz w:val="14"/>
                <w:szCs w:val="14"/>
                <w:color w:val="auto"/>
                <w:vertAlign w:val="superscript"/>
              </w:rPr>
              <w:t>(3)(4)</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note (EUR 52,053 par, due 10/2031)</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10/29/2024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+ 5.00%</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7.00%</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54,827</w:t>
            </w:r>
          </w:p>
        </w:tc>
        <w:tc>
          <w:tcPr>
            <w:tcW w:w="13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62,110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52,860)</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note ($115,131 par, due 10/2031)</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10/29/2024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9.00%</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113,178</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116,282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481,201</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510,121</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Pharmaceuticals</w:t>
            </w:r>
          </w:p>
        </w:tc>
        <w:tc>
          <w:tcPr>
            <w:tcW w:w="25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Apellis Pharmaceuticals, Inc. </w:t>
            </w:r>
            <w:r>
              <w:rPr>
                <w:rFonts w:ascii="Times New Roman" w:cs="Times New Roman" w:eastAsia="Times New Roman" w:hAnsi="Times New Roman"/>
                <w:sz w:val="14"/>
                <w:szCs w:val="14"/>
                <w:color w:val="auto"/>
                <w:vertAlign w:val="superscript"/>
              </w:rPr>
              <w:t>(3)(4)</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($157,895 par, due 5/2030)</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5/13/2024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+ 5.75%</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9.75%</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157,895</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158,684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Arrowhead Pharmaceuticals, Inc. </w:t>
            </w:r>
            <w:r>
              <w:rPr>
                <w:rFonts w:ascii="Times New Roman" w:cs="Times New Roman" w:eastAsia="Times New Roman" w:hAnsi="Times New Roman"/>
                <w:sz w:val="14"/>
                <w:szCs w:val="14"/>
                <w:color w:val="auto"/>
                <w:vertAlign w:val="superscript"/>
              </w:rPr>
              <w:t>(4)</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($120,314 par, due 8/2031)</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8/7/2024</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15.00%</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15.00%</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119,416</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141,970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Elysium BidCo Limited </w:t>
            </w:r>
            <w:r>
              <w:rPr>
                <w:rFonts w:ascii="Times New Roman" w:cs="Times New Roman" w:eastAsia="Times New Roman" w:hAnsi="Times New Roman"/>
                <w:sz w:val="14"/>
                <w:szCs w:val="14"/>
                <w:color w:val="auto"/>
                <w:vertAlign w:val="superscript"/>
              </w:rPr>
              <w:t>(3)(4)</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(EUR 139,148 par, due 12/2030)</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12/11/2024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+ 7.25%</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9.25%</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142,727</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162,272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138,104)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(GBP 77,006 par, due 12/2030)</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12/11/2024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 + 7.25%</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11.22%</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95,921</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103,151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(GBP 76,621)</w:t>
            </w: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515,959</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566,077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Real Estate</w:t>
            </w:r>
          </w:p>
        </w:tc>
        <w:tc>
          <w:tcPr>
            <w:tcW w:w="25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Cirrus (BidCo) Limited </w:t>
            </w:r>
            <w:r>
              <w:rPr>
                <w:rFonts w:ascii="Times New Roman" w:cs="Times New Roman" w:eastAsia="Times New Roman" w:hAnsi="Times New Roman"/>
                <w:sz w:val="14"/>
                <w:szCs w:val="14"/>
                <w:color w:val="auto"/>
                <w:vertAlign w:val="superscript"/>
              </w:rPr>
              <w:t>(3)(4)(5)</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(GBP 698 par, due 8/2030)</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8/9/2024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 + 5.75%</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9.72% (incl. 2.50%</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870</w:t>
            </w:r>
          </w:p>
        </w:tc>
        <w:tc>
          <w:tcPr>
            <w:tcW w:w="13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943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PIK)</w:t>
            </w:r>
          </w:p>
        </w:tc>
        <w:tc>
          <w:tcPr>
            <w:tcW w:w="94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(GBP 701)</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Retail and Consumer Products</w:t>
            </w:r>
          </w:p>
        </w:tc>
        <w:tc>
          <w:tcPr>
            <w:tcW w:w="25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5"/>
                <w:szCs w:val="15"/>
                <w:color w:val="auto"/>
                <w:vertAlign w:val="subscript"/>
              </w:rPr>
              <w:t>Acosta</w:t>
            </w:r>
            <w:r>
              <w:rPr>
                <w:rFonts w:ascii="Times New Roman" w:cs="Times New Roman" w:eastAsia="Times New Roman" w:hAnsi="Times New Roman"/>
                <w:sz w:val="6"/>
                <w:szCs w:val="6"/>
                <w:color w:val="auto"/>
              </w:rPr>
              <w:t xml:space="preserve"> (3)(12)</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($194,950 par, due 8/2031)</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8/20/2024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+ 5.60%</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9.60%</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191,326</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193,488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Bed Bath and Beyond Inc. </w:t>
            </w:r>
            <w:r>
              <w:rPr>
                <w:rFonts w:ascii="Times New Roman" w:cs="Times New Roman" w:eastAsia="Times New Roman" w:hAnsi="Times New Roman"/>
                <w:sz w:val="14"/>
                <w:szCs w:val="14"/>
                <w:color w:val="auto"/>
                <w:vertAlign w:val="superscript"/>
              </w:rPr>
              <w:t>(3)(11)</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ABL FILO term loan ($10,746 par, due 8/2027)</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9/2/2022</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+ 9.90%</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14.06%</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10,629</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8,973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Roll Up DIP term loan ($44,549 par)</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4/24/2023</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+ 7.90%</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12.06% PIK</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44,549</w:t>
            </w:r>
          </w:p>
        </w:tc>
        <w:tc>
          <w:tcPr>
            <w:tcW w:w="13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37,198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Super-Priority DIP term loan ($6,500 par)</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4/24/2023</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+ 7.90%</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12.06%</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6,500</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5,427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Belk, Inc. </w:t>
            </w:r>
            <w:r>
              <w:rPr>
                <w:rFonts w:ascii="Times New Roman" w:cs="Times New Roman" w:eastAsia="Times New Roman" w:hAnsi="Times New Roman"/>
                <w:sz w:val="14"/>
                <w:szCs w:val="14"/>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($185,250 par, due 7/2029)</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7/22/2024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+ 7.00%</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11.20%</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182,707</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185,713</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Blazing Star Parent, LLC </w:t>
            </w:r>
            <w:r>
              <w:rPr>
                <w:rFonts w:ascii="Times New Roman" w:cs="Times New Roman" w:eastAsia="Times New Roman" w:hAnsi="Times New Roman"/>
                <w:sz w:val="14"/>
                <w:szCs w:val="14"/>
                <w:color w:val="auto"/>
                <w:vertAlign w:val="superscript"/>
              </w:rPr>
              <w:t>(3)</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($200,000 par, due 8/2030)</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8/28/2025</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+ 7.00%</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11.20%</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197,042</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197,500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Cordance Operations, LLC </w:t>
            </w:r>
            <w:r>
              <w:rPr>
                <w:rFonts w:ascii="Times New Roman" w:cs="Times New Roman" w:eastAsia="Times New Roman" w:hAnsi="Times New Roman"/>
                <w:sz w:val="14"/>
                <w:szCs w:val="14"/>
                <w:color w:val="auto"/>
                <w:vertAlign w:val="superscript"/>
              </w:rPr>
              <w:t>(3)</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 par, due 6/2027)</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6/12/2025</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+ 8.65%</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(407)</w:t>
            </w:r>
          </w:p>
        </w:tc>
        <w:tc>
          <w:tcPr>
            <w:tcW w:w="13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225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PDI TA Holdings, Inc. </w:t>
            </w:r>
            <w:r>
              <w:rPr>
                <w:rFonts w:ascii="Times New Roman" w:cs="Times New Roman" w:eastAsia="Times New Roman" w:hAnsi="Times New Roman"/>
                <w:sz w:val="14"/>
                <w:szCs w:val="14"/>
                <w:color w:val="auto"/>
                <w:vertAlign w:val="superscript"/>
              </w:rPr>
              <w:t>(3)</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($164,098 par, due 2/2031)</w:t>
            </w:r>
          </w:p>
        </w:tc>
        <w:tc>
          <w:tcPr>
            <w:tcW w:w="94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+ 5.50%</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9.81%</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162,177</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164,508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revolving loan ($5,294 par, due 2/2031)</w:t>
            </w: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+ 5.50%</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9.81%</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5,143</w:t>
            </w: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5,327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80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1"/>
                <w:szCs w:val="11"/>
                <w:color w:val="auto"/>
              </w:rPr>
              <w:t>Rapid Data GmbH</w:t>
            </w:r>
          </w:p>
        </w:tc>
        <w:tc>
          <w:tcPr>
            <w:tcW w:w="2520" w:type="dxa"/>
            <w:vAlign w:val="bottom"/>
            <w:shd w:val="clear" w:color="auto" w:fill="CFF0FC"/>
          </w:tcPr>
          <w:p>
            <w:pPr>
              <w:ind w:left="60"/>
              <w:spacing w:after="0" w:line="120" w:lineRule="exact"/>
              <w:rPr>
                <w:sz w:val="20"/>
                <w:szCs w:val="20"/>
                <w:color w:val="auto"/>
              </w:rPr>
            </w:pPr>
            <w:r>
              <w:rPr>
                <w:rFonts w:ascii="Times New Roman" w:cs="Times New Roman" w:eastAsia="Times New Roman" w:hAnsi="Times New Roman"/>
                <w:sz w:val="11"/>
                <w:szCs w:val="11"/>
                <w:color w:val="auto"/>
              </w:rPr>
              <w:t>First-lien loan (EUR 7,546 par, due 7/2029)</w:t>
            </w:r>
          </w:p>
        </w:tc>
        <w:tc>
          <w:tcPr>
            <w:tcW w:w="940" w:type="dxa"/>
            <w:vAlign w:val="bottom"/>
            <w:shd w:val="clear" w:color="auto" w:fill="CFF0FC"/>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7/11/2023</w:t>
            </w:r>
          </w:p>
        </w:tc>
        <w:tc>
          <w:tcPr>
            <w:tcW w:w="940" w:type="dxa"/>
            <w:vAlign w:val="bottom"/>
            <w:shd w:val="clear" w:color="auto" w:fill="CFF0FC"/>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E + 6.50%</w:t>
            </w:r>
          </w:p>
        </w:tc>
        <w:tc>
          <w:tcPr>
            <w:tcW w:w="1340" w:type="dxa"/>
            <w:vAlign w:val="bottom"/>
            <w:shd w:val="clear" w:color="auto" w:fill="CFF0FC"/>
          </w:tcPr>
          <w:p>
            <w:pPr>
              <w:jc w:val="right"/>
              <w:ind w:right="286"/>
              <w:spacing w:after="0" w:line="120" w:lineRule="exact"/>
              <w:rPr>
                <w:sz w:val="20"/>
                <w:szCs w:val="20"/>
                <w:color w:val="auto"/>
              </w:rPr>
            </w:pPr>
            <w:r>
              <w:rPr>
                <w:rFonts w:ascii="Times New Roman" w:cs="Times New Roman" w:eastAsia="Times New Roman" w:hAnsi="Times New Roman"/>
                <w:sz w:val="11"/>
                <w:szCs w:val="11"/>
                <w:color w:val="auto"/>
              </w:rPr>
              <w:t>8.50%</w:t>
            </w:r>
          </w:p>
        </w:tc>
        <w:tc>
          <w:tcPr>
            <w:tcW w:w="940" w:type="dxa"/>
            <w:vAlign w:val="bottom"/>
            <w:shd w:val="clear" w:color="auto" w:fill="CFF0FC"/>
          </w:tcPr>
          <w:p>
            <w:pPr>
              <w:jc w:val="right"/>
              <w:ind w:right="206"/>
              <w:spacing w:after="0" w:line="120" w:lineRule="exact"/>
              <w:rPr>
                <w:sz w:val="20"/>
                <w:szCs w:val="20"/>
                <w:color w:val="auto"/>
              </w:rPr>
            </w:pPr>
            <w:r>
              <w:rPr>
                <w:rFonts w:ascii="Times New Roman" w:cs="Times New Roman" w:eastAsia="Times New Roman" w:hAnsi="Times New Roman"/>
                <w:sz w:val="11"/>
                <w:szCs w:val="11"/>
                <w:color w:val="auto"/>
              </w:rPr>
              <w:t>8,103</w:t>
            </w:r>
          </w:p>
        </w:tc>
        <w:tc>
          <w:tcPr>
            <w:tcW w:w="1340" w:type="dxa"/>
            <w:vAlign w:val="bottom"/>
            <w:shd w:val="clear" w:color="auto" w:fill="CFF0FC"/>
          </w:tcPr>
          <w:p>
            <w:pPr>
              <w:jc w:val="right"/>
              <w:ind w:right="386"/>
              <w:spacing w:after="0" w:line="120" w:lineRule="exact"/>
              <w:rPr>
                <w:sz w:val="20"/>
                <w:szCs w:val="20"/>
                <w:color w:val="auto"/>
              </w:rPr>
            </w:pPr>
            <w:r>
              <w:rPr>
                <w:rFonts w:ascii="Times New Roman" w:cs="Times New Roman" w:eastAsia="Times New Roman" w:hAnsi="Times New Roman"/>
                <w:sz w:val="11"/>
                <w:szCs w:val="11"/>
                <w:color w:val="auto"/>
              </w:rPr>
              <w:t>8,893</w:t>
            </w:r>
          </w:p>
        </w:tc>
        <w:tc>
          <w:tcPr>
            <w:tcW w:w="72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1"/>
                <w:szCs w:val="11"/>
                <w:color w:val="auto"/>
              </w:rPr>
              <w:t xml:space="preserve">Unternehmensberatung </w:t>
            </w:r>
            <w:r>
              <w:rPr>
                <w:rFonts w:ascii="Times New Roman" w:cs="Times New Roman" w:eastAsia="Times New Roman" w:hAnsi="Times New Roman"/>
                <w:sz w:val="14"/>
                <w:szCs w:val="14"/>
                <w:color w:val="auto"/>
                <w:vertAlign w:val="superscript"/>
              </w:rPr>
              <w:t>(3)(4)</w:t>
            </w:r>
          </w:p>
        </w:tc>
        <w:tc>
          <w:tcPr>
            <w:tcW w:w="25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7,568)</w:t>
            </w:r>
          </w:p>
        </w:tc>
        <w:tc>
          <w:tcPr>
            <w:tcW w:w="7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00" w:type="dxa"/>
            <w:vAlign w:val="bottom"/>
          </w:tcPr>
          <w:p>
            <w:pPr>
              <w:spacing w:after="0" w:line="108" w:lineRule="exact"/>
              <w:rPr>
                <w:sz w:val="20"/>
                <w:szCs w:val="20"/>
                <w:color w:val="auto"/>
              </w:rPr>
            </w:pPr>
            <w:r>
              <w:rPr>
                <w:rFonts w:ascii="Times New Roman" w:cs="Times New Roman" w:eastAsia="Times New Roman" w:hAnsi="Times New Roman"/>
                <w:sz w:val="9"/>
                <w:szCs w:val="9"/>
                <w:color w:val="auto"/>
              </w:rPr>
              <w:t xml:space="preserve">Tango Management Consulting, LLC </w:t>
            </w:r>
            <w:r>
              <w:rPr>
                <w:rFonts w:ascii="Times New Roman" w:cs="Times New Roman" w:eastAsia="Times New Roman" w:hAnsi="Times New Roman"/>
                <w:sz w:val="12"/>
                <w:szCs w:val="12"/>
                <w:color w:val="auto"/>
                <w:vertAlign w:val="superscript"/>
              </w:rPr>
              <w:t>(3)</w:t>
            </w:r>
          </w:p>
        </w:tc>
        <w:tc>
          <w:tcPr>
            <w:tcW w:w="2520" w:type="dxa"/>
            <w:vAlign w:val="bottom"/>
          </w:tcPr>
          <w:p>
            <w:pPr>
              <w:ind w:left="60"/>
              <w:spacing w:after="0" w:line="108" w:lineRule="exact"/>
              <w:rPr>
                <w:sz w:val="20"/>
                <w:szCs w:val="20"/>
                <w:color w:val="auto"/>
              </w:rPr>
            </w:pPr>
            <w:r>
              <w:rPr>
                <w:rFonts w:ascii="Times New Roman" w:cs="Times New Roman" w:eastAsia="Times New Roman" w:hAnsi="Times New Roman"/>
                <w:sz w:val="11"/>
                <w:szCs w:val="11"/>
                <w:color w:val="auto"/>
              </w:rPr>
              <w:t>First-lien loan ($12,825 par, due 6/2031)</w:t>
            </w:r>
          </w:p>
        </w:tc>
        <w:tc>
          <w:tcPr>
            <w:tcW w:w="940" w:type="dxa"/>
            <w:vAlign w:val="bottom"/>
          </w:tcPr>
          <w:p>
            <w:pPr>
              <w:jc w:val="right"/>
              <w:ind w:right="86"/>
              <w:spacing w:after="0" w:line="108" w:lineRule="exact"/>
              <w:rPr>
                <w:sz w:val="20"/>
                <w:szCs w:val="20"/>
                <w:color w:val="auto"/>
              </w:rPr>
            </w:pPr>
            <w:r>
              <w:rPr>
                <w:rFonts w:ascii="Times New Roman" w:cs="Times New Roman" w:eastAsia="Times New Roman" w:hAnsi="Times New Roman"/>
                <w:sz w:val="11"/>
                <w:szCs w:val="11"/>
                <w:color w:val="auto"/>
              </w:rPr>
              <w:t>6/25/2025</w:t>
            </w:r>
          </w:p>
        </w:tc>
        <w:tc>
          <w:tcPr>
            <w:tcW w:w="940" w:type="dxa"/>
            <w:vAlign w:val="bottom"/>
          </w:tcPr>
          <w:p>
            <w:pPr>
              <w:jc w:val="right"/>
              <w:ind w:right="86"/>
              <w:spacing w:after="0" w:line="108" w:lineRule="exact"/>
              <w:rPr>
                <w:sz w:val="20"/>
                <w:szCs w:val="20"/>
                <w:color w:val="auto"/>
              </w:rPr>
            </w:pPr>
            <w:r>
              <w:rPr>
                <w:rFonts w:ascii="Times New Roman" w:cs="Times New Roman" w:eastAsia="Times New Roman" w:hAnsi="Times New Roman"/>
                <w:sz w:val="11"/>
                <w:szCs w:val="11"/>
                <w:color w:val="auto"/>
              </w:rPr>
              <w:t>SOFR + 6.50%</w:t>
            </w:r>
          </w:p>
        </w:tc>
        <w:tc>
          <w:tcPr>
            <w:tcW w:w="1340" w:type="dxa"/>
            <w:vAlign w:val="bottom"/>
          </w:tcPr>
          <w:p>
            <w:pPr>
              <w:jc w:val="right"/>
              <w:ind w:right="286"/>
              <w:spacing w:after="0" w:line="108" w:lineRule="exact"/>
              <w:rPr>
                <w:sz w:val="20"/>
                <w:szCs w:val="20"/>
                <w:color w:val="auto"/>
              </w:rPr>
            </w:pPr>
            <w:r>
              <w:rPr>
                <w:rFonts w:ascii="Times New Roman" w:cs="Times New Roman" w:eastAsia="Times New Roman" w:hAnsi="Times New Roman"/>
                <w:sz w:val="11"/>
                <w:szCs w:val="11"/>
                <w:color w:val="auto"/>
              </w:rPr>
              <w:t>10.50%</w:t>
            </w:r>
          </w:p>
        </w:tc>
        <w:tc>
          <w:tcPr>
            <w:tcW w:w="940" w:type="dxa"/>
            <w:vAlign w:val="bottom"/>
          </w:tcPr>
          <w:p>
            <w:pPr>
              <w:jc w:val="right"/>
              <w:ind w:right="206"/>
              <w:spacing w:after="0" w:line="108" w:lineRule="exact"/>
              <w:rPr>
                <w:sz w:val="20"/>
                <w:szCs w:val="20"/>
                <w:color w:val="auto"/>
              </w:rPr>
            </w:pPr>
            <w:r>
              <w:rPr>
                <w:rFonts w:ascii="Times New Roman" w:cs="Times New Roman" w:eastAsia="Times New Roman" w:hAnsi="Times New Roman"/>
                <w:sz w:val="11"/>
                <w:szCs w:val="11"/>
                <w:color w:val="auto"/>
              </w:rPr>
              <w:t>12,543</w:t>
            </w:r>
          </w:p>
        </w:tc>
        <w:tc>
          <w:tcPr>
            <w:tcW w:w="1340" w:type="dxa"/>
            <w:vAlign w:val="bottom"/>
          </w:tcPr>
          <w:p>
            <w:pPr>
              <w:jc w:val="right"/>
              <w:ind w:right="406"/>
              <w:spacing w:after="0" w:line="108" w:lineRule="exact"/>
              <w:rPr>
                <w:sz w:val="20"/>
                <w:szCs w:val="20"/>
                <w:color w:val="auto"/>
              </w:rPr>
            </w:pPr>
            <w:r>
              <w:rPr>
                <w:rFonts w:ascii="Times New Roman" w:cs="Times New Roman" w:eastAsia="Times New Roman" w:hAnsi="Times New Roman"/>
                <w:sz w:val="11"/>
                <w:szCs w:val="11"/>
                <w:color w:val="auto"/>
              </w:rPr>
              <w:t>12,564</w:t>
            </w: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94"/>
        </w:trPr>
        <w:tc>
          <w:tcPr>
            <w:tcW w:w="1820" w:type="dxa"/>
            <w:vAlign w:val="bottom"/>
            <w:gridSpan w:val="2"/>
          </w:tcPr>
          <w:p>
            <w:pPr>
              <w:spacing w:after="0"/>
              <w:rPr>
                <w:sz w:val="20"/>
                <w:szCs w:val="20"/>
                <w:color w:val="auto"/>
              </w:rPr>
            </w:pPr>
            <w:r>
              <w:rPr>
                <w:rFonts w:ascii="Times New Roman" w:cs="Times New Roman" w:eastAsia="Times New Roman" w:hAnsi="Times New Roman"/>
                <w:sz w:val="7"/>
                <w:szCs w:val="7"/>
                <w:color w:val="auto"/>
              </w:rPr>
              <w:t>(5)</w:t>
            </w:r>
          </w:p>
        </w:tc>
        <w:tc>
          <w:tcPr>
            <w:tcW w:w="2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820,312</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819,816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2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Ben Nevis Midco Limited </w:t>
            </w:r>
            <w:r>
              <w:rPr>
                <w:rFonts w:ascii="Times New Roman" w:cs="Times New Roman" w:eastAsia="Times New Roman" w:hAnsi="Times New Roman"/>
                <w:sz w:val="14"/>
                <w:szCs w:val="14"/>
                <w:color w:val="auto"/>
                <w:vertAlign w:val="superscript"/>
              </w:rPr>
              <w:t>(3)(4)</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First-lien loan ($100,000 par, due 3/2028)</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3/26/2024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+ 5.50%</w:t>
            </w:r>
          </w:p>
        </w:tc>
        <w:tc>
          <w:tcPr>
            <w:tcW w:w="1340" w:type="dxa"/>
            <w:vAlign w:val="bottom"/>
            <w:shd w:val="clear" w:color="auto" w:fill="CFF0FC"/>
          </w:tcPr>
          <w:p>
            <w:pPr>
              <w:jc w:val="right"/>
              <w:ind w:right="286"/>
              <w:spacing w:after="0"/>
              <w:rPr>
                <w:sz w:val="20"/>
                <w:szCs w:val="20"/>
                <w:color w:val="auto"/>
              </w:rPr>
            </w:pPr>
            <w:r>
              <w:rPr>
                <w:rFonts w:ascii="Times New Roman" w:cs="Times New Roman" w:eastAsia="Times New Roman" w:hAnsi="Times New Roman"/>
                <w:sz w:val="11"/>
                <w:szCs w:val="11"/>
                <w:color w:val="auto"/>
              </w:rPr>
              <w:t>9.78%</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99,149</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100,500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Rail Acquisitions LLC</w:t>
            </w:r>
          </w:p>
        </w:tc>
        <w:tc>
          <w:tcPr>
            <w:tcW w:w="2520" w:type="dxa"/>
            <w:vAlign w:val="bottom"/>
          </w:tcPr>
          <w:p>
            <w:pPr>
              <w:ind w:left="60"/>
              <w:spacing w:after="0" w:line="132" w:lineRule="exact"/>
              <w:rPr>
                <w:sz w:val="20"/>
                <w:szCs w:val="20"/>
                <w:color w:val="auto"/>
              </w:rPr>
            </w:pPr>
            <w:r>
              <w:rPr>
                <w:rFonts w:ascii="Times New Roman" w:cs="Times New Roman" w:eastAsia="Times New Roman" w:hAnsi="Times New Roman"/>
                <w:sz w:val="11"/>
                <w:szCs w:val="11"/>
                <w:color w:val="auto"/>
              </w:rPr>
              <w:t xml:space="preserve">First-lien loan ($31,601 par, due 1/2030) </w:t>
            </w:r>
            <w:r>
              <w:rPr>
                <w:rFonts w:ascii="Times New Roman" w:cs="Times New Roman" w:eastAsia="Times New Roman" w:hAnsi="Times New Roman"/>
                <w:sz w:val="14"/>
                <w:szCs w:val="14"/>
                <w:color w:val="auto"/>
                <w:vertAlign w:val="superscript"/>
              </w:rPr>
              <w:t>(3)</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1/27/2025</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+ 6.00%</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10.31%</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30,982</w:t>
            </w:r>
          </w:p>
        </w:tc>
        <w:tc>
          <w:tcPr>
            <w:tcW w:w="13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31,261</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Second-lien note ($25,870 par, due 1/2031)</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1/27/2025</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13.75%</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13.75% PIK</w:t>
            </w: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21,823</w:t>
            </w:r>
          </w:p>
        </w:tc>
        <w:tc>
          <w:tcPr>
            <w:tcW w:w="1340" w:type="dxa"/>
            <w:vAlign w:val="bottom"/>
            <w:shd w:val="clear" w:color="auto" w:fill="CFF0FC"/>
          </w:tcPr>
          <w:p>
            <w:pPr>
              <w:jc w:val="right"/>
              <w:ind w:right="406"/>
              <w:spacing w:after="0"/>
              <w:rPr>
                <w:sz w:val="20"/>
                <w:szCs w:val="20"/>
                <w:color w:val="auto"/>
              </w:rPr>
            </w:pPr>
            <w:r>
              <w:rPr>
                <w:rFonts w:ascii="Times New Roman" w:cs="Times New Roman" w:eastAsia="Times New Roman" w:hAnsi="Times New Roman"/>
                <w:sz w:val="11"/>
                <w:szCs w:val="11"/>
                <w:color w:val="auto"/>
              </w:rPr>
              <w:t>22,901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Shiftmove GmbH </w:t>
            </w:r>
            <w:r>
              <w:rPr>
                <w:rFonts w:ascii="Times New Roman" w:cs="Times New Roman" w:eastAsia="Times New Roman" w:hAnsi="Times New Roman"/>
                <w:sz w:val="14"/>
                <w:szCs w:val="14"/>
                <w:color w:val="auto"/>
                <w:vertAlign w:val="superscript"/>
              </w:rPr>
              <w:t>(3)(4)(5)</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First-lien loan (EUR 14,167 par, due 9/2030)</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9/30/2024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+ 6.00%</w:t>
            </w:r>
          </w:p>
        </w:tc>
        <w:tc>
          <w:tcPr>
            <w:tcW w:w="134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rPr>
              <w:t>8.12%</w:t>
            </w:r>
          </w:p>
        </w:tc>
        <w:tc>
          <w:tcPr>
            <w:tcW w:w="9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15,434</w:t>
            </w:r>
          </w:p>
        </w:tc>
        <w:tc>
          <w:tcPr>
            <w:tcW w:w="13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16,646</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14,167)</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206"/>
              <w:spacing w:after="0"/>
              <w:rPr>
                <w:sz w:val="20"/>
                <w:szCs w:val="20"/>
                <w:color w:val="auto"/>
              </w:rPr>
            </w:pPr>
            <w:r>
              <w:rPr>
                <w:rFonts w:ascii="Times New Roman" w:cs="Times New Roman" w:eastAsia="Times New Roman" w:hAnsi="Times New Roman"/>
                <w:sz w:val="11"/>
                <w:szCs w:val="11"/>
                <w:color w:val="auto"/>
              </w:rPr>
              <w:t>167,388</w:t>
            </w:r>
          </w:p>
        </w:tc>
        <w:tc>
          <w:tcPr>
            <w:tcW w:w="13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171,308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98" w:right="680" w:bottom="1440" w:gutter="0" w:footer="0" w:header="0"/>
        </w:sectPr>
      </w:pPr>
    </w:p>
    <w:bookmarkStart w:id="9" w:name="page10"/>
    <w:bookmarkEnd w:id="9"/>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Debt Investments</w:t>
            </w:r>
          </w:p>
        </w:tc>
        <w:tc>
          <w:tcPr>
            <w:tcW w:w="2520" w:type="dxa"/>
            <w:vAlign w:val="bottom"/>
            <w:shd w:val="clear" w:color="auto" w:fill="CFF0FC"/>
          </w:tcPr>
          <w:p>
            <w:pPr>
              <w:spacing w:after="0"/>
              <w:rPr>
                <w:sz w:val="11"/>
                <w:szCs w:val="11"/>
                <w:color w:val="auto"/>
              </w:rPr>
            </w:pPr>
          </w:p>
        </w:tc>
        <w:tc>
          <w:tcPr>
            <w:tcW w:w="3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7,307,185</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7,564,830</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176.1%</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7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Equity and Other Investments</w:t>
            </w:r>
          </w:p>
        </w:tc>
        <w:tc>
          <w:tcPr>
            <w:tcW w:w="2520" w:type="dxa"/>
            <w:vAlign w:val="bottom"/>
            <w:shd w:val="clear" w:color="auto" w:fill="CFF0FC"/>
          </w:tcPr>
          <w:p>
            <w:pPr>
              <w:spacing w:after="0"/>
              <w:rPr>
                <w:sz w:val="11"/>
                <w:szCs w:val="11"/>
                <w:color w:val="auto"/>
              </w:rPr>
            </w:pPr>
          </w:p>
        </w:tc>
        <w:tc>
          <w:tcPr>
            <w:tcW w:w="3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Business Services</w:t>
            </w:r>
          </w:p>
        </w:tc>
        <w:tc>
          <w:tcPr>
            <w:tcW w:w="25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Artisan Topco LP </w:t>
            </w:r>
            <w:r>
              <w:rPr>
                <w:rFonts w:ascii="Times New Roman" w:cs="Times New Roman" w:eastAsia="Times New Roman" w:hAnsi="Times New Roman"/>
                <w:sz w:val="14"/>
                <w:szCs w:val="14"/>
                <w:color w:val="auto"/>
                <w:vertAlign w:val="superscript"/>
              </w:rPr>
              <w:t>(8)</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Class A Preferred Units (7,882,736 units)</w:t>
            </w:r>
          </w:p>
        </w:tc>
        <w:tc>
          <w:tcPr>
            <w:tcW w:w="3000" w:type="dxa"/>
            <w:vAlign w:val="bottom"/>
            <w:shd w:val="clear" w:color="auto" w:fill="CFF0FC"/>
          </w:tcPr>
          <w:p>
            <w:pPr>
              <w:jc w:val="right"/>
              <w:ind w:right="2146"/>
              <w:spacing w:after="0"/>
              <w:rPr>
                <w:sz w:val="20"/>
                <w:szCs w:val="20"/>
                <w:color w:val="auto"/>
              </w:rPr>
            </w:pPr>
            <w:r>
              <w:rPr>
                <w:rFonts w:ascii="Times New Roman" w:cs="Times New Roman" w:eastAsia="Times New Roman" w:hAnsi="Times New Roman"/>
                <w:sz w:val="11"/>
                <w:szCs w:val="11"/>
                <w:color w:val="auto"/>
              </w:rPr>
              <w:t>11/7/2023</w:t>
            </w:r>
          </w:p>
        </w:tc>
        <w:tc>
          <w:tcPr>
            <w:tcW w:w="2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7,883</w:t>
            </w:r>
          </w:p>
        </w:tc>
        <w:tc>
          <w:tcPr>
            <w:tcW w:w="2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6,622</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Insight Hideaway Aggregator, L.P. </w:t>
            </w:r>
            <w:r>
              <w:rPr>
                <w:rFonts w:ascii="Times New Roman" w:cs="Times New Roman" w:eastAsia="Times New Roman" w:hAnsi="Times New Roman"/>
                <w:sz w:val="14"/>
                <w:szCs w:val="14"/>
                <w:color w:val="auto"/>
                <w:vertAlign w:val="superscript"/>
              </w:rPr>
              <w:t>(8)</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Partnership Interest (2,170,139 units)</w:t>
            </w:r>
          </w:p>
        </w:tc>
        <w:tc>
          <w:tcPr>
            <w:tcW w:w="3000" w:type="dxa"/>
            <w:vAlign w:val="bottom"/>
          </w:tcPr>
          <w:p>
            <w:pPr>
              <w:jc w:val="right"/>
              <w:ind w:right="2146"/>
              <w:spacing w:after="0"/>
              <w:rPr>
                <w:sz w:val="20"/>
                <w:szCs w:val="20"/>
                <w:color w:val="auto"/>
              </w:rPr>
            </w:pPr>
            <w:r>
              <w:rPr>
                <w:rFonts w:ascii="Times New Roman" w:cs="Times New Roman" w:eastAsia="Times New Roman" w:hAnsi="Times New Roman"/>
                <w:sz w:val="11"/>
                <w:szCs w:val="11"/>
                <w:color w:val="auto"/>
              </w:rPr>
              <w:t>3/19/2024</w:t>
            </w:r>
          </w:p>
        </w:tc>
        <w:tc>
          <w:tcPr>
            <w:tcW w:w="2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21,701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25,228</w:t>
            </w:r>
          </w:p>
        </w:tc>
        <w:tc>
          <w:tcPr>
            <w:tcW w:w="200" w:type="dxa"/>
            <w:vAlign w:val="bottom"/>
          </w:tcPr>
          <w:p>
            <w:pPr>
              <w:spacing w:after="0"/>
              <w:rPr>
                <w:sz w:val="11"/>
                <w:szCs w:val="1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Newark FP Co-Invest, L.P. </w:t>
            </w:r>
            <w:r>
              <w:rPr>
                <w:rFonts w:ascii="Times New Roman" w:cs="Times New Roman" w:eastAsia="Times New Roman" w:hAnsi="Times New Roman"/>
                <w:sz w:val="14"/>
                <w:szCs w:val="14"/>
                <w:color w:val="auto"/>
                <w:vertAlign w:val="superscript"/>
              </w:rPr>
              <w:t>(8)</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Partnership (8,555,356 units)</w:t>
            </w:r>
          </w:p>
        </w:tc>
        <w:tc>
          <w:tcPr>
            <w:tcW w:w="3000" w:type="dxa"/>
            <w:vAlign w:val="bottom"/>
            <w:shd w:val="clear" w:color="auto" w:fill="CFF0FC"/>
          </w:tcPr>
          <w:p>
            <w:pPr>
              <w:jc w:val="right"/>
              <w:ind w:right="2146"/>
              <w:spacing w:after="0"/>
              <w:rPr>
                <w:sz w:val="20"/>
                <w:szCs w:val="20"/>
                <w:color w:val="auto"/>
              </w:rPr>
            </w:pPr>
            <w:r>
              <w:rPr>
                <w:rFonts w:ascii="Times New Roman" w:cs="Times New Roman" w:eastAsia="Times New Roman" w:hAnsi="Times New Roman"/>
                <w:sz w:val="11"/>
                <w:szCs w:val="11"/>
                <w:color w:val="auto"/>
              </w:rPr>
              <w:t>11/8/2023</w:t>
            </w:r>
          </w:p>
        </w:tc>
        <w:tc>
          <w:tcPr>
            <w:tcW w:w="2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8,572</w:t>
            </w:r>
          </w:p>
        </w:tc>
        <w:tc>
          <w:tcPr>
            <w:tcW w:w="2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7,886</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Warrior TopCo LP </w:t>
            </w:r>
            <w:r>
              <w:rPr>
                <w:rFonts w:ascii="Times New Roman" w:cs="Times New Roman" w:eastAsia="Times New Roman" w:hAnsi="Times New Roman"/>
                <w:sz w:val="14"/>
                <w:szCs w:val="14"/>
                <w:color w:val="auto"/>
                <w:vertAlign w:val="superscript"/>
              </w:rPr>
              <w:t>(8)</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Class A Units (9,576,271 units)</w:t>
            </w:r>
          </w:p>
        </w:tc>
        <w:tc>
          <w:tcPr>
            <w:tcW w:w="3000" w:type="dxa"/>
            <w:vAlign w:val="bottom"/>
          </w:tcPr>
          <w:p>
            <w:pPr>
              <w:jc w:val="right"/>
              <w:ind w:right="2146"/>
              <w:spacing w:after="0"/>
              <w:rPr>
                <w:sz w:val="20"/>
                <w:szCs w:val="20"/>
                <w:color w:val="auto"/>
              </w:rPr>
            </w:pPr>
            <w:r>
              <w:rPr>
                <w:rFonts w:ascii="Times New Roman" w:cs="Times New Roman" w:eastAsia="Times New Roman" w:hAnsi="Times New Roman"/>
                <w:sz w:val="11"/>
                <w:szCs w:val="11"/>
                <w:color w:val="auto"/>
              </w:rPr>
              <w:t>7/7/2023</w:t>
            </w:r>
          </w:p>
        </w:tc>
        <w:tc>
          <w:tcPr>
            <w:tcW w:w="260" w:type="dxa"/>
            <w:vAlign w:val="bottom"/>
          </w:tcPr>
          <w:p>
            <w:pPr>
              <w:spacing w:after="0"/>
              <w:rPr>
                <w:sz w:val="11"/>
                <w:szCs w:val="1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9,576</w:t>
            </w: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14,939</w:t>
            </w:r>
          </w:p>
        </w:tc>
        <w:tc>
          <w:tcPr>
            <w:tcW w:w="200" w:type="dxa"/>
            <w:vAlign w:val="bottom"/>
          </w:tcPr>
          <w:p>
            <w:pPr>
              <w:spacing w:after="0"/>
              <w:rPr>
                <w:sz w:val="11"/>
                <w:szCs w:val="1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3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47,732</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54,675</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25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AF Eagle Parent, L.P. </w:t>
            </w:r>
            <w:r>
              <w:rPr>
                <w:rFonts w:ascii="Times New Roman" w:cs="Times New Roman" w:eastAsia="Times New Roman" w:hAnsi="Times New Roman"/>
                <w:sz w:val="14"/>
                <w:szCs w:val="14"/>
                <w:color w:val="auto"/>
                <w:vertAlign w:val="superscript"/>
              </w:rPr>
              <w:t>(8)</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Partnership Units (337,024 units)</w:t>
            </w:r>
          </w:p>
        </w:tc>
        <w:tc>
          <w:tcPr>
            <w:tcW w:w="3000" w:type="dxa"/>
            <w:vAlign w:val="bottom"/>
            <w:shd w:val="clear" w:color="auto" w:fill="CFF0FC"/>
          </w:tcPr>
          <w:p>
            <w:pPr>
              <w:jc w:val="right"/>
              <w:ind w:right="2146"/>
              <w:spacing w:after="0"/>
              <w:rPr>
                <w:sz w:val="20"/>
                <w:szCs w:val="20"/>
                <w:color w:val="auto"/>
              </w:rPr>
            </w:pPr>
            <w:r>
              <w:rPr>
                <w:rFonts w:ascii="Times New Roman" w:cs="Times New Roman" w:eastAsia="Times New Roman" w:hAnsi="Times New Roman"/>
                <w:sz w:val="11"/>
                <w:szCs w:val="11"/>
                <w:color w:val="auto"/>
              </w:rPr>
              <w:t>11/27/2023</w:t>
            </w: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11,364</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13,068</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25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4"/>
                <w:szCs w:val="14"/>
                <w:color w:val="auto"/>
                <w:vertAlign w:val="superscript"/>
              </w:rPr>
              <w:t>(8)</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Ordinary Shares (83,408 shares)</w:t>
            </w:r>
          </w:p>
        </w:tc>
        <w:tc>
          <w:tcPr>
            <w:tcW w:w="3000" w:type="dxa"/>
            <w:vAlign w:val="bottom"/>
            <w:shd w:val="clear" w:color="auto" w:fill="CFF0FC"/>
          </w:tcPr>
          <w:p>
            <w:pPr>
              <w:jc w:val="right"/>
              <w:ind w:right="2146"/>
              <w:spacing w:after="0"/>
              <w:rPr>
                <w:sz w:val="20"/>
                <w:szCs w:val="20"/>
                <w:color w:val="auto"/>
              </w:rPr>
            </w:pPr>
            <w:r>
              <w:rPr>
                <w:rFonts w:ascii="Times New Roman" w:cs="Times New Roman" w:eastAsia="Times New Roman" w:hAnsi="Times New Roman"/>
                <w:sz w:val="11"/>
                <w:szCs w:val="11"/>
                <w:color w:val="auto"/>
              </w:rPr>
              <w:t>3/24/2023</w:t>
            </w: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12,876</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13,520</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Human Resource Support Services</w:t>
            </w:r>
          </w:p>
        </w:tc>
        <w:tc>
          <w:tcPr>
            <w:tcW w:w="25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bswift, LLC </w:t>
            </w:r>
            <w:r>
              <w:rPr>
                <w:rFonts w:ascii="Times New Roman" w:cs="Times New Roman" w:eastAsia="Times New Roman" w:hAnsi="Times New Roman"/>
                <w:sz w:val="14"/>
                <w:szCs w:val="14"/>
                <w:color w:val="auto"/>
                <w:vertAlign w:val="superscript"/>
              </w:rPr>
              <w:t>(8)</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Class A-1 Units (7,606,491 units)</w:t>
            </w:r>
          </w:p>
        </w:tc>
        <w:tc>
          <w:tcPr>
            <w:tcW w:w="3000" w:type="dxa"/>
            <w:vAlign w:val="bottom"/>
            <w:shd w:val="clear" w:color="auto" w:fill="CFF0FC"/>
          </w:tcPr>
          <w:p>
            <w:pPr>
              <w:jc w:val="right"/>
              <w:ind w:right="2146"/>
              <w:spacing w:after="0"/>
              <w:rPr>
                <w:sz w:val="20"/>
                <w:szCs w:val="20"/>
                <w:color w:val="auto"/>
              </w:rPr>
            </w:pPr>
            <w:r>
              <w:rPr>
                <w:rFonts w:ascii="Times New Roman" w:cs="Times New Roman" w:eastAsia="Times New Roman" w:hAnsi="Times New Roman"/>
                <w:sz w:val="11"/>
                <w:szCs w:val="11"/>
                <w:color w:val="auto"/>
              </w:rPr>
              <w:t>11/7/2022</w:t>
            </w:r>
          </w:p>
        </w:tc>
        <w:tc>
          <w:tcPr>
            <w:tcW w:w="2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7,606</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16,164</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25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Bigtincan Holdings L.P. </w:t>
            </w:r>
            <w:r>
              <w:rPr>
                <w:rFonts w:ascii="Times New Roman" w:cs="Times New Roman" w:eastAsia="Times New Roman" w:hAnsi="Times New Roman"/>
                <w:sz w:val="14"/>
                <w:szCs w:val="14"/>
                <w:color w:val="auto"/>
                <w:vertAlign w:val="superscript"/>
              </w:rPr>
              <w:t>(8)</w:t>
            </w: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Class A Units (666,667 units)</w:t>
            </w:r>
          </w:p>
        </w:tc>
        <w:tc>
          <w:tcPr>
            <w:tcW w:w="3000" w:type="dxa"/>
            <w:vAlign w:val="bottom"/>
            <w:shd w:val="clear" w:color="auto" w:fill="CFF0FC"/>
          </w:tcPr>
          <w:p>
            <w:pPr>
              <w:jc w:val="right"/>
              <w:ind w:right="2146"/>
              <w:spacing w:after="0"/>
              <w:rPr>
                <w:sz w:val="20"/>
                <w:szCs w:val="20"/>
                <w:color w:val="auto"/>
              </w:rPr>
            </w:pPr>
            <w:r>
              <w:rPr>
                <w:rFonts w:ascii="Times New Roman" w:cs="Times New Roman" w:eastAsia="Times New Roman" w:hAnsi="Times New Roman"/>
                <w:sz w:val="11"/>
                <w:szCs w:val="11"/>
                <w:color w:val="auto"/>
              </w:rPr>
              <w:t>4/16/2025</w:t>
            </w: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w w:val="95"/>
              </w:rPr>
              <w:t xml:space="preserve">SMA Technologies Holdings, LLC </w:t>
            </w:r>
            <w:r>
              <w:rPr>
                <w:rFonts w:ascii="Times New Roman" w:cs="Times New Roman" w:eastAsia="Times New Roman" w:hAnsi="Times New Roman"/>
                <w:sz w:val="14"/>
                <w:szCs w:val="14"/>
                <w:color w:val="auto"/>
                <w:w w:val="95"/>
                <w:vertAlign w:val="superscript"/>
              </w:rPr>
              <w:t>(8)(10)</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Class A Units (244 units)</w:t>
            </w:r>
          </w:p>
        </w:tc>
        <w:tc>
          <w:tcPr>
            <w:tcW w:w="3000" w:type="dxa"/>
            <w:vAlign w:val="bottom"/>
          </w:tcPr>
          <w:p>
            <w:pPr>
              <w:jc w:val="right"/>
              <w:ind w:right="2146"/>
              <w:spacing w:after="0"/>
              <w:rPr>
                <w:sz w:val="20"/>
                <w:szCs w:val="20"/>
                <w:color w:val="auto"/>
              </w:rPr>
            </w:pPr>
            <w:r>
              <w:rPr>
                <w:rFonts w:ascii="Times New Roman" w:cs="Times New Roman" w:eastAsia="Times New Roman" w:hAnsi="Times New Roman"/>
                <w:sz w:val="11"/>
                <w:szCs w:val="11"/>
                <w:color w:val="auto"/>
              </w:rPr>
              <w:t>11/21/2022</w:t>
            </w:r>
          </w:p>
        </w:tc>
        <w:tc>
          <w:tcPr>
            <w:tcW w:w="2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w:t>
            </w:r>
          </w:p>
        </w:tc>
        <w:tc>
          <w:tcPr>
            <w:tcW w:w="200" w:type="dxa"/>
            <w:vAlign w:val="bottom"/>
          </w:tcPr>
          <w:p>
            <w:pPr>
              <w:spacing w:after="0"/>
              <w:rPr>
                <w:sz w:val="11"/>
                <w:szCs w:val="1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2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Class B Units (173,048 units)</w:t>
            </w:r>
          </w:p>
        </w:tc>
        <w:tc>
          <w:tcPr>
            <w:tcW w:w="3000" w:type="dxa"/>
            <w:vAlign w:val="bottom"/>
            <w:shd w:val="clear" w:color="auto" w:fill="CFF0FC"/>
          </w:tcPr>
          <w:p>
            <w:pPr>
              <w:jc w:val="right"/>
              <w:ind w:right="2146"/>
              <w:spacing w:after="0"/>
              <w:rPr>
                <w:sz w:val="20"/>
                <w:szCs w:val="20"/>
                <w:color w:val="auto"/>
              </w:rPr>
            </w:pPr>
            <w:r>
              <w:rPr>
                <w:rFonts w:ascii="Times New Roman" w:cs="Times New Roman" w:eastAsia="Times New Roman" w:hAnsi="Times New Roman"/>
                <w:sz w:val="11"/>
                <w:szCs w:val="11"/>
                <w:color w:val="auto"/>
              </w:rPr>
              <w:t>11/21/2022</w:t>
            </w: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2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954</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1,141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Pharmaceuticals</w:t>
            </w:r>
          </w:p>
        </w:tc>
        <w:tc>
          <w:tcPr>
            <w:tcW w:w="2520" w:type="dxa"/>
            <w:vAlign w:val="bottom"/>
            <w:shd w:val="clear" w:color="auto" w:fill="CFF0FC"/>
          </w:tcPr>
          <w:p>
            <w:pPr>
              <w:spacing w:after="0"/>
              <w:rPr>
                <w:sz w:val="11"/>
                <w:szCs w:val="11"/>
                <w:color w:val="auto"/>
              </w:rPr>
            </w:pPr>
          </w:p>
        </w:tc>
        <w:tc>
          <w:tcPr>
            <w:tcW w:w="3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Elysium BidCo Limited </w:t>
            </w:r>
            <w:r>
              <w:rPr>
                <w:rFonts w:ascii="Times New Roman" w:cs="Times New Roman" w:eastAsia="Times New Roman" w:hAnsi="Times New Roman"/>
                <w:sz w:val="14"/>
                <w:szCs w:val="14"/>
                <w:color w:val="auto"/>
                <w:vertAlign w:val="superscript"/>
              </w:rPr>
              <w:t>(4)(8)(10)</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Convertible Preference Shares (38,503,125 units)</w:t>
            </w:r>
          </w:p>
        </w:tc>
        <w:tc>
          <w:tcPr>
            <w:tcW w:w="3000" w:type="dxa"/>
            <w:vAlign w:val="bottom"/>
          </w:tcPr>
          <w:p>
            <w:pPr>
              <w:jc w:val="right"/>
              <w:ind w:right="2146"/>
              <w:spacing w:after="0"/>
              <w:rPr>
                <w:sz w:val="20"/>
                <w:szCs w:val="20"/>
                <w:color w:val="auto"/>
              </w:rPr>
            </w:pPr>
            <w:r>
              <w:rPr>
                <w:rFonts w:ascii="Times New Roman" w:cs="Times New Roman" w:eastAsia="Times New Roman" w:hAnsi="Times New Roman"/>
                <w:sz w:val="11"/>
                <w:szCs w:val="11"/>
                <w:color w:val="auto"/>
              </w:rPr>
              <w:t>12/11/2024</w:t>
            </w:r>
          </w:p>
        </w:tc>
        <w:tc>
          <w:tcPr>
            <w:tcW w:w="2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49,063</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57,277</w:t>
            </w:r>
          </w:p>
        </w:tc>
        <w:tc>
          <w:tcPr>
            <w:tcW w:w="200" w:type="dxa"/>
            <w:vAlign w:val="bottom"/>
          </w:tcPr>
          <w:p>
            <w:pPr>
              <w:spacing w:after="0"/>
              <w:rPr>
                <w:sz w:val="11"/>
                <w:szCs w:val="1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(GBP 42,546)</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2520" w:type="dxa"/>
            <w:vAlign w:val="bottom"/>
            <w:shd w:val="clear" w:color="auto" w:fill="CFF0FC"/>
          </w:tcPr>
          <w:p>
            <w:pPr>
              <w:spacing w:after="0"/>
              <w:rPr>
                <w:sz w:val="11"/>
                <w:szCs w:val="11"/>
                <w:color w:val="auto"/>
              </w:rPr>
            </w:pPr>
          </w:p>
        </w:tc>
        <w:tc>
          <w:tcPr>
            <w:tcW w:w="3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8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Railtrac Holdings Inc. </w:t>
            </w:r>
            <w:r>
              <w:rPr>
                <w:rFonts w:ascii="Times New Roman" w:cs="Times New Roman" w:eastAsia="Times New Roman" w:hAnsi="Times New Roman"/>
                <w:sz w:val="14"/>
                <w:szCs w:val="14"/>
                <w:color w:val="auto"/>
                <w:vertAlign w:val="superscript"/>
              </w:rPr>
              <w:t>(8)(10)</w:t>
            </w:r>
          </w:p>
        </w:tc>
        <w:tc>
          <w:tcPr>
            <w:tcW w:w="25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 (3,824 warrants)</w:t>
            </w:r>
          </w:p>
        </w:tc>
        <w:tc>
          <w:tcPr>
            <w:tcW w:w="3000" w:type="dxa"/>
            <w:vAlign w:val="bottom"/>
          </w:tcPr>
          <w:p>
            <w:pPr>
              <w:jc w:val="right"/>
              <w:ind w:right="2146"/>
              <w:spacing w:after="0"/>
              <w:rPr>
                <w:sz w:val="20"/>
                <w:szCs w:val="20"/>
                <w:color w:val="auto"/>
              </w:rPr>
            </w:pPr>
            <w:r>
              <w:rPr>
                <w:rFonts w:ascii="Times New Roman" w:cs="Times New Roman" w:eastAsia="Times New Roman" w:hAnsi="Times New Roman"/>
                <w:sz w:val="11"/>
                <w:szCs w:val="11"/>
                <w:color w:val="auto"/>
              </w:rPr>
              <w:t>1/27/2025</w:t>
            </w:r>
          </w:p>
        </w:tc>
        <w:tc>
          <w:tcPr>
            <w:tcW w:w="260" w:type="dxa"/>
            <w:vAlign w:val="bottom"/>
          </w:tcPr>
          <w:p>
            <w:pPr>
              <w:spacing w:after="0"/>
              <w:rPr>
                <w:sz w:val="11"/>
                <w:szCs w:val="1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3,396</w:t>
            </w:r>
          </w:p>
        </w:tc>
        <w:tc>
          <w:tcPr>
            <w:tcW w:w="220" w:type="dxa"/>
            <w:vAlign w:val="bottom"/>
          </w:tcPr>
          <w:p>
            <w:pPr>
              <w:spacing w:after="0"/>
              <w:rPr>
                <w:sz w:val="11"/>
                <w:szCs w:val="1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3,397</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3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Equity and Other</w:t>
            </w:r>
          </w:p>
        </w:tc>
        <w:tc>
          <w:tcPr>
            <w:tcW w:w="25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132,991</w:t>
            </w:r>
          </w:p>
        </w:tc>
        <w:tc>
          <w:tcPr>
            <w:tcW w:w="220" w:type="dxa"/>
            <w:vAlign w:val="bottom"/>
          </w:tcPr>
          <w:p>
            <w:pPr>
              <w:spacing w:after="0"/>
              <w:rPr>
                <w:sz w:val="11"/>
                <w:szCs w:val="1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159,242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25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2520" w:type="dxa"/>
            <w:vAlign w:val="bottom"/>
            <w:shd w:val="clear" w:color="auto" w:fill="CFF0FC"/>
          </w:tcPr>
          <w:p>
            <w:pPr>
              <w:spacing w:after="0"/>
              <w:rPr>
                <w:sz w:val="11"/>
                <w:szCs w:val="11"/>
                <w:color w:val="auto"/>
              </w:rPr>
            </w:pPr>
          </w:p>
        </w:tc>
        <w:tc>
          <w:tcPr>
            <w:tcW w:w="3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25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60" w:type="dxa"/>
            <w:vAlign w:val="bottom"/>
          </w:tcPr>
          <w:p>
            <w:pPr>
              <w:jc w:val="right"/>
              <w:ind w:right="19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7,440,176</w:t>
            </w:r>
          </w:p>
        </w:tc>
        <w:tc>
          <w:tcPr>
            <w:tcW w:w="180" w:type="dxa"/>
            <w:vAlign w:val="bottom"/>
          </w:tcPr>
          <w:p>
            <w:pPr>
              <w:spacing w:after="0"/>
              <w:rPr>
                <w:sz w:val="11"/>
                <w:szCs w:val="11"/>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7,724,072</w:t>
            </w:r>
          </w:p>
        </w:tc>
        <w:tc>
          <w:tcPr>
            <w:tcW w:w="20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Derivative Instruments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34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Foreign Currency Forward Contracts as of September 30, 2025</w:t>
            </w: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 xml:space="preserve">Derivative Instrument </w:t>
            </w:r>
            <w:r>
              <w:rPr>
                <w:rFonts w:ascii="Times New Roman" w:cs="Times New Roman" w:eastAsia="Times New Roman" w:hAnsi="Times New Roman"/>
                <w:sz w:val="16"/>
                <w:szCs w:val="16"/>
                <w:b w:val="1"/>
                <w:bCs w:val="1"/>
                <w:color w:val="auto"/>
                <w:vertAlign w:val="superscript"/>
              </w:rPr>
              <w:t>(13)</w:t>
            </w:r>
          </w:p>
        </w:tc>
        <w:tc>
          <w:tcPr>
            <w:tcW w:w="102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Settlement</w:t>
            </w:r>
          </w:p>
        </w:tc>
        <w:tc>
          <w:tcPr>
            <w:tcW w:w="13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Notional amount to</w:t>
            </w:r>
          </w:p>
        </w:tc>
        <w:tc>
          <w:tcPr>
            <w:tcW w:w="148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Notional amount to be</w:t>
            </w:r>
          </w:p>
        </w:tc>
        <w:tc>
          <w:tcPr>
            <w:tcW w:w="2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Unrealized Appreciation/</w:t>
            </w:r>
          </w:p>
        </w:tc>
        <w:tc>
          <w:tcPr>
            <w:tcW w:w="0" w:type="dxa"/>
            <w:vAlign w:val="bottom"/>
          </w:tcPr>
          <w:p>
            <w:pPr>
              <w:spacing w:after="0"/>
              <w:rPr>
                <w:sz w:val="1"/>
                <w:szCs w:val="1"/>
                <w:color w:val="auto"/>
              </w:rPr>
            </w:pPr>
          </w:p>
        </w:tc>
      </w:tr>
      <w:tr>
        <w:trPr>
          <w:trHeight w:val="170"/>
        </w:trPr>
        <w:tc>
          <w:tcPr>
            <w:tcW w:w="2120" w:type="dxa"/>
            <w:vAlign w:val="bottom"/>
            <w:vMerge w:val="continue"/>
          </w:tcPr>
          <w:p>
            <w:pPr>
              <w:spacing w:after="0"/>
              <w:rPr>
                <w:sz w:val="14"/>
                <w:szCs w:val="14"/>
                <w:color w:val="auto"/>
              </w:rPr>
            </w:pPr>
          </w:p>
        </w:tc>
        <w:tc>
          <w:tcPr>
            <w:tcW w:w="102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Date</w:t>
            </w:r>
          </w:p>
        </w:tc>
        <w:tc>
          <w:tcPr>
            <w:tcW w:w="260" w:type="dxa"/>
            <w:vAlign w:val="bottom"/>
          </w:tcPr>
          <w:p>
            <w:pPr>
              <w:spacing w:after="0"/>
              <w:rPr>
                <w:sz w:val="14"/>
                <w:szCs w:val="14"/>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9"/>
              </w:rPr>
              <w:t>be purchased</w:t>
            </w:r>
          </w:p>
        </w:tc>
        <w:tc>
          <w:tcPr>
            <w:tcW w:w="580" w:type="dxa"/>
            <w:vAlign w:val="bottom"/>
          </w:tcPr>
          <w:p>
            <w:pPr>
              <w:spacing w:after="0"/>
              <w:rPr>
                <w:sz w:val="14"/>
                <w:szCs w:val="14"/>
                <w:color w:val="auto"/>
              </w:rPr>
            </w:pPr>
          </w:p>
        </w:tc>
        <w:tc>
          <w:tcPr>
            <w:tcW w:w="90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sold</w:t>
            </w:r>
          </w:p>
        </w:tc>
        <w:tc>
          <w:tcPr>
            <w:tcW w:w="2860" w:type="dxa"/>
            <w:vAlign w:val="bottom"/>
          </w:tcPr>
          <w:p>
            <w:pPr>
              <w:ind w:left="104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80" w:type="dxa"/>
            <w:vAlign w:val="bottom"/>
          </w:tcPr>
          <w:p>
            <w:pPr>
              <w:spacing w:after="0"/>
              <w:rPr>
                <w:sz w:val="14"/>
                <w:szCs w:val="14"/>
                <w:color w:val="auto"/>
              </w:rPr>
            </w:pPr>
          </w:p>
        </w:tc>
        <w:tc>
          <w:tcPr>
            <w:tcW w:w="16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(Depreciation)</w:t>
            </w:r>
          </w:p>
        </w:tc>
        <w:tc>
          <w:tcPr>
            <w:tcW w:w="0" w:type="dxa"/>
            <w:vAlign w:val="bottom"/>
          </w:tcPr>
          <w:p>
            <w:pPr>
              <w:spacing w:after="0"/>
              <w:rPr>
                <w:sz w:val="1"/>
                <w:szCs w:val="1"/>
                <w:color w:val="auto"/>
              </w:rPr>
            </w:pPr>
          </w:p>
        </w:tc>
      </w:tr>
      <w:tr>
        <w:trPr>
          <w:trHeight w:val="156"/>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Foreign currency forward contract</w:t>
            </w:r>
          </w:p>
        </w:tc>
        <w:tc>
          <w:tcPr>
            <w:tcW w:w="1020" w:type="dxa"/>
            <w:vAlign w:val="bottom"/>
            <w:shd w:val="clear" w:color="auto" w:fill="CFF0FC"/>
          </w:tcPr>
          <w:p>
            <w:pPr>
              <w:jc w:val="center"/>
              <w:ind w:left="114"/>
              <w:spacing w:after="0"/>
              <w:rPr>
                <w:sz w:val="20"/>
                <w:szCs w:val="20"/>
                <w:color w:val="auto"/>
              </w:rPr>
            </w:pPr>
            <w:r>
              <w:rPr>
                <w:rFonts w:ascii="Times New Roman" w:cs="Times New Roman" w:eastAsia="Times New Roman" w:hAnsi="Times New Roman"/>
                <w:sz w:val="13"/>
                <w:szCs w:val="13"/>
                <w:color w:val="auto"/>
              </w:rPr>
              <w:t>11/14/2025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103,696</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CAD</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142,733</w:t>
            </w:r>
          </w:p>
        </w:tc>
        <w:tc>
          <w:tcPr>
            <w:tcW w:w="2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State Street Bank and Trust Company</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1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Foreign currency forward contract</w:t>
            </w:r>
          </w:p>
        </w:tc>
        <w:tc>
          <w:tcPr>
            <w:tcW w:w="102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rPr>
              <w:t>11/14/2025</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99,542</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GBP</w:t>
            </w:r>
          </w:p>
        </w:tc>
        <w:tc>
          <w:tcPr>
            <w:tcW w:w="9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73,454</w:t>
            </w:r>
          </w:p>
        </w:tc>
        <w:tc>
          <w:tcPr>
            <w:tcW w:w="28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State Street Bank and Trust Company</w:t>
            </w:r>
          </w:p>
        </w:tc>
        <w:tc>
          <w:tcPr>
            <w:tcW w:w="8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12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28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Foreign currency forward contract</w:t>
            </w:r>
          </w:p>
        </w:tc>
        <w:tc>
          <w:tcPr>
            <w:tcW w:w="1020" w:type="dxa"/>
            <w:vAlign w:val="bottom"/>
            <w:shd w:val="clear" w:color="auto" w:fill="CFF0FC"/>
          </w:tcPr>
          <w:p>
            <w:pPr>
              <w:jc w:val="center"/>
              <w:ind w:left="114"/>
              <w:spacing w:after="0"/>
              <w:rPr>
                <w:sz w:val="20"/>
                <w:szCs w:val="20"/>
                <w:color w:val="auto"/>
              </w:rPr>
            </w:pPr>
            <w:r>
              <w:rPr>
                <w:rFonts w:ascii="Times New Roman" w:cs="Times New Roman" w:eastAsia="Times New Roman" w:hAnsi="Times New Roman"/>
                <w:sz w:val="13"/>
                <w:szCs w:val="13"/>
                <w:color w:val="auto"/>
              </w:rPr>
              <w:t>11/14/2025</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727</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NOK</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7,427</w:t>
            </w:r>
          </w:p>
        </w:tc>
        <w:tc>
          <w:tcPr>
            <w:tcW w:w="2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State Street Bank and Trust Company</w:t>
            </w:r>
          </w:p>
        </w:tc>
        <w:tc>
          <w:tcPr>
            <w:tcW w:w="8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swaps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20" w:type="dxa"/>
            <w:vAlign w:val="bottom"/>
            <w:gridSpan w:val="7"/>
          </w:tcPr>
          <w:p>
            <w:pPr>
              <w:ind w:left="700"/>
              <w:spacing w:after="0"/>
              <w:rPr>
                <w:sz w:val="20"/>
                <w:szCs w:val="20"/>
                <w:color w:val="auto"/>
              </w:rPr>
            </w:pPr>
            <w:r>
              <w:rPr>
                <w:rFonts w:ascii="Times New Roman" w:cs="Times New Roman" w:eastAsia="Times New Roman" w:hAnsi="Times New Roman"/>
                <w:sz w:val="13"/>
                <w:szCs w:val="13"/>
                <w:b w:val="1"/>
                <w:bCs w:val="1"/>
                <w:color w:val="auto"/>
              </w:rPr>
              <w:t>Interest Rate Swaps as of September 30, 2025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8"/>
              </w:rPr>
              <w:t>Upfront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Change in</w:t>
            </w:r>
          </w:p>
        </w:tc>
      </w:tr>
      <w:tr>
        <w:trPr>
          <w:trHeight w:val="156"/>
        </w:trPr>
        <w:tc>
          <w:tcPr>
            <w:tcW w:w="2040" w:type="dxa"/>
            <w:vAlign w:val="bottom"/>
          </w:tcPr>
          <w:p>
            <w:pPr>
              <w:spacing w:after="0"/>
              <w:rPr>
                <w:sz w:val="13"/>
                <w:szCs w:val="13"/>
                <w:color w:val="auto"/>
              </w:rPr>
            </w:pPr>
          </w:p>
        </w:tc>
        <w:tc>
          <w:tcPr>
            <w:tcW w:w="112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1160" w:type="dxa"/>
            <w:vAlign w:val="bottom"/>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(Payments) /</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70"/>
        </w:trPr>
        <w:tc>
          <w:tcPr>
            <w:tcW w:w="2040" w:type="dxa"/>
            <w:vAlign w:val="bottom"/>
          </w:tcPr>
          <w:p>
            <w:pPr>
              <w:spacing w:after="0"/>
              <w:rPr>
                <w:sz w:val="14"/>
                <w:szCs w:val="14"/>
                <w:color w:val="auto"/>
              </w:rPr>
            </w:pPr>
          </w:p>
        </w:tc>
        <w:tc>
          <w:tcPr>
            <w:tcW w:w="1120" w:type="dxa"/>
            <w:vAlign w:val="bottom"/>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Receives</w:t>
            </w:r>
          </w:p>
        </w:tc>
        <w:tc>
          <w:tcPr>
            <w:tcW w:w="1160" w:type="dxa"/>
            <w:vAlign w:val="bottom"/>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Pays</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4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Receipts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Gains / (Losses)</w:t>
            </w:r>
          </w:p>
        </w:tc>
      </w:tr>
      <w:tr>
        <w:trPr>
          <w:trHeight w:val="156"/>
        </w:trPr>
        <w:tc>
          <w:tcPr>
            <w:tcW w:w="20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12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6.50%</w:t>
            </w:r>
          </w:p>
        </w:tc>
        <w:tc>
          <w:tcPr>
            <w:tcW w:w="11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SOFR + 2.51%</w:t>
            </w:r>
          </w:p>
        </w:tc>
        <w:tc>
          <w:tcPr>
            <w:tcW w:w="124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3/11/2029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11,772</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13,980</w:t>
            </w:r>
          </w:p>
        </w:tc>
      </w:tr>
      <w:tr>
        <w:trPr>
          <w:trHeight w:val="156"/>
        </w:trPr>
        <w:tc>
          <w:tcPr>
            <w:tcW w:w="204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12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6.50%</w:t>
            </w:r>
          </w:p>
        </w:tc>
        <w:tc>
          <w:tcPr>
            <w:tcW w:w="11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SOFR + 2.22%</w:t>
            </w:r>
          </w:p>
        </w:tc>
        <w:tc>
          <w:tcPr>
            <w:tcW w:w="10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3/11/2029</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3,234</w:t>
            </w:r>
          </w:p>
        </w:tc>
        <w:tc>
          <w:tcPr>
            <w:tcW w:w="80" w:type="dxa"/>
            <w:vAlign w:val="bottom"/>
          </w:tcPr>
          <w:p>
            <w:pPr>
              <w:spacing w:after="0"/>
              <w:rPr>
                <w:sz w:val="13"/>
                <w:szCs w:val="13"/>
                <w:color w:val="auto"/>
              </w:rPr>
            </w:pPr>
          </w:p>
        </w:tc>
      </w:tr>
      <w:tr>
        <w:trPr>
          <w:trHeight w:val="156"/>
        </w:trPr>
        <w:tc>
          <w:tcPr>
            <w:tcW w:w="20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12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5.75%</w:t>
            </w:r>
          </w:p>
        </w:tc>
        <w:tc>
          <w:tcPr>
            <w:tcW w:w="11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SOFR + 2.55%</w:t>
            </w:r>
          </w:p>
        </w:tc>
        <w:tc>
          <w:tcPr>
            <w:tcW w:w="10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1/15/2030</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(4,825)</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19,310</w:t>
            </w:r>
          </w:p>
        </w:tc>
      </w:tr>
      <w:tr>
        <w:trPr>
          <w:trHeight w:val="156"/>
        </w:trPr>
        <w:tc>
          <w:tcPr>
            <w:tcW w:w="204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12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6.13%</w:t>
            </w:r>
          </w:p>
        </w:tc>
        <w:tc>
          <w:tcPr>
            <w:tcW w:w="11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SOFR + 2.01%</w:t>
            </w:r>
          </w:p>
        </w:tc>
        <w:tc>
          <w:tcPr>
            <w:tcW w:w="10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7/15/2030</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23,466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23,466</w:t>
            </w:r>
          </w:p>
        </w:tc>
      </w:tr>
      <w:tr>
        <w:trPr>
          <w:trHeight w:val="156"/>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Hedge Accounting Swaps</w:t>
            </w:r>
          </w:p>
        </w:tc>
        <w:tc>
          <w:tcPr>
            <w:tcW w:w="1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2,100,000</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34,776</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59,990</w:t>
            </w:r>
          </w:p>
        </w:tc>
      </w:tr>
      <w:tr>
        <w:trPr>
          <w:trHeight w:val="156"/>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Cash collateral</w:t>
            </w: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106,770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2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Total derivatives</w:t>
            </w:r>
          </w:p>
        </w:tc>
        <w:tc>
          <w:tcPr>
            <w:tcW w:w="1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2,100,000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141,546</w:t>
            </w:r>
          </w:p>
        </w:tc>
        <w:tc>
          <w:tcPr>
            <w:tcW w:w="14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59,990</w:t>
            </w:r>
          </w:p>
        </w:tc>
      </w:tr>
      <w:tr>
        <w:trPr>
          <w:trHeight w:val="20"/>
        </w:trPr>
        <w:tc>
          <w:tcPr>
            <w:tcW w:w="20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(a)Contains a variable rate structure. Bears interest at a rate determined by SOFR.</w:t>
      </w:r>
    </w:p>
    <w:p>
      <w:pPr>
        <w:spacing w:after="0" w:line="14" w:lineRule="exact"/>
        <w:rPr>
          <w:sz w:val="20"/>
          <w:szCs w:val="20"/>
          <w:color w:val="auto"/>
        </w:rPr>
      </w:pPr>
    </w:p>
    <w:p>
      <w:pPr>
        <w:ind w:left="480" w:right="180"/>
        <w:spacing w:after="0" w:line="238" w:lineRule="auto"/>
        <w:rPr>
          <w:sz w:val="20"/>
          <w:szCs w:val="20"/>
          <w:color w:val="auto"/>
        </w:rPr>
      </w:pPr>
      <w:r>
        <w:rPr>
          <w:rFonts w:ascii="Times New Roman" w:cs="Times New Roman" w:eastAsia="Times New Roman" w:hAnsi="Times New Roman"/>
          <w:sz w:val="16"/>
          <w:szCs w:val="16"/>
          <w:color w:val="auto"/>
        </w:rPr>
        <w:t>(b)Instrument is used in a hedge accounting relationship. The associated change in fair value is recorded along with the change in fair value of the hedged item within interest expense.</w:t>
      </w:r>
    </w:p>
    <w:p>
      <w:pPr>
        <w:spacing w:after="0" w:line="169"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6"/>
          <w:szCs w:val="16"/>
          <w:color w:val="auto"/>
        </w:rPr>
        <w:t>(1)Unless otherwise indicated, the Company’s portfolio companies are domiciled in the United States. Under the Investment Company Act of 1940, as amended (the “1940 Act”), the Company would “control” a portfolio company if the Company owned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more than 25% of its outstanding voting securities and/or had the power to exercise control over the management or policies of</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 w:name="page11"/>
    <w:bookmarkEnd w:id="10"/>
    <w:p>
      <w:pPr>
        <w:spacing w:after="0" w:line="113"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6"/>
          <w:szCs w:val="16"/>
          <w:color w:val="auto"/>
        </w:rPr>
        <w:t>such portfolio company. As of September 30, 2025, the Company does not “control” any of the portfolio companies. Also under the 1940 Act, the Company would be deemed to be an “Affiliated Person” of a portfolio company if the Company owns more than 5% of the portfolio company’s outstanding voting securities. As of September 30, 2025, the Company does not identify any of its portfolio companies as affiliates.</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(2)The amortized cost represents the original cost adjusted for the amortization of discounts and premiums, as applicable, on debt investments using the effective interest method.</w:t>
      </w:r>
    </w:p>
    <w:p>
      <w:pPr>
        <w:spacing w:after="0" w:line="236" w:lineRule="auto"/>
        <w:rPr>
          <w:sz w:val="20"/>
          <w:szCs w:val="20"/>
          <w:color w:val="auto"/>
        </w:rPr>
      </w:pPr>
      <w:r>
        <w:rPr>
          <w:rFonts w:ascii="Times New Roman" w:cs="Times New Roman" w:eastAsia="Times New Roman" w:hAnsi="Times New Roman"/>
          <w:sz w:val="16"/>
          <w:szCs w:val="16"/>
          <w:color w:val="auto"/>
        </w:rPr>
        <w:t>(3)Investment contains a variable rate structure, subject to an interest rate floor. Variable rate investments bear interest at a rate that</w:t>
      </w:r>
    </w:p>
    <w:p>
      <w:pPr>
        <w:spacing w:after="0" w:line="234" w:lineRule="auto"/>
        <w:rPr>
          <w:sz w:val="20"/>
          <w:szCs w:val="20"/>
          <w:color w:val="auto"/>
        </w:rPr>
      </w:pPr>
      <w:r>
        <w:rPr>
          <w:rFonts w:ascii="Times New Roman" w:cs="Times New Roman" w:eastAsia="Times New Roman" w:hAnsi="Times New Roman"/>
          <w:sz w:val="16"/>
          <w:szCs w:val="16"/>
          <w:color w:val="auto"/>
        </w:rPr>
        <w:t>may be determined by reference to either Canadian Overnight Repo Rate Average (“CORRA” or "C"), Euro Interbank Offer Rate (“EURIBOR” or “E”), Term Secured Overnight Financing Rate (“SOFR”), which may also contain a credit spread adjustment depending on the tenor election, Sterling Overnight Index Average Rate (“SONIA”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2025.</w:t>
      </w:r>
    </w:p>
    <w:p>
      <w:pPr>
        <w:spacing w:after="0" w:line="4" w:lineRule="exact"/>
        <w:rPr>
          <w:sz w:val="20"/>
          <w:szCs w:val="20"/>
          <w:color w:val="auto"/>
        </w:rPr>
      </w:pPr>
    </w:p>
    <w:p>
      <w:pPr>
        <w:ind w:right="260"/>
        <w:spacing w:after="0" w:line="234" w:lineRule="auto"/>
        <w:rPr>
          <w:sz w:val="20"/>
          <w:szCs w:val="20"/>
          <w:color w:val="auto"/>
        </w:rPr>
      </w:pPr>
      <w:r>
        <w:rPr>
          <w:rFonts w:ascii="Times New Roman" w:cs="Times New Roman" w:eastAsia="Times New Roman" w:hAnsi="Times New Roman"/>
          <w:sz w:val="16"/>
          <w:szCs w:val="16"/>
          <w:color w:val="auto"/>
        </w:rPr>
        <w:t>(4)This portfolio company is not a qualifying asset under Section 55(a) of the 1940 Act. Under the 1940 Act, the Company may not acquire any non -qualifying asset unless, at the time such acquisition is made, qualifying assets represent at least 70% of total assets. Non-qualifying assets represented 27.7% of total assets as of September 30, 2025.</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(5)In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3" w:lineRule="exact"/>
        <w:rPr>
          <w:sz w:val="20"/>
          <w:szCs w:val="20"/>
          <w:color w:val="auto"/>
        </w:rPr>
      </w:pPr>
    </w:p>
    <w:p>
      <w:pPr>
        <w:ind w:right="3080"/>
        <w:spacing w:after="0" w:line="234" w:lineRule="auto"/>
        <w:rPr>
          <w:sz w:val="20"/>
          <w:szCs w:val="20"/>
          <w:color w:val="auto"/>
        </w:rPr>
      </w:pPr>
      <w:r>
        <w:rPr>
          <w:rFonts w:ascii="Times New Roman" w:cs="Times New Roman" w:eastAsia="Times New Roman" w:hAnsi="Times New Roman"/>
          <w:sz w:val="16"/>
          <w:szCs w:val="16"/>
          <w:color w:val="auto"/>
        </w:rPr>
        <w:t>(6)In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3"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16"/>
          <w:szCs w:val="16"/>
          <w:color w:val="auto"/>
        </w:rPr>
        <w:t>(7)As of September 30, 2025, the estimated cost basis of investments for U.S. federal tax purposes was $7,496,394 resulting in estimated gross unrealized gains and losses of $316,289 and $199,457, respectfully.</w:t>
      </w:r>
    </w:p>
    <w:p>
      <w:pPr>
        <w:spacing w:after="0" w:line="236" w:lineRule="auto"/>
        <w:rPr>
          <w:sz w:val="20"/>
          <w:szCs w:val="20"/>
          <w:color w:val="auto"/>
        </w:rPr>
      </w:pPr>
      <w:r>
        <w:rPr>
          <w:rFonts w:ascii="Times New Roman" w:cs="Times New Roman" w:eastAsia="Times New Roman" w:hAnsi="Times New Roman"/>
          <w:sz w:val="16"/>
          <w:szCs w:val="16"/>
          <w:color w:val="auto"/>
        </w:rPr>
        <w:t>(8)This investment is non-income producing.</w:t>
      </w:r>
    </w:p>
    <w:p>
      <w:pPr>
        <w:spacing w:after="0" w:line="235" w:lineRule="auto"/>
        <w:rPr>
          <w:sz w:val="20"/>
          <w:szCs w:val="20"/>
          <w:color w:val="auto"/>
        </w:rPr>
      </w:pPr>
      <w:r>
        <w:rPr>
          <w:rFonts w:ascii="Times New Roman" w:cs="Times New Roman" w:eastAsia="Times New Roman" w:hAnsi="Times New Roman"/>
          <w:sz w:val="16"/>
          <w:szCs w:val="16"/>
          <w:color w:val="auto"/>
        </w:rPr>
        <w:t>(9)Certain portfolio company investments are subject to contractual restrictions on sales.</w:t>
      </w:r>
    </w:p>
    <w:p>
      <w:pPr>
        <w:ind w:right="40"/>
        <w:spacing w:after="0" w:line="234" w:lineRule="auto"/>
        <w:rPr>
          <w:sz w:val="20"/>
          <w:szCs w:val="20"/>
          <w:color w:val="auto"/>
        </w:rPr>
      </w:pPr>
      <w:r>
        <w:rPr>
          <w:rFonts w:ascii="Times New Roman" w:cs="Times New Roman" w:eastAsia="Times New Roman" w:hAnsi="Times New Roman"/>
          <w:sz w:val="16"/>
          <w:szCs w:val="16"/>
          <w:color w:val="auto"/>
        </w:rPr>
        <w:t>(10)All or a portion of this security was acquired in a transaction exempt from registration under the Securities Act of 1933, as amended (the “Securities Act”), and may be deemed to be “restricted securities” under the Securities Act. As of September 30, 2025, the aggregate fair value of these securities is $60,754, or 1.4% of the Company’s net assets.</w:t>
      </w:r>
    </w:p>
    <w:p>
      <w:pPr>
        <w:spacing w:after="0" w:line="2"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16"/>
          <w:szCs w:val="16"/>
          <w:color w:val="auto"/>
        </w:rPr>
        <w:t>(11)In addition to the principal amount outstanding and accrued interest owed on this investment, the Company is entitled to a separate Make-Whole Amount (the “Make-Whole”) of $27.8 million. The Make-Whole is a contractual obligation of the borrower and accrues interest on the balance outstanding. The Make -Whole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3" w:lineRule="exact"/>
        <w:rPr>
          <w:sz w:val="20"/>
          <w:szCs w:val="20"/>
          <w:color w:val="auto"/>
        </w:rPr>
      </w:pPr>
    </w:p>
    <w:p>
      <w:pPr>
        <w:ind w:right="2500"/>
        <w:spacing w:after="0" w:line="234" w:lineRule="auto"/>
        <w:rPr>
          <w:sz w:val="20"/>
          <w:szCs w:val="20"/>
          <w:color w:val="auto"/>
        </w:rPr>
      </w:pPr>
      <w:r>
        <w:rPr>
          <w:rFonts w:ascii="Times New Roman" w:cs="Times New Roman" w:eastAsia="Times New Roman" w:hAnsi="Times New Roman"/>
          <w:sz w:val="16"/>
          <w:szCs w:val="16"/>
          <w:color w:val="auto"/>
        </w:rPr>
        <w:t>(12)This investment is valued using observable inputs and is considered a Level 2 investment. See Note 6 for further information related to investments at fair value.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(13)See Note 5 for further information related to foreign currency forward contracts.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Sixth Street Lending Partners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as of December 31, 2024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419735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359"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32"/>
        </w:trPr>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8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90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22"/>
        </w:trPr>
        <w:tc>
          <w:tcPr>
            <w:tcW w:w="17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8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90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247"/>
              <w:spacing w:after="0" w:line="122"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r>
      <w:tr>
        <w:trPr>
          <w:trHeight w:val="144"/>
        </w:trPr>
        <w:tc>
          <w:tcPr>
            <w:tcW w:w="1780" w:type="dxa"/>
            <w:vAlign w:val="bottom"/>
          </w:tcPr>
          <w:p>
            <w:pPr>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Company </w:t>
            </w:r>
            <w:r>
              <w:rPr>
                <w:rFonts w:ascii="Times New Roman" w:cs="Times New Roman" w:eastAsia="Times New Roman" w:hAnsi="Times New Roman"/>
                <w:sz w:val="14"/>
                <w:szCs w:val="14"/>
                <w:b w:val="1"/>
                <w:bCs w:val="1"/>
                <w:color w:val="auto"/>
                <w:vertAlign w:val="superscript"/>
              </w:rPr>
              <w:t>(1)(9)</w:t>
            </w:r>
          </w:p>
        </w:tc>
        <w:tc>
          <w:tcPr>
            <w:tcW w:w="2460" w:type="dxa"/>
            <w:vAlign w:val="bottom"/>
          </w:tcPr>
          <w:p>
            <w:pPr>
              <w:ind w:left="98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8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90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36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80" w:type="dxa"/>
            <w:vAlign w:val="bottom"/>
          </w:tcPr>
          <w:p>
            <w:pPr>
              <w:spacing w:after="0"/>
              <w:rPr>
                <w:sz w:val="12"/>
                <w:szCs w:val="12"/>
                <w:color w:val="auto"/>
              </w:rPr>
            </w:pPr>
          </w:p>
        </w:tc>
        <w:tc>
          <w:tcPr>
            <w:tcW w:w="840" w:type="dxa"/>
            <w:vAlign w:val="bottom"/>
          </w:tcPr>
          <w:p>
            <w:pPr>
              <w:jc w:val="right"/>
              <w:ind w:right="267"/>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Cost</w:t>
            </w:r>
            <w:r>
              <w:rPr>
                <w:rFonts w:ascii="Times New Roman" w:cs="Times New Roman" w:eastAsia="Times New Roman" w:hAnsi="Times New Roman"/>
                <w:sz w:val="6"/>
                <w:szCs w:val="6"/>
                <w:b w:val="1"/>
                <w:bCs w:val="1"/>
                <w:color w:val="auto"/>
              </w:rPr>
              <w:t xml:space="preserve"> (2) (7)</w:t>
            </w:r>
          </w:p>
        </w:tc>
        <w:tc>
          <w:tcPr>
            <w:tcW w:w="160" w:type="dxa"/>
            <w:vAlign w:val="bottom"/>
          </w:tcPr>
          <w:p>
            <w:pPr>
              <w:spacing w:after="0"/>
              <w:rPr>
                <w:sz w:val="12"/>
                <w:szCs w:val="12"/>
                <w:color w:val="auto"/>
              </w:rPr>
            </w:pPr>
          </w:p>
        </w:tc>
        <w:tc>
          <w:tcPr>
            <w:tcW w:w="920" w:type="dxa"/>
            <w:vAlign w:val="bottom"/>
          </w:tcPr>
          <w:p>
            <w:pPr>
              <w:jc w:val="right"/>
              <w:ind w:right="226"/>
              <w:spacing w:after="0" w:line="144" w:lineRule="exact"/>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(6)</w:t>
            </w:r>
          </w:p>
        </w:tc>
        <w:tc>
          <w:tcPr>
            <w:tcW w:w="98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of Net Assets</w:t>
            </w:r>
          </w:p>
        </w:tc>
      </w:tr>
      <w:tr>
        <w:trPr>
          <w:trHeight w:val="144"/>
        </w:trPr>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Debt Investments</w:t>
            </w:r>
          </w:p>
        </w:tc>
        <w:tc>
          <w:tcPr>
            <w:tcW w:w="24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r>
      <w:tr>
        <w:trPr>
          <w:trHeight w:val="132"/>
        </w:trPr>
        <w:tc>
          <w:tcPr>
            <w:tcW w:w="1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2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Truck-Lite Co., LLC </w:t>
            </w:r>
            <w:r>
              <w:rPr>
                <w:rFonts w:ascii="Times New Roman" w:cs="Times New Roman" w:eastAsia="Times New Roman" w:hAnsi="Times New Roman"/>
                <w:sz w:val="14"/>
                <w:szCs w:val="14"/>
                <w:color w:val="auto"/>
                <w:vertAlign w:val="superscript"/>
              </w:rPr>
              <w:t>(3)</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($280,937 par, due 2/2031)</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2/13/2024</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+ 5.75%</w:t>
            </w:r>
          </w:p>
        </w:tc>
        <w:tc>
          <w:tcPr>
            <w:tcW w:w="13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10.27%</w:t>
            </w:r>
          </w:p>
        </w:tc>
        <w:tc>
          <w:tcPr>
            <w:tcW w:w="1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277,851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281,792</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w:t>
            </w:r>
          </w:p>
        </w:tc>
      </w:tr>
      <w:tr>
        <w:trPr>
          <w:trHeight w:val="132"/>
        </w:trPr>
        <w:tc>
          <w:tcPr>
            <w:tcW w:w="1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Business Services</w:t>
            </w:r>
          </w:p>
        </w:tc>
        <w:tc>
          <w:tcPr>
            <w:tcW w:w="2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Artisan Bidco, Inc.</w:t>
            </w:r>
            <w:r>
              <w:rPr>
                <w:rFonts w:ascii="Times New Roman" w:cs="Times New Roman" w:eastAsia="Times New Roman" w:hAnsi="Times New Roman"/>
                <w:sz w:val="14"/>
                <w:szCs w:val="14"/>
                <w:color w:val="auto"/>
                <w:vertAlign w:val="superscript"/>
              </w:rPr>
              <w:t>(3)</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($114,848 par, due 11/2029)</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11/7/2023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+ 7.00%</w:t>
            </w:r>
          </w:p>
        </w:tc>
        <w:tc>
          <w:tcPr>
            <w:tcW w:w="13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11.39%</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112,663</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114,848</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32"/>
        </w:trPr>
        <w:tc>
          <w:tcPr>
            <w:tcW w:w="1780" w:type="dxa"/>
            <w:vAlign w:val="bottom"/>
          </w:tcPr>
          <w:p>
            <w:pPr>
              <w:spacing w:after="0"/>
              <w:rPr>
                <w:sz w:val="11"/>
                <w:szCs w:val="11"/>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(EUR 51,863 par, due 11/2029)</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11/7/2023</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E + 7.00%</w:t>
            </w: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10.05%</w:t>
            </w:r>
          </w:p>
        </w:tc>
        <w:tc>
          <w:tcPr>
            <w:tcW w:w="180" w:type="dxa"/>
            <w:vAlign w:val="bottom"/>
          </w:tcPr>
          <w:p>
            <w:pPr>
              <w:spacing w:after="0"/>
              <w:rPr>
                <w:sz w:val="11"/>
                <w:szCs w:val="11"/>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54,775</w:t>
            </w: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53,704</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(EUR 51,863)</w:t>
            </w:r>
          </w:p>
        </w:tc>
        <w:tc>
          <w:tcPr>
            <w:tcW w:w="980" w:type="dxa"/>
            <w:vAlign w:val="bottom"/>
          </w:tcPr>
          <w:p>
            <w:pPr>
              <w:spacing w:after="0"/>
              <w:rPr>
                <w:sz w:val="11"/>
                <w:szCs w:val="11"/>
                <w:color w:val="auto"/>
              </w:rPr>
            </w:pPr>
          </w:p>
        </w:tc>
      </w:tr>
      <w:tr>
        <w:trPr>
          <w:trHeight w:val="132"/>
        </w:trPr>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Azurite Intermediate Holdings, Inc. </w:t>
            </w:r>
            <w:r>
              <w:rPr>
                <w:rFonts w:ascii="Times New Roman" w:cs="Times New Roman" w:eastAsia="Times New Roman" w:hAnsi="Times New Roman"/>
                <w:sz w:val="14"/>
                <w:szCs w:val="14"/>
                <w:color w:val="auto"/>
                <w:vertAlign w:val="superscript"/>
              </w:rPr>
              <w:t>(3)</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($213,750 par, due 3/2031)</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3/19/2024</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+ 6.50%</w:t>
            </w:r>
          </w:p>
        </w:tc>
        <w:tc>
          <w:tcPr>
            <w:tcW w:w="13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10.86%</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210,194</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212,562</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w:t>
            </w:r>
          </w:p>
        </w:tc>
      </w:tr>
      <w:tr>
        <w:trPr>
          <w:trHeight w:val="132"/>
        </w:trPr>
        <w:tc>
          <w:tcPr>
            <w:tcW w:w="178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BCTO Ignition Purchaser, Inc. </w:t>
            </w:r>
            <w:r>
              <w:rPr>
                <w:rFonts w:ascii="Times New Roman" w:cs="Times New Roman" w:eastAsia="Times New Roman" w:hAnsi="Times New Roman"/>
                <w:sz w:val="14"/>
                <w:szCs w:val="14"/>
                <w:color w:val="auto"/>
                <w:vertAlign w:val="superscript"/>
              </w:rPr>
              <w:t>(3)</w:t>
            </w:r>
          </w:p>
        </w:tc>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holdco loan ($120,769 par, due 10/2030)</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4/18/2023</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+ 8.50%</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13.13% PIK</w:t>
            </w:r>
          </w:p>
        </w:tc>
        <w:tc>
          <w:tcPr>
            <w:tcW w:w="180" w:type="dxa"/>
            <w:vAlign w:val="bottom"/>
          </w:tcPr>
          <w:p>
            <w:pPr>
              <w:spacing w:after="0"/>
              <w:rPr>
                <w:sz w:val="11"/>
                <w:szCs w:val="11"/>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118,441</w:t>
            </w: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123,184</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r>
      <w:tr>
        <w:trPr>
          <w:trHeight w:val="132"/>
        </w:trPr>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Crewline Buyer, Inc. </w:t>
            </w:r>
            <w:r>
              <w:rPr>
                <w:rFonts w:ascii="Times New Roman" w:cs="Times New Roman" w:eastAsia="Times New Roman" w:hAnsi="Times New Roman"/>
                <w:sz w:val="14"/>
                <w:szCs w:val="14"/>
                <w:color w:val="auto"/>
                <w:vertAlign w:val="superscript"/>
              </w:rPr>
              <w:t>(3)</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($154,281 par, due 11/2030)</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11/8/2023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+ 6.75%</w:t>
            </w:r>
          </w:p>
        </w:tc>
        <w:tc>
          <w:tcPr>
            <w:tcW w:w="13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11.11%</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150,499</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155,553</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32"/>
        </w:trPr>
        <w:tc>
          <w:tcPr>
            <w:tcW w:w="178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Dye &amp; Durham Corp. </w:t>
            </w:r>
            <w:r>
              <w:rPr>
                <w:rFonts w:ascii="Times New Roman" w:cs="Times New Roman" w:eastAsia="Times New Roman" w:hAnsi="Times New Roman"/>
                <w:sz w:val="14"/>
                <w:szCs w:val="14"/>
                <w:color w:val="auto"/>
                <w:vertAlign w:val="superscript"/>
              </w:rPr>
              <w:t>(3)(4)(12)</w:t>
            </w:r>
          </w:p>
        </w:tc>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($955 par, due 4/2031)</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4/4/2024</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+ 4.10%</w:t>
            </w: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8.43%</w:t>
            </w:r>
          </w:p>
        </w:tc>
        <w:tc>
          <w:tcPr>
            <w:tcW w:w="180" w:type="dxa"/>
            <w:vAlign w:val="bottom"/>
          </w:tcPr>
          <w:p>
            <w:pPr>
              <w:spacing w:after="0"/>
              <w:rPr>
                <w:sz w:val="11"/>
                <w:szCs w:val="11"/>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941</w:t>
            </w: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964</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Elements Finco Limited </w:t>
            </w:r>
            <w:r>
              <w:rPr>
                <w:rFonts w:ascii="Times New Roman" w:cs="Times New Roman" w:eastAsia="Times New Roman" w:hAnsi="Times New Roman"/>
                <w:sz w:val="14"/>
                <w:szCs w:val="14"/>
                <w:color w:val="auto"/>
                <w:vertAlign w:val="superscript"/>
              </w:rPr>
              <w:t>(3)(4)</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($45,917 par, due 4/2031)</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4/29/2024</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+ 4.97%</w:t>
            </w:r>
          </w:p>
        </w:tc>
        <w:tc>
          <w:tcPr>
            <w:tcW w:w="13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9.33% (incl. 1.97% PIK)</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45,546</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45,917</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1780" w:type="dxa"/>
            <w:vAlign w:val="bottom"/>
          </w:tcPr>
          <w:p>
            <w:pPr>
              <w:spacing w:after="0"/>
              <w:rPr>
                <w:sz w:val="11"/>
                <w:szCs w:val="11"/>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(GBP 115,946 par, due 4/2031)</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4/29/2024</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 + 5.25%</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9.95% (incl. 2.25% PIK)</w:t>
            </w:r>
          </w:p>
        </w:tc>
        <w:tc>
          <w:tcPr>
            <w:tcW w:w="180" w:type="dxa"/>
            <w:vAlign w:val="bottom"/>
          </w:tcPr>
          <w:p>
            <w:pPr>
              <w:spacing w:after="0"/>
              <w:rPr>
                <w:sz w:val="11"/>
                <w:szCs w:val="11"/>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144,105</w:t>
            </w: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145,210</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32"/>
        </w:trPr>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(GBP 115,946)</w:t>
            </w:r>
          </w:p>
        </w:tc>
        <w:tc>
          <w:tcPr>
            <w:tcW w:w="980" w:type="dxa"/>
            <w:vAlign w:val="bottom"/>
          </w:tcPr>
          <w:p>
            <w:pPr>
              <w:spacing w:after="0"/>
              <w:rPr>
                <w:sz w:val="11"/>
                <w:szCs w:val="11"/>
                <w:color w:val="auto"/>
              </w:rPr>
            </w:pPr>
          </w:p>
        </w:tc>
      </w:tr>
      <w:tr>
        <w:trPr>
          <w:trHeight w:val="132"/>
        </w:trPr>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Galileo Parent, Inc. </w:t>
            </w:r>
            <w:r>
              <w:rPr>
                <w:rFonts w:ascii="Times New Roman" w:cs="Times New Roman" w:eastAsia="Times New Roman" w:hAnsi="Times New Roman"/>
                <w:sz w:val="14"/>
                <w:szCs w:val="14"/>
                <w:color w:val="auto"/>
                <w:vertAlign w:val="superscript"/>
              </w:rPr>
              <w:t>(3)</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($149,549 par, due 5/2030)</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5/3/2023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+ 5.75%</w:t>
            </w:r>
          </w:p>
        </w:tc>
        <w:tc>
          <w:tcPr>
            <w:tcW w:w="13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10.08%</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146,131</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149,549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32"/>
        </w:trPr>
        <w:tc>
          <w:tcPr>
            <w:tcW w:w="1780" w:type="dxa"/>
            <w:vAlign w:val="bottom"/>
          </w:tcPr>
          <w:p>
            <w:pPr>
              <w:spacing w:after="0"/>
              <w:rPr>
                <w:sz w:val="11"/>
                <w:szCs w:val="11"/>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revolving loan ($10,769 par, due 5/2030)</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5/3/2023</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+ 5.75%</w:t>
            </w: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10.08%</w:t>
            </w:r>
          </w:p>
        </w:tc>
        <w:tc>
          <w:tcPr>
            <w:tcW w:w="180" w:type="dxa"/>
            <w:vAlign w:val="bottom"/>
          </w:tcPr>
          <w:p>
            <w:pPr>
              <w:spacing w:after="0"/>
              <w:rPr>
                <w:sz w:val="11"/>
                <w:szCs w:val="11"/>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10,259</w:t>
            </w: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10,769</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32"/>
        </w:trPr>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Lynx BidCo </w:t>
            </w:r>
            <w:r>
              <w:rPr>
                <w:rFonts w:ascii="Times New Roman" w:cs="Times New Roman" w:eastAsia="Times New Roman" w:hAnsi="Times New Roman"/>
                <w:sz w:val="14"/>
                <w:szCs w:val="14"/>
                <w:color w:val="auto"/>
                <w:vertAlign w:val="superscript"/>
              </w:rPr>
              <w:t>(3)(4)</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($39,996 par, due 7/2031)</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7/5/2024</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+ 7.11%</w:t>
            </w:r>
          </w:p>
        </w:tc>
        <w:tc>
          <w:tcPr>
            <w:tcW w:w="13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11.75% (incl. 5.61% PIK)</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38,963</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39,182</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32"/>
        </w:trPr>
        <w:tc>
          <w:tcPr>
            <w:tcW w:w="1780" w:type="dxa"/>
            <w:vAlign w:val="bottom"/>
          </w:tcPr>
          <w:p>
            <w:pPr>
              <w:spacing w:after="0"/>
              <w:rPr>
                <w:sz w:val="11"/>
                <w:szCs w:val="11"/>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(EUR 16,816 par, due 7/2031)</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7/5/2024</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E + 7.11%</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10.38% (incl. 5.61% PIK)</w:t>
            </w:r>
          </w:p>
        </w:tc>
        <w:tc>
          <w:tcPr>
            <w:tcW w:w="180" w:type="dxa"/>
            <w:vAlign w:val="bottom"/>
          </w:tcPr>
          <w:p>
            <w:pPr>
              <w:spacing w:after="0"/>
              <w:rPr>
                <w:sz w:val="11"/>
                <w:szCs w:val="11"/>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17,822</w:t>
            </w: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17,196</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32"/>
        </w:trPr>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(EUR 16,606)</w:t>
            </w:r>
          </w:p>
        </w:tc>
        <w:tc>
          <w:tcPr>
            <w:tcW w:w="980" w:type="dxa"/>
            <w:vAlign w:val="bottom"/>
          </w:tcPr>
          <w:p>
            <w:pPr>
              <w:spacing w:after="0"/>
              <w:rPr>
                <w:sz w:val="11"/>
                <w:szCs w:val="11"/>
                <w:color w:val="auto"/>
              </w:rPr>
            </w:pPr>
          </w:p>
        </w:tc>
      </w:tr>
      <w:tr>
        <w:trPr>
          <w:trHeight w:val="132"/>
        </w:trPr>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Price Fx Inc. </w:t>
            </w:r>
            <w:r>
              <w:rPr>
                <w:rFonts w:ascii="Times New Roman" w:cs="Times New Roman" w:eastAsia="Times New Roman" w:hAnsi="Times New Roman"/>
                <w:sz w:val="14"/>
                <w:szCs w:val="14"/>
                <w:color w:val="auto"/>
                <w:vertAlign w:val="superscript"/>
              </w:rPr>
              <w:t>(3)(4)</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(EUR 910 par, due 10/2029)</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10/27/2023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 + 7.00%</w:t>
            </w:r>
          </w:p>
        </w:tc>
        <w:tc>
          <w:tcPr>
            <w:tcW w:w="13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10.06%</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966</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947</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1780" w:type="dxa"/>
            <w:vAlign w:val="bottom"/>
            <w:shd w:val="clear" w:color="auto" w:fill="CFF0FC"/>
          </w:tcPr>
          <w:p>
            <w:pPr>
              <w:spacing w:after="0"/>
              <w:rPr>
                <w:sz w:val="11"/>
                <w:szCs w:val="11"/>
                <w:color w:val="auto"/>
              </w:rPr>
            </w:pPr>
          </w:p>
        </w:tc>
        <w:tc>
          <w:tcPr>
            <w:tcW w:w="24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(EUR 915)</w:t>
            </w:r>
          </w:p>
        </w:tc>
        <w:tc>
          <w:tcPr>
            <w:tcW w:w="980" w:type="dxa"/>
            <w:vAlign w:val="bottom"/>
            <w:shd w:val="clear" w:color="auto" w:fill="CFF0FC"/>
          </w:tcPr>
          <w:p>
            <w:pPr>
              <w:spacing w:after="0"/>
              <w:rPr>
                <w:sz w:val="11"/>
                <w:szCs w:val="11"/>
                <w:color w:val="auto"/>
              </w:rPr>
            </w:pPr>
          </w:p>
        </w:tc>
      </w:tr>
      <w:tr>
        <w:trPr>
          <w:trHeight w:val="132"/>
        </w:trPr>
        <w:tc>
          <w:tcPr>
            <w:tcW w:w="1780" w:type="dxa"/>
            <w:vAlign w:val="bottom"/>
          </w:tcPr>
          <w:p>
            <w:pPr>
              <w:spacing w:after="0"/>
              <w:rPr>
                <w:sz w:val="11"/>
                <w:szCs w:val="11"/>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(EUR 910 par, due 10/2029)</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12/19/2024</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E + 6.25%</w:t>
            </w: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9.12%</w:t>
            </w:r>
          </w:p>
        </w:tc>
        <w:tc>
          <w:tcPr>
            <w:tcW w:w="180" w:type="dxa"/>
            <w:vAlign w:val="bottom"/>
          </w:tcPr>
          <w:p>
            <w:pPr>
              <w:spacing w:after="0"/>
              <w:rPr>
                <w:sz w:val="11"/>
                <w:szCs w:val="11"/>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921</w:t>
            </w: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919</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(EUR 887)</w:t>
            </w:r>
          </w:p>
        </w:tc>
        <w:tc>
          <w:tcPr>
            <w:tcW w:w="980" w:type="dxa"/>
            <w:vAlign w:val="bottom"/>
          </w:tcPr>
          <w:p>
            <w:pPr>
              <w:spacing w:after="0"/>
              <w:rPr>
                <w:sz w:val="11"/>
                <w:szCs w:val="11"/>
                <w:color w:val="auto"/>
              </w:rPr>
            </w:pPr>
          </w:p>
        </w:tc>
      </w:tr>
      <w:tr>
        <w:trPr>
          <w:trHeight w:val="132"/>
        </w:trPr>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USA DeBusk, LLC </w:t>
            </w:r>
            <w:r>
              <w:rPr>
                <w:rFonts w:ascii="Times New Roman" w:cs="Times New Roman" w:eastAsia="Times New Roman" w:hAnsi="Times New Roman"/>
                <w:sz w:val="14"/>
                <w:szCs w:val="14"/>
                <w:color w:val="auto"/>
                <w:vertAlign w:val="superscript"/>
              </w:rPr>
              <w:t>(3)</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($103,491 par, due 4/2031)</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4/30/2024</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+ 5.25%</w:t>
            </w:r>
          </w:p>
        </w:tc>
        <w:tc>
          <w:tcPr>
            <w:tcW w:w="13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9.62%</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101,829</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103,491</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32"/>
        </w:trPr>
        <w:tc>
          <w:tcPr>
            <w:tcW w:w="1780" w:type="dxa"/>
            <w:vAlign w:val="bottom"/>
          </w:tcPr>
          <w:p>
            <w:pPr>
              <w:spacing w:after="0"/>
              <w:rPr>
                <w:sz w:val="11"/>
                <w:szCs w:val="11"/>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revolving loan ($4,122 par, due 4/2030)</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4/30/2024</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+ 5.25%</w:t>
            </w: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9.59%</w:t>
            </w:r>
          </w:p>
        </w:tc>
        <w:tc>
          <w:tcPr>
            <w:tcW w:w="180" w:type="dxa"/>
            <w:vAlign w:val="bottom"/>
          </w:tcPr>
          <w:p>
            <w:pPr>
              <w:spacing w:after="0"/>
              <w:rPr>
                <w:sz w:val="11"/>
                <w:szCs w:val="11"/>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3,940</w:t>
            </w: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4,122</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Wrangler TopCo, LLC </w:t>
            </w:r>
            <w:r>
              <w:rPr>
                <w:rFonts w:ascii="Times New Roman" w:cs="Times New Roman" w:eastAsia="Times New Roman" w:hAnsi="Times New Roman"/>
                <w:sz w:val="14"/>
                <w:szCs w:val="14"/>
                <w:color w:val="auto"/>
                <w:vertAlign w:val="superscript"/>
              </w:rPr>
              <w:t>(3)</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($123,938 par, due 9/2029)</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7/7/2023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+ 6.00%</w:t>
            </w:r>
          </w:p>
        </w:tc>
        <w:tc>
          <w:tcPr>
            <w:tcW w:w="13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10.38%</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121,342</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125,501</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w:t>
            </w:r>
          </w:p>
        </w:tc>
      </w:tr>
      <w:tr>
        <w:trPr>
          <w:trHeight w:val="132"/>
        </w:trPr>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1,279,337</w:t>
            </w: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1,303,618</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w:t>
            </w:r>
          </w:p>
        </w:tc>
      </w:tr>
      <w:tr>
        <w:trPr>
          <w:trHeight w:val="132"/>
        </w:trPr>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Chemicals</w:t>
            </w:r>
          </w:p>
        </w:tc>
        <w:tc>
          <w:tcPr>
            <w:tcW w:w="24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32"/>
        </w:trPr>
        <w:tc>
          <w:tcPr>
            <w:tcW w:w="178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Erling Lux Bidco SARL </w:t>
            </w:r>
            <w:r>
              <w:rPr>
                <w:rFonts w:ascii="Times New Roman" w:cs="Times New Roman" w:eastAsia="Times New Roman" w:hAnsi="Times New Roman"/>
                <w:sz w:val="14"/>
                <w:szCs w:val="14"/>
                <w:color w:val="auto"/>
                <w:vertAlign w:val="superscript"/>
              </w:rPr>
              <w:t>(3)(4)</w:t>
            </w:r>
          </w:p>
        </w:tc>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(EUR 7,239 par, due 9/2028)</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9/6/2022</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E + 7.00%</w:t>
            </w: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10.06%</w:t>
            </w:r>
          </w:p>
        </w:tc>
        <w:tc>
          <w:tcPr>
            <w:tcW w:w="180" w:type="dxa"/>
            <w:vAlign w:val="bottom"/>
          </w:tcPr>
          <w:p>
            <w:pPr>
              <w:spacing w:after="0"/>
              <w:rPr>
                <w:sz w:val="11"/>
                <w:szCs w:val="11"/>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6,961</w:t>
            </w: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7,650</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32"/>
        </w:trPr>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(EUR 7,388)</w:t>
            </w:r>
          </w:p>
        </w:tc>
        <w:tc>
          <w:tcPr>
            <w:tcW w:w="980" w:type="dxa"/>
            <w:vAlign w:val="bottom"/>
          </w:tcPr>
          <w:p>
            <w:pPr>
              <w:spacing w:after="0"/>
              <w:rPr>
                <w:sz w:val="11"/>
                <w:szCs w:val="11"/>
                <w:color w:val="auto"/>
              </w:rPr>
            </w:pPr>
          </w:p>
        </w:tc>
      </w:tr>
      <w:tr>
        <w:trPr>
          <w:trHeight w:val="132"/>
        </w:trPr>
        <w:tc>
          <w:tcPr>
            <w:tcW w:w="1780" w:type="dxa"/>
            <w:vAlign w:val="bottom"/>
            <w:shd w:val="clear" w:color="auto" w:fill="CFF0FC"/>
          </w:tcPr>
          <w:p>
            <w:pPr>
              <w:spacing w:after="0"/>
              <w:rPr>
                <w:sz w:val="11"/>
                <w:szCs w:val="11"/>
                <w:color w:val="auto"/>
              </w:rPr>
            </w:pP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(GBP 19,592 par, due 9/2028)</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9/6/2022</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 + 7.00%</w:t>
            </w:r>
          </w:p>
        </w:tc>
        <w:tc>
          <w:tcPr>
            <w:tcW w:w="13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11.70%</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23,039</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24,904</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w:t>
            </w:r>
          </w:p>
        </w:tc>
      </w:tr>
      <w:tr>
        <w:trPr>
          <w:trHeight w:val="132"/>
        </w:trPr>
        <w:tc>
          <w:tcPr>
            <w:tcW w:w="1780" w:type="dxa"/>
            <w:vAlign w:val="bottom"/>
            <w:shd w:val="clear" w:color="auto" w:fill="CFF0FC"/>
          </w:tcPr>
          <w:p>
            <w:pPr>
              <w:spacing w:after="0"/>
              <w:rPr>
                <w:sz w:val="11"/>
                <w:szCs w:val="11"/>
                <w:color w:val="auto"/>
              </w:rPr>
            </w:pPr>
          </w:p>
        </w:tc>
        <w:tc>
          <w:tcPr>
            <w:tcW w:w="24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(GBP 19,885)</w:t>
            </w:r>
          </w:p>
        </w:tc>
        <w:tc>
          <w:tcPr>
            <w:tcW w:w="980" w:type="dxa"/>
            <w:vAlign w:val="bottom"/>
            <w:shd w:val="clear" w:color="auto" w:fill="CFF0FC"/>
          </w:tcPr>
          <w:p>
            <w:pPr>
              <w:spacing w:after="0"/>
              <w:rPr>
                <w:sz w:val="11"/>
                <w:szCs w:val="11"/>
                <w:color w:val="auto"/>
              </w:rPr>
            </w:pPr>
          </w:p>
        </w:tc>
      </w:tr>
      <w:tr>
        <w:trPr>
          <w:trHeight w:val="132"/>
        </w:trPr>
        <w:tc>
          <w:tcPr>
            <w:tcW w:w="1780" w:type="dxa"/>
            <w:vAlign w:val="bottom"/>
          </w:tcPr>
          <w:p>
            <w:pPr>
              <w:spacing w:after="0"/>
              <w:rPr>
                <w:sz w:val="11"/>
                <w:szCs w:val="11"/>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(NOK 7,427 par, due 9/2028)</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9/6/2022</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N + 7.00%</w:t>
            </w: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11.69%</w:t>
            </w:r>
          </w:p>
        </w:tc>
        <w:tc>
          <w:tcPr>
            <w:tcW w:w="180" w:type="dxa"/>
            <w:vAlign w:val="bottom"/>
          </w:tcPr>
          <w:p>
            <w:pPr>
              <w:spacing w:after="0"/>
              <w:rPr>
                <w:sz w:val="11"/>
                <w:szCs w:val="11"/>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711</w:t>
            </w: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664</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17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(NOK 7,538)</w:t>
            </w:r>
          </w:p>
        </w:tc>
        <w:tc>
          <w:tcPr>
            <w:tcW w:w="980" w:type="dxa"/>
            <w:vAlign w:val="bottom"/>
          </w:tcPr>
          <w:p>
            <w:pPr>
              <w:spacing w:after="0"/>
              <w:rPr>
                <w:sz w:val="11"/>
                <w:szCs w:val="11"/>
                <w:color w:val="auto"/>
              </w:rPr>
            </w:pPr>
          </w:p>
        </w:tc>
      </w:tr>
      <w:tr>
        <w:trPr>
          <w:trHeight w:val="132"/>
        </w:trPr>
        <w:tc>
          <w:tcPr>
            <w:tcW w:w="1780" w:type="dxa"/>
            <w:vAlign w:val="bottom"/>
            <w:shd w:val="clear" w:color="auto" w:fill="CFF0FC"/>
          </w:tcPr>
          <w:p>
            <w:pPr>
              <w:spacing w:after="0"/>
              <w:rPr>
                <w:sz w:val="11"/>
                <w:szCs w:val="11"/>
                <w:color w:val="auto"/>
              </w:rPr>
            </w:pPr>
          </w:p>
        </w:tc>
        <w:tc>
          <w:tcPr>
            <w:tcW w:w="24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30,711</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33,218</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0.9%</w:t>
            </w:r>
          </w:p>
        </w:tc>
      </w:tr>
      <w:tr>
        <w:trPr>
          <w:trHeight w:val="132"/>
        </w:trPr>
        <w:tc>
          <w:tcPr>
            <w:tcW w:w="1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Communications</w:t>
            </w:r>
          </w:p>
        </w:tc>
        <w:tc>
          <w:tcPr>
            <w:tcW w:w="2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w w:val="98"/>
              </w:rPr>
              <w:t xml:space="preserve">Aurelia Netherlands MidCo 2 B.V. </w:t>
            </w:r>
            <w:r>
              <w:rPr>
                <w:rFonts w:ascii="Times New Roman" w:cs="Times New Roman" w:eastAsia="Times New Roman" w:hAnsi="Times New Roman"/>
                <w:sz w:val="14"/>
                <w:szCs w:val="14"/>
                <w:color w:val="auto"/>
                <w:w w:val="98"/>
                <w:vertAlign w:val="superscript"/>
              </w:rPr>
              <w:t>(3)(4)</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(EUR 201,909 par, due 5/2031)</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5/22/2024</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 + 5.75%</w:t>
            </w:r>
          </w:p>
        </w:tc>
        <w:tc>
          <w:tcPr>
            <w:tcW w:w="13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8.93%</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214,655</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209,599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w:t>
            </w:r>
          </w:p>
        </w:tc>
      </w:tr>
      <w:tr>
        <w:trPr>
          <w:trHeight w:val="132"/>
        </w:trPr>
        <w:tc>
          <w:tcPr>
            <w:tcW w:w="1780" w:type="dxa"/>
            <w:vAlign w:val="bottom"/>
            <w:shd w:val="clear" w:color="auto" w:fill="CFF0FC"/>
          </w:tcPr>
          <w:p>
            <w:pPr>
              <w:spacing w:after="0"/>
              <w:rPr>
                <w:sz w:val="11"/>
                <w:szCs w:val="11"/>
                <w:color w:val="auto"/>
              </w:rPr>
            </w:pPr>
          </w:p>
        </w:tc>
        <w:tc>
          <w:tcPr>
            <w:tcW w:w="24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(EUR 202,414)</w:t>
            </w:r>
          </w:p>
        </w:tc>
        <w:tc>
          <w:tcPr>
            <w:tcW w:w="980" w:type="dxa"/>
            <w:vAlign w:val="bottom"/>
            <w:shd w:val="clear" w:color="auto" w:fill="CFF0FC"/>
          </w:tcPr>
          <w:p>
            <w:pPr>
              <w:spacing w:after="0"/>
              <w:rPr>
                <w:sz w:val="11"/>
                <w:szCs w:val="11"/>
                <w:color w:val="auto"/>
              </w:rPr>
            </w:pPr>
          </w:p>
        </w:tc>
      </w:tr>
      <w:tr>
        <w:trPr>
          <w:trHeight w:val="132"/>
        </w:trPr>
        <w:tc>
          <w:tcPr>
            <w:tcW w:w="178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Babylon Finco Limited </w:t>
            </w:r>
            <w:r>
              <w:rPr>
                <w:rFonts w:ascii="Times New Roman" w:cs="Times New Roman" w:eastAsia="Times New Roman" w:hAnsi="Times New Roman"/>
                <w:sz w:val="14"/>
                <w:szCs w:val="14"/>
                <w:color w:val="auto"/>
                <w:vertAlign w:val="superscript"/>
              </w:rPr>
              <w:t>(3)(4)</w:t>
            </w:r>
          </w:p>
        </w:tc>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($89,521 par, due 1/2031)</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1/26/2024</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+ 5.75%</w:t>
            </w: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10.37%</w:t>
            </w:r>
          </w:p>
        </w:tc>
        <w:tc>
          <w:tcPr>
            <w:tcW w:w="180" w:type="dxa"/>
            <w:vAlign w:val="bottom"/>
          </w:tcPr>
          <w:p>
            <w:pPr>
              <w:spacing w:after="0"/>
              <w:rPr>
                <w:sz w:val="11"/>
                <w:szCs w:val="11"/>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86,906</w:t>
            </w: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89,521</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32"/>
        </w:trPr>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Banyan Software Holdings, LLC </w:t>
            </w:r>
            <w:r>
              <w:rPr>
                <w:rFonts w:ascii="Times New Roman" w:cs="Times New Roman" w:eastAsia="Times New Roman" w:hAnsi="Times New Roman"/>
                <w:sz w:val="14"/>
                <w:szCs w:val="14"/>
                <w:color w:val="auto"/>
                <w:vertAlign w:val="superscript"/>
              </w:rPr>
              <w:t>(3)(4)</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($78,771 par, due 10/2026)</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1/27/2023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+ 7.35%</w:t>
            </w:r>
          </w:p>
        </w:tc>
        <w:tc>
          <w:tcPr>
            <w:tcW w:w="13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11.71%</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77,563</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80,347</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32"/>
        </w:trPr>
        <w:tc>
          <w:tcPr>
            <w:tcW w:w="1780" w:type="dxa"/>
            <w:vAlign w:val="bottom"/>
          </w:tcPr>
          <w:p>
            <w:pPr>
              <w:spacing w:after="0"/>
              <w:rPr>
                <w:sz w:val="11"/>
                <w:szCs w:val="11"/>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($80,227 par, due 10/2026)</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1/26/2024</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+ 6.25%</w:t>
            </w: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10.61%</w:t>
            </w:r>
          </w:p>
        </w:tc>
        <w:tc>
          <w:tcPr>
            <w:tcW w:w="180" w:type="dxa"/>
            <w:vAlign w:val="bottom"/>
          </w:tcPr>
          <w:p>
            <w:pPr>
              <w:spacing w:after="0"/>
              <w:rPr>
                <w:sz w:val="11"/>
                <w:szCs w:val="11"/>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78,839</w:t>
            </w: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82,969</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32"/>
        </w:trPr>
        <w:tc>
          <w:tcPr>
            <w:tcW w:w="1780" w:type="dxa"/>
            <w:vAlign w:val="bottom"/>
            <w:shd w:val="clear" w:color="auto" w:fill="CFF0FC"/>
          </w:tcPr>
          <w:p>
            <w:pPr>
              <w:spacing w:after="0"/>
              <w:rPr>
                <w:sz w:val="11"/>
                <w:szCs w:val="11"/>
                <w:color w:val="auto"/>
              </w:rPr>
            </w:pPr>
          </w:p>
        </w:tc>
        <w:tc>
          <w:tcPr>
            <w:tcW w:w="24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457,963</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462,436</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w:t>
            </w:r>
          </w:p>
        </w:tc>
      </w:tr>
      <w:tr>
        <w:trPr>
          <w:trHeight w:val="132"/>
        </w:trPr>
        <w:tc>
          <w:tcPr>
            <w:tcW w:w="1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Education</w:t>
            </w:r>
          </w:p>
        </w:tc>
        <w:tc>
          <w:tcPr>
            <w:tcW w:w="2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Kangaroo Bidco AS </w:t>
            </w:r>
            <w:r>
              <w:rPr>
                <w:rFonts w:ascii="Times New Roman" w:cs="Times New Roman" w:eastAsia="Times New Roman" w:hAnsi="Times New Roman"/>
                <w:sz w:val="14"/>
                <w:szCs w:val="14"/>
                <w:color w:val="auto"/>
                <w:vertAlign w:val="superscript"/>
              </w:rPr>
              <w:t>(3)(4)</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($157,500 par, due 11/2030)</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11/2/2023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+ 6.25%</w:t>
            </w:r>
          </w:p>
        </w:tc>
        <w:tc>
          <w:tcPr>
            <w:tcW w:w="13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10.66%</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153,281</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158,400</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32"/>
        </w:trPr>
        <w:tc>
          <w:tcPr>
            <w:tcW w:w="178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Severin Acquisition, LLC </w:t>
            </w:r>
            <w:r>
              <w:rPr>
                <w:rFonts w:ascii="Times New Roman" w:cs="Times New Roman" w:eastAsia="Times New Roman" w:hAnsi="Times New Roman"/>
                <w:sz w:val="14"/>
                <w:szCs w:val="14"/>
                <w:color w:val="auto"/>
                <w:vertAlign w:val="superscript"/>
              </w:rPr>
              <w:t>(3)</w:t>
            </w:r>
          </w:p>
        </w:tc>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($216,386 par, due 10/2031)</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10/1/2024</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+ 5.00%</w:t>
            </w:r>
          </w:p>
        </w:tc>
        <w:tc>
          <w:tcPr>
            <w:tcW w:w="13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9.36% (incl. 2.25% PIK)</w:t>
            </w:r>
          </w:p>
        </w:tc>
        <w:tc>
          <w:tcPr>
            <w:tcW w:w="180" w:type="dxa"/>
            <w:vAlign w:val="bottom"/>
          </w:tcPr>
          <w:p>
            <w:pPr>
              <w:spacing w:after="0"/>
              <w:rPr>
                <w:sz w:val="11"/>
                <w:szCs w:val="11"/>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216,124</w:t>
            </w:r>
          </w:p>
        </w:tc>
        <w:tc>
          <w:tcPr>
            <w:tcW w:w="160" w:type="dxa"/>
            <w:vAlign w:val="bottom"/>
          </w:tcPr>
          <w:p>
            <w:pPr>
              <w:spacing w:after="0"/>
              <w:rPr>
                <w:sz w:val="11"/>
                <w:szCs w:val="11"/>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216,386</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r>
      <w:tr>
        <w:trPr>
          <w:trHeight w:val="132"/>
        </w:trPr>
        <w:tc>
          <w:tcPr>
            <w:tcW w:w="1780" w:type="dxa"/>
            <w:vAlign w:val="bottom"/>
            <w:shd w:val="clear" w:color="auto" w:fill="CFF0FC"/>
          </w:tcPr>
          <w:p>
            <w:pPr>
              <w:spacing w:after="0"/>
              <w:rPr>
                <w:sz w:val="11"/>
                <w:szCs w:val="11"/>
                <w:color w:val="auto"/>
              </w:rPr>
            </w:pPr>
          </w:p>
        </w:tc>
        <w:tc>
          <w:tcPr>
            <w:tcW w:w="24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369,405</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374,786</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w:t>
            </w:r>
          </w:p>
        </w:tc>
      </w:tr>
      <w:tr>
        <w:trPr>
          <w:trHeight w:val="132"/>
        </w:trPr>
        <w:tc>
          <w:tcPr>
            <w:tcW w:w="1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Electronics</w:t>
            </w:r>
          </w:p>
        </w:tc>
        <w:tc>
          <w:tcPr>
            <w:tcW w:w="2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Sapphire Software Buyer, Inc. </w:t>
            </w:r>
            <w:r>
              <w:rPr>
                <w:rFonts w:ascii="Times New Roman" w:cs="Times New Roman" w:eastAsia="Times New Roman" w:hAnsi="Times New Roman"/>
                <w:sz w:val="14"/>
                <w:szCs w:val="14"/>
                <w:color w:val="auto"/>
                <w:vertAlign w:val="superscript"/>
              </w:rPr>
              <w:t>(3)</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($224,683 par, due 9/2031)</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9/30/2024</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SOFR + 5.50%</w:t>
            </w:r>
          </w:p>
        </w:tc>
        <w:tc>
          <w:tcPr>
            <w:tcW w:w="136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9.75% (incl. 3.0% PIK)</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222,271</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223,424</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w:t>
            </w:r>
          </w:p>
        </w:tc>
      </w:tr>
      <w:tr>
        <w:trPr>
          <w:trHeight w:val="132"/>
        </w:trPr>
        <w:tc>
          <w:tcPr>
            <w:tcW w:w="17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2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17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Alaska Bidco Oy </w:t>
            </w:r>
            <w:r>
              <w:rPr>
                <w:rFonts w:ascii="Times New Roman" w:cs="Times New Roman" w:eastAsia="Times New Roman" w:hAnsi="Times New Roman"/>
                <w:sz w:val="14"/>
                <w:szCs w:val="14"/>
                <w:color w:val="auto"/>
                <w:vertAlign w:val="superscript"/>
              </w:rPr>
              <w:t>(3)(4)</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(EUR 727 par, due 5/2030)</w:t>
            </w:r>
          </w:p>
        </w:tc>
        <w:tc>
          <w:tcPr>
            <w:tcW w:w="9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5/30/2023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E + 5.75%</w:t>
            </w:r>
          </w:p>
        </w:tc>
        <w:tc>
          <w:tcPr>
            <w:tcW w:w="136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8.51%</w:t>
            </w: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rPr>
              <w:t>759</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765</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1780" w:type="dxa"/>
            <w:vAlign w:val="bottom"/>
            <w:shd w:val="clear" w:color="auto" w:fill="CFF0FC"/>
          </w:tcPr>
          <w:p>
            <w:pPr>
              <w:spacing w:after="0"/>
              <w:rPr>
                <w:sz w:val="11"/>
                <w:szCs w:val="11"/>
                <w:color w:val="auto"/>
              </w:rPr>
            </w:pPr>
          </w:p>
        </w:tc>
        <w:tc>
          <w:tcPr>
            <w:tcW w:w="24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(EUR 739)</w:t>
            </w:r>
          </w:p>
        </w:tc>
        <w:tc>
          <w:tcPr>
            <w:tcW w:w="980" w:type="dxa"/>
            <w:vAlign w:val="bottom"/>
            <w:shd w:val="clear" w:color="auto" w:fill="CFF0FC"/>
          </w:tcPr>
          <w:p>
            <w:pPr>
              <w:spacing w:after="0"/>
              <w:rPr>
                <w:sz w:val="11"/>
                <w:szCs w:val="11"/>
                <w:color w:val="auto"/>
              </w:rPr>
            </w:pPr>
          </w:p>
        </w:tc>
      </w:tr>
      <w:tr>
        <w:trPr>
          <w:trHeight w:val="190"/>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BCTO Bluebill Buyer, Inc. </w:t>
            </w:r>
            <w:r>
              <w:rPr>
                <w:rFonts w:ascii="Times New Roman" w:cs="Times New Roman" w:eastAsia="Times New Roman" w:hAnsi="Times New Roman"/>
                <w:sz w:val="14"/>
                <w:szCs w:val="14"/>
                <w:color w:val="auto"/>
                <w:vertAlign w:val="superscript"/>
              </w:rPr>
              <w:t>(3)(5)</w:t>
            </w:r>
          </w:p>
        </w:tc>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($7,656 par, due 7/2029)</w:t>
            </w:r>
          </w:p>
        </w:tc>
        <w:tc>
          <w:tcPr>
            <w:tcW w:w="9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7/20/2023</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SOFR + 6.25%</w:t>
            </w: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10.84%</w:t>
            </w:r>
          </w:p>
        </w:tc>
        <w:tc>
          <w:tcPr>
            <w:tcW w:w="180" w:type="dxa"/>
            <w:vAlign w:val="bottom"/>
          </w:tcPr>
          <w:p>
            <w:pPr>
              <w:spacing w:after="0"/>
              <w:rPr>
                <w:sz w:val="16"/>
                <w:szCs w:val="16"/>
                <w:color w:val="auto"/>
              </w:rPr>
            </w:pP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7,435</w:t>
            </w:r>
          </w:p>
        </w:tc>
        <w:tc>
          <w:tcPr>
            <w:tcW w:w="160" w:type="dxa"/>
            <w:vAlign w:val="bottom"/>
          </w:tcPr>
          <w:p>
            <w:pPr>
              <w:spacing w:after="0"/>
              <w:rPr>
                <w:sz w:val="16"/>
                <w:szCs w:val="16"/>
                <w:color w:val="auto"/>
              </w:rPr>
            </w:pPr>
          </w:p>
        </w:tc>
        <w:tc>
          <w:tcPr>
            <w:tcW w:w="92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7,733</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bl>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96" w:right="68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 xml:space="preserve">BTRS Holdings, Inc. </w:t>
            </w:r>
            <w:r>
              <w:rPr>
                <w:rFonts w:ascii="Times New Roman" w:cs="Times New Roman" w:eastAsia="Times New Roman" w:hAnsi="Times New Roman"/>
                <w:sz w:val="14"/>
                <w:szCs w:val="14"/>
                <w:color w:val="auto"/>
                <w:vertAlign w:val="superscript"/>
              </w:rPr>
              <w:t>(3)</w:t>
            </w:r>
          </w:p>
        </w:tc>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($146,948 par, due 12/2028)</w:t>
            </w:r>
          </w:p>
        </w:tc>
        <w:tc>
          <w:tcPr>
            <w:tcW w:w="8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12/16/2022</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+ 7.25%</w:t>
            </w:r>
          </w:p>
        </w:tc>
        <w:tc>
          <w:tcPr>
            <w:tcW w:w="158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11.61%</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144,062</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148,418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revolving loan ($5,422 par, due 12/2028)</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12/16/2022</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+ 7.25%</w:t>
            </w:r>
          </w:p>
        </w:tc>
        <w:tc>
          <w:tcPr>
            <w:tcW w:w="15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11.76%</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5,136</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5,566</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CLGF HoldCo 2, LLC </w:t>
            </w:r>
            <w:r>
              <w:rPr>
                <w:rFonts w:ascii="Times New Roman" w:cs="Times New Roman" w:eastAsia="Times New Roman" w:hAnsi="Times New Roman"/>
                <w:sz w:val="14"/>
                <w:szCs w:val="14"/>
                <w:color w:val="auto"/>
                <w:vertAlign w:val="superscript"/>
              </w:rPr>
              <w:t>(3)(4)</w:t>
            </w:r>
          </w:p>
        </w:tc>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($97,902 par, due 11/2027)</w:t>
            </w:r>
          </w:p>
        </w:tc>
        <w:tc>
          <w:tcPr>
            <w:tcW w:w="8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11/7/2023</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+ 8.50%</w:t>
            </w:r>
          </w:p>
        </w:tc>
        <w:tc>
          <w:tcPr>
            <w:tcW w:w="158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12.83%</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96,512</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98,147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Second-lien loan ($83,916 par, due 11/2028)</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11/7/2023</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+ 12.00%</w:t>
            </w:r>
          </w:p>
        </w:tc>
        <w:tc>
          <w:tcPr>
            <w:tcW w:w="15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16.33%</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78,758</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83,916</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Fullsteam Operations LLC </w:t>
            </w:r>
            <w:r>
              <w:rPr>
                <w:rFonts w:ascii="Times New Roman" w:cs="Times New Roman" w:eastAsia="Times New Roman" w:hAnsi="Times New Roman"/>
                <w:sz w:val="14"/>
                <w:szCs w:val="14"/>
                <w:color w:val="auto"/>
                <w:vertAlign w:val="superscript"/>
              </w:rPr>
              <w:t>(3)</w:t>
            </w:r>
          </w:p>
        </w:tc>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($97,412 par, due 11/2029)</w:t>
            </w:r>
          </w:p>
        </w:tc>
        <w:tc>
          <w:tcPr>
            <w:tcW w:w="8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11/27/2023</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+ 8.38%</w:t>
            </w:r>
          </w:p>
        </w:tc>
        <w:tc>
          <w:tcPr>
            <w:tcW w:w="158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12.89%</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94,446</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98,367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GreenShoot BidCo B.V. </w:t>
            </w:r>
            <w:r>
              <w:rPr>
                <w:rFonts w:ascii="Times New Roman" w:cs="Times New Roman" w:eastAsia="Times New Roman" w:hAnsi="Times New Roman"/>
                <w:sz w:val="14"/>
                <w:szCs w:val="14"/>
                <w:color w:val="auto"/>
                <w:vertAlign w:val="superscript"/>
              </w:rPr>
              <w:t>(3)(4)</w:t>
            </w:r>
          </w:p>
        </w:tc>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(EUR 5,107 par, due 5/2030)</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5/28/2024</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+ 5.75%</w:t>
            </w:r>
          </w:p>
        </w:tc>
        <w:tc>
          <w:tcPr>
            <w:tcW w:w="15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8.66%</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5,413</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5,246</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5,066)</w:t>
            </w:r>
          </w:p>
        </w:tc>
        <w:tc>
          <w:tcPr>
            <w:tcW w:w="7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Volante Technologies, Inc.</w:t>
            </w:r>
          </w:p>
        </w:tc>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($3,072 par, due 9/2028)</w:t>
            </w:r>
          </w:p>
        </w:tc>
        <w:tc>
          <w:tcPr>
            <w:tcW w:w="8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9/29/2023</w:t>
            </w:r>
          </w:p>
        </w:tc>
        <w:tc>
          <w:tcPr>
            <w:tcW w:w="9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16.50%</w:t>
            </w:r>
          </w:p>
        </w:tc>
        <w:tc>
          <w:tcPr>
            <w:tcW w:w="158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16.50% PIK</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3,063</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3,141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435,584</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451,299</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25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Edge Bidco B.V </w:t>
            </w:r>
            <w:r>
              <w:rPr>
                <w:rFonts w:ascii="Times New Roman" w:cs="Times New Roman" w:eastAsia="Times New Roman" w:hAnsi="Times New Roman"/>
                <w:sz w:val="14"/>
                <w:szCs w:val="14"/>
                <w:color w:val="auto"/>
                <w:vertAlign w:val="superscript"/>
              </w:rPr>
              <w:t>(3)(4)(5)</w:t>
            </w:r>
          </w:p>
        </w:tc>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(EUR 5,947 par, due 2/2029)</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2/24/2023</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+ 6.75%</w:t>
            </w:r>
          </w:p>
        </w:tc>
        <w:tc>
          <w:tcPr>
            <w:tcW w:w="15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9.43%</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6,219</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6,284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6,068)</w:t>
            </w:r>
          </w:p>
        </w:tc>
        <w:tc>
          <w:tcPr>
            <w:tcW w:w="7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Eventus Buyer, LLC </w:t>
            </w:r>
            <w:r>
              <w:rPr>
                <w:rFonts w:ascii="Times New Roman" w:cs="Times New Roman" w:eastAsia="Times New Roman" w:hAnsi="Times New Roman"/>
                <w:sz w:val="14"/>
                <w:szCs w:val="14"/>
                <w:color w:val="auto"/>
                <w:vertAlign w:val="superscript"/>
              </w:rPr>
              <w:t>(3)</w:t>
            </w:r>
          </w:p>
        </w:tc>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($48,470 par, due 11/2030)</w:t>
            </w:r>
          </w:p>
        </w:tc>
        <w:tc>
          <w:tcPr>
            <w:tcW w:w="8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11/1/2024</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+ 5.50%</w:t>
            </w:r>
          </w:p>
        </w:tc>
        <w:tc>
          <w:tcPr>
            <w:tcW w:w="158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9.86%</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47,668</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47,854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revolving loan ($873 par, due 11/2030)</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11/1/2024</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+ 5.50%</w:t>
            </w:r>
          </w:p>
        </w:tc>
        <w:tc>
          <w:tcPr>
            <w:tcW w:w="15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10.03%</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778</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808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Raptor US Buyer II Corp. </w:t>
            </w:r>
            <w:r>
              <w:rPr>
                <w:rFonts w:ascii="Times New Roman" w:cs="Times New Roman" w:eastAsia="Times New Roman" w:hAnsi="Times New Roman"/>
                <w:sz w:val="14"/>
                <w:szCs w:val="14"/>
                <w:color w:val="auto"/>
                <w:vertAlign w:val="superscript"/>
              </w:rPr>
              <w:t>(3)(5)</w:t>
            </w:r>
          </w:p>
        </w:tc>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($114,842 par, due 3/2029)</w:t>
            </w:r>
          </w:p>
        </w:tc>
        <w:tc>
          <w:tcPr>
            <w:tcW w:w="8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3/24/2023</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+ 6.25%</w:t>
            </w:r>
          </w:p>
        </w:tc>
        <w:tc>
          <w:tcPr>
            <w:tcW w:w="158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10.61%</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112,062</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116,332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w:t>
            </w: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SL Buyer Corp. </w:t>
            </w:r>
            <w:r>
              <w:rPr>
                <w:rFonts w:ascii="Times New Roman" w:cs="Times New Roman" w:eastAsia="Times New Roman" w:hAnsi="Times New Roman"/>
                <w:sz w:val="14"/>
                <w:szCs w:val="14"/>
                <w:color w:val="auto"/>
                <w:vertAlign w:val="superscript"/>
              </w:rPr>
              <w:t>(3)(5)</w:t>
            </w:r>
          </w:p>
        </w:tc>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($3,742 par, due 7/2029)</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7/7/2023</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+ 7.75%</w:t>
            </w:r>
          </w:p>
        </w:tc>
        <w:tc>
          <w:tcPr>
            <w:tcW w:w="15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12.34%</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3,613</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3,719</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170,340</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174,997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w:t>
            </w: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Hotel, Gaming, and Leisure</w:t>
            </w:r>
          </w:p>
        </w:tc>
        <w:tc>
          <w:tcPr>
            <w:tcW w:w="2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AVSC Holding Corp. </w:t>
            </w:r>
            <w:r>
              <w:rPr>
                <w:rFonts w:ascii="Times New Roman" w:cs="Times New Roman" w:eastAsia="Times New Roman" w:hAnsi="Times New Roman"/>
                <w:sz w:val="14"/>
                <w:szCs w:val="14"/>
                <w:color w:val="auto"/>
                <w:vertAlign w:val="superscript"/>
              </w:rPr>
              <w:t>(3)</w:t>
            </w:r>
          </w:p>
        </w:tc>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($316,171 par, due 12/2031)</w:t>
            </w:r>
          </w:p>
        </w:tc>
        <w:tc>
          <w:tcPr>
            <w:tcW w:w="8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12/5/2024</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158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9.36%</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309,228</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310,046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w:t>
            </w: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1"/>
                <w:szCs w:val="11"/>
                <w:color w:val="auto"/>
              </w:rPr>
              <w:t>Equinox Holdings, Inc.</w:t>
            </w:r>
          </w:p>
        </w:tc>
        <w:tc>
          <w:tcPr>
            <w:tcW w:w="2560" w:type="dxa"/>
            <w:vAlign w:val="bottom"/>
          </w:tcPr>
          <w:p>
            <w:pPr>
              <w:ind w:left="80"/>
              <w:spacing w:after="0" w:line="132" w:lineRule="exact"/>
              <w:rPr>
                <w:sz w:val="20"/>
                <w:szCs w:val="20"/>
                <w:color w:val="auto"/>
              </w:rPr>
            </w:pPr>
            <w:r>
              <w:rPr>
                <w:rFonts w:ascii="Times New Roman" w:cs="Times New Roman" w:eastAsia="Times New Roman" w:hAnsi="Times New Roman"/>
                <w:sz w:val="11"/>
                <w:szCs w:val="11"/>
                <w:color w:val="auto"/>
              </w:rPr>
              <w:t xml:space="preserve">First-lien loan ($198,362 par, due 3/2029) </w:t>
            </w:r>
            <w:r>
              <w:rPr>
                <w:rFonts w:ascii="Times New Roman" w:cs="Times New Roman" w:eastAsia="Times New Roman" w:hAnsi="Times New Roman"/>
                <w:sz w:val="14"/>
                <w:szCs w:val="14"/>
                <w:color w:val="auto"/>
                <w:vertAlign w:val="superscript"/>
              </w:rPr>
              <w:t>(3)</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3/8/2024</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+ 8.25%</w:t>
            </w:r>
          </w:p>
        </w:tc>
        <w:tc>
          <w:tcPr>
            <w:tcW w:w="158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12.58% (incl. 4.13% PIK)</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195,737</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198,858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Second-lien loan ($9,388 par, due 6/2027)</w:t>
            </w:r>
          </w:p>
        </w:tc>
        <w:tc>
          <w:tcPr>
            <w:tcW w:w="8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3/13/2024</w:t>
            </w:r>
          </w:p>
        </w:tc>
        <w:tc>
          <w:tcPr>
            <w:tcW w:w="9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16.00%</w:t>
            </w:r>
          </w:p>
        </w:tc>
        <w:tc>
          <w:tcPr>
            <w:tcW w:w="158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16.00% PIK</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9,191</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9,553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QSR Acquisition Co. </w:t>
            </w:r>
            <w:r>
              <w:rPr>
                <w:rFonts w:ascii="Times New Roman" w:cs="Times New Roman" w:eastAsia="Times New Roman" w:hAnsi="Times New Roman"/>
                <w:sz w:val="14"/>
                <w:szCs w:val="14"/>
                <w:color w:val="auto"/>
                <w:vertAlign w:val="superscript"/>
              </w:rPr>
              <w:t>(3)(5)</w:t>
            </w:r>
          </w:p>
        </w:tc>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($10,000 par, due 10/2030)</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10/31/2024</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5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9.84%</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9,820</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9,850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Sport Alliance GmbH </w:t>
            </w:r>
            <w:r>
              <w:rPr>
                <w:rFonts w:ascii="Times New Roman" w:cs="Times New Roman" w:eastAsia="Times New Roman" w:hAnsi="Times New Roman"/>
                <w:sz w:val="14"/>
                <w:szCs w:val="14"/>
                <w:color w:val="auto"/>
                <w:vertAlign w:val="superscript"/>
              </w:rPr>
              <w:t>(3)(4)</w:t>
            </w:r>
          </w:p>
        </w:tc>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(EUR 4,494 par, due 4/2030)</w:t>
            </w:r>
          </w:p>
        </w:tc>
        <w:tc>
          <w:tcPr>
            <w:tcW w:w="8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4/10/2024</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+ 7.25%</w:t>
            </w:r>
          </w:p>
        </w:tc>
        <w:tc>
          <w:tcPr>
            <w:tcW w:w="158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10.15% (incl. 3.88% PIK)</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4,712</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4,601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(EUR 4,443)</w:t>
            </w:r>
          </w:p>
        </w:tc>
        <w:tc>
          <w:tcPr>
            <w:tcW w:w="720" w:type="dxa"/>
            <w:vAlign w:val="bottom"/>
            <w:shd w:val="clear" w:color="auto" w:fill="CFF0FC"/>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528,688</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532,908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Human Resource Support Services</w:t>
            </w:r>
          </w:p>
        </w:tc>
        <w:tc>
          <w:tcPr>
            <w:tcW w:w="25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bswift, LLC </w:t>
            </w:r>
            <w:r>
              <w:rPr>
                <w:rFonts w:ascii="Times New Roman" w:cs="Times New Roman" w:eastAsia="Times New Roman" w:hAnsi="Times New Roman"/>
                <w:sz w:val="14"/>
                <w:szCs w:val="14"/>
                <w:color w:val="auto"/>
                <w:vertAlign w:val="superscript"/>
              </w:rPr>
              <w:t>(3)(5)</w:t>
            </w:r>
          </w:p>
        </w:tc>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($139,546 par, due 11/2028)</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11/7/2022</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+ 6.38%</w:t>
            </w:r>
          </w:p>
        </w:tc>
        <w:tc>
          <w:tcPr>
            <w:tcW w:w="15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11.05%</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136,424</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141,639</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HireVue, Inc. </w:t>
            </w:r>
            <w:r>
              <w:rPr>
                <w:rFonts w:ascii="Times New Roman" w:cs="Times New Roman" w:eastAsia="Times New Roman" w:hAnsi="Times New Roman"/>
                <w:sz w:val="14"/>
                <w:szCs w:val="14"/>
                <w:color w:val="auto"/>
                <w:vertAlign w:val="superscript"/>
              </w:rPr>
              <w:t>(3)</w:t>
            </w:r>
          </w:p>
        </w:tc>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($109,778 par, due 5/2029)</w:t>
            </w:r>
          </w:p>
        </w:tc>
        <w:tc>
          <w:tcPr>
            <w:tcW w:w="8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5/3/2023</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+ 6.75%</w:t>
            </w:r>
          </w:p>
        </w:tc>
        <w:tc>
          <w:tcPr>
            <w:tcW w:w="158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11.34%</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107,466</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111,150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revolving loan ($8,972 par, due 5/2029)</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5/3/2023</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+ 6.75%</w:t>
            </w:r>
          </w:p>
        </w:tc>
        <w:tc>
          <w:tcPr>
            <w:tcW w:w="15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11.30%</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8,675</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9,148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MadCap Software, Inc. </w:t>
            </w:r>
            <w:r>
              <w:rPr>
                <w:rFonts w:ascii="Times New Roman" w:cs="Times New Roman" w:eastAsia="Times New Roman" w:hAnsi="Times New Roman"/>
                <w:sz w:val="14"/>
                <w:szCs w:val="14"/>
                <w:color w:val="auto"/>
                <w:vertAlign w:val="superscript"/>
              </w:rPr>
              <w:t>(3)(5)</w:t>
            </w:r>
          </w:p>
        </w:tc>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($2,475 par, due 12/2026)</w:t>
            </w:r>
          </w:p>
        </w:tc>
        <w:tc>
          <w:tcPr>
            <w:tcW w:w="8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12/15/2023</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+ 6.10%</w:t>
            </w:r>
          </w:p>
        </w:tc>
        <w:tc>
          <w:tcPr>
            <w:tcW w:w="158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10.35%</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2,435</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2,475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255,000</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264,412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25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Disco Parent, Inc.</w:t>
            </w:r>
            <w:r>
              <w:rPr>
                <w:rFonts w:ascii="Times New Roman" w:cs="Times New Roman" w:eastAsia="Times New Roman" w:hAnsi="Times New Roman"/>
                <w:sz w:val="14"/>
                <w:szCs w:val="14"/>
                <w:color w:val="auto"/>
                <w:vertAlign w:val="superscript"/>
              </w:rPr>
              <w:t>(3)</w:t>
            </w:r>
          </w:p>
        </w:tc>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($67,583 par, due 3/2029)</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3/30/2023</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+ 7.50%</w:t>
            </w:r>
          </w:p>
        </w:tc>
        <w:tc>
          <w:tcPr>
            <w:tcW w:w="15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12.01%</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66,272</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68,317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25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Arrow Buyer, Inc. </w:t>
            </w:r>
            <w:r>
              <w:rPr>
                <w:rFonts w:ascii="Times New Roman" w:cs="Times New Roman" w:eastAsia="Times New Roman" w:hAnsi="Times New Roman"/>
                <w:sz w:val="14"/>
                <w:szCs w:val="14"/>
                <w:color w:val="auto"/>
                <w:vertAlign w:val="superscript"/>
              </w:rPr>
              <w:t>(3)</w:t>
            </w:r>
          </w:p>
        </w:tc>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($128,565 par, due 7/2030)</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6/30/2023</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+ 5.75%</w:t>
            </w:r>
          </w:p>
        </w:tc>
        <w:tc>
          <w:tcPr>
            <w:tcW w:w="15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10.08%</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125,651</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130,424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Coupa Holdings, LLC </w:t>
            </w:r>
            <w:r>
              <w:rPr>
                <w:rFonts w:ascii="Times New Roman" w:cs="Times New Roman" w:eastAsia="Times New Roman" w:hAnsi="Times New Roman"/>
                <w:sz w:val="14"/>
                <w:szCs w:val="14"/>
                <w:color w:val="auto"/>
                <w:vertAlign w:val="superscript"/>
              </w:rPr>
              <w:t>(3)</w:t>
            </w:r>
          </w:p>
        </w:tc>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($128,925 par, due 2/2030)</w:t>
            </w:r>
          </w:p>
        </w:tc>
        <w:tc>
          <w:tcPr>
            <w:tcW w:w="8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2/27/2023</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58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9.84%</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126,291</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131,165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1"/>
                <w:szCs w:val="11"/>
                <w:color w:val="auto"/>
              </w:rPr>
              <w:t>Flight Intermediate HoldCo, Inc.</w:t>
            </w:r>
          </w:p>
        </w:tc>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($46,500 par, due 4/2030)</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10/3/2024</w:t>
            </w:r>
          </w:p>
        </w:tc>
        <w:tc>
          <w:tcPr>
            <w:tcW w:w="9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11.50%</w:t>
            </w:r>
          </w:p>
        </w:tc>
        <w:tc>
          <w:tcPr>
            <w:tcW w:w="15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11.50%</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45,164</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45,221</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Hippo XPA Bidco AB </w:t>
            </w:r>
            <w:r>
              <w:rPr>
                <w:rFonts w:ascii="Times New Roman" w:cs="Times New Roman" w:eastAsia="Times New Roman" w:hAnsi="Times New Roman"/>
                <w:sz w:val="14"/>
                <w:szCs w:val="14"/>
                <w:color w:val="auto"/>
                <w:vertAlign w:val="superscript"/>
              </w:rPr>
              <w:t>(3)(4)</w:t>
            </w:r>
          </w:p>
        </w:tc>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(SEK 80,225 par, due 2/2031)</w:t>
            </w:r>
          </w:p>
        </w:tc>
        <w:tc>
          <w:tcPr>
            <w:tcW w:w="8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2/20/2024</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STIBOR + 6.50%</w:t>
            </w:r>
          </w:p>
        </w:tc>
        <w:tc>
          <w:tcPr>
            <w:tcW w:w="158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9.16% (incl. 3.50% PIK)</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7,557</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7,238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(SEK 79,977)</w:t>
            </w:r>
          </w:p>
        </w:tc>
        <w:tc>
          <w:tcPr>
            <w:tcW w:w="720" w:type="dxa"/>
            <w:vAlign w:val="bottom"/>
            <w:shd w:val="clear" w:color="auto" w:fill="CFF0FC"/>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(EUR 2,472 par, due 2/2031)</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2/20/2024</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+ 6.50%</w:t>
            </w:r>
          </w:p>
        </w:tc>
        <w:tc>
          <w:tcPr>
            <w:tcW w:w="158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9.87% (incl. 3.50% PIK)</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2,636</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2,554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2,466)</w:t>
            </w:r>
          </w:p>
        </w:tc>
        <w:tc>
          <w:tcPr>
            <w:tcW w:w="7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Kryptona BidCo US, LLC </w:t>
            </w:r>
            <w:r>
              <w:rPr>
                <w:rFonts w:ascii="Times New Roman" w:cs="Times New Roman" w:eastAsia="Times New Roman" w:hAnsi="Times New Roman"/>
                <w:sz w:val="14"/>
                <w:szCs w:val="14"/>
                <w:color w:val="auto"/>
                <w:vertAlign w:val="superscript"/>
              </w:rPr>
              <w:t>(3)</w:t>
            </w:r>
          </w:p>
        </w:tc>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($134,959 par, due 12/2031)</w:t>
            </w:r>
          </w:p>
        </w:tc>
        <w:tc>
          <w:tcPr>
            <w:tcW w:w="8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12/18/2024</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+ 5.75%</w:t>
            </w:r>
          </w:p>
        </w:tc>
        <w:tc>
          <w:tcPr>
            <w:tcW w:w="158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10.10%</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131,979</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132,340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w:t>
            </w: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(EUR 31,233 par, due 12/2031)</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12/18/2024</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+ 5.75%</w:t>
            </w:r>
          </w:p>
        </w:tc>
        <w:tc>
          <w:tcPr>
            <w:tcW w:w="15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8.61%</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32,055</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31,775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30,686)</w:t>
            </w:r>
          </w:p>
        </w:tc>
        <w:tc>
          <w:tcPr>
            <w:tcW w:w="720" w:type="dxa"/>
            <w:vAlign w:val="bottom"/>
          </w:tcPr>
          <w:p>
            <w:pPr>
              <w:spacing w:after="0"/>
              <w:rPr>
                <w:sz w:val="11"/>
                <w:szCs w:val="11"/>
                <w:color w:val="auto"/>
              </w:rPr>
            </w:pPr>
          </w:p>
        </w:tc>
      </w:tr>
      <w:tr>
        <w:trPr>
          <w:trHeight w:val="108"/>
        </w:trPr>
        <w:tc>
          <w:tcPr>
            <w:tcW w:w="20" w:type="dxa"/>
            <w:vAlign w:val="bottom"/>
          </w:tcPr>
          <w:p>
            <w:pPr>
              <w:spacing w:after="0"/>
              <w:rPr>
                <w:sz w:val="9"/>
                <w:szCs w:val="9"/>
                <w:color w:val="auto"/>
              </w:rPr>
            </w:pPr>
          </w:p>
        </w:tc>
        <w:tc>
          <w:tcPr>
            <w:tcW w:w="17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Merit Software Finance Holdings, LLC</w:t>
            </w:r>
          </w:p>
        </w:tc>
        <w:tc>
          <w:tcPr>
            <w:tcW w:w="256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1"/>
                <w:szCs w:val="11"/>
                <w:color w:val="auto"/>
              </w:rPr>
              <w:t>First-lien loan ($11,786 par, due 6/2029)</w:t>
            </w:r>
          </w:p>
        </w:tc>
        <w:tc>
          <w:tcPr>
            <w:tcW w:w="840" w:type="dxa"/>
            <w:vAlign w:val="bottom"/>
            <w:shd w:val="clear" w:color="auto" w:fill="CFF0FC"/>
          </w:tcPr>
          <w:p>
            <w:pPr>
              <w:jc w:val="right"/>
              <w:ind w:right="26"/>
              <w:spacing w:after="0" w:line="108" w:lineRule="exact"/>
              <w:rPr>
                <w:sz w:val="20"/>
                <w:szCs w:val="20"/>
                <w:color w:val="auto"/>
              </w:rPr>
            </w:pPr>
            <w:r>
              <w:rPr>
                <w:rFonts w:ascii="Times New Roman" w:cs="Times New Roman" w:eastAsia="Times New Roman" w:hAnsi="Times New Roman"/>
                <w:sz w:val="11"/>
                <w:szCs w:val="11"/>
                <w:color w:val="auto"/>
              </w:rPr>
              <w:t>6/20/2024</w:t>
            </w:r>
          </w:p>
        </w:tc>
        <w:tc>
          <w:tcPr>
            <w:tcW w:w="980" w:type="dxa"/>
            <w:vAlign w:val="bottom"/>
            <w:shd w:val="clear" w:color="auto" w:fill="CFF0FC"/>
          </w:tcPr>
          <w:p>
            <w:pPr>
              <w:jc w:val="right"/>
              <w:ind w:right="86"/>
              <w:spacing w:after="0" w:line="108" w:lineRule="exact"/>
              <w:rPr>
                <w:sz w:val="20"/>
                <w:szCs w:val="20"/>
                <w:color w:val="auto"/>
              </w:rPr>
            </w:pPr>
            <w:r>
              <w:rPr>
                <w:rFonts w:ascii="Times New Roman" w:cs="Times New Roman" w:eastAsia="Times New Roman" w:hAnsi="Times New Roman"/>
                <w:sz w:val="11"/>
                <w:szCs w:val="11"/>
                <w:color w:val="auto"/>
              </w:rPr>
              <w:t>SOFR + 7.50%</w:t>
            </w:r>
          </w:p>
        </w:tc>
        <w:tc>
          <w:tcPr>
            <w:tcW w:w="1580" w:type="dxa"/>
            <w:vAlign w:val="bottom"/>
            <w:shd w:val="clear" w:color="auto" w:fill="CFF0FC"/>
          </w:tcPr>
          <w:p>
            <w:pPr>
              <w:jc w:val="right"/>
              <w:ind w:right="266"/>
              <w:spacing w:after="0" w:line="108" w:lineRule="exact"/>
              <w:rPr>
                <w:sz w:val="20"/>
                <w:szCs w:val="20"/>
                <w:color w:val="auto"/>
              </w:rPr>
            </w:pPr>
            <w:r>
              <w:rPr>
                <w:rFonts w:ascii="Times New Roman" w:cs="Times New Roman" w:eastAsia="Times New Roman" w:hAnsi="Times New Roman"/>
                <w:sz w:val="11"/>
                <w:szCs w:val="11"/>
                <w:color w:val="auto"/>
              </w:rPr>
              <w:t>11.85%</w:t>
            </w:r>
          </w:p>
        </w:tc>
        <w:tc>
          <w:tcPr>
            <w:tcW w:w="860" w:type="dxa"/>
            <w:vAlign w:val="bottom"/>
            <w:shd w:val="clear" w:color="auto" w:fill="CFF0FC"/>
          </w:tcPr>
          <w:p>
            <w:pPr>
              <w:jc w:val="right"/>
              <w:ind w:right="146"/>
              <w:spacing w:after="0" w:line="108" w:lineRule="exact"/>
              <w:rPr>
                <w:sz w:val="20"/>
                <w:szCs w:val="20"/>
                <w:color w:val="auto"/>
              </w:rPr>
            </w:pPr>
            <w:r>
              <w:rPr>
                <w:rFonts w:ascii="Times New Roman" w:cs="Times New Roman" w:eastAsia="Times New Roman" w:hAnsi="Times New Roman"/>
                <w:sz w:val="11"/>
                <w:szCs w:val="11"/>
                <w:color w:val="auto"/>
              </w:rPr>
              <w:t>11,438</w:t>
            </w:r>
          </w:p>
        </w:tc>
        <w:tc>
          <w:tcPr>
            <w:tcW w:w="1240" w:type="dxa"/>
            <w:vAlign w:val="bottom"/>
            <w:shd w:val="clear" w:color="auto" w:fill="CFF0FC"/>
          </w:tcPr>
          <w:p>
            <w:pPr>
              <w:jc w:val="right"/>
              <w:ind w:right="386"/>
              <w:spacing w:after="0" w:line="108" w:lineRule="exact"/>
              <w:rPr>
                <w:sz w:val="20"/>
                <w:szCs w:val="20"/>
                <w:color w:val="auto"/>
              </w:rPr>
            </w:pPr>
            <w:r>
              <w:rPr>
                <w:rFonts w:ascii="Times New Roman" w:cs="Times New Roman" w:eastAsia="Times New Roman" w:hAnsi="Times New Roman"/>
                <w:sz w:val="11"/>
                <w:szCs w:val="11"/>
                <w:color w:val="auto"/>
              </w:rPr>
              <w:t>11,561</w:t>
            </w:r>
          </w:p>
        </w:tc>
        <w:tc>
          <w:tcPr>
            <w:tcW w:w="7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0.3%</w:t>
            </w:r>
          </w:p>
        </w:tc>
      </w:tr>
      <w:tr>
        <w:trPr>
          <w:trHeight w:val="100"/>
        </w:trPr>
        <w:tc>
          <w:tcPr>
            <w:tcW w:w="20" w:type="dxa"/>
            <w:vAlign w:val="bottom"/>
          </w:tcPr>
          <w:p>
            <w:pPr>
              <w:spacing w:after="0"/>
              <w:rPr>
                <w:sz w:val="8"/>
                <w:szCs w:val="8"/>
                <w:color w:val="auto"/>
              </w:rPr>
            </w:pPr>
          </w:p>
        </w:tc>
        <w:tc>
          <w:tcPr>
            <w:tcW w:w="1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7"/>
                <w:szCs w:val="7"/>
                <w:color w:val="auto"/>
              </w:rPr>
              <w:t>(3)</w:t>
            </w:r>
          </w:p>
        </w:tc>
        <w:tc>
          <w:tcPr>
            <w:tcW w:w="2560" w:type="dxa"/>
            <w:vAlign w:val="bottom"/>
            <w:tcBorders>
              <w:bottom w:val="single" w:sz="8" w:color="CFF0FC"/>
            </w:tcBorders>
            <w:shd w:val="clear" w:color="auto" w:fill="CFF0FC"/>
          </w:tcPr>
          <w:p>
            <w:pPr>
              <w:spacing w:after="0"/>
              <w:rPr>
                <w:sz w:val="8"/>
                <w:szCs w:val="8"/>
                <w:color w:val="auto"/>
              </w:rPr>
            </w:pPr>
          </w:p>
        </w:tc>
        <w:tc>
          <w:tcPr>
            <w:tcW w:w="840" w:type="dxa"/>
            <w:vAlign w:val="bottom"/>
            <w:tcBorders>
              <w:bottom w:val="single" w:sz="8" w:color="CFF0FC"/>
            </w:tcBorders>
            <w:shd w:val="clear" w:color="auto" w:fill="CFF0FC"/>
          </w:tcPr>
          <w:p>
            <w:pPr>
              <w:spacing w:after="0"/>
              <w:rPr>
                <w:sz w:val="8"/>
                <w:szCs w:val="8"/>
                <w:color w:val="auto"/>
              </w:rPr>
            </w:pPr>
          </w:p>
        </w:tc>
        <w:tc>
          <w:tcPr>
            <w:tcW w:w="980" w:type="dxa"/>
            <w:vAlign w:val="bottom"/>
            <w:tcBorders>
              <w:bottom w:val="single" w:sz="8" w:color="CFF0FC"/>
            </w:tcBorders>
            <w:shd w:val="clear" w:color="auto" w:fill="CFF0FC"/>
          </w:tcPr>
          <w:p>
            <w:pPr>
              <w:spacing w:after="0"/>
              <w:rPr>
                <w:sz w:val="8"/>
                <w:szCs w:val="8"/>
                <w:color w:val="auto"/>
              </w:rPr>
            </w:pPr>
          </w:p>
        </w:tc>
        <w:tc>
          <w:tcPr>
            <w:tcW w:w="1580" w:type="dxa"/>
            <w:vAlign w:val="bottom"/>
            <w:tcBorders>
              <w:bottom w:val="single" w:sz="8" w:color="CFF0FC"/>
            </w:tcBorders>
            <w:shd w:val="clear" w:color="auto" w:fill="CFF0FC"/>
          </w:tcPr>
          <w:p>
            <w:pPr>
              <w:spacing w:after="0"/>
              <w:rPr>
                <w:sz w:val="8"/>
                <w:szCs w:val="8"/>
                <w:color w:val="auto"/>
              </w:rPr>
            </w:pPr>
          </w:p>
        </w:tc>
        <w:tc>
          <w:tcPr>
            <w:tcW w:w="860" w:type="dxa"/>
            <w:vAlign w:val="bottom"/>
            <w:tcBorders>
              <w:bottom w:val="single" w:sz="8" w:color="CFF0FC"/>
            </w:tcBorders>
            <w:shd w:val="clear" w:color="auto" w:fill="CFF0FC"/>
          </w:tcPr>
          <w:p>
            <w:pPr>
              <w:spacing w:after="0"/>
              <w:rPr>
                <w:sz w:val="8"/>
                <w:szCs w:val="8"/>
                <w:color w:val="auto"/>
              </w:rPr>
            </w:pPr>
          </w:p>
        </w:tc>
        <w:tc>
          <w:tcPr>
            <w:tcW w:w="1240" w:type="dxa"/>
            <w:vAlign w:val="bottom"/>
            <w:tcBorders>
              <w:bottom w:val="single" w:sz="8" w:color="CFF0FC"/>
            </w:tcBorders>
            <w:shd w:val="clear" w:color="auto" w:fill="CFF0FC"/>
          </w:tcPr>
          <w:p>
            <w:pPr>
              <w:spacing w:after="0"/>
              <w:rPr>
                <w:sz w:val="8"/>
                <w:szCs w:val="8"/>
                <w:color w:val="auto"/>
              </w:rPr>
            </w:pPr>
          </w:p>
        </w:tc>
        <w:tc>
          <w:tcPr>
            <w:tcW w:w="720" w:type="dxa"/>
            <w:vAlign w:val="bottom"/>
            <w:tcBorders>
              <w:bottom w:val="single" w:sz="8" w:color="CFF0FC"/>
            </w:tcBorders>
            <w:shd w:val="clear" w:color="auto" w:fill="CFF0FC"/>
          </w:tcPr>
          <w:p>
            <w:pPr>
              <w:spacing w:after="0"/>
              <w:rPr>
                <w:sz w:val="8"/>
                <w:szCs w:val="8"/>
                <w:color w:val="auto"/>
              </w:rPr>
            </w:pP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w w:val="96"/>
              </w:rPr>
              <w:t xml:space="preserve">SMA Technologies Holdings, LLC </w:t>
            </w:r>
            <w:r>
              <w:rPr>
                <w:rFonts w:ascii="Times New Roman" w:cs="Times New Roman" w:eastAsia="Times New Roman" w:hAnsi="Times New Roman"/>
                <w:sz w:val="14"/>
                <w:szCs w:val="14"/>
                <w:color w:val="auto"/>
                <w:w w:val="96"/>
                <w:vertAlign w:val="superscript"/>
              </w:rPr>
              <w:t>(3)(5)</w:t>
            </w:r>
          </w:p>
        </w:tc>
        <w:tc>
          <w:tcPr>
            <w:tcW w:w="25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First-lien loan ($31,009 par, due 10/2028)</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10/31/2022</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+ 6.50%</w:t>
            </w:r>
          </w:p>
        </w:tc>
        <w:tc>
          <w:tcPr>
            <w:tcW w:w="15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11.01%</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30,371</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31,447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513,142</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523,725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w:t>
            </w:r>
          </w:p>
        </w:tc>
      </w:tr>
      <w:tr>
        <w:trPr>
          <w:trHeight w:val="132"/>
        </w:trPr>
        <w:tc>
          <w:tcPr>
            <w:tcW w:w="20" w:type="dxa"/>
            <w:vAlign w:val="bottom"/>
          </w:tcPr>
          <w:p>
            <w:pPr>
              <w:spacing w:after="0"/>
              <w:rPr>
                <w:sz w:val="11"/>
                <w:szCs w:val="11"/>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Manufacturing</w:t>
            </w:r>
          </w:p>
        </w:tc>
        <w:tc>
          <w:tcPr>
            <w:tcW w:w="2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Aptean, Inc. </w:t>
            </w:r>
            <w:r>
              <w:rPr>
                <w:rFonts w:ascii="Times New Roman" w:cs="Times New Roman" w:eastAsia="Times New Roman" w:hAnsi="Times New Roman"/>
                <w:sz w:val="14"/>
                <w:szCs w:val="14"/>
                <w:color w:val="auto"/>
                <w:vertAlign w:val="superscript"/>
              </w:rPr>
              <w:t>(3)</w:t>
            </w:r>
          </w:p>
        </w:tc>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First-lien loan ($123,688 par, due 1/2031)</w:t>
            </w:r>
          </w:p>
        </w:tc>
        <w:tc>
          <w:tcPr>
            <w:tcW w:w="8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1/30/2024</w:t>
            </w:r>
          </w:p>
        </w:tc>
        <w:tc>
          <w:tcPr>
            <w:tcW w:w="98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+ 5.00%</w:t>
            </w:r>
          </w:p>
        </w:tc>
        <w:tc>
          <w:tcPr>
            <w:tcW w:w="1580" w:type="dxa"/>
            <w:vAlign w:val="bottom"/>
            <w:shd w:val="clear" w:color="auto" w:fill="CFF0FC"/>
          </w:tcPr>
          <w:p>
            <w:pPr>
              <w:jc w:val="right"/>
              <w:ind w:right="266"/>
              <w:spacing w:after="0"/>
              <w:rPr>
                <w:sz w:val="20"/>
                <w:szCs w:val="20"/>
                <w:color w:val="auto"/>
              </w:rPr>
            </w:pPr>
            <w:r>
              <w:rPr>
                <w:rFonts w:ascii="Times New Roman" w:cs="Times New Roman" w:eastAsia="Times New Roman" w:hAnsi="Times New Roman"/>
                <w:sz w:val="11"/>
                <w:szCs w:val="11"/>
                <w:color w:val="auto"/>
              </w:rPr>
              <w:t>9.58%</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122,468</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124,037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32"/>
        </w:trPr>
        <w:tc>
          <w:tcPr>
            <w:tcW w:w="20" w:type="dxa"/>
            <w:vAlign w:val="bottom"/>
          </w:tcPr>
          <w:p>
            <w:pPr>
              <w:spacing w:after="0"/>
              <w:rPr>
                <w:sz w:val="11"/>
                <w:szCs w:val="11"/>
                <w:color w:val="auto"/>
              </w:rPr>
            </w:pPr>
          </w:p>
        </w:tc>
        <w:tc>
          <w:tcPr>
            <w:tcW w:w="17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ASP Unifrax Holdings, Inc. </w:t>
            </w:r>
            <w:r>
              <w:rPr>
                <w:rFonts w:ascii="Times New Roman" w:cs="Times New Roman" w:eastAsia="Times New Roman" w:hAnsi="Times New Roman"/>
                <w:sz w:val="14"/>
                <w:szCs w:val="14"/>
                <w:color w:val="auto"/>
                <w:vertAlign w:val="superscript"/>
              </w:rPr>
              <w:t>(12)</w:t>
            </w:r>
          </w:p>
        </w:tc>
        <w:tc>
          <w:tcPr>
            <w:tcW w:w="2560" w:type="dxa"/>
            <w:vAlign w:val="bottom"/>
          </w:tcPr>
          <w:p>
            <w:pPr>
              <w:ind w:left="80"/>
              <w:spacing w:after="0" w:line="132" w:lineRule="exact"/>
              <w:rPr>
                <w:sz w:val="20"/>
                <w:szCs w:val="20"/>
                <w:color w:val="auto"/>
              </w:rPr>
            </w:pPr>
            <w:r>
              <w:rPr>
                <w:rFonts w:ascii="Times New Roman" w:cs="Times New Roman" w:eastAsia="Times New Roman" w:hAnsi="Times New Roman"/>
                <w:sz w:val="11"/>
                <w:szCs w:val="11"/>
                <w:color w:val="auto"/>
              </w:rPr>
              <w:t xml:space="preserve">First-lien loan ($3,449 par, due 9/2029) </w:t>
            </w:r>
            <w:r>
              <w:rPr>
                <w:rFonts w:ascii="Times New Roman" w:cs="Times New Roman" w:eastAsia="Times New Roman" w:hAnsi="Times New Roman"/>
                <w:sz w:val="14"/>
                <w:szCs w:val="14"/>
                <w:color w:val="auto"/>
                <w:vertAlign w:val="superscript"/>
              </w:rPr>
              <w:t>(3)</w:t>
            </w: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9/30/2024</w:t>
            </w: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+ 7.75%</w:t>
            </w:r>
          </w:p>
        </w:tc>
        <w:tc>
          <w:tcPr>
            <w:tcW w:w="158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12.08% (incl. 4.75% PIK)</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3,376</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3,484</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r>
      <w:tr>
        <w:trPr>
          <w:trHeight w:val="132"/>
        </w:trPr>
        <w:tc>
          <w:tcPr>
            <w:tcW w:w="20" w:type="dxa"/>
            <w:vAlign w:val="bottom"/>
          </w:tcPr>
          <w:p>
            <w:pPr>
              <w:spacing w:after="0"/>
              <w:rPr>
                <w:sz w:val="11"/>
                <w:szCs w:val="11"/>
                <w:color w:val="auto"/>
              </w:rPr>
            </w:pPr>
          </w:p>
        </w:tc>
        <w:tc>
          <w:tcPr>
            <w:tcW w:w="1760" w:type="dxa"/>
            <w:vAlign w:val="bottom"/>
            <w:shd w:val="clear" w:color="auto" w:fill="CFF0FC"/>
          </w:tcPr>
          <w:p>
            <w:pPr>
              <w:spacing w:after="0"/>
              <w:rPr>
                <w:sz w:val="11"/>
                <w:szCs w:val="11"/>
                <w:color w:val="auto"/>
              </w:rPr>
            </w:pPr>
          </w:p>
        </w:tc>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Second-lien note ($1,999 par, due 9/2029)</w:t>
            </w:r>
          </w:p>
        </w:tc>
        <w:tc>
          <w:tcPr>
            <w:tcW w:w="8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8/31/2023</w:t>
            </w:r>
          </w:p>
        </w:tc>
        <w:tc>
          <w:tcPr>
            <w:tcW w:w="98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7.10%</w:t>
            </w:r>
          </w:p>
        </w:tc>
        <w:tc>
          <w:tcPr>
            <w:tcW w:w="1580" w:type="dxa"/>
            <w:vAlign w:val="bottom"/>
            <w:shd w:val="clear" w:color="auto" w:fill="CFF0FC"/>
          </w:tcPr>
          <w:p>
            <w:pPr>
              <w:jc w:val="right"/>
              <w:ind w:right="346"/>
              <w:spacing w:after="0"/>
              <w:rPr>
                <w:sz w:val="20"/>
                <w:szCs w:val="20"/>
                <w:color w:val="auto"/>
              </w:rPr>
            </w:pPr>
            <w:r>
              <w:rPr>
                <w:rFonts w:ascii="Times New Roman" w:cs="Times New Roman" w:eastAsia="Times New Roman" w:hAnsi="Times New Roman"/>
                <w:sz w:val="11"/>
                <w:szCs w:val="11"/>
                <w:color w:val="auto"/>
              </w:rPr>
              <w:t>7.10% (incl. 1.25% PIK)</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1,513</w:t>
            </w:r>
          </w:p>
        </w:tc>
        <w:tc>
          <w:tcPr>
            <w:tcW w:w="1240" w:type="dxa"/>
            <w:vAlign w:val="bottom"/>
            <w:shd w:val="clear" w:color="auto" w:fill="CFF0FC"/>
          </w:tcPr>
          <w:p>
            <w:pPr>
              <w:jc w:val="right"/>
              <w:ind w:right="386"/>
              <w:spacing w:after="0"/>
              <w:rPr>
                <w:sz w:val="20"/>
                <w:szCs w:val="20"/>
                <w:color w:val="auto"/>
              </w:rPr>
            </w:pPr>
            <w:r>
              <w:rPr>
                <w:rFonts w:ascii="Times New Roman" w:cs="Times New Roman" w:eastAsia="Times New Roman" w:hAnsi="Times New Roman"/>
                <w:sz w:val="11"/>
                <w:szCs w:val="11"/>
                <w:color w:val="auto"/>
              </w:rPr>
              <w:t>1,309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69" w:right="68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1"/>
          <w:szCs w:val="11"/>
          <w:color w:val="auto"/>
        </w:rPr>
        <w:t xml:space="preserve">Avalara, Inc. </w:t>
      </w:r>
      <w:r>
        <w:rPr>
          <w:rFonts w:ascii="Times New Roman" w:cs="Times New Roman" w:eastAsia="Times New Roman" w:hAnsi="Times New Roman"/>
          <w:sz w:val="14"/>
          <w:szCs w:val="14"/>
          <w:color w:val="auto"/>
          <w:vertAlign w:val="superscript"/>
        </w:rPr>
        <w:t>(3)</w:t>
      </w:r>
    </w:p>
    <w:p>
      <w:pPr>
        <w:spacing w:after="0" w:line="185" w:lineRule="auto"/>
        <w:rPr>
          <w:sz w:val="20"/>
          <w:szCs w:val="20"/>
          <w:color w:val="auto"/>
        </w:rPr>
      </w:pPr>
      <w:r>
        <w:rPr>
          <w:rFonts w:ascii="Times New Roman" w:cs="Times New Roman" w:eastAsia="Times New Roman" w:hAnsi="Times New Roman"/>
          <w:sz w:val="9"/>
          <w:szCs w:val="9"/>
          <w:color w:val="auto"/>
        </w:rPr>
        <w:t>Heritage Environmental Services, Inc.</w:t>
      </w:r>
    </w:p>
    <w:p>
      <w:pPr>
        <w:spacing w:after="0"/>
        <w:rPr>
          <w:sz w:val="20"/>
          <w:szCs w:val="20"/>
          <w:color w:val="auto"/>
        </w:rPr>
      </w:pPr>
      <w:r>
        <w:rPr>
          <w:rFonts w:ascii="Times New Roman" w:cs="Times New Roman" w:eastAsia="Times New Roman" w:hAnsi="Times New Roman"/>
          <w:sz w:val="7"/>
          <w:szCs w:val="7"/>
          <w:color w:val="auto"/>
        </w:rPr>
        <w:t>(3)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Skylark UK DebtCo Limited </w:t>
      </w:r>
      <w:r>
        <w:rPr>
          <w:rFonts w:ascii="Times New Roman" w:cs="Times New Roman" w:eastAsia="Times New Roman" w:hAnsi="Times New Roman"/>
          <w:sz w:val="14"/>
          <w:szCs w:val="14"/>
          <w:color w:val="auto"/>
          <w:vertAlign w:val="superscript"/>
        </w:rPr>
        <w:t>(3)(4)</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Varinem German BidCo GmbH </w:t>
      </w:r>
      <w:r>
        <w:rPr>
          <w:rFonts w:ascii="Times New Roman" w:cs="Times New Roman" w:eastAsia="Times New Roman" w:hAnsi="Times New Roman"/>
          <w:sz w:val="14"/>
          <w:szCs w:val="14"/>
          <w:color w:val="auto"/>
          <w:vertAlign w:val="superscript"/>
        </w:rPr>
        <w:t>(3)(4)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Oil, Gas and Consumable Fuels</w:t>
      </w:r>
    </w:p>
    <w:p>
      <w:pPr>
        <w:spacing w:after="0" w:line="202" w:lineRule="auto"/>
        <w:rPr>
          <w:sz w:val="20"/>
          <w:szCs w:val="20"/>
          <w:color w:val="auto"/>
        </w:rPr>
      </w:pPr>
      <w:r>
        <w:rPr>
          <w:rFonts w:ascii="Times New Roman" w:cs="Times New Roman" w:eastAsia="Times New Roman" w:hAnsi="Times New Roman"/>
          <w:sz w:val="11"/>
          <w:szCs w:val="11"/>
          <w:color w:val="auto"/>
        </w:rPr>
        <w:t xml:space="preserve">Laramie Energy, LLC </w:t>
      </w:r>
      <w:r>
        <w:rPr>
          <w:rFonts w:ascii="Times New Roman" w:cs="Times New Roman" w:eastAsia="Times New Roman" w:hAnsi="Times New Roman"/>
          <w:sz w:val="14"/>
          <w:szCs w:val="14"/>
          <w:color w:val="auto"/>
          <w:vertAlign w:val="superscript"/>
        </w:rPr>
        <w:t>(3)</w:t>
      </w:r>
    </w:p>
    <w:p>
      <w:pPr>
        <w:spacing w:after="0"/>
        <w:rPr>
          <w:sz w:val="20"/>
          <w:szCs w:val="20"/>
          <w:color w:val="auto"/>
        </w:rPr>
      </w:pPr>
      <w:r>
        <w:rPr>
          <w:rFonts w:ascii="Times New Roman" w:cs="Times New Roman" w:eastAsia="Times New Roman" w:hAnsi="Times New Roman"/>
          <w:sz w:val="11"/>
          <w:szCs w:val="11"/>
          <w:color w:val="auto"/>
        </w:rPr>
        <w:t xml:space="preserve">Mach Natural Resources LP </w:t>
      </w:r>
      <w:r>
        <w:rPr>
          <w:rFonts w:ascii="Times New Roman" w:cs="Times New Roman" w:eastAsia="Times New Roman" w:hAnsi="Times New Roman"/>
          <w:sz w:val="14"/>
          <w:szCs w:val="14"/>
          <w:color w:val="auto"/>
          <w:vertAlign w:val="superscript"/>
        </w:rPr>
        <w:t>(3)(4)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234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($136,364 par, due 10/2028)</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10/19/2022</w:t>
            </w:r>
          </w:p>
        </w:tc>
        <w:tc>
          <w:tcPr>
            <w:tcW w:w="134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rPr>
              <w:t>SOFR + 6.25%</w:t>
            </w:r>
          </w:p>
        </w:tc>
        <w:tc>
          <w:tcPr>
            <w:tcW w:w="11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10.58%</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133,991</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137,489</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r>
      <w:tr>
        <w:trPr>
          <w:trHeight w:val="140"/>
        </w:trPr>
        <w:tc>
          <w:tcPr>
            <w:tcW w:w="234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($131,681 par, due 1/2031)</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1/31/2024</w:t>
            </w:r>
          </w:p>
        </w:tc>
        <w:tc>
          <w:tcPr>
            <w:tcW w:w="134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rPr>
              <w:t>SOFR + 5.25%</w:t>
            </w:r>
          </w:p>
        </w:tc>
        <w:tc>
          <w:tcPr>
            <w:tcW w:w="11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9.84%</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130,976</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133,195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r>
      <w:tr>
        <w:trPr>
          <w:trHeight w:val="220"/>
        </w:trPr>
        <w:tc>
          <w:tcPr>
            <w:tcW w:w="234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($16,608 par, due 1/2031)</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1/31/2024</w:t>
            </w:r>
          </w:p>
        </w:tc>
        <w:tc>
          <w:tcPr>
            <w:tcW w:w="134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rPr>
              <w:t>SOFR + 5.00%</w:t>
            </w:r>
          </w:p>
        </w:tc>
        <w:tc>
          <w:tcPr>
            <w:tcW w:w="11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9.33%</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16,529</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16,608</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32"/>
        </w:trPr>
        <w:tc>
          <w:tcPr>
            <w:tcW w:w="234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($56,651 par, due 9/2030)</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9/7/2023</w:t>
            </w:r>
          </w:p>
        </w:tc>
        <w:tc>
          <w:tcPr>
            <w:tcW w:w="134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rPr>
              <w:t>SOFR + 5.66%</w:t>
            </w:r>
          </w:p>
        </w:tc>
        <w:tc>
          <w:tcPr>
            <w:tcW w:w="11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9.99%</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55,303</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57,217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r>
      <w:tr>
        <w:trPr>
          <w:trHeight w:val="132"/>
        </w:trPr>
        <w:tc>
          <w:tcPr>
            <w:tcW w:w="234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(GBP 57,691 par, due 9/2030)</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9/7/2023</w:t>
            </w:r>
          </w:p>
        </w:tc>
        <w:tc>
          <w:tcPr>
            <w:tcW w:w="134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rPr>
              <w:t>S + 5.66%</w:t>
            </w:r>
          </w:p>
        </w:tc>
        <w:tc>
          <w:tcPr>
            <w:tcW w:w="11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10.36%</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69,740</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73,215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32"/>
        </w:trPr>
        <w:tc>
          <w:tcPr>
            <w:tcW w:w="2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(GBP 58,460)</w:t>
            </w:r>
          </w:p>
        </w:tc>
        <w:tc>
          <w:tcPr>
            <w:tcW w:w="720" w:type="dxa"/>
            <w:vAlign w:val="bottom"/>
          </w:tcPr>
          <w:p>
            <w:pPr>
              <w:spacing w:after="0"/>
              <w:rPr>
                <w:sz w:val="11"/>
                <w:szCs w:val="11"/>
                <w:color w:val="auto"/>
              </w:rPr>
            </w:pPr>
          </w:p>
        </w:tc>
      </w:tr>
      <w:tr>
        <w:trPr>
          <w:trHeight w:val="132"/>
        </w:trPr>
        <w:tc>
          <w:tcPr>
            <w:tcW w:w="234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(EUR 16,819 par, due 9/2030)</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9/7/2023</w:t>
            </w:r>
          </w:p>
        </w:tc>
        <w:tc>
          <w:tcPr>
            <w:tcW w:w="134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rPr>
              <w:t>E + 5.66%</w:t>
            </w:r>
          </w:p>
        </w:tc>
        <w:tc>
          <w:tcPr>
            <w:tcW w:w="11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8.35%</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17,580</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17,590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32"/>
        </w:trPr>
        <w:tc>
          <w:tcPr>
            <w:tcW w:w="2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16,987)</w:t>
            </w:r>
          </w:p>
        </w:tc>
        <w:tc>
          <w:tcPr>
            <w:tcW w:w="720" w:type="dxa"/>
            <w:vAlign w:val="bottom"/>
          </w:tcPr>
          <w:p>
            <w:pPr>
              <w:spacing w:after="0"/>
              <w:rPr>
                <w:sz w:val="11"/>
                <w:szCs w:val="11"/>
                <w:color w:val="auto"/>
              </w:rPr>
            </w:pPr>
          </w:p>
        </w:tc>
      </w:tr>
      <w:tr>
        <w:trPr>
          <w:trHeight w:val="132"/>
        </w:trPr>
        <w:tc>
          <w:tcPr>
            <w:tcW w:w="234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(EUR 12,696 par, due 7/2031)</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7/11/2024</w:t>
            </w:r>
          </w:p>
        </w:tc>
        <w:tc>
          <w:tcPr>
            <w:tcW w:w="134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rPr>
              <w:t>E + 5.75%</w:t>
            </w:r>
          </w:p>
        </w:tc>
        <w:tc>
          <w:tcPr>
            <w:tcW w:w="11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9.42%</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13,681</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13,105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32"/>
        </w:trPr>
        <w:tc>
          <w:tcPr>
            <w:tcW w:w="2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(EUR 12,656)</w:t>
            </w:r>
          </w:p>
        </w:tc>
        <w:tc>
          <w:tcPr>
            <w:tcW w:w="720" w:type="dxa"/>
            <w:vAlign w:val="bottom"/>
          </w:tcPr>
          <w:p>
            <w:pPr>
              <w:spacing w:after="0"/>
              <w:rPr>
                <w:sz w:val="11"/>
                <w:szCs w:val="11"/>
                <w:color w:val="auto"/>
              </w:rPr>
            </w:pPr>
          </w:p>
        </w:tc>
      </w:tr>
      <w:tr>
        <w:trPr>
          <w:trHeight w:val="140"/>
        </w:trPr>
        <w:tc>
          <w:tcPr>
            <w:tcW w:w="2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565,157</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577,249</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w:t>
            </w:r>
          </w:p>
        </w:tc>
      </w:tr>
      <w:tr>
        <w:trPr>
          <w:trHeight w:val="256"/>
        </w:trPr>
        <w:tc>
          <w:tcPr>
            <w:tcW w:w="234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($97,561 par, due 2/2027)</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2/21/2023</w:t>
            </w:r>
          </w:p>
        </w:tc>
        <w:tc>
          <w:tcPr>
            <w:tcW w:w="134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rPr>
              <w:t>SOFR + 7.10%</w:t>
            </w:r>
          </w:p>
        </w:tc>
        <w:tc>
          <w:tcPr>
            <w:tcW w:w="11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11.46%</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96,519</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98,537</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32"/>
        </w:trPr>
        <w:tc>
          <w:tcPr>
            <w:tcW w:w="2340" w:type="dxa"/>
            <w:vAlign w:val="bottom"/>
          </w:tcPr>
          <w:p>
            <w:pPr>
              <w:spacing w:after="0"/>
              <w:rPr>
                <w:sz w:val="20"/>
                <w:szCs w:val="20"/>
                <w:color w:val="auto"/>
              </w:rPr>
            </w:pPr>
            <w:r>
              <w:rPr>
                <w:rFonts w:ascii="Times New Roman" w:cs="Times New Roman" w:eastAsia="Times New Roman" w:hAnsi="Times New Roman"/>
                <w:sz w:val="11"/>
                <w:szCs w:val="11"/>
                <w:color w:val="auto"/>
              </w:rPr>
              <w:t>First-lien loan ($115,625 par, due 12/2026)</w:t>
            </w:r>
          </w:p>
        </w:tc>
        <w:tc>
          <w:tcPr>
            <w:tcW w:w="10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12/28/2023</w:t>
            </w:r>
          </w:p>
        </w:tc>
        <w:tc>
          <w:tcPr>
            <w:tcW w:w="1340" w:type="dxa"/>
            <w:vAlign w:val="bottom"/>
          </w:tcPr>
          <w:p>
            <w:pPr>
              <w:jc w:val="right"/>
              <w:ind w:right="486"/>
              <w:spacing w:after="0"/>
              <w:rPr>
                <w:sz w:val="20"/>
                <w:szCs w:val="20"/>
                <w:color w:val="auto"/>
              </w:rPr>
            </w:pPr>
            <w:r>
              <w:rPr>
                <w:rFonts w:ascii="Times New Roman" w:cs="Times New Roman" w:eastAsia="Times New Roman" w:hAnsi="Times New Roman"/>
                <w:sz w:val="11"/>
                <w:szCs w:val="11"/>
                <w:color w:val="auto"/>
              </w:rPr>
              <w:t>SOFR + 6.65%</w:t>
            </w:r>
          </w:p>
        </w:tc>
        <w:tc>
          <w:tcPr>
            <w:tcW w:w="11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rPr>
              <w:t>10.98%</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114,031</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116,492</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40"/>
        </w:trPr>
        <w:tc>
          <w:tcPr>
            <w:tcW w:w="2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210,550</w:t>
            </w:r>
          </w:p>
        </w:tc>
        <w:tc>
          <w:tcPr>
            <w:tcW w:w="12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215,029</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-1239520</wp:posOffset>
            </wp:positionV>
            <wp:extent cx="6707505" cy="144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07505" cy="144780"/>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-1010285</wp:posOffset>
            </wp:positionV>
            <wp:extent cx="6707505" cy="83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-758825</wp:posOffset>
            </wp:positionV>
            <wp:extent cx="6707505" cy="167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-423545</wp:posOffset>
            </wp:positionV>
            <wp:extent cx="6707505" cy="83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-255905</wp:posOffset>
            </wp:positionV>
            <wp:extent cx="6707505" cy="838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07505" cy="83820"/>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-88265</wp:posOffset>
            </wp:positionV>
            <wp:extent cx="6707505" cy="83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7505" cy="8382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2">
            <w:col w:w="1660" w:space="200"/>
            <w:col w:w="8700"/>
          </w:cols>
          <w:pgMar w:left="660" w:top="1381" w:right="680" w:bottom="1440" w:gutter="0" w:footer="0" w:header="0"/>
        </w:sectPr>
      </w:pPr>
    </w:p>
    <w:tbl>
      <w:tblPr>
        <w:tblLayout w:type="fixed"/>
        <w:tblInd w:w="0" w:type="dxa"/>
        <w:tblCellMar>
          <w:top w:w="0" w:type="dxa"/>
          <w:left w:w="0" w:type="dxa"/>
          <w:bottom w:w="0" w:type="dxa"/>
          <w:right w:w="0" w:type="dxa"/>
        </w:tblCellMar>
      </w:tblPr>
      <w:tr>
        <w:trPr>
          <w:trHeight w:val="124"/>
        </w:trPr>
        <w:tc>
          <w:tcPr>
            <w:tcW w:w="1700" w:type="dxa"/>
            <w:vAlign w:val="bottom"/>
            <w:gridSpan w:val="2"/>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Other</w:t>
            </w:r>
          </w:p>
        </w:tc>
        <w:tc>
          <w:tcPr>
            <w:tcW w:w="2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Scorpio Bidco </w:t>
            </w:r>
            <w:r>
              <w:rPr>
                <w:rFonts w:ascii="Times New Roman" w:cs="Times New Roman" w:eastAsia="Times New Roman" w:hAnsi="Times New Roman"/>
                <w:sz w:val="14"/>
                <w:szCs w:val="14"/>
                <w:color w:val="auto"/>
                <w:vertAlign w:val="superscript"/>
              </w:rPr>
              <w:t>(3)(4)</w:t>
            </w:r>
          </w:p>
        </w:tc>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First-lien loan (EUR 75,326 par, due 4/2031)</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4/4/2024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+ 5.75%</w:t>
            </w:r>
          </w:p>
        </w:tc>
        <w:tc>
          <w:tcPr>
            <w:tcW w:w="15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8.43%</w:t>
            </w:r>
          </w:p>
        </w:tc>
        <w:tc>
          <w:tcPr>
            <w:tcW w:w="8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80,131</w:t>
            </w:r>
          </w:p>
        </w:tc>
        <w:tc>
          <w:tcPr>
            <w:tcW w:w="124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77,534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25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(EUR 74,876)</w:t>
            </w: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Sky Bidco S.p.A. </w:t>
            </w:r>
            <w:r>
              <w:rPr>
                <w:rFonts w:ascii="Times New Roman" w:cs="Times New Roman" w:eastAsia="Times New Roman" w:hAnsi="Times New Roman"/>
                <w:sz w:val="14"/>
                <w:szCs w:val="14"/>
                <w:color w:val="auto"/>
                <w:vertAlign w:val="superscript"/>
              </w:rPr>
              <w:t>(3)(4)</w:t>
            </w:r>
          </w:p>
        </w:tc>
        <w:tc>
          <w:tcPr>
            <w:tcW w:w="25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First-lien note (EUR 52,053 par, due 10/2031)</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10/29/2024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+ 5.75%</w:t>
            </w:r>
          </w:p>
        </w:tc>
        <w:tc>
          <w:tcPr>
            <w:tcW w:w="15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8.20%</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54,529</w:t>
            </w: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52,439</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(EUR 50,641)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First-lien note ($115,131 par, due 10/2031)</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10/29/2024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5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10.51%</w:t>
            </w:r>
          </w:p>
        </w:tc>
        <w:tc>
          <w:tcPr>
            <w:tcW w:w="8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112,884</w:t>
            </w:r>
          </w:p>
        </w:tc>
        <w:tc>
          <w:tcPr>
            <w:tcW w:w="124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113,116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247,544</w:t>
            </w: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243,089</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Pharmaceuticals</w:t>
            </w:r>
          </w:p>
        </w:tc>
        <w:tc>
          <w:tcPr>
            <w:tcW w:w="25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Apellis Pharmaceuticals, Inc. </w:t>
            </w:r>
            <w:r>
              <w:rPr>
                <w:rFonts w:ascii="Times New Roman" w:cs="Times New Roman" w:eastAsia="Times New Roman" w:hAnsi="Times New Roman"/>
                <w:sz w:val="14"/>
                <w:szCs w:val="14"/>
                <w:color w:val="auto"/>
                <w:vertAlign w:val="superscript"/>
              </w:rPr>
              <w:t>(3)(4)</w:t>
            </w:r>
          </w:p>
        </w:tc>
        <w:tc>
          <w:tcPr>
            <w:tcW w:w="25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First-lien loan ($157,895 par, due 5/2030)</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5/13/2024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+ 5.75%</w:t>
            </w:r>
          </w:p>
        </w:tc>
        <w:tc>
          <w:tcPr>
            <w:tcW w:w="15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10.08%</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157,895</w:t>
            </w: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159,395</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Arrowhead Pharmaceuticals, Inc. </w:t>
            </w:r>
            <w:r>
              <w:rPr>
                <w:rFonts w:ascii="Times New Roman" w:cs="Times New Roman" w:eastAsia="Times New Roman" w:hAnsi="Times New Roman"/>
                <w:sz w:val="14"/>
                <w:szCs w:val="14"/>
                <w:color w:val="auto"/>
                <w:vertAlign w:val="superscript"/>
              </w:rPr>
              <w:t>(4)</w:t>
            </w:r>
          </w:p>
        </w:tc>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First-lien loan ($139,864 par, due 8/2031)</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8/7/2024</w:t>
            </w:r>
          </w:p>
        </w:tc>
        <w:tc>
          <w:tcPr>
            <w:tcW w:w="9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15.00%</w:t>
            </w:r>
          </w:p>
        </w:tc>
        <w:tc>
          <w:tcPr>
            <w:tcW w:w="15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15.00%</w:t>
            </w:r>
          </w:p>
        </w:tc>
        <w:tc>
          <w:tcPr>
            <w:tcW w:w="8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138,589</w:t>
            </w:r>
          </w:p>
        </w:tc>
        <w:tc>
          <w:tcPr>
            <w:tcW w:w="124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186,719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Elysium BidCo Limited </w:t>
            </w:r>
            <w:r>
              <w:rPr>
                <w:rFonts w:ascii="Times New Roman" w:cs="Times New Roman" w:eastAsia="Times New Roman" w:hAnsi="Times New Roman"/>
                <w:sz w:val="14"/>
                <w:szCs w:val="14"/>
                <w:color w:val="auto"/>
                <w:vertAlign w:val="superscript"/>
              </w:rPr>
              <w:t>(3)(4)</w:t>
            </w:r>
          </w:p>
        </w:tc>
        <w:tc>
          <w:tcPr>
            <w:tcW w:w="25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First-lien loan (EUR 139,148 par, due 12/2030)</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12/11/2024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E + 7.25%</w:t>
            </w:r>
          </w:p>
        </w:tc>
        <w:tc>
          <w:tcPr>
            <w:tcW w:w="15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10.07%</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142,331</w:t>
            </w: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140,846</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(EUR 136,017)</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First-lien loan (GBP 77,006 par, due 12/2030)</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12/11/2024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 + 7.25%</w:t>
            </w:r>
          </w:p>
        </w:tc>
        <w:tc>
          <w:tcPr>
            <w:tcW w:w="15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11.95%</w:t>
            </w:r>
          </w:p>
        </w:tc>
        <w:tc>
          <w:tcPr>
            <w:tcW w:w="8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95,685</w:t>
            </w:r>
          </w:p>
        </w:tc>
        <w:tc>
          <w:tcPr>
            <w:tcW w:w="124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93,839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25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(GBP 74,927)</w:t>
            </w: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534,500</w:t>
            </w: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580,799</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Real Estate</w:t>
            </w:r>
          </w:p>
        </w:tc>
        <w:tc>
          <w:tcPr>
            <w:tcW w:w="25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Cirrus (BidCo) Limited </w:t>
            </w:r>
            <w:r>
              <w:rPr>
                <w:rFonts w:ascii="Times New Roman" w:cs="Times New Roman" w:eastAsia="Times New Roman" w:hAnsi="Times New Roman"/>
                <w:sz w:val="14"/>
                <w:szCs w:val="14"/>
                <w:color w:val="auto"/>
                <w:vertAlign w:val="superscript"/>
              </w:rPr>
              <w:t>(3)(4)(5)</w:t>
            </w:r>
          </w:p>
        </w:tc>
        <w:tc>
          <w:tcPr>
            <w:tcW w:w="25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First-lien loan (GBP 675 par, due 8/2030)</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8/9/2024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 + 6.25%</w:t>
            </w:r>
          </w:p>
        </w:tc>
        <w:tc>
          <w:tcPr>
            <w:tcW w:w="15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10.95% (incl. 3.00% PIK)</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836</w:t>
            </w: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836</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(GBP 667)</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Retail and Consumer Products</w:t>
            </w:r>
          </w:p>
        </w:tc>
        <w:tc>
          <w:tcPr>
            <w:tcW w:w="25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line="132" w:lineRule="exact"/>
              <w:rPr>
                <w:sz w:val="20"/>
                <w:szCs w:val="20"/>
                <w:color w:val="auto"/>
              </w:rPr>
            </w:pPr>
            <w:r>
              <w:rPr>
                <w:rFonts w:ascii="Times New Roman" w:cs="Times New Roman" w:eastAsia="Times New Roman" w:hAnsi="Times New Roman"/>
                <w:sz w:val="15"/>
                <w:szCs w:val="15"/>
                <w:color w:val="auto"/>
                <w:vertAlign w:val="subscript"/>
              </w:rPr>
              <w:t>Acosta</w:t>
            </w:r>
            <w:r>
              <w:rPr>
                <w:rFonts w:ascii="Times New Roman" w:cs="Times New Roman" w:eastAsia="Times New Roman" w:hAnsi="Times New Roman"/>
                <w:sz w:val="6"/>
                <w:szCs w:val="6"/>
                <w:color w:val="auto"/>
              </w:rPr>
              <w:t xml:space="preserve"> (3)(12)</w:t>
            </w:r>
          </w:p>
        </w:tc>
        <w:tc>
          <w:tcPr>
            <w:tcW w:w="25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First-lien loan ($140,000 par, due 8/2031)</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8/20/2024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+ 5.60%</w:t>
            </w:r>
          </w:p>
        </w:tc>
        <w:tc>
          <w:tcPr>
            <w:tcW w:w="15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10.12%</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137,318</w:t>
            </w: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138,950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Bed Bath and Beyond Inc. </w:t>
            </w:r>
            <w:r>
              <w:rPr>
                <w:rFonts w:ascii="Times New Roman" w:cs="Times New Roman" w:eastAsia="Times New Roman" w:hAnsi="Times New Roman"/>
                <w:sz w:val="14"/>
                <w:szCs w:val="14"/>
                <w:color w:val="auto"/>
                <w:vertAlign w:val="superscript"/>
              </w:rPr>
              <w:t>(3)(11)</w:t>
            </w:r>
          </w:p>
        </w:tc>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ABL FILO term loan ($16,352 par, due 8/2027)</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9/2/2022</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+ 9.90%</w:t>
            </w:r>
          </w:p>
        </w:tc>
        <w:tc>
          <w:tcPr>
            <w:tcW w:w="15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14.26%</w:t>
            </w:r>
          </w:p>
        </w:tc>
        <w:tc>
          <w:tcPr>
            <w:tcW w:w="8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16,104</w:t>
            </w:r>
          </w:p>
        </w:tc>
        <w:tc>
          <w:tcPr>
            <w:tcW w:w="124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14,962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5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Roll Up DIP term loan ($45,317 par)</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4/24/2023</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+ 7.90%</w:t>
            </w:r>
          </w:p>
        </w:tc>
        <w:tc>
          <w:tcPr>
            <w:tcW w:w="154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rPr>
              <w:t>12.26% PIK</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45,317</w:t>
            </w: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41,465</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Super-Priority DIP term loan ($7,251 par)</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4/24/2023</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+ 7.90%</w:t>
            </w:r>
          </w:p>
        </w:tc>
        <w:tc>
          <w:tcPr>
            <w:tcW w:w="15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12.26%</w:t>
            </w:r>
          </w:p>
        </w:tc>
        <w:tc>
          <w:tcPr>
            <w:tcW w:w="8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7,251</w:t>
            </w:r>
          </w:p>
        </w:tc>
        <w:tc>
          <w:tcPr>
            <w:tcW w:w="124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6,635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Belk, Inc. </w:t>
            </w:r>
            <w:r>
              <w:rPr>
                <w:rFonts w:ascii="Times New Roman" w:cs="Times New Roman" w:eastAsia="Times New Roman" w:hAnsi="Times New Roman"/>
                <w:sz w:val="14"/>
                <w:szCs w:val="14"/>
                <w:color w:val="auto"/>
                <w:vertAlign w:val="superscript"/>
              </w:rPr>
              <w:t>(3)</w:t>
            </w:r>
          </w:p>
        </w:tc>
        <w:tc>
          <w:tcPr>
            <w:tcW w:w="25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First-lien loan ($192,563 par, due 7/2029)</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7/22/2024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+ 7.00%</w:t>
            </w:r>
          </w:p>
        </w:tc>
        <w:tc>
          <w:tcPr>
            <w:tcW w:w="15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11.51%</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189,683</w:t>
            </w: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191,118</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Commercehub, Inc. </w:t>
            </w:r>
            <w:r>
              <w:rPr>
                <w:rFonts w:ascii="Times New Roman" w:cs="Times New Roman" w:eastAsia="Times New Roman" w:hAnsi="Times New Roman"/>
                <w:sz w:val="14"/>
                <w:szCs w:val="14"/>
                <w:color w:val="auto"/>
                <w:vertAlign w:val="superscript"/>
              </w:rPr>
              <w:t>(3)</w:t>
            </w:r>
          </w:p>
        </w:tc>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First-lien loan ($147,000 par, due 12/2027)</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11/15/2022</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SOFR + 6.25%</w:t>
            </w:r>
          </w:p>
        </w:tc>
        <w:tc>
          <w:tcPr>
            <w:tcW w:w="15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10.90%</w:t>
            </w:r>
          </w:p>
        </w:tc>
        <w:tc>
          <w:tcPr>
            <w:tcW w:w="8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140,246</w:t>
            </w:r>
          </w:p>
        </w:tc>
        <w:tc>
          <w:tcPr>
            <w:tcW w:w="124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143,325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PDI TA Holdings, Inc. </w:t>
            </w:r>
            <w:r>
              <w:rPr>
                <w:rFonts w:ascii="Times New Roman" w:cs="Times New Roman" w:eastAsia="Times New Roman" w:hAnsi="Times New Roman"/>
                <w:sz w:val="14"/>
                <w:szCs w:val="14"/>
                <w:color w:val="auto"/>
                <w:vertAlign w:val="superscript"/>
              </w:rPr>
              <w:t>(3)</w:t>
            </w:r>
          </w:p>
        </w:tc>
        <w:tc>
          <w:tcPr>
            <w:tcW w:w="25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First-lien loan ($146,333 par, due 2/2031)</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+ 5.50%</w:t>
            </w:r>
          </w:p>
        </w:tc>
        <w:tc>
          <w:tcPr>
            <w:tcW w:w="15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10.09%</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144,076</w:t>
            </w: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147,197</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8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1"/>
                <w:szCs w:val="11"/>
                <w:color w:val="auto"/>
              </w:rPr>
              <w:t>Rapid Data GmbH</w:t>
            </w:r>
          </w:p>
        </w:tc>
        <w:tc>
          <w:tcPr>
            <w:tcW w:w="2560" w:type="dxa"/>
            <w:vAlign w:val="bottom"/>
            <w:shd w:val="clear" w:color="auto" w:fill="CFF0FC"/>
          </w:tcPr>
          <w:p>
            <w:pPr>
              <w:ind w:left="160"/>
              <w:spacing w:after="0" w:line="120" w:lineRule="exact"/>
              <w:rPr>
                <w:sz w:val="20"/>
                <w:szCs w:val="20"/>
                <w:color w:val="auto"/>
              </w:rPr>
            </w:pPr>
            <w:r>
              <w:rPr>
                <w:rFonts w:ascii="Times New Roman" w:cs="Times New Roman" w:eastAsia="Times New Roman" w:hAnsi="Times New Roman"/>
                <w:sz w:val="11"/>
                <w:szCs w:val="11"/>
                <w:color w:val="auto"/>
              </w:rPr>
              <w:t>First-lien loan (EUR 7,378 par, due 7/2029)</w:t>
            </w:r>
          </w:p>
        </w:tc>
        <w:tc>
          <w:tcPr>
            <w:tcW w:w="960" w:type="dxa"/>
            <w:vAlign w:val="bottom"/>
            <w:shd w:val="clear" w:color="auto" w:fill="CFF0FC"/>
          </w:tcPr>
          <w:p>
            <w:pPr>
              <w:jc w:val="right"/>
              <w:ind w:right="66"/>
              <w:spacing w:after="0" w:line="120" w:lineRule="exact"/>
              <w:rPr>
                <w:sz w:val="20"/>
                <w:szCs w:val="20"/>
                <w:color w:val="auto"/>
              </w:rPr>
            </w:pPr>
            <w:r>
              <w:rPr>
                <w:rFonts w:ascii="Times New Roman" w:cs="Times New Roman" w:eastAsia="Times New Roman" w:hAnsi="Times New Roman"/>
                <w:sz w:val="11"/>
                <w:szCs w:val="11"/>
                <w:color w:val="auto"/>
              </w:rPr>
              <w:t>7/11/2023</w:t>
            </w:r>
          </w:p>
        </w:tc>
        <w:tc>
          <w:tcPr>
            <w:tcW w:w="940" w:type="dxa"/>
            <w:vAlign w:val="bottom"/>
            <w:shd w:val="clear" w:color="auto" w:fill="CFF0FC"/>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rPr>
              <w:t>E + 6.25%</w:t>
            </w:r>
          </w:p>
        </w:tc>
        <w:tc>
          <w:tcPr>
            <w:tcW w:w="1540" w:type="dxa"/>
            <w:vAlign w:val="bottom"/>
            <w:shd w:val="clear" w:color="auto" w:fill="CFF0FC"/>
          </w:tcPr>
          <w:p>
            <w:pPr>
              <w:jc w:val="right"/>
              <w:ind w:right="306"/>
              <w:spacing w:after="0" w:line="120" w:lineRule="exact"/>
              <w:rPr>
                <w:sz w:val="20"/>
                <w:szCs w:val="20"/>
                <w:color w:val="auto"/>
              </w:rPr>
            </w:pPr>
            <w:r>
              <w:rPr>
                <w:rFonts w:ascii="Times New Roman" w:cs="Times New Roman" w:eastAsia="Times New Roman" w:hAnsi="Times New Roman"/>
                <w:sz w:val="11"/>
                <w:szCs w:val="11"/>
                <w:color w:val="auto"/>
              </w:rPr>
              <w:t>9.47% (incl. 3.00% PIK)</w:t>
            </w:r>
          </w:p>
        </w:tc>
        <w:tc>
          <w:tcPr>
            <w:tcW w:w="880" w:type="dxa"/>
            <w:vAlign w:val="bottom"/>
            <w:shd w:val="clear" w:color="auto" w:fill="CFF0FC"/>
          </w:tcPr>
          <w:p>
            <w:pPr>
              <w:jc w:val="right"/>
              <w:ind w:right="126"/>
              <w:spacing w:after="0" w:line="120" w:lineRule="exact"/>
              <w:rPr>
                <w:sz w:val="20"/>
                <w:szCs w:val="20"/>
                <w:color w:val="auto"/>
              </w:rPr>
            </w:pPr>
            <w:r>
              <w:rPr>
                <w:rFonts w:ascii="Times New Roman" w:cs="Times New Roman" w:eastAsia="Times New Roman" w:hAnsi="Times New Roman"/>
                <w:sz w:val="11"/>
                <w:szCs w:val="11"/>
                <w:color w:val="auto"/>
              </w:rPr>
              <w:t>7,885</w:t>
            </w:r>
          </w:p>
        </w:tc>
        <w:tc>
          <w:tcPr>
            <w:tcW w:w="1240" w:type="dxa"/>
            <w:vAlign w:val="bottom"/>
            <w:shd w:val="clear" w:color="auto" w:fill="CFF0FC"/>
          </w:tcPr>
          <w:p>
            <w:pPr>
              <w:jc w:val="right"/>
              <w:ind w:right="366"/>
              <w:spacing w:after="0" w:line="120" w:lineRule="exact"/>
              <w:rPr>
                <w:sz w:val="20"/>
                <w:szCs w:val="20"/>
                <w:color w:val="auto"/>
              </w:rPr>
            </w:pPr>
            <w:r>
              <w:rPr>
                <w:rFonts w:ascii="Times New Roman" w:cs="Times New Roman" w:eastAsia="Times New Roman" w:hAnsi="Times New Roman"/>
                <w:sz w:val="11"/>
                <w:szCs w:val="11"/>
                <w:color w:val="auto"/>
              </w:rPr>
              <w:t>7,685</w:t>
            </w:r>
          </w:p>
        </w:tc>
        <w:tc>
          <w:tcPr>
            <w:tcW w:w="740" w:type="dxa"/>
            <w:vAlign w:val="bottom"/>
            <w:shd w:val="clear" w:color="auto" w:fill="CFF0FC"/>
          </w:tcPr>
          <w:p>
            <w:pPr>
              <w:jc w:val="right"/>
              <w:spacing w:after="0" w:line="120" w:lineRule="exact"/>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1"/>
                <w:szCs w:val="11"/>
                <w:color w:val="auto"/>
              </w:rPr>
              <w:t xml:space="preserve">Unternehmensberatung </w:t>
            </w:r>
            <w:r>
              <w:rPr>
                <w:rFonts w:ascii="Times New Roman" w:cs="Times New Roman" w:eastAsia="Times New Roman" w:hAnsi="Times New Roman"/>
                <w:sz w:val="14"/>
                <w:szCs w:val="14"/>
                <w:color w:val="auto"/>
                <w:vertAlign w:val="superscript"/>
              </w:rPr>
              <w:t>(3)(4)</w:t>
            </w:r>
          </w:p>
        </w:tc>
        <w:tc>
          <w:tcPr>
            <w:tcW w:w="25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4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(EUR 7,422)</w:t>
            </w: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687,880</w:t>
            </w: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691,337</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Transportation</w:t>
            </w:r>
          </w:p>
        </w:tc>
        <w:tc>
          <w:tcPr>
            <w:tcW w:w="25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Ben Nevis Midco Limited </w:t>
            </w:r>
            <w:r>
              <w:rPr>
                <w:rFonts w:ascii="Times New Roman" w:cs="Times New Roman" w:eastAsia="Times New Roman" w:hAnsi="Times New Roman"/>
                <w:sz w:val="14"/>
                <w:szCs w:val="14"/>
                <w:color w:val="auto"/>
                <w:vertAlign w:val="superscript"/>
              </w:rPr>
              <w:t>(3)(4)</w:t>
            </w:r>
          </w:p>
        </w:tc>
        <w:tc>
          <w:tcPr>
            <w:tcW w:w="25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First-lien loan ($72,693 par, due 3/2028)</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3/26/2024</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SOFR + 5.25%</w:t>
            </w:r>
          </w:p>
        </w:tc>
        <w:tc>
          <w:tcPr>
            <w:tcW w:w="15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9.81%</w:t>
            </w: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71,599</w:t>
            </w: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72,193</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Shiftmove GmbH </w:t>
            </w:r>
            <w:r>
              <w:rPr>
                <w:rFonts w:ascii="Times New Roman" w:cs="Times New Roman" w:eastAsia="Times New Roman" w:hAnsi="Times New Roman"/>
                <w:sz w:val="14"/>
                <w:szCs w:val="14"/>
                <w:color w:val="auto"/>
                <w:vertAlign w:val="superscript"/>
              </w:rPr>
              <w:t>(3)(4)(5)</w:t>
            </w:r>
          </w:p>
        </w:tc>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First-lien loan (EUR 14,167 par, due 9/2030)</w:t>
            </w:r>
          </w:p>
        </w:tc>
        <w:tc>
          <w:tcPr>
            <w:tcW w:w="9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9/30/2024</w:t>
            </w:r>
          </w:p>
        </w:tc>
        <w:tc>
          <w:tcPr>
            <w:tcW w:w="9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E + 6.00%</w:t>
            </w:r>
          </w:p>
        </w:tc>
        <w:tc>
          <w:tcPr>
            <w:tcW w:w="15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rPr>
              <w:t>8.68%</w:t>
            </w:r>
          </w:p>
        </w:tc>
        <w:tc>
          <w:tcPr>
            <w:tcW w:w="88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15,337</w:t>
            </w:r>
          </w:p>
        </w:tc>
        <w:tc>
          <w:tcPr>
            <w:tcW w:w="124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14,307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25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366"/>
              <w:spacing w:after="0"/>
              <w:rPr>
                <w:sz w:val="20"/>
                <w:szCs w:val="20"/>
                <w:color w:val="auto"/>
              </w:rPr>
            </w:pPr>
            <w:r>
              <w:rPr>
                <w:rFonts w:ascii="Times New Roman" w:cs="Times New Roman" w:eastAsia="Times New Roman" w:hAnsi="Times New Roman"/>
                <w:sz w:val="11"/>
                <w:szCs w:val="11"/>
                <w:color w:val="auto"/>
              </w:rPr>
              <w:t>(EUR 13,817)</w:t>
            </w: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86,936</w:t>
            </w: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86,500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25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Debt Investments</w:t>
            </w:r>
          </w:p>
        </w:tc>
        <w:tc>
          <w:tcPr>
            <w:tcW w:w="2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6,939,967</w:t>
            </w:r>
          </w:p>
        </w:tc>
        <w:tc>
          <w:tcPr>
            <w:tcW w:w="124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7,089,771</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25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1" w:right="68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34"/>
        </w:trPr>
        <w:tc>
          <w:tcPr>
            <w:tcW w:w="18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Equity and Other Investments</w:t>
            </w:r>
          </w:p>
        </w:tc>
        <w:tc>
          <w:tcPr>
            <w:tcW w:w="1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Automotive</w:t>
            </w:r>
          </w:p>
        </w:tc>
        <w:tc>
          <w:tcPr>
            <w:tcW w:w="15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Clarience Technologies, LLC </w:t>
            </w:r>
            <w:r>
              <w:rPr>
                <w:rFonts w:ascii="Times New Roman" w:cs="Times New Roman" w:eastAsia="Times New Roman" w:hAnsi="Times New Roman"/>
                <w:sz w:val="14"/>
                <w:szCs w:val="14"/>
                <w:color w:val="auto"/>
                <w:vertAlign w:val="superscript"/>
              </w:rPr>
              <w:t>(8)(10)</w:t>
            </w:r>
          </w:p>
        </w:tc>
        <w:tc>
          <w:tcPr>
            <w:tcW w:w="15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Class A Units (2,666 units)</w:t>
            </w:r>
          </w:p>
        </w:tc>
        <w:tc>
          <w:tcPr>
            <w:tcW w:w="1040" w:type="dxa"/>
            <w:vAlign w:val="bottom"/>
          </w:tcPr>
          <w:p>
            <w:pPr>
              <w:spacing w:after="0"/>
              <w:rPr>
                <w:sz w:val="11"/>
                <w:szCs w:val="11"/>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1"/>
                <w:szCs w:val="11"/>
                <w:color w:val="auto"/>
              </w:rPr>
              <w:t>2/12/2024</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6,557</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6,557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Business Services</w:t>
            </w:r>
          </w:p>
        </w:tc>
        <w:tc>
          <w:tcPr>
            <w:tcW w:w="1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Artisan Topco LP </w:t>
            </w:r>
            <w:r>
              <w:rPr>
                <w:rFonts w:ascii="Times New Roman" w:cs="Times New Roman" w:eastAsia="Times New Roman" w:hAnsi="Times New Roman"/>
                <w:sz w:val="14"/>
                <w:szCs w:val="14"/>
                <w:color w:val="auto"/>
                <w:vertAlign w:val="superscript"/>
              </w:rPr>
              <w:t>(8)</w:t>
            </w:r>
          </w:p>
        </w:tc>
        <w:tc>
          <w:tcPr>
            <w:tcW w:w="26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Class A Preferred Units (7,882,736 units)</w:t>
            </w:r>
          </w:p>
        </w:tc>
        <w:tc>
          <w:tcPr>
            <w:tcW w:w="88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rPr>
              <w:t>11/7/2023</w:t>
            </w: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7,883</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6,602</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w w:val="96"/>
              </w:rPr>
              <w:t xml:space="preserve">Insight Hideaway Aggregator, L.P. </w:t>
            </w:r>
            <w:r>
              <w:rPr>
                <w:rFonts w:ascii="Times New Roman" w:cs="Times New Roman" w:eastAsia="Times New Roman" w:hAnsi="Times New Roman"/>
                <w:sz w:val="14"/>
                <w:szCs w:val="14"/>
                <w:color w:val="auto"/>
                <w:w w:val="96"/>
                <w:vertAlign w:val="superscript"/>
              </w:rPr>
              <w:t>(8)(10)</w:t>
            </w:r>
          </w:p>
        </w:tc>
        <w:tc>
          <w:tcPr>
            <w:tcW w:w="26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Partnership Interest (2,170,139 units)</w:t>
            </w: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1"/>
                <w:szCs w:val="11"/>
                <w:color w:val="auto"/>
              </w:rPr>
              <w:t>3/19/2024</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21,701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tcPr>
          <w:p>
            <w:pPr>
              <w:jc w:val="right"/>
              <w:ind w:right="14"/>
              <w:spacing w:after="0"/>
              <w:rPr>
                <w:sz w:val="20"/>
                <w:szCs w:val="20"/>
                <w:color w:val="auto"/>
              </w:rPr>
            </w:pPr>
            <w:r>
              <w:rPr>
                <w:rFonts w:ascii="Times New Roman" w:cs="Times New Roman" w:eastAsia="Times New Roman" w:hAnsi="Times New Roman"/>
                <w:sz w:val="11"/>
                <w:szCs w:val="11"/>
                <w:color w:val="auto"/>
              </w:rPr>
              <w:t>21,702</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Newark FP Co-Invest, L.P. </w:t>
            </w:r>
            <w:r>
              <w:rPr>
                <w:rFonts w:ascii="Times New Roman" w:cs="Times New Roman" w:eastAsia="Times New Roman" w:hAnsi="Times New Roman"/>
                <w:sz w:val="14"/>
                <w:szCs w:val="14"/>
                <w:color w:val="auto"/>
                <w:vertAlign w:val="superscript"/>
              </w:rPr>
              <w:t>(8)</w:t>
            </w:r>
          </w:p>
        </w:tc>
        <w:tc>
          <w:tcPr>
            <w:tcW w:w="1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Partnership (8,555,356 units)</w:t>
            </w:r>
          </w:p>
        </w:tc>
        <w:tc>
          <w:tcPr>
            <w:tcW w:w="10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rPr>
              <w:t>11/8/2023</w:t>
            </w: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8,572</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7,629</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color w:val="auto"/>
              </w:rPr>
              <w:t>Warrior TopCo LP</w:t>
            </w:r>
          </w:p>
        </w:tc>
        <w:tc>
          <w:tcPr>
            <w:tcW w:w="15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Class A Units (9,576,271 units)</w:t>
            </w:r>
          </w:p>
        </w:tc>
        <w:tc>
          <w:tcPr>
            <w:tcW w:w="1040" w:type="dxa"/>
            <w:vAlign w:val="bottom"/>
          </w:tcPr>
          <w:p>
            <w:pPr>
              <w:spacing w:after="0"/>
              <w:rPr>
                <w:sz w:val="11"/>
                <w:szCs w:val="11"/>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1"/>
                <w:szCs w:val="11"/>
                <w:color w:val="auto"/>
              </w:rPr>
              <w:t>7/7/2023</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9,576</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tcPr>
          <w:p>
            <w:pPr>
              <w:jc w:val="right"/>
              <w:ind w:right="14"/>
              <w:spacing w:after="0"/>
              <w:rPr>
                <w:sz w:val="20"/>
                <w:szCs w:val="20"/>
                <w:color w:val="auto"/>
              </w:rPr>
            </w:pPr>
            <w:r>
              <w:rPr>
                <w:rFonts w:ascii="Times New Roman" w:cs="Times New Roman" w:eastAsia="Times New Roman" w:hAnsi="Times New Roman"/>
                <w:sz w:val="11"/>
                <w:szCs w:val="11"/>
                <w:color w:val="auto"/>
              </w:rPr>
              <w:t>13,646</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47,732</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tcBorders>
              <w:right w:val="single" w:sz="8" w:color="CFF0FC"/>
            </w:tcBorders>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1"/>
                <w:szCs w:val="11"/>
                <w:color w:val="auto"/>
              </w:rPr>
              <w:t>49,579</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Financial Services</w:t>
            </w:r>
          </w:p>
        </w:tc>
        <w:tc>
          <w:tcPr>
            <w:tcW w:w="1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AF Eagle Parent, L.P. </w:t>
            </w:r>
            <w:r>
              <w:rPr>
                <w:rFonts w:ascii="Times New Roman" w:cs="Times New Roman" w:eastAsia="Times New Roman" w:hAnsi="Times New Roman"/>
                <w:sz w:val="14"/>
                <w:szCs w:val="14"/>
                <w:color w:val="auto"/>
                <w:vertAlign w:val="superscript"/>
              </w:rPr>
              <w:t>(8)</w:t>
            </w:r>
          </w:p>
        </w:tc>
        <w:tc>
          <w:tcPr>
            <w:tcW w:w="1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Partnership Units (337,024 units)</w:t>
            </w:r>
          </w:p>
        </w:tc>
        <w:tc>
          <w:tcPr>
            <w:tcW w:w="10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rPr>
              <w:t>11/27/2023</w:t>
            </w: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11,364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tcBorders>
              <w:right w:val="single" w:sz="8" w:color="CFF0FC"/>
            </w:tcBorders>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1"/>
                <w:szCs w:val="11"/>
                <w:color w:val="auto"/>
              </w:rPr>
              <w:t>13,011</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CLGF Holdings, L.P. </w:t>
            </w:r>
            <w:r>
              <w:rPr>
                <w:rFonts w:ascii="Times New Roman" w:cs="Times New Roman" w:eastAsia="Times New Roman" w:hAnsi="Times New Roman"/>
                <w:sz w:val="14"/>
                <w:szCs w:val="14"/>
                <w:color w:val="auto"/>
                <w:vertAlign w:val="superscript"/>
              </w:rPr>
              <w:t>(4)(8)</w:t>
            </w:r>
          </w:p>
        </w:tc>
        <w:tc>
          <w:tcPr>
            <w:tcW w:w="15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Warrants (8,358,075 warrants)</w:t>
            </w:r>
          </w:p>
        </w:tc>
        <w:tc>
          <w:tcPr>
            <w:tcW w:w="1040" w:type="dxa"/>
            <w:vAlign w:val="bottom"/>
          </w:tcPr>
          <w:p>
            <w:pPr>
              <w:spacing w:after="0"/>
              <w:rPr>
                <w:sz w:val="11"/>
                <w:szCs w:val="11"/>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1"/>
                <w:szCs w:val="11"/>
                <w:color w:val="auto"/>
              </w:rPr>
              <w:t>11/7/2023</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4,575</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8,257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15,939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tcBorders>
              <w:right w:val="single" w:sz="8" w:color="CFF0FC"/>
            </w:tcBorders>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1"/>
                <w:szCs w:val="11"/>
                <w:color w:val="auto"/>
              </w:rPr>
              <w:t>21,268</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Healthcare</w:t>
            </w:r>
          </w:p>
        </w:tc>
        <w:tc>
          <w:tcPr>
            <w:tcW w:w="1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Raptor US Buyer II Corp.</w:t>
            </w:r>
            <w:r>
              <w:rPr>
                <w:rFonts w:ascii="Times New Roman" w:cs="Times New Roman" w:eastAsia="Times New Roman" w:hAnsi="Times New Roman"/>
                <w:sz w:val="14"/>
                <w:szCs w:val="14"/>
                <w:color w:val="auto"/>
                <w:vertAlign w:val="superscript"/>
              </w:rPr>
              <w:t>(8)</w:t>
            </w:r>
          </w:p>
        </w:tc>
        <w:tc>
          <w:tcPr>
            <w:tcW w:w="1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Ordinary Shares (83,408 shares)</w:t>
            </w:r>
          </w:p>
        </w:tc>
        <w:tc>
          <w:tcPr>
            <w:tcW w:w="10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rPr>
              <w:t>3/24/2023</w:t>
            </w: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12,876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tcBorders>
              <w:right w:val="single" w:sz="8" w:color="CFF0FC"/>
            </w:tcBorders>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1"/>
                <w:szCs w:val="11"/>
                <w:color w:val="auto"/>
              </w:rPr>
              <w:t>11,588</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8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Human Resource Support Services</w:t>
            </w:r>
          </w:p>
        </w:tc>
        <w:tc>
          <w:tcPr>
            <w:tcW w:w="15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bswift, LLC </w:t>
            </w:r>
            <w:r>
              <w:rPr>
                <w:rFonts w:ascii="Times New Roman" w:cs="Times New Roman" w:eastAsia="Times New Roman" w:hAnsi="Times New Roman"/>
                <w:sz w:val="14"/>
                <w:szCs w:val="14"/>
                <w:color w:val="auto"/>
                <w:vertAlign w:val="superscript"/>
              </w:rPr>
              <w:t>(8)</w:t>
            </w:r>
          </w:p>
        </w:tc>
        <w:tc>
          <w:tcPr>
            <w:tcW w:w="15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Class A-1 Units (7,606,491 units)</w:t>
            </w:r>
          </w:p>
        </w:tc>
        <w:tc>
          <w:tcPr>
            <w:tcW w:w="1040" w:type="dxa"/>
            <w:vAlign w:val="bottom"/>
          </w:tcPr>
          <w:p>
            <w:pPr>
              <w:spacing w:after="0"/>
              <w:rPr>
                <w:sz w:val="11"/>
                <w:szCs w:val="11"/>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1"/>
                <w:szCs w:val="11"/>
                <w:color w:val="auto"/>
              </w:rPr>
              <w:t>11/7/2022</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7,606</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tcPr>
          <w:p>
            <w:pPr>
              <w:jc w:val="right"/>
              <w:ind w:right="14"/>
              <w:spacing w:after="0"/>
              <w:rPr>
                <w:sz w:val="20"/>
                <w:szCs w:val="20"/>
                <w:color w:val="auto"/>
              </w:rPr>
            </w:pPr>
            <w:r>
              <w:rPr>
                <w:rFonts w:ascii="Times New Roman" w:cs="Times New Roman" w:eastAsia="Times New Roman" w:hAnsi="Times New Roman"/>
                <w:sz w:val="11"/>
                <w:szCs w:val="11"/>
                <w:color w:val="auto"/>
              </w:rPr>
              <w:t>16,088</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Internet Services</w:t>
            </w:r>
          </w:p>
        </w:tc>
        <w:tc>
          <w:tcPr>
            <w:tcW w:w="1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w w:val="96"/>
              </w:rPr>
              <w:t xml:space="preserve">SMA Technologies Holdings, LLC </w:t>
            </w:r>
            <w:r>
              <w:rPr>
                <w:rFonts w:ascii="Times New Roman" w:cs="Times New Roman" w:eastAsia="Times New Roman" w:hAnsi="Times New Roman"/>
                <w:sz w:val="14"/>
                <w:szCs w:val="14"/>
                <w:color w:val="auto"/>
                <w:w w:val="96"/>
                <w:vertAlign w:val="superscript"/>
              </w:rPr>
              <w:t>(8)(10)</w:t>
            </w:r>
          </w:p>
        </w:tc>
        <w:tc>
          <w:tcPr>
            <w:tcW w:w="1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Class A Units (244 units)</w:t>
            </w:r>
          </w:p>
        </w:tc>
        <w:tc>
          <w:tcPr>
            <w:tcW w:w="10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rPr>
              <w:t>11/21/2022</w:t>
            </w: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tcBorders>
              <w:right w:val="single" w:sz="8" w:color="CFF0FC"/>
            </w:tcBorders>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1"/>
                <w:szCs w:val="11"/>
                <w:color w:val="auto"/>
              </w:rPr>
              <w:t>353</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5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Class B Units (173,048 units)</w:t>
            </w:r>
          </w:p>
        </w:tc>
        <w:tc>
          <w:tcPr>
            <w:tcW w:w="1040" w:type="dxa"/>
            <w:vAlign w:val="bottom"/>
          </w:tcPr>
          <w:p>
            <w:pPr>
              <w:spacing w:after="0"/>
              <w:rPr>
                <w:sz w:val="11"/>
                <w:szCs w:val="11"/>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1"/>
                <w:szCs w:val="11"/>
                <w:color w:val="auto"/>
              </w:rPr>
              <w:t>11/21/2022</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tcBorders>
              <w:right w:val="single" w:sz="8" w:color="CFF0FC"/>
            </w:tcBorders>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1"/>
                <w:szCs w:val="11"/>
                <w:color w:val="auto"/>
              </w:rPr>
              <w:t>368</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Pharmaceuticals</w:t>
            </w:r>
          </w:p>
        </w:tc>
        <w:tc>
          <w:tcPr>
            <w:tcW w:w="1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Elysium BidCo Limited </w:t>
            </w:r>
            <w:r>
              <w:rPr>
                <w:rFonts w:ascii="Times New Roman" w:cs="Times New Roman" w:eastAsia="Times New Roman" w:hAnsi="Times New Roman"/>
                <w:sz w:val="14"/>
                <w:szCs w:val="14"/>
                <w:color w:val="auto"/>
                <w:vertAlign w:val="superscript"/>
              </w:rPr>
              <w:t>(4)(8)(10)</w:t>
            </w:r>
          </w:p>
        </w:tc>
        <w:tc>
          <w:tcPr>
            <w:tcW w:w="26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Convertible Preference Shares (38,503,125 units)</w:t>
            </w:r>
          </w:p>
        </w:tc>
        <w:tc>
          <w:tcPr>
            <w:tcW w:w="88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rPr>
              <w:t>12/11/2024</w:t>
            </w: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49,063</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tcBorders>
              <w:right w:val="single" w:sz="8" w:color="CFF0FC"/>
            </w:tcBorders>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1"/>
                <w:szCs w:val="11"/>
                <w:color w:val="auto"/>
              </w:rPr>
              <w:t>49,063</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5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(GBP 39,175)</w:t>
            </w:r>
          </w:p>
        </w:tc>
        <w:tc>
          <w:tcPr>
            <w:tcW w:w="120" w:type="dxa"/>
            <w:vAlign w:val="bottom"/>
            <w:shd w:val="clear" w:color="auto" w:fill="CFF0FC"/>
          </w:tcPr>
          <w:p>
            <w:pPr>
              <w:spacing w:after="0"/>
              <w:rPr>
                <w:sz w:val="11"/>
                <w:szCs w:val="11"/>
                <w:color w:val="auto"/>
              </w:rPr>
            </w:pPr>
          </w:p>
        </w:tc>
        <w:tc>
          <w:tcPr>
            <w:tcW w:w="9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8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Equity and Other</w:t>
            </w:r>
          </w:p>
        </w:tc>
        <w:tc>
          <w:tcPr>
            <w:tcW w:w="15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140,027</w:t>
            </w: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154,511</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15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8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15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7,079,994</w:t>
            </w:r>
          </w:p>
        </w:tc>
        <w:tc>
          <w:tcPr>
            <w:tcW w:w="10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7,244,282</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60" w:type="dxa"/>
            <w:vAlign w:val="bottom"/>
            <w:gridSpan w:val="8"/>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Interest Rate Swaps as of December 31, 2024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3"/>
                <w:szCs w:val="13"/>
                <w:color w:val="auto"/>
              </w:rPr>
            </w:pPr>
          </w:p>
        </w:tc>
        <w:tc>
          <w:tcPr>
            <w:tcW w:w="880" w:type="dxa"/>
            <w:vAlign w:val="bottom"/>
            <w:gridSpan w:val="4"/>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Upfront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60" w:type="dxa"/>
            <w:vAlign w:val="bottom"/>
          </w:tcPr>
          <w:p>
            <w:pPr>
              <w:jc w:val="center"/>
              <w:ind w:left="142"/>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00" w:type="dxa"/>
            <w:vAlign w:val="bottom"/>
          </w:tcPr>
          <w:p>
            <w:pPr>
              <w:spacing w:after="0"/>
              <w:rPr>
                <w:sz w:val="13"/>
                <w:szCs w:val="13"/>
                <w:color w:val="auto"/>
              </w:rPr>
            </w:pPr>
          </w:p>
        </w:tc>
        <w:tc>
          <w:tcPr>
            <w:tcW w:w="880" w:type="dxa"/>
            <w:vAlign w:val="bottom"/>
            <w:gridSpan w:val="4"/>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(Payments) /</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60" w:type="dxa"/>
            <w:vAlign w:val="bottom"/>
          </w:tcPr>
          <w:p>
            <w:pPr>
              <w:jc w:val="center"/>
              <w:ind w:left="142"/>
              <w:spacing w:after="0"/>
              <w:rPr>
                <w:sz w:val="20"/>
                <w:szCs w:val="20"/>
                <w:color w:val="auto"/>
              </w:rPr>
            </w:pPr>
            <w:r>
              <w:rPr>
                <w:rFonts w:ascii="Times New Roman" w:cs="Times New Roman" w:eastAsia="Times New Roman" w:hAnsi="Times New Roman"/>
                <w:sz w:val="13"/>
                <w:szCs w:val="13"/>
                <w:b w:val="1"/>
                <w:bCs w:val="1"/>
                <w:color w:val="auto"/>
              </w:rPr>
              <w:t>Receives</w:t>
            </w: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Pays</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00" w:type="dxa"/>
            <w:vAlign w:val="bottom"/>
          </w:tcPr>
          <w:p>
            <w:pPr>
              <w:spacing w:after="0"/>
              <w:rPr>
                <w:sz w:val="14"/>
                <w:szCs w:val="14"/>
                <w:color w:val="auto"/>
              </w:rPr>
            </w:pPr>
          </w:p>
        </w:tc>
        <w:tc>
          <w:tcPr>
            <w:tcW w:w="880" w:type="dxa"/>
            <w:vAlign w:val="bottom"/>
            <w:gridSpan w:val="4"/>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Receipts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Gains / (Losses)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560" w:type="dxa"/>
            <w:vAlign w:val="bottom"/>
            <w:shd w:val="clear" w:color="auto" w:fill="CFF0FC"/>
          </w:tcPr>
          <w:p>
            <w:pPr>
              <w:jc w:val="center"/>
              <w:ind w:left="142"/>
              <w:spacing w:after="0"/>
              <w:rPr>
                <w:sz w:val="20"/>
                <w:szCs w:val="20"/>
                <w:color w:val="auto"/>
              </w:rPr>
            </w:pPr>
            <w:r>
              <w:rPr>
                <w:rFonts w:ascii="Times New Roman" w:cs="Times New Roman" w:eastAsia="Times New Roman" w:hAnsi="Times New Roman"/>
                <w:sz w:val="13"/>
                <w:szCs w:val="13"/>
                <w:color w:val="auto"/>
                <w:w w:val="95"/>
              </w:rPr>
              <w:t>6.50%</w:t>
            </w:r>
          </w:p>
        </w:tc>
        <w:tc>
          <w:tcPr>
            <w:tcW w:w="10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SOFR + 2.51%</w:t>
            </w:r>
          </w:p>
        </w:tc>
        <w:tc>
          <w:tcPr>
            <w:tcW w:w="10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3/11/2029  $</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(2,208)</w:t>
            </w:r>
          </w:p>
        </w:tc>
        <w:tc>
          <w:tcPr>
            <w:tcW w:w="520" w:type="dxa"/>
            <w:vAlign w:val="bottom"/>
            <w:gridSpan w:val="2"/>
            <w:shd w:val="clear" w:color="auto" w:fill="CFF0FC"/>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right w:val="single" w:sz="8" w:color="CFF0FC"/>
            </w:tcBorders>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(2,208)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560" w:type="dxa"/>
            <w:vAlign w:val="bottom"/>
          </w:tcPr>
          <w:p>
            <w:pPr>
              <w:jc w:val="center"/>
              <w:ind w:left="142"/>
              <w:spacing w:after="0"/>
              <w:rPr>
                <w:sz w:val="20"/>
                <w:szCs w:val="20"/>
                <w:color w:val="auto"/>
              </w:rPr>
            </w:pPr>
            <w:r>
              <w:rPr>
                <w:rFonts w:ascii="Times New Roman" w:cs="Times New Roman" w:eastAsia="Times New Roman" w:hAnsi="Times New Roman"/>
                <w:sz w:val="13"/>
                <w:szCs w:val="13"/>
                <w:color w:val="auto"/>
                <w:w w:val="95"/>
              </w:rPr>
              <w:t>6.50%</w:t>
            </w:r>
          </w:p>
        </w:tc>
        <w:tc>
          <w:tcPr>
            <w:tcW w:w="10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SOFR + 2.22%</w:t>
            </w:r>
          </w:p>
        </w:tc>
        <w:tc>
          <w:tcPr>
            <w:tcW w:w="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3/11/2029</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560" w:type="dxa"/>
            <w:vAlign w:val="bottom"/>
            <w:shd w:val="clear" w:color="auto" w:fill="CFF0FC"/>
          </w:tcPr>
          <w:p>
            <w:pPr>
              <w:jc w:val="center"/>
              <w:ind w:left="142"/>
              <w:spacing w:after="0"/>
              <w:rPr>
                <w:sz w:val="20"/>
                <w:szCs w:val="20"/>
                <w:color w:val="auto"/>
              </w:rPr>
            </w:pPr>
            <w:r>
              <w:rPr>
                <w:rFonts w:ascii="Times New Roman" w:cs="Times New Roman" w:eastAsia="Times New Roman" w:hAnsi="Times New Roman"/>
                <w:sz w:val="13"/>
                <w:szCs w:val="13"/>
                <w:color w:val="auto"/>
                <w:w w:val="95"/>
              </w:rPr>
              <w:t>5.75%</w:t>
            </w:r>
          </w:p>
        </w:tc>
        <w:tc>
          <w:tcPr>
            <w:tcW w:w="10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SOFR + 2.55%</w:t>
            </w:r>
          </w:p>
        </w:tc>
        <w:tc>
          <w:tcPr>
            <w:tcW w:w="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1/15/2030</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(24,135)</w:t>
            </w: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11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(24,135)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3"/>
                <w:szCs w:val="13"/>
                <w:color w:val="auto"/>
              </w:rPr>
              <w:t>Total Hedge Accounting Swaps</w:t>
            </w:r>
          </w:p>
        </w:tc>
        <w:tc>
          <w:tcPr>
            <w:tcW w:w="1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1,350,000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(25,214)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(25,214)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collateral</w:t>
            </w:r>
          </w:p>
        </w:tc>
        <w:tc>
          <w:tcPr>
            <w:tcW w:w="15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68,585</w:t>
            </w:r>
          </w:p>
        </w:tc>
        <w:tc>
          <w:tcPr>
            <w:tcW w:w="1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Total derivatives</w:t>
            </w:r>
          </w:p>
        </w:tc>
        <w:tc>
          <w:tcPr>
            <w:tcW w:w="1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1,350,000</w:t>
            </w:r>
          </w:p>
        </w:tc>
        <w:tc>
          <w:tcPr>
            <w:tcW w:w="44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43,371</w:t>
            </w:r>
          </w:p>
        </w:tc>
        <w:tc>
          <w:tcPr>
            <w:tcW w:w="520" w:type="dxa"/>
            <w:vAlign w:val="bottom"/>
            <w:gridSpan w:val="2"/>
          </w:tcPr>
          <w:p>
            <w:pPr>
              <w:jc w:val="right"/>
              <w:ind w:right="2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(25,214</w:t>
            </w:r>
            <w:r>
              <w:rPr>
                <w:rFonts w:ascii="Times New Roman" w:cs="Times New Roman" w:eastAsia="Times New Roman" w:hAnsi="Times New Roman"/>
                <w:sz w:val="15"/>
                <w:szCs w:val="15"/>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(a)Contains a variable rate structure. Bears interest at a rate determined by SOFR.</w:t>
      </w:r>
    </w:p>
    <w:p>
      <w:pPr>
        <w:spacing w:after="0" w:line="14" w:lineRule="exact"/>
        <w:rPr>
          <w:sz w:val="20"/>
          <w:szCs w:val="20"/>
          <w:color w:val="auto"/>
        </w:rPr>
      </w:pPr>
    </w:p>
    <w:p>
      <w:pPr>
        <w:ind w:left="480" w:right="180"/>
        <w:spacing w:after="0" w:line="238" w:lineRule="auto"/>
        <w:rPr>
          <w:sz w:val="20"/>
          <w:szCs w:val="20"/>
          <w:color w:val="auto"/>
        </w:rPr>
      </w:pPr>
      <w:r>
        <w:rPr>
          <w:rFonts w:ascii="Times New Roman" w:cs="Times New Roman" w:eastAsia="Times New Roman" w:hAnsi="Times New Roman"/>
          <w:sz w:val="16"/>
          <w:szCs w:val="16"/>
          <w:color w:val="auto"/>
        </w:rPr>
        <w:t>(b)Instrument is used in a hedge accounting relationship. The associated change in fair value is recorded along with the change in fair value of the hedged item within interest expense.</w:t>
      </w:r>
    </w:p>
    <w:p>
      <w:pPr>
        <w:spacing w:after="0" w:line="157"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6"/>
          <w:szCs w:val="16"/>
          <w:color w:val="auto"/>
        </w:rPr>
        <w:t>(1)Unless otherwise indicated, the Company’s portfolio companies are domiciled in the United States. Under the Investment Company Act of 1940, as amended (the “1940 Act”), the Company would “control” a portfolio company if the Company owned</w:t>
      </w:r>
    </w:p>
    <w:p>
      <w:pPr>
        <w:spacing w:after="0" w:line="1" w:lineRule="exact"/>
        <w:rPr>
          <w:sz w:val="20"/>
          <w:szCs w:val="20"/>
          <w:color w:val="auto"/>
        </w:rPr>
      </w:pPr>
    </w:p>
    <w:p>
      <w:pPr>
        <w:jc w:val="both"/>
        <w:ind w:right="2580"/>
        <w:spacing w:after="0" w:line="268" w:lineRule="auto"/>
        <w:rPr>
          <w:sz w:val="20"/>
          <w:szCs w:val="20"/>
          <w:color w:val="auto"/>
        </w:rPr>
      </w:pPr>
      <w:r>
        <w:rPr>
          <w:rFonts w:ascii="Times New Roman" w:cs="Times New Roman" w:eastAsia="Times New Roman" w:hAnsi="Times New Roman"/>
          <w:sz w:val="14"/>
          <w:szCs w:val="14"/>
          <w:color w:val="auto"/>
        </w:rPr>
        <w:t>more than 25% of its outstanding voting securities and/or had the power to exercise control over the management or policies of such portfolio company. As of December 31, 2024, the Company does not “control” any of the portfolio companies. Also under the 1940 Act, the Company would be deemed to be an “Affiliated Person” of a portfolio company if the Company owns more</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than 5% of the portfolio company's outstanding voting securities. As of December 31, 2024, the Company does not identify any of its portfolio companies as affiliates. (2)The amortized cost represents the original cost adjusted for the amortization of discounts and premiums, as applicable, on debt investments using the effective interest method.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96" w:right="680" w:bottom="1440" w:gutter="0" w:footer="0" w:header="0"/>
        </w:sectPr>
      </w:pPr>
    </w:p>
    <w:bookmarkStart w:id="16" w:name="page17"/>
    <w:bookmarkEnd w:id="16"/>
    <w:p>
      <w:pPr>
        <w:ind w:right="2360"/>
        <w:spacing w:after="0" w:line="277" w:lineRule="auto"/>
        <w:rPr>
          <w:sz w:val="20"/>
          <w:szCs w:val="20"/>
          <w:color w:val="auto"/>
        </w:rPr>
      </w:pPr>
      <w:r>
        <w:rPr>
          <w:rFonts w:ascii="Times New Roman" w:cs="Times New Roman" w:eastAsia="Times New Roman" w:hAnsi="Times New Roman"/>
          <w:sz w:val="14"/>
          <w:szCs w:val="14"/>
          <w:color w:val="auto"/>
        </w:rPr>
        <w:t>(3)Investment contains a variable rate structure, subject to an interest rate floor. Variable rate investments bear interest at a rate that may be determined by reference to either Euro Interbank Offer Rate (“Euribor” or “E”), Term Secured Overnight Financing Rate (“SOFR”), which may also contain a credit spread adjustment depending on the tenor election, Sterling Overnight</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6"/>
          <w:szCs w:val="16"/>
          <w:color w:val="auto"/>
        </w:rPr>
        <w:t>Index Average Rate (“SONIA” or “S”),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2024.</w:t>
      </w:r>
    </w:p>
    <w:p>
      <w:pPr>
        <w:spacing w:after="0" w:line="3" w:lineRule="exact"/>
        <w:rPr>
          <w:sz w:val="20"/>
          <w:szCs w:val="20"/>
          <w:color w:val="auto"/>
        </w:rPr>
      </w:pPr>
    </w:p>
    <w:p>
      <w:pPr>
        <w:jc w:val="both"/>
        <w:ind w:right="80"/>
        <w:spacing w:after="0" w:line="234" w:lineRule="auto"/>
        <w:rPr>
          <w:sz w:val="20"/>
          <w:szCs w:val="20"/>
          <w:color w:val="auto"/>
        </w:rPr>
      </w:pPr>
      <w:r>
        <w:rPr>
          <w:rFonts w:ascii="Times New Roman" w:cs="Times New Roman" w:eastAsia="Times New Roman" w:hAnsi="Times New Roman"/>
          <w:sz w:val="16"/>
          <w:szCs w:val="16"/>
          <w:color w:val="auto"/>
        </w:rPr>
        <w:t>(4)This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27.8% of total assets as of December 31, 2024.</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(5)In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3" w:lineRule="exact"/>
        <w:rPr>
          <w:sz w:val="20"/>
          <w:szCs w:val="20"/>
          <w:color w:val="auto"/>
        </w:rPr>
      </w:pPr>
    </w:p>
    <w:p>
      <w:pPr>
        <w:ind w:right="3080"/>
        <w:spacing w:after="0" w:line="234" w:lineRule="auto"/>
        <w:rPr>
          <w:sz w:val="20"/>
          <w:szCs w:val="20"/>
          <w:color w:val="auto"/>
        </w:rPr>
      </w:pPr>
      <w:r>
        <w:rPr>
          <w:rFonts w:ascii="Times New Roman" w:cs="Times New Roman" w:eastAsia="Times New Roman" w:hAnsi="Times New Roman"/>
          <w:sz w:val="16"/>
          <w:szCs w:val="16"/>
          <w:color w:val="auto"/>
        </w:rPr>
        <w:t>(6)In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4 for further information related to investments at fair value.</w:t>
      </w:r>
    </w:p>
    <w:p>
      <w:pPr>
        <w:spacing w:after="0" w:line="3" w:lineRule="exact"/>
        <w:rPr>
          <w:sz w:val="20"/>
          <w:szCs w:val="20"/>
          <w:color w:val="auto"/>
        </w:rPr>
      </w:pPr>
    </w:p>
    <w:p>
      <w:pPr>
        <w:ind w:right="340"/>
        <w:spacing w:after="0" w:line="234" w:lineRule="auto"/>
        <w:rPr>
          <w:sz w:val="20"/>
          <w:szCs w:val="20"/>
          <w:color w:val="auto"/>
        </w:rPr>
      </w:pPr>
      <w:r>
        <w:rPr>
          <w:rFonts w:ascii="Times New Roman" w:cs="Times New Roman" w:eastAsia="Times New Roman" w:hAnsi="Times New Roman"/>
          <w:sz w:val="16"/>
          <w:szCs w:val="16"/>
          <w:color w:val="auto"/>
        </w:rPr>
        <w:t>(7)As of December 31, 2024, the estimated cost basis of investments for U.S. federal tax purposes was $7,102,780 resulting in estimated gross unrealized gains and losses of $222,515 and $56,184, respectfully.</w:t>
      </w:r>
    </w:p>
    <w:p>
      <w:pPr>
        <w:spacing w:after="0" w:line="236" w:lineRule="auto"/>
        <w:rPr>
          <w:sz w:val="20"/>
          <w:szCs w:val="20"/>
          <w:color w:val="auto"/>
        </w:rPr>
      </w:pPr>
      <w:r>
        <w:rPr>
          <w:rFonts w:ascii="Times New Roman" w:cs="Times New Roman" w:eastAsia="Times New Roman" w:hAnsi="Times New Roman"/>
          <w:sz w:val="16"/>
          <w:szCs w:val="16"/>
          <w:color w:val="auto"/>
        </w:rPr>
        <w:t>(8)This investment is non-income producing.</w:t>
      </w:r>
    </w:p>
    <w:p>
      <w:pPr>
        <w:spacing w:after="0" w:line="235" w:lineRule="auto"/>
        <w:rPr>
          <w:sz w:val="20"/>
          <w:szCs w:val="20"/>
          <w:color w:val="auto"/>
        </w:rPr>
      </w:pPr>
      <w:r>
        <w:rPr>
          <w:rFonts w:ascii="Times New Roman" w:cs="Times New Roman" w:eastAsia="Times New Roman" w:hAnsi="Times New Roman"/>
          <w:sz w:val="16"/>
          <w:szCs w:val="16"/>
          <w:color w:val="auto"/>
        </w:rPr>
        <w:t>(9)Certain portfolio company investments are subject to contractual restrictions on sales.</w:t>
      </w:r>
    </w:p>
    <w:p>
      <w:pPr>
        <w:spacing w:after="0" w:line="235" w:lineRule="auto"/>
        <w:rPr>
          <w:sz w:val="20"/>
          <w:szCs w:val="20"/>
          <w:color w:val="auto"/>
        </w:rPr>
      </w:pPr>
      <w:r>
        <w:rPr>
          <w:rFonts w:ascii="Times New Roman" w:cs="Times New Roman" w:eastAsia="Times New Roman" w:hAnsi="Times New Roman"/>
          <w:sz w:val="16"/>
          <w:szCs w:val="16"/>
          <w:color w:val="auto"/>
        </w:rPr>
        <w:t>(10)All or a portion of this security was acquired in a transaction exempt from registration under the Securities Act of 1933, as</w:t>
      </w:r>
    </w:p>
    <w:p>
      <w:pPr>
        <w:ind w:right="260"/>
        <w:spacing w:after="0" w:line="234" w:lineRule="auto"/>
        <w:rPr>
          <w:sz w:val="20"/>
          <w:szCs w:val="20"/>
          <w:color w:val="auto"/>
        </w:rPr>
      </w:pPr>
      <w:r>
        <w:rPr>
          <w:rFonts w:ascii="Times New Roman" w:cs="Times New Roman" w:eastAsia="Times New Roman" w:hAnsi="Times New Roman"/>
          <w:sz w:val="16"/>
          <w:szCs w:val="16"/>
          <w:color w:val="auto"/>
        </w:rPr>
        <w:t>amended (the “Securities Act”), and may be deemed to be "restricted securities" under the Securities Act. As of December 31, 2024, the aggregate fair value of these securities is $77,388, or 1.9% of the Company's net assets.</w:t>
      </w:r>
    </w:p>
    <w:p>
      <w:pPr>
        <w:spacing w:after="0" w:line="1" w:lineRule="exact"/>
        <w:rPr>
          <w:sz w:val="20"/>
          <w:szCs w:val="20"/>
          <w:color w:val="auto"/>
        </w:rPr>
      </w:pPr>
    </w:p>
    <w:p>
      <w:pPr>
        <w:ind w:right="340"/>
        <w:spacing w:after="0" w:line="234" w:lineRule="auto"/>
        <w:rPr>
          <w:sz w:val="20"/>
          <w:szCs w:val="20"/>
          <w:color w:val="auto"/>
        </w:rPr>
      </w:pPr>
      <w:r>
        <w:rPr>
          <w:rFonts w:ascii="Times New Roman" w:cs="Times New Roman" w:eastAsia="Times New Roman" w:hAnsi="Times New Roman"/>
          <w:sz w:val="16"/>
          <w:szCs w:val="16"/>
          <w:color w:val="auto"/>
        </w:rPr>
        <w:t>(11)In addition to the principal amount outstanding and accrued interest owed on this investment, the Company is entitled to a separate Make-Whole Amount (the “Make-Whole”) of $25.0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(12)This investment is valued using observable inputs and is considered a Level 2 investment. See Note 4 for further information related to investments at fair value.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61" w:right="68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Lending Partners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Net Assets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640" w:type="dxa"/>
            <w:vAlign w:val="bottom"/>
            <w:vMerge w:val="restart"/>
          </w:tcPr>
          <w:p>
            <w:pPr>
              <w:jc w:val="right"/>
              <w:ind w:right="235"/>
              <w:spacing w:after="0"/>
              <w:rPr>
                <w:sz w:val="20"/>
                <w:szCs w:val="20"/>
                <w:color w:val="auto"/>
              </w:rPr>
            </w:pPr>
            <w:r>
              <w:rPr>
                <w:rFonts w:ascii="Times New Roman" w:cs="Times New Roman" w:eastAsia="Times New Roman" w:hAnsi="Times New Roman"/>
                <w:sz w:val="11"/>
                <w:szCs w:val="11"/>
                <w:b w:val="1"/>
                <w:bCs w:val="1"/>
                <w:color w:val="auto"/>
              </w:rPr>
              <w:t>Par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Paid in Capital in</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Total Net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Excess of Par</w:t>
            </w:r>
          </w:p>
        </w:tc>
        <w:tc>
          <w:tcPr>
            <w:tcW w:w="100" w:type="dxa"/>
            <w:vAlign w:val="bottom"/>
          </w:tcPr>
          <w:p>
            <w:pPr>
              <w:spacing w:after="0"/>
              <w:rPr>
                <w:sz w:val="11"/>
                <w:szCs w:val="11"/>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Distributable Earnings</w:t>
            </w:r>
          </w:p>
        </w:tc>
        <w:tc>
          <w:tcPr>
            <w:tcW w:w="220" w:type="dxa"/>
            <w:vAlign w:val="bottom"/>
          </w:tcPr>
          <w:p>
            <w:pPr>
              <w:spacing w:after="0"/>
              <w:rPr>
                <w:sz w:val="11"/>
                <w:szCs w:val="11"/>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140,208,028</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3,923,739</w:t>
            </w:r>
          </w:p>
        </w:tc>
        <w:tc>
          <w:tcPr>
            <w:tcW w:w="1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4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112,591</w:t>
            </w:r>
          </w:p>
        </w:tc>
        <w:tc>
          <w:tcPr>
            <w:tcW w:w="18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4,036,470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152,562</w:t>
            </w:r>
          </w:p>
        </w:tc>
        <w:tc>
          <w:tcPr>
            <w:tcW w:w="18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152,562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Net change in unrealized gains (losses) on investments and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(24,733)</w:t>
            </w:r>
          </w:p>
        </w:tc>
        <w:tc>
          <w:tcPr>
            <w:tcW w:w="22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(24,733)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Net realized gains (losses) on investments and foreign</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currency transactions</w:t>
            </w:r>
          </w:p>
        </w:tc>
        <w:tc>
          <w:tcPr>
            <w:tcW w:w="11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8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Increase (decrease) in net assets resulting from capital share transactions: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shares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Dividends to shareholders: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1,456,909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41,943</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41,945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Dividends declared from net investment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(94,916)</w:t>
            </w:r>
          </w:p>
        </w:tc>
        <w:tc>
          <w:tcPr>
            <w:tcW w:w="22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(94,916)</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141,664,937</w:t>
            </w:r>
          </w:p>
        </w:tc>
        <w:tc>
          <w:tcPr>
            <w:tcW w:w="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142</w:t>
            </w:r>
          </w:p>
        </w:tc>
        <w:tc>
          <w:tcPr>
            <w:tcW w:w="3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3,965,682</w:t>
            </w:r>
          </w:p>
        </w:tc>
        <w:tc>
          <w:tcPr>
            <w:tcW w:w="1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gridSpan w:val="2"/>
            <w:shd w:val="clear" w:color="auto" w:fill="CFF0FC"/>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145,782</w:t>
            </w:r>
          </w:p>
        </w:tc>
        <w:tc>
          <w:tcPr>
            <w:tcW w:w="180" w:type="dxa"/>
            <w:vAlign w:val="bottom"/>
            <w:tcBorders>
              <w:bottom w:val="single" w:sz="8" w:color="CFF0FC"/>
              <w:right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4,111,606</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11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147,018</w:t>
            </w:r>
          </w:p>
        </w:tc>
        <w:tc>
          <w:tcPr>
            <w:tcW w:w="18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147,018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Net change in unrealized gains (losses) on investments and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13,698</w:t>
            </w: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13,698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Net realized gains (losses) on investments and foreign</w:t>
            </w: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currency transactions</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60" w:type="dxa"/>
            <w:vAlign w:val="bottom"/>
            <w:tcBorders>
              <w:right w:val="single" w:sz="8" w:color="CFF0FC"/>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(2,790)</w:t>
            </w:r>
          </w:p>
        </w:tc>
        <w:tc>
          <w:tcPr>
            <w:tcW w:w="220" w:type="dxa"/>
            <w:vAlign w:val="bottom"/>
            <w:shd w:val="clear" w:color="auto" w:fill="CFF0FC"/>
          </w:tcPr>
          <w:p>
            <w:pPr>
              <w:spacing w:after="0"/>
              <w:rPr>
                <w:sz w:val="14"/>
                <w:szCs w:val="14"/>
                <w:color w:val="auto"/>
              </w:rPr>
            </w:pPr>
          </w:p>
        </w:tc>
        <w:tc>
          <w:tcPr>
            <w:tcW w:w="10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(2,790)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280" w:type="dxa"/>
            <w:vAlign w:val="bottom"/>
            <w:shd w:val="clear" w:color="auto" w:fill="CFF0FC"/>
          </w:tcPr>
          <w:p>
            <w:pPr>
              <w:spacing w:after="0"/>
              <w:rPr>
                <w:sz w:val="10"/>
                <w:szCs w:val="10"/>
                <w:color w:val="auto"/>
              </w:rPr>
            </w:pPr>
          </w:p>
        </w:tc>
        <w:tc>
          <w:tcPr>
            <w:tcW w:w="11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960" w:type="dxa"/>
            <w:vAlign w:val="bottom"/>
            <w:tcBorders>
              <w:right w:val="single" w:sz="8" w:color="CFF0FC"/>
            </w:tcBorders>
            <w:gridSpan w:val="2"/>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Increase (decrease) in net assets resulting from capital share transactions: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shares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Dividends to shareholders: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1,479,035</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42,920</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42,921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Dividends declared from net investment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(100,200)</w:t>
            </w:r>
          </w:p>
        </w:tc>
        <w:tc>
          <w:tcPr>
            <w:tcW w:w="22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(100,200)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143,143,972</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143</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4,008,602</w:t>
            </w:r>
          </w:p>
        </w:tc>
        <w:tc>
          <w:tcPr>
            <w:tcW w:w="1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203,508</w:t>
            </w: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4,212,253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11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142,571</w:t>
            </w:r>
          </w:p>
        </w:tc>
        <w:tc>
          <w:tcPr>
            <w:tcW w:w="18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142,571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Net change in unrealized gains (losses) on investments and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(5,031)</w:t>
            </w:r>
          </w:p>
        </w:tc>
        <w:tc>
          <w:tcPr>
            <w:tcW w:w="22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Net realized gains (losses) on investments and foreign</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currency transactions</w:t>
            </w:r>
          </w:p>
        </w:tc>
        <w:tc>
          <w:tcPr>
            <w:tcW w:w="11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18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Increase (decrease) in net assets resulting from capital share transactions: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shares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Dividends to shareholders: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1,559,071</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45,882</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45,884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Dividends declared from net investment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(101,293)</w:t>
            </w:r>
          </w:p>
        </w:tc>
        <w:tc>
          <w:tcPr>
            <w:tcW w:w="22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(101,293)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144,703,043</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145</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4,054,484</w:t>
            </w:r>
          </w:p>
        </w:tc>
        <w:tc>
          <w:tcPr>
            <w:tcW w:w="12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6"/>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240,596</w:t>
            </w:r>
          </w:p>
        </w:tc>
        <w:tc>
          <w:tcPr>
            <w:tcW w:w="18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4,295,225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Lending Partners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Net Assets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640" w:type="dxa"/>
            <w:vAlign w:val="bottom"/>
            <w:vMerge w:val="restart"/>
          </w:tcPr>
          <w:p>
            <w:pPr>
              <w:jc w:val="right"/>
              <w:ind w:right="235"/>
              <w:spacing w:after="0"/>
              <w:rPr>
                <w:sz w:val="20"/>
                <w:szCs w:val="20"/>
                <w:color w:val="auto"/>
              </w:rPr>
            </w:pPr>
            <w:r>
              <w:rPr>
                <w:rFonts w:ascii="Times New Roman" w:cs="Times New Roman" w:eastAsia="Times New Roman" w:hAnsi="Times New Roman"/>
                <w:sz w:val="11"/>
                <w:szCs w:val="11"/>
                <w:b w:val="1"/>
                <w:bCs w:val="1"/>
                <w:color w:val="auto"/>
              </w:rPr>
              <w:t>Par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Paid in Capital in</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Total Net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Excess of Par</w:t>
            </w:r>
          </w:p>
        </w:tc>
        <w:tc>
          <w:tcPr>
            <w:tcW w:w="100" w:type="dxa"/>
            <w:vAlign w:val="bottom"/>
          </w:tcPr>
          <w:p>
            <w:pPr>
              <w:spacing w:after="0"/>
              <w:rPr>
                <w:sz w:val="11"/>
                <w:szCs w:val="11"/>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Distributable Earnings</w:t>
            </w:r>
          </w:p>
        </w:tc>
        <w:tc>
          <w:tcPr>
            <w:tcW w:w="220" w:type="dxa"/>
            <w:vAlign w:val="bottom"/>
          </w:tcPr>
          <w:p>
            <w:pPr>
              <w:spacing w:after="0"/>
              <w:rPr>
                <w:sz w:val="11"/>
                <w:szCs w:val="11"/>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65,478,775</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1,734,426</w:t>
            </w:r>
          </w:p>
        </w:tc>
        <w:tc>
          <w:tcPr>
            <w:tcW w:w="12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6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82,576</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1,817,067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72,722</w:t>
            </w: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72,722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Net change in unrealized gains (losses) on investments and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22,741</w:t>
            </w: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22,741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Net realized gains (losses) on investments and foreign</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currency transactions</w:t>
            </w:r>
          </w:p>
        </w:tc>
        <w:tc>
          <w:tcPr>
            <w:tcW w:w="11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2,262</w:t>
            </w:r>
          </w:p>
        </w:tc>
        <w:tc>
          <w:tcPr>
            <w:tcW w:w="18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Increase (decrease) in net assets resulting from capital share transactions: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shares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17,348,908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499,718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499,736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Dividends to shareholders: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795,040</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22,061</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22,062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Dividends declared from net investment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(56,027)</w:t>
            </w:r>
          </w:p>
        </w:tc>
        <w:tc>
          <w:tcPr>
            <w:tcW w:w="22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(56,027)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83,622,723</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84</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2,256,205</w:t>
            </w:r>
          </w:p>
        </w:tc>
        <w:tc>
          <w:tcPr>
            <w:tcW w:w="1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124,274</w:t>
            </w: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2,380,563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11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86,265</w:t>
            </w: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86,265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Net change in unrealized gains (losses) on investments and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16,667</w:t>
            </w: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16,667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Net realized gains (losses) on investments and foreign</w:t>
            </w: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currency transactions</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4,662</w:t>
            </w:r>
          </w:p>
        </w:tc>
        <w:tc>
          <w:tcPr>
            <w:tcW w:w="18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280" w:type="dxa"/>
            <w:vAlign w:val="bottom"/>
            <w:shd w:val="clear" w:color="auto" w:fill="CFF0FC"/>
          </w:tcPr>
          <w:p>
            <w:pPr>
              <w:spacing w:after="0"/>
              <w:rPr>
                <w:sz w:val="8"/>
                <w:szCs w:val="8"/>
                <w:color w:val="auto"/>
              </w:rPr>
            </w:pPr>
          </w:p>
        </w:tc>
        <w:tc>
          <w:tcPr>
            <w:tcW w:w="114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40" w:type="dxa"/>
            <w:vAlign w:val="bottom"/>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40" w:type="dxa"/>
            <w:vAlign w:val="bottom"/>
            <w:gridSpan w:val="2"/>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760" w:type="dxa"/>
            <w:vAlign w:val="bottom"/>
            <w:vMerge w:val="continue"/>
            <w:shd w:val="clear" w:color="auto" w:fill="CFF0FC"/>
          </w:tcPr>
          <w:p>
            <w:pPr>
              <w:spacing w:after="0"/>
              <w:rPr>
                <w:sz w:val="8"/>
                <w:szCs w:val="8"/>
                <w:color w:val="auto"/>
              </w:rPr>
            </w:pPr>
          </w:p>
        </w:tc>
        <w:tc>
          <w:tcPr>
            <w:tcW w:w="180" w:type="dxa"/>
            <w:vAlign w:val="bottom"/>
            <w:tcBorders>
              <w:right w:val="single" w:sz="8" w:color="CFF0FC"/>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2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Increase (decrease) in net assets resulting from capital share transactions: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shares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10,152,231</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299,990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Dividends to shareholders: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869,766</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24,762</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24,763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Dividends declared from net investment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(63,413)</w:t>
            </w:r>
          </w:p>
        </w:tc>
        <w:tc>
          <w:tcPr>
            <w:tcW w:w="22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(63,413)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94,644,720</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95</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2,580,957</w:t>
            </w:r>
          </w:p>
        </w:tc>
        <w:tc>
          <w:tcPr>
            <w:tcW w:w="1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168,455</w:t>
            </w:r>
          </w:p>
        </w:tc>
        <w:tc>
          <w:tcPr>
            <w:tcW w:w="1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2,749,507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11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Net investment income (loss)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100,866</w:t>
            </w:r>
          </w:p>
        </w:tc>
        <w:tc>
          <w:tcPr>
            <w:tcW w:w="18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100,866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Net change in unrealized gains (losses) on investments and</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26,158</w:t>
            </w: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26,158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Net realized gains (losses) on investments and foreign</w:t>
            </w: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currency transactions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(44)</w:t>
            </w: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Increase (decrease) in net assets resulting from capital share transactions: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shares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8,280,854</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249,992</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Dividends to shareholders: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issued in connection with dividend reinvestment 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953,857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27,709</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27,710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Dividends declared from net investment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(69,600)</w:t>
            </w:r>
          </w:p>
        </w:tc>
        <w:tc>
          <w:tcPr>
            <w:tcW w:w="22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(69,600)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103,879,431</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104</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2,858,658</w:t>
            </w:r>
          </w:p>
        </w:tc>
        <w:tc>
          <w:tcPr>
            <w:tcW w:w="12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225,835</w:t>
            </w:r>
          </w:p>
        </w:tc>
        <w:tc>
          <w:tcPr>
            <w:tcW w:w="18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3,084,597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Lending Partners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gridSpan w:val="6"/>
          </w:tcPr>
          <w:p>
            <w:pPr>
              <w:jc w:val="right"/>
              <w:ind w:right="140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2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Increase (Decrease) in net assets resulting from operations</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424,414</w:t>
            </w:r>
          </w:p>
        </w:tc>
        <w:tc>
          <w:tcPr>
            <w:tcW w:w="160" w:type="dxa"/>
            <w:vAlign w:val="bottom"/>
          </w:tcPr>
          <w:p>
            <w:pPr>
              <w:spacing w:after="0"/>
              <w:rPr>
                <w:sz w:val="13"/>
                <w:szCs w:val="13"/>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332,299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Adjustments to reconcile increase (decrease) in net assets resulting from operations</w:t>
            </w:r>
          </w:p>
        </w:tc>
        <w:tc>
          <w:tcPr>
            <w:tcW w:w="22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to net cash provided by (used in) operating activities:</w:t>
            </w:r>
          </w:p>
        </w:tc>
        <w:tc>
          <w:tcPr>
            <w:tcW w:w="22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change in unrealized (gains) losses on investments</w:t>
            </w:r>
          </w:p>
        </w:tc>
        <w:tc>
          <w:tcPr>
            <w:tcW w:w="220" w:type="dxa"/>
            <w:vAlign w:val="bottom"/>
          </w:tcPr>
          <w:p>
            <w:pPr>
              <w:spacing w:after="0"/>
              <w:rPr>
                <w:sz w:val="13"/>
                <w:szCs w:val="13"/>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(119,608)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(90,577)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Net change in unrealized (gains) losses on foreign currency transactions</w:t>
            </w:r>
          </w:p>
        </w:tc>
        <w:tc>
          <w:tcPr>
            <w:tcW w:w="2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137,408</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24,997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change in unrealized (gains) losses on foreign currency forward contracts</w:t>
            </w:r>
          </w:p>
        </w:tc>
        <w:tc>
          <w:tcPr>
            <w:tcW w:w="220" w:type="dxa"/>
            <w:vAlign w:val="bottom"/>
          </w:tcPr>
          <w:p>
            <w:pPr>
              <w:spacing w:after="0"/>
              <w:rPr>
                <w:sz w:val="13"/>
                <w:szCs w:val="13"/>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(1,734)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Net realized (gains) losses on investments</w:t>
            </w:r>
          </w:p>
        </w:tc>
        <w:tc>
          <w:tcPr>
            <w:tcW w:w="22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(15,147)</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(3,734)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realized (gains) losses on foreign currency transactions</w:t>
            </w:r>
          </w:p>
        </w:tc>
        <w:tc>
          <w:tcPr>
            <w:tcW w:w="220" w:type="dxa"/>
            <w:vAlign w:val="bottom"/>
          </w:tcPr>
          <w:p>
            <w:pPr>
              <w:spacing w:after="0"/>
              <w:rPr>
                <w:sz w:val="13"/>
                <w:szCs w:val="13"/>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Net amortization of discount on investments</w:t>
            </w:r>
          </w:p>
        </w:tc>
        <w:tc>
          <w:tcPr>
            <w:tcW w:w="22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(50,528)</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(16,972)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2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Amortization of discount on debt</w:t>
            </w:r>
          </w:p>
        </w:tc>
        <w:tc>
          <w:tcPr>
            <w:tcW w:w="2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1,569</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Purchases and originations of investments, net</w:t>
            </w:r>
          </w:p>
        </w:tc>
        <w:tc>
          <w:tcPr>
            <w:tcW w:w="220" w:type="dxa"/>
            <w:vAlign w:val="bottom"/>
          </w:tcPr>
          <w:p>
            <w:pPr>
              <w:spacing w:after="0"/>
              <w:rPr>
                <w:sz w:val="13"/>
                <w:szCs w:val="13"/>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(2,047,677)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(3,256,051)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Proceeds from investments, net</w:t>
            </w:r>
          </w:p>
        </w:tc>
        <w:tc>
          <w:tcPr>
            <w:tcW w:w="2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168,912</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428,430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Repayments on investments</w:t>
            </w:r>
          </w:p>
        </w:tc>
        <w:tc>
          <w:tcPr>
            <w:tcW w:w="2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1,633,346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Paid-in-kind interest</w:t>
            </w:r>
          </w:p>
        </w:tc>
        <w:tc>
          <w:tcPr>
            <w:tcW w:w="22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(49,042)</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(21,870)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Interest receivable</w:t>
            </w:r>
          </w:p>
        </w:tc>
        <w:tc>
          <w:tcPr>
            <w:tcW w:w="22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(4,203)</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(42,798)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Interest receivable paid-in-kind</w:t>
            </w:r>
          </w:p>
        </w:tc>
        <w:tc>
          <w:tcPr>
            <w:tcW w:w="220" w:type="dxa"/>
            <w:vAlign w:val="bottom"/>
          </w:tcPr>
          <w:p>
            <w:pPr>
              <w:spacing w:after="0"/>
              <w:rPr>
                <w:sz w:val="13"/>
                <w:szCs w:val="13"/>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(1,214)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(592)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2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(17,435)</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(216,918)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Management fees payable to affiliate</w:t>
            </w:r>
          </w:p>
        </w:tc>
        <w:tc>
          <w:tcPr>
            <w:tcW w:w="2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Incentive fees on net investment income payable to affiliate</w:t>
            </w:r>
          </w:p>
        </w:tc>
        <w:tc>
          <w:tcPr>
            <w:tcW w:w="2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3,996</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7,710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Incentive fees on net capital gains accrued to affiliate</w:t>
            </w:r>
          </w:p>
        </w:tc>
        <w:tc>
          <w:tcPr>
            <w:tcW w:w="220" w:type="dxa"/>
            <w:vAlign w:val="bottom"/>
          </w:tcPr>
          <w:p>
            <w:pPr>
              <w:spacing w:after="0"/>
              <w:rPr>
                <w:sz w:val="13"/>
                <w:szCs w:val="13"/>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(3,811)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Other payables to affiliates</w:t>
            </w:r>
          </w:p>
        </w:tc>
        <w:tc>
          <w:tcPr>
            <w:tcW w:w="22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 liabilities</w:t>
            </w:r>
          </w:p>
        </w:tc>
        <w:tc>
          <w:tcPr>
            <w:tcW w:w="220" w:type="dxa"/>
            <w:vAlign w:val="bottom"/>
          </w:tcPr>
          <w:p>
            <w:pPr>
              <w:spacing w:after="0"/>
              <w:rPr>
                <w:sz w:val="13"/>
                <w:szCs w:val="13"/>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29,168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17,521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2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100,142</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(2,686,010)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Borrowings on debt</w:t>
            </w:r>
          </w:p>
        </w:tc>
        <w:tc>
          <w:tcPr>
            <w:tcW w:w="220" w:type="dxa"/>
            <w:vAlign w:val="bottom"/>
            <w:shd w:val="clear" w:color="auto" w:fill="CFF0FC"/>
          </w:tcPr>
          <w:p>
            <w:pPr>
              <w:spacing w:after="0"/>
              <w:rPr>
                <w:sz w:val="13"/>
                <w:szCs w:val="13"/>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2,817,248</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6,283,838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Repayments on debt</w:t>
            </w:r>
          </w:p>
        </w:tc>
        <w:tc>
          <w:tcPr>
            <w:tcW w:w="220" w:type="dxa"/>
            <w:vAlign w:val="bottom"/>
          </w:tcPr>
          <w:p>
            <w:pPr>
              <w:spacing w:after="0"/>
              <w:rPr>
                <w:sz w:val="13"/>
                <w:szCs w:val="13"/>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(2,652,081)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(4,026,478)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Deferred financing costs</w:t>
            </w:r>
          </w:p>
        </w:tc>
        <w:tc>
          <w:tcPr>
            <w:tcW w:w="22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(20,450)</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(26,946)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Dividends paid to shareholders</w:t>
            </w:r>
          </w:p>
        </w:tc>
        <w:tc>
          <w:tcPr>
            <w:tcW w:w="220" w:type="dxa"/>
            <w:vAlign w:val="bottom"/>
          </w:tcPr>
          <w:p>
            <w:pPr>
              <w:spacing w:after="0"/>
              <w:rPr>
                <w:sz w:val="13"/>
                <w:szCs w:val="13"/>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(158,306)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(88,776)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Capital calls</w:t>
            </w:r>
          </w:p>
        </w:tc>
        <w:tc>
          <w:tcPr>
            <w:tcW w:w="22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1,049,736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220" w:type="dxa"/>
            <w:vAlign w:val="bottom"/>
          </w:tcPr>
          <w:p>
            <w:pPr>
              <w:spacing w:after="0"/>
              <w:rPr>
                <w:sz w:val="13"/>
                <w:szCs w:val="13"/>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(13,589)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3,191,374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22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86,553</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505,364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22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1,198,013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1,284,566</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514,177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0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3"/>
                <w:szCs w:val="13"/>
                <w:color w:val="auto"/>
              </w:rPr>
              <w:t>Supplemental Information:</w:t>
            </w:r>
          </w:p>
        </w:tc>
        <w:tc>
          <w:tcPr>
            <w:tcW w:w="2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Interest paid during the period</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176,868</w:t>
            </w:r>
          </w:p>
        </w:tc>
        <w:tc>
          <w:tcPr>
            <w:tcW w:w="16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127,783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Excise and other taxes paid during the period</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60" w:type="dxa"/>
            <w:vAlign w:val="bottom"/>
          </w:tcPr>
          <w:p>
            <w:pPr>
              <w:spacing w:after="0"/>
              <w:rPr>
                <w:sz w:val="13"/>
                <w:szCs w:val="13"/>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Dividends declared during the period</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296,409</w:t>
            </w:r>
          </w:p>
        </w:tc>
        <w:tc>
          <w:tcPr>
            <w:tcW w:w="16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189,040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Non-Cash Financing Activities:</w:t>
            </w:r>
          </w:p>
        </w:tc>
        <w:tc>
          <w:tcPr>
            <w:tcW w:w="22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Reinvestment of dividends during the period</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130,750</w:t>
            </w:r>
          </w:p>
        </w:tc>
        <w:tc>
          <w:tcPr>
            <w:tcW w:w="16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74,535</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Sixth Street Lending Partners</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40"/>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(Amounts in thousands, unless otherwise indicated)</w:t>
      </w:r>
    </w:p>
    <w:p>
      <w:pPr>
        <w:spacing w:after="0" w:line="132" w:lineRule="exact"/>
        <w:rPr>
          <w:sz w:val="20"/>
          <w:szCs w:val="20"/>
          <w:color w:val="auto"/>
        </w:rPr>
      </w:pPr>
    </w:p>
    <w:p>
      <w:pPr>
        <w:ind w:right="7840" w:firstLine="6"/>
        <w:spacing w:after="0" w:line="361" w:lineRule="auto"/>
        <w:tabs>
          <w:tab w:leader="none" w:pos="156"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Organization and Basis of Presentation </w:t>
      </w:r>
      <w:r>
        <w:rPr>
          <w:rFonts w:ascii="Times New Roman" w:cs="Times New Roman" w:eastAsia="Times New Roman" w:hAnsi="Times New Roman"/>
          <w:sz w:val="16"/>
          <w:szCs w:val="16"/>
          <w:i w:val="1"/>
          <w:iCs w:val="1"/>
          <w:color w:val="auto"/>
        </w:rPr>
        <w:t>Organization</w:t>
      </w:r>
    </w:p>
    <w:p>
      <w:pPr>
        <w:spacing w:after="0" w:line="1"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Sixth Street Lending Partners (the “Company”) is a Delaware statutory trust formed on April 5, 2022 (“Inception”). The Company was formed primarily to lend to, and selectively invest in, upper middle- 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Lending Partners Advisers, LLC (the “Adviser”). On May 12, 2022, the Company formed a wholly -owned subsidiary, SSLP Lending, LLC, a Delaware limited liability company. On December 8, 2022, the Company formed a wholly-owned subsidiary, Sixth Street LP Holding II, LLC, a Delaware limited liability company. On December 21, 2023, the Company formed a wholly-owned subsidiary, Sixth Street Lending Partners Sub, LLC, a Cayman Islands limited liability company.</w:t>
      </w:r>
    </w:p>
    <w:p>
      <w:pPr>
        <w:spacing w:after="0" w:line="170"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Company is conducting a private offering (the “Private Offering”) of its Common Shares of beneficial interest (the “Common Shares”) to accredited investors, as defined in Regulation D under the Securities Act of 1933 (the “1933 Act”) in reliance on exemptions from the registration requirements of the 1933 Act. Common Shares will be offered for subscription continuously throughout an initial closing period and may be offered from time to time thereafter. Each investor in the Private Offering will make a capital commitment (a “Capital Commitment”) to purchase Common Shares of the Company pursuant to a subscription agreement entered into with the Company. Investors will be required to fund drawdowns to purchase the Company’s Common Shares up to the amount of their respective Capital Commitments on an as-needed basis each time the Company delivers a notice to the investors.</w:t>
      </w:r>
    </w:p>
    <w:p>
      <w:pPr>
        <w:spacing w:after="0" w:line="173" w:lineRule="exact"/>
        <w:rPr>
          <w:sz w:val="20"/>
          <w:szCs w:val="20"/>
          <w:color w:val="auto"/>
        </w:rPr>
      </w:pPr>
    </w:p>
    <w:p>
      <w:pPr>
        <w:ind w:right="1000" w:firstLine="228"/>
        <w:spacing w:after="0" w:line="259" w:lineRule="auto"/>
        <w:rPr>
          <w:sz w:val="20"/>
          <w:szCs w:val="20"/>
          <w:color w:val="auto"/>
        </w:rPr>
      </w:pPr>
      <w:r>
        <w:rPr>
          <w:rFonts w:ascii="Times New Roman" w:cs="Times New Roman" w:eastAsia="Times New Roman" w:hAnsi="Times New Roman"/>
          <w:sz w:val="16"/>
          <w:szCs w:val="16"/>
          <w:color w:val="auto"/>
        </w:rPr>
        <w:t>The Company completed its initial closing of Capital Commitments and commenced its loan origination and investment activities on August 31, 2022 (“Commencement of Operations”), the date of receipt of the initial drawdown from investors in the Private Offering.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of Presentation</w:t>
      </w:r>
    </w:p>
    <w:p>
      <w:pPr>
        <w:spacing w:after="0" w:line="94" w:lineRule="exact"/>
        <w:rPr>
          <w:sz w:val="20"/>
          <w:szCs w:val="20"/>
          <w:color w:val="auto"/>
        </w:rPr>
      </w:pPr>
    </w:p>
    <w:p>
      <w:pPr>
        <w:ind w:right="380" w:firstLine="228"/>
        <w:spacing w:after="0" w:line="243" w:lineRule="auto"/>
        <w:rPr>
          <w:sz w:val="20"/>
          <w:szCs w:val="20"/>
          <w:color w:val="auto"/>
        </w:rPr>
      </w:pPr>
      <w:r>
        <w:rPr>
          <w:rFonts w:ascii="Times New Roman" w:cs="Times New Roman" w:eastAsia="Times New Roman" w:hAnsi="Times New Roman"/>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67"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2024, which was filed with the Securities and Exchange Commission (“SEC”), on February 14, 2025.</w:t>
      </w:r>
    </w:p>
    <w:p>
      <w:pPr>
        <w:spacing w:after="0" w:line="167"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6"/>
          <w:szCs w:val="16"/>
          <w:i w:val="1"/>
          <w:iCs w:val="1"/>
          <w:color w:val="auto"/>
        </w:rPr>
        <w:t>Financial Services – Investment Companies.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Fiscal Year End</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Company’s fiscal year ends on December 31.</w:t>
      </w:r>
    </w:p>
    <w:p>
      <w:pPr>
        <w:spacing w:after="0" w:line="282" w:lineRule="exact"/>
        <w:rPr>
          <w:sz w:val="20"/>
          <w:szCs w:val="20"/>
          <w:color w:val="auto"/>
        </w:rPr>
      </w:pPr>
    </w:p>
    <w:p>
      <w:pPr>
        <w:ind w:right="8380" w:firstLine="6"/>
        <w:spacing w:after="0" w:line="361" w:lineRule="auto"/>
        <w:tabs>
          <w:tab w:leader="none" w:pos="156"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Significant Accounting Policies </w:t>
      </w:r>
      <w:r>
        <w:rPr>
          <w:rFonts w:ascii="Times New Roman" w:cs="Times New Roman" w:eastAsia="Times New Roman" w:hAnsi="Times New Roman"/>
          <w:sz w:val="16"/>
          <w:szCs w:val="16"/>
          <w:i w:val="1"/>
          <w:iCs w:val="1"/>
          <w:color w:val="auto"/>
        </w:rPr>
        <w:t>Use of Estimates</w:t>
      </w:r>
    </w:p>
    <w:p>
      <w:pPr>
        <w:spacing w:after="0" w:line="1"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59" w:right="640" w:bottom="1440" w:gutter="0" w:footer="0" w:header="0"/>
        </w:sectPr>
      </w:pPr>
    </w:p>
    <w:bookmarkStart w:id="21" w:name="page22"/>
    <w:bookmarkEnd w:id="21"/>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94" w:lineRule="exact"/>
        <w:rPr>
          <w:sz w:val="20"/>
          <w:szCs w:val="20"/>
          <w:color w:val="auto"/>
        </w:rPr>
      </w:pPr>
    </w:p>
    <w:p>
      <w:pPr>
        <w:ind w:right="120" w:firstLine="228"/>
        <w:spacing w:after="0" w:line="243" w:lineRule="auto"/>
        <w:rPr>
          <w:sz w:val="20"/>
          <w:szCs w:val="20"/>
          <w:color w:val="auto"/>
        </w:rPr>
      </w:pPr>
      <w:r>
        <w:rPr>
          <w:rFonts w:ascii="Times New Roman" w:cs="Times New Roman" w:eastAsia="Times New Roman" w:hAnsi="Times New Roman"/>
          <w:sz w:val="16"/>
          <w:szCs w:val="16"/>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Investments at Fair Value</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9"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Trustees (the “Board”), based on, among other things, the input of the Adviser, the Company’s Audit Committee and independent third-party valuation firms engaged at the direction of the Board.</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As part of the valuation process, the Board takes into account relevant factors in determining the fair value of the Company's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Board undertakes a multi-step valuation process, which includes, among other procedures, the following:</w:t>
      </w:r>
    </w:p>
    <w:p>
      <w:pPr>
        <w:spacing w:after="0" w:line="92" w:lineRule="exact"/>
        <w:rPr>
          <w:sz w:val="20"/>
          <w:szCs w:val="20"/>
          <w:color w:val="auto"/>
        </w:rPr>
      </w:pPr>
    </w:p>
    <w:p>
      <w:pPr>
        <w:ind w:left="240" w:right="280"/>
        <w:spacing w:after="0" w:line="259" w:lineRule="auto"/>
        <w:rPr>
          <w:sz w:val="20"/>
          <w:szCs w:val="20"/>
          <w:color w:val="auto"/>
        </w:rPr>
      </w:pPr>
      <w:r>
        <w:rPr>
          <w:rFonts w:ascii="Times New Roman" w:cs="Times New Roman" w:eastAsia="Times New Roman" w:hAnsi="Times New Roman"/>
          <w:sz w:val="16"/>
          <w:szCs w:val="16"/>
          <w:color w:val="auto"/>
        </w:rPr>
        <w:t>•The valuation process begins with each investment being initially valued by the investment professionals responsible for the portfolio investment in conjunction with the portfolio management team.</w:t>
      </w:r>
    </w:p>
    <w:p>
      <w:pPr>
        <w:spacing w:after="0" w:line="59" w:lineRule="exact"/>
        <w:rPr>
          <w:sz w:val="20"/>
          <w:szCs w:val="20"/>
          <w:color w:val="auto"/>
        </w:rPr>
      </w:pPr>
    </w:p>
    <w:p>
      <w:pPr>
        <w:ind w:left="240" w:right="320"/>
        <w:spacing w:after="0" w:line="259" w:lineRule="auto"/>
        <w:rPr>
          <w:sz w:val="20"/>
          <w:szCs w:val="20"/>
          <w:color w:val="auto"/>
        </w:rPr>
      </w:pPr>
      <w:r>
        <w:rPr>
          <w:rFonts w:ascii="Times New Roman" w:cs="Times New Roman" w:eastAsia="Times New Roman" w:hAnsi="Times New Roman"/>
          <w:sz w:val="16"/>
          <w:szCs w:val="16"/>
          <w:color w:val="auto"/>
        </w:rPr>
        <w:t>•The Adviser’s management reviews the preliminary valuations with the investment professionals. Agreed upon valuation recommendations are presented to the Audit Committee.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Audit Committee reviews the valuations presented and recommends values for each investment to the Board.</w:t>
      </w:r>
    </w:p>
    <w:p>
      <w:pPr>
        <w:spacing w:after="0" w:line="92" w:lineRule="exact"/>
        <w:rPr>
          <w:sz w:val="20"/>
          <w:szCs w:val="20"/>
          <w:color w:val="auto"/>
        </w:rPr>
      </w:pPr>
    </w:p>
    <w:p>
      <w:pPr>
        <w:ind w:left="240" w:right="360"/>
        <w:spacing w:after="0" w:line="247" w:lineRule="auto"/>
        <w:rPr>
          <w:sz w:val="20"/>
          <w:szCs w:val="20"/>
          <w:color w:val="auto"/>
        </w:rPr>
      </w:pPr>
      <w:r>
        <w:rPr>
          <w:rFonts w:ascii="Times New Roman" w:cs="Times New Roman" w:eastAsia="Times New Roman" w:hAnsi="Times New Roman"/>
          <w:sz w:val="16"/>
          <w:szCs w:val="16"/>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 conducts this valuation process on a quarterly basis.</w:t>
      </w:r>
    </w:p>
    <w:p>
      <w:pPr>
        <w:spacing w:after="0" w:line="188"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The Board has engaged independent third-party valuation firms to perform certain limited procedures that the Board has identified and requested them to perform in connection with the valuation process of investments for which no market quotations are readily available. At September 30, 2025,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65" w:lineRule="exact"/>
        <w:rPr>
          <w:sz w:val="20"/>
          <w:szCs w:val="20"/>
          <w:color w:val="auto"/>
        </w:rPr>
      </w:pPr>
    </w:p>
    <w:p>
      <w:pPr>
        <w:ind w:right="80" w:firstLine="228"/>
        <w:spacing w:after="0" w:line="290" w:lineRule="auto"/>
        <w:rPr>
          <w:sz w:val="20"/>
          <w:szCs w:val="20"/>
          <w:color w:val="auto"/>
        </w:rPr>
      </w:pPr>
      <w:r>
        <w:rPr>
          <w:rFonts w:ascii="Times New Roman" w:cs="Times New Roman" w:eastAsia="Times New Roman" w:hAnsi="Times New Roman"/>
          <w:sz w:val="14"/>
          <w:szCs w:val="14"/>
          <w:color w:val="auto"/>
        </w:rPr>
        <w:t xml:space="preserve">The Company applies Financial Accounting Standards Board Accounting Standards Codification Topic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 w:name="page23"/>
    <w:bookmarkEnd w:id="22"/>
    <w:p>
      <w:pPr>
        <w:spacing w:after="0" w:line="113"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1—Valuations based on quoted prices in active markets for identical assets or liabilities that the Company has the ability to access.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2—Valuations based on quoted prices in markets that are not active or for which all significant inputs are observable, either directly or indirectly.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3—Valuations based on inputs that are unobservable and significant to the overall fair value measurement.</w:t>
      </w:r>
    </w:p>
    <w:p>
      <w:pPr>
        <w:spacing w:after="0" w:line="188"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73"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69" w:lineRule="exact"/>
        <w:rPr>
          <w:sz w:val="20"/>
          <w:szCs w:val="20"/>
          <w:color w:val="auto"/>
        </w:rPr>
      </w:pPr>
    </w:p>
    <w:p>
      <w:pPr>
        <w:ind w:firstLine="228"/>
        <w:spacing w:after="0" w:line="331" w:lineRule="auto"/>
        <w:rPr>
          <w:sz w:val="20"/>
          <w:szCs w:val="20"/>
          <w:color w:val="auto"/>
        </w:rPr>
      </w:pPr>
      <w:r>
        <w:rPr>
          <w:rFonts w:ascii="Times New Roman" w:cs="Times New Roman" w:eastAsia="Times New Roman" w:hAnsi="Times New Roman"/>
          <w:sz w:val="14"/>
          <w:szCs w:val="14"/>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and Derivative Instruments</w:t>
      </w:r>
    </w:p>
    <w:p>
      <w:pPr>
        <w:spacing w:after="0" w:line="190"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70"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 Derivatives, including the Company’s interest rate swaps, for which broker quotes are available are typically valued at those broker quotes.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Offsetting Assets and Liabilities</w:t>
      </w:r>
    </w:p>
    <w:p>
      <w:pPr>
        <w:spacing w:after="0" w:line="94" w:lineRule="exact"/>
        <w:rPr>
          <w:sz w:val="20"/>
          <w:szCs w:val="20"/>
          <w:color w:val="auto"/>
        </w:rPr>
      </w:pPr>
    </w:p>
    <w:p>
      <w:pPr>
        <w:ind w:right="120" w:firstLine="228"/>
        <w:spacing w:after="0" w:line="299" w:lineRule="auto"/>
        <w:rPr>
          <w:sz w:val="20"/>
          <w:szCs w:val="20"/>
          <w:color w:val="auto"/>
        </w:rPr>
      </w:pPr>
      <w:r>
        <w:rPr>
          <w:rFonts w:ascii="Times New Roman" w:cs="Times New Roman" w:eastAsia="Times New Roman" w:hAnsi="Times New Roman"/>
          <w:sz w:val="14"/>
          <w:szCs w:val="14"/>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3" w:name="page24"/>
    <w:bookmarkEnd w:id="23"/>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Foreign currency amounts are translated into U.S. dollars on the following basis:</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•cash and cash equivalents, market value of investments, outstanding debt on revolving credit facilities, other assets and liabilities: at the spot exchange rate on the last business day of the period; and</w:t>
      </w:r>
    </w:p>
    <w:p>
      <w:pPr>
        <w:spacing w:after="0" w:line="59" w:lineRule="exact"/>
        <w:rPr>
          <w:sz w:val="20"/>
          <w:szCs w:val="20"/>
          <w:color w:val="auto"/>
        </w:rPr>
      </w:pPr>
    </w:p>
    <w:p>
      <w:pPr>
        <w:ind w:left="240" w:right="340"/>
        <w:spacing w:after="0" w:line="259" w:lineRule="auto"/>
        <w:rPr>
          <w:sz w:val="20"/>
          <w:szCs w:val="20"/>
          <w:color w:val="auto"/>
        </w:rPr>
      </w:pPr>
      <w:r>
        <w:rPr>
          <w:rFonts w:ascii="Times New Roman" w:cs="Times New Roman" w:eastAsia="Times New Roman" w:hAnsi="Times New Roman"/>
          <w:sz w:val="16"/>
          <w:szCs w:val="16"/>
          <w:color w:val="auto"/>
        </w:rPr>
        <w:t>•purchases and sales of investments, borrowings and repayments of such borrowings, income and expenses: at the rates of exchange prevailing on the respective dates of such transactions.</w:t>
      </w:r>
    </w:p>
    <w:p>
      <w:pPr>
        <w:spacing w:after="0" w:line="155"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Subscription Facility and Revolving Credit Facility (“Credit Facilities”)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73"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Organization and Offering Expenses</w:t>
      </w:r>
    </w:p>
    <w:p>
      <w:pPr>
        <w:spacing w:after="0" w:line="9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Organization and offering costs will be borne by the Company and have been advanced from the Adviser subject to recoupment. Costs associated with the organization of the Company have been expensed as incurred, subject to the limitation described below. These expenses consist primarily of legal fees and other costs of organizing the Company.</w:t>
      </w:r>
    </w:p>
    <w:p>
      <w:pPr>
        <w:spacing w:after="0" w:line="16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Costs associated with the offering of Common Shares of the Company will be capitalized as deferred offering expenses on the Consolidated Balance Sheet and amortized over a twelve -month period from incurrence. These expenses consist primarily of legal fees and other costs incurred in connection with the Company’s private offering of its Common Shares.</w:t>
      </w:r>
    </w:p>
    <w:p>
      <w:pPr>
        <w:spacing w:after="0" w:line="16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Company will not bear more than an amount equal to 0.10% of the aggregate Commitments of the Company for organization and offering expenses in connection with the offering of Common Shares. If actual organization and offering costs incurred exceed 0.10% of the Company’s total Capital Commitments, the Adviser or its affiliates will bear the excess costs. To the extent that the Company’s Capital Commitments later increase, the Adviser or its affiliates may be reimbursed for past payments of excess organization and offering costs made on the Company’s behalf, provided that the total organization and offering costs borne by the Company do not exceed 0.10% of total Capital Commitments and provided further that the Adviser or its affiliates may not be reimbursed for payment of excess organization and offering expenses that were incurred more than three years prior to the proposed reimbursement.</w:t>
      </w:r>
    </w:p>
    <w:p>
      <w:pPr>
        <w:spacing w:after="0" w:line="173" w:lineRule="exact"/>
        <w:rPr>
          <w:sz w:val="20"/>
          <w:szCs w:val="20"/>
          <w:color w:val="auto"/>
        </w:rPr>
      </w:pPr>
    </w:p>
    <w:p>
      <w:pPr>
        <w:ind w:right="420" w:firstLine="228"/>
        <w:spacing w:after="0" w:line="247" w:lineRule="auto"/>
        <w:rPr>
          <w:sz w:val="20"/>
          <w:szCs w:val="20"/>
          <w:color w:val="auto"/>
        </w:rPr>
      </w:pPr>
      <w:r>
        <w:rPr>
          <w:rFonts w:ascii="Times New Roman" w:cs="Times New Roman" w:eastAsia="Times New Roman" w:hAnsi="Times New Roman"/>
          <w:sz w:val="16"/>
          <w:szCs w:val="16"/>
          <w:color w:val="auto"/>
        </w:rPr>
        <w:t>As of September 30, 2025 and September 30, 2024, there were no expenses borne by the Adviser subject to future recoupment. Any sales load, platform fees, servicing fees or similar fees or expenses charged directly to an investor in an offering by a placement agent or similar party will not be considered organization or offering expenses of the Company for purposes of the Company’s cap on organization and offering expenses.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Issuance Costs</w:t>
      </w:r>
    </w:p>
    <w:p>
      <w:pPr>
        <w:spacing w:after="0" w:line="94" w:lineRule="exact"/>
        <w:rPr>
          <w:sz w:val="20"/>
          <w:szCs w:val="20"/>
          <w:color w:val="auto"/>
        </w:rPr>
      </w:pPr>
    </w:p>
    <w:p>
      <w:pPr>
        <w:ind w:right="240" w:firstLine="228"/>
        <w:spacing w:after="0" w:line="247" w:lineRule="auto"/>
        <w:rPr>
          <w:sz w:val="20"/>
          <w:szCs w:val="20"/>
          <w:color w:val="auto"/>
        </w:rPr>
      </w:pPr>
      <w:r>
        <w:rPr>
          <w:rFonts w:ascii="Times New Roman" w:cs="Times New Roman" w:eastAsia="Times New Roman" w:hAnsi="Times New Roman"/>
          <w:sz w:val="16"/>
          <w:szCs w:val="16"/>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and Dividend Income Recognition</w:t>
      </w:r>
    </w:p>
    <w:p>
      <w:pPr>
        <w:spacing w:after="0" w:line="94"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4"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 w:name="page25"/>
    <w:bookmarkEnd w:id="24"/>
    <w:p>
      <w:pPr>
        <w:spacing w:after="0" w:line="113"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3"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w:t>
      </w:r>
    </w:p>
    <w:p>
      <w:pPr>
        <w:spacing w:after="0" w:line="94" w:lineRule="exact"/>
        <w:rPr>
          <w:sz w:val="20"/>
          <w:szCs w:val="20"/>
          <w:color w:val="auto"/>
        </w:rPr>
      </w:pPr>
    </w:p>
    <w:p>
      <w:pPr>
        <w:ind w:right="18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Company may receive fees for services provided to portfolio companies by the Adviser. The services that the Adviser provides vary by investment, but may include syndication, structuring, arranger, diligence fees, or other service-based fees and fees for providing managerial assistance to our portfolio companies and are recognized as revenue when earned.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Earnings per share</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Company’s earnings per share (“EPS”) amounts have been computed based on the weighted -average number of Common Shares outstanding for the period. Basic EPS is computed by dividing net increase (decrease) in net assets resulting from operations by the weighted average number of Common Shares outstanding during the period. Diluted EPS is computed by dividing net increase (decrease) in net assets resulting from operations by the weighted average number of Common Shares assuming all potential shares had been issued and the additional Common Shares were dilutive. Diluted EPS reflects the potential dilution, using the if-converted method for convertible debt, which could occur if all potentially dilutive securities were exercised.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Reimbursement of Transaction-Related Expenses</w:t>
      </w:r>
    </w:p>
    <w:p>
      <w:pPr>
        <w:spacing w:after="0" w:line="94"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67"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 Including Excise Taxes</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shareholders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shareholders, which generally relieves the Company from corporate-level U.S. federal income taxes.</w:t>
      </w:r>
    </w:p>
    <w:p>
      <w:pPr>
        <w:spacing w:after="0" w:line="169"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Company evaluates tax positions taken or expected to be taken in the course of preparing its financial statements to determine whether the tax positions are “more-likely-than -not”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69"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5" w:name="page26"/>
    <w:bookmarkEnd w:id="25"/>
    <w:p>
      <w:pPr>
        <w:spacing w:after="0" w:line="113" w:lineRule="exact"/>
        <w:rPr>
          <w:sz w:val="20"/>
          <w:szCs w:val="20"/>
          <w:color w:val="auto"/>
        </w:rPr>
      </w:pPr>
    </w:p>
    <w:p>
      <w:pPr>
        <w:jc w:val="both"/>
        <w:ind w:right="200" w:firstLine="228"/>
        <w:spacing w:after="0" w:line="247" w:lineRule="auto"/>
        <w:rPr>
          <w:sz w:val="20"/>
          <w:szCs w:val="20"/>
          <w:color w:val="auto"/>
        </w:rPr>
      </w:pPr>
      <w:r>
        <w:rPr>
          <w:rFonts w:ascii="Times New Roman" w:cs="Times New Roman" w:eastAsia="Times New Roman" w:hAnsi="Times New Roman"/>
          <w:sz w:val="16"/>
          <w:szCs w:val="16"/>
          <w:color w:val="auto"/>
        </w:rPr>
        <w:t>For the three and nine months ended September 30, 2025, the Company recorded no net expense and a net expense of less than $0.1 million, respectively, for U.S. federal excise tax and other taxes. For the three and nine months ended September 30, 2024, the Company recorded no net expense and a net expense of $2.2 million, respectively, for U.S. federal excise tax and other taxes.</w:t>
      </w:r>
    </w:p>
    <w:p>
      <w:pPr>
        <w:spacing w:after="0" w:line="164"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For both the three and nine months ended September 30, 2025, the Company recorded no provision pertaining to net unrealized gains from its investments. For both the three and nine months ended September 30, 2025, the Company recognized a tax provision of $ 1.1 million pertaining to net realized gains from one of its investments. For both the three and nine months ended September 30, 2024, the Company recorded no tax provision and recognized no tax expense.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 to Common Shareholders</w:t>
      </w:r>
    </w:p>
    <w:p>
      <w:pPr>
        <w:spacing w:after="0" w:line="94" w:lineRule="exact"/>
        <w:rPr>
          <w:sz w:val="20"/>
          <w:szCs w:val="20"/>
          <w:color w:val="auto"/>
        </w:rPr>
      </w:pPr>
    </w:p>
    <w:p>
      <w:pPr>
        <w:jc w:val="both"/>
        <w:ind w:firstLine="228"/>
        <w:spacing w:after="0" w:line="247" w:lineRule="auto"/>
        <w:rPr>
          <w:sz w:val="20"/>
          <w:szCs w:val="20"/>
          <w:color w:val="auto"/>
        </w:rPr>
      </w:pPr>
      <w:r>
        <w:rPr>
          <w:rFonts w:ascii="Times New Roman" w:cs="Times New Roman" w:eastAsia="Times New Roman" w:hAnsi="Times New Roman"/>
          <w:sz w:val="16"/>
          <w:szCs w:val="16"/>
          <w:color w:val="auto"/>
        </w:rPr>
        <w:t>Dividends to common shareholders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64" w:lineRule="exact"/>
        <w:rPr>
          <w:sz w:val="20"/>
          <w:szCs w:val="20"/>
          <w:color w:val="auto"/>
        </w:rPr>
      </w:pPr>
    </w:p>
    <w:p>
      <w:pPr>
        <w:ind w:right="360" w:firstLine="228"/>
        <w:spacing w:after="0" w:line="289" w:lineRule="auto"/>
        <w:rPr>
          <w:sz w:val="20"/>
          <w:szCs w:val="20"/>
          <w:color w:val="auto"/>
        </w:rPr>
      </w:pPr>
      <w:r>
        <w:rPr>
          <w:rFonts w:ascii="Times New Roman" w:cs="Times New Roman" w:eastAsia="Times New Roman" w:hAnsi="Times New Roman"/>
          <w:sz w:val="14"/>
          <w:szCs w:val="14"/>
          <w:color w:val="auto"/>
        </w:rPr>
        <w:t>The Company has adopted a dividend reinvestment plan that provides for reinvestment of any dividends declared in cash on behalf of shareholders, unless a shareholder elects to receive cash. As a result, if the Board authorizes and declares a cash dividend, then the shareholders who have not “opted out” of the dividend reinvestment plan will have their cash dividends automatically reinvested in additional shares of the Company’s Common Shares, rather than receiving the cash dividend. The Company expects to use newly issued shares to satisfy the dividend reinvestment plan. See Note 11 for further information related to dividends.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Segment Reporting</w:t>
      </w:r>
    </w:p>
    <w:p>
      <w:pPr>
        <w:spacing w:after="0" w:line="190"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Company has one reportable segment: Investment Activity. The Investment Activity segment generates revenue primarily in the form of interest income from the investments it holds. In addition, the Company may generate income from dividends on equity investments, capital gains on the sale of investments and various loan origination and other fees.</w:t>
      </w:r>
    </w:p>
    <w:p>
      <w:pPr>
        <w:spacing w:after="0" w:line="164"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The Company’s chief operating decision maker (the “CODM”) is comprised of the senior executive committee that includes the Chief Executive Officer, Chief Financial Officer, and the Deputy Chief Financial Officer.</w:t>
      </w:r>
    </w:p>
    <w:p>
      <w:pPr>
        <w:spacing w:after="0" w:line="155" w:lineRule="exact"/>
        <w:rPr>
          <w:sz w:val="20"/>
          <w:szCs w:val="20"/>
          <w:color w:val="auto"/>
        </w:rPr>
      </w:pPr>
    </w:p>
    <w:p>
      <w:pPr>
        <w:jc w:val="both"/>
        <w:ind w:right="80" w:firstLine="228"/>
        <w:spacing w:after="0" w:line="247" w:lineRule="auto"/>
        <w:rPr>
          <w:sz w:val="20"/>
          <w:szCs w:val="20"/>
          <w:color w:val="auto"/>
        </w:rPr>
      </w:pPr>
      <w:r>
        <w:rPr>
          <w:rFonts w:ascii="Times New Roman" w:cs="Times New Roman" w:eastAsia="Times New Roman" w:hAnsi="Times New Roman"/>
          <w:sz w:val="16"/>
          <w:szCs w:val="16"/>
          <w:color w:val="auto"/>
        </w:rPr>
        <w:t>The CODM uses the net increase (decrease) in net assets resulting from operations to evaluate income generated from segment investment activities. The evaluation and assessment of this metric is used in implementing investment policy decisions, strategic initiatives, managing the company’s portfolio, evaluation of the company’s distribution policy and assessing the performance of the portfolio.</w:t>
      </w:r>
    </w:p>
    <w:p>
      <w:pPr>
        <w:spacing w:after="0" w:line="164"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The accounting policies of the Investment Activity segment are the same as those described in the summary of significant accounting policies. The CODM assesses performance for the segment and determines how to allocate resources based on the net increase (decrease) in net assets resulting from operations that also is reported on the consolidated Statement of Operations. Significant segment expenses are reported as total expenses on the consolidated statement of operations. The measure of segment assets is reported on the consolidated balance sheet as total assets.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 Accounting Standards and Regulatory Updates</w:t>
      </w:r>
    </w:p>
    <w:p>
      <w:pPr>
        <w:spacing w:after="0" w:line="190"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In December 2023, the FASB issued ASU No. 2023-09, “Income Taxes (Topic 740): Improvements to Income Tax Disclosures (“ASU 2023-09”),” which intends to improve the transparency of income tax disclosures. ASU No. 2023-09 is effective for fiscal years beginning after December 15, 2024 and is to be adopted on a prospective basis with the option to apply retrospectively. The Company does not expect this update to have a material effect to the Company's consolidated financial statements.</w:t>
      </w:r>
    </w:p>
    <w:p>
      <w:pPr>
        <w:spacing w:after="0" w:line="167"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In December 2024, the FASB issued ASU No. 2024-04, "Debt with Conversion Other Options (Subtopic 470): Induced Conversions of Convertible Debt Instruments,"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does not expect this update to have a material effect on our consolidated financial statements.</w:t>
      </w:r>
    </w:p>
    <w:p>
      <w:pPr>
        <w:spacing w:after="0" w:line="261" w:lineRule="exact"/>
        <w:rPr>
          <w:sz w:val="20"/>
          <w:szCs w:val="20"/>
          <w:color w:val="auto"/>
        </w:rPr>
      </w:pPr>
    </w:p>
    <w:p>
      <w:pPr>
        <w:ind w:right="7440" w:firstLine="6"/>
        <w:spacing w:after="0" w:line="361" w:lineRule="auto"/>
        <w:tabs>
          <w:tab w:leader="none" w:pos="156"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Agreements and Related Party Transactions </w:t>
      </w:r>
      <w:r>
        <w:rPr>
          <w:rFonts w:ascii="Times New Roman" w:cs="Times New Roman" w:eastAsia="Times New Roman" w:hAnsi="Times New Roman"/>
          <w:sz w:val="16"/>
          <w:szCs w:val="16"/>
          <w:i w:val="1"/>
          <w:iCs w:val="1"/>
          <w:color w:val="auto"/>
        </w:rPr>
        <w:t>Administration Agreement</w:t>
      </w:r>
    </w:p>
    <w:p>
      <w:pPr>
        <w:spacing w:after="0" w:line="1" w:lineRule="exact"/>
        <w:rPr>
          <w:sz w:val="20"/>
          <w:szCs w:val="20"/>
          <w:color w:val="auto"/>
        </w:rPr>
      </w:pPr>
    </w:p>
    <w:p>
      <w:pPr>
        <w:ind w:right="520" w:firstLine="228"/>
        <w:spacing w:after="0" w:line="259" w:lineRule="auto"/>
        <w:rPr>
          <w:sz w:val="20"/>
          <w:szCs w:val="20"/>
          <w:color w:val="auto"/>
        </w:rPr>
      </w:pPr>
      <w:r>
        <w:rPr>
          <w:rFonts w:ascii="Times New Roman" w:cs="Times New Roman" w:eastAsia="Times New Roman" w:hAnsi="Times New Roman"/>
          <w:sz w:val="16"/>
          <w:szCs w:val="16"/>
          <w:color w:val="auto"/>
        </w:rPr>
        <w:t>On June 28, 2022, the Company entered into the Administration Agreement with the Adviser. Under the terms of the Administration Agreement, the Adviser provides administrative services to the Company. These services include providing office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 w:name="page27"/>
    <w:bookmarkEnd w:id="26"/>
    <w:p>
      <w:pPr>
        <w:spacing w:after="0" w:line="17"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4"/>
          <w:szCs w:val="14"/>
          <w:color w:val="auto"/>
        </w:rPr>
        <w:t>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37" w:lineRule="exact"/>
        <w:rPr>
          <w:sz w:val="20"/>
          <w:szCs w:val="20"/>
          <w:color w:val="auto"/>
        </w:rPr>
      </w:pPr>
    </w:p>
    <w:p>
      <w:pPr>
        <w:jc w:val="both"/>
        <w:ind w:right="160" w:firstLine="228"/>
        <w:spacing w:after="0" w:line="247" w:lineRule="auto"/>
        <w:rPr>
          <w:sz w:val="20"/>
          <w:szCs w:val="20"/>
          <w:color w:val="auto"/>
        </w:rPr>
      </w:pPr>
      <w:r>
        <w:rPr>
          <w:rFonts w:ascii="Times New Roman" w:cs="Times New Roman" w:eastAsia="Times New Roman" w:hAnsi="Times New Roman"/>
          <w:sz w:val="16"/>
          <w:szCs w:val="16"/>
          <w:color w:val="auto"/>
        </w:rPr>
        <w:t>In November 2025, the Board renewed the Administration Agreement. Unless earlier terminated as described below, the Administration Agreement will remain in effect until November 2026, and may be extended subject to required approvals. The Administration Agreement may be terminated by either party without penalty on 60 days’ written notice to the other party.</w:t>
      </w:r>
    </w:p>
    <w:p>
      <w:pPr>
        <w:spacing w:after="0" w:line="164" w:lineRule="exact"/>
        <w:rPr>
          <w:sz w:val="20"/>
          <w:szCs w:val="20"/>
          <w:color w:val="auto"/>
        </w:rPr>
      </w:pPr>
    </w:p>
    <w:p>
      <w:pPr>
        <w:ind w:right="20" w:firstLine="228"/>
        <w:spacing w:after="0" w:line="237" w:lineRule="auto"/>
        <w:rPr>
          <w:sz w:val="20"/>
          <w:szCs w:val="20"/>
          <w:color w:val="auto"/>
        </w:rPr>
      </w:pPr>
      <w:r>
        <w:rPr>
          <w:rFonts w:ascii="Times New Roman" w:cs="Times New Roman" w:eastAsia="Times New Roman" w:hAnsi="Times New Roman"/>
          <w:sz w:val="16"/>
          <w:szCs w:val="16"/>
          <w:color w:val="auto"/>
        </w:rPr>
        <w:t>No person who is an officer, trustee or employee of the Adviser or its affiliates and who serves as a trustee of the Company receives any compensation from the Company for his or her services as a trustee.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Trustees who are not affiliated with the Adviser receive compensation for their services and reimbursement of expenses incurred to attend meetings.</w:t>
      </w:r>
    </w:p>
    <w:p>
      <w:pPr>
        <w:spacing w:after="0" w:line="174"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For the three and nine months ended September 30, 2025, the Company incurred $1.1 million and $3.1 million, respectively, for administrative services payable to the Adviser under the terms of the Administration Agreement, which is included in other general and administrative expenses in the Consolidated Statements of Operations. For the three and nine months ended September 30, 2024, the Company incurred $0.9 million and $2.9 million, respectively, for administrative services payable to the Adviser under the terms of the Administration Agreement.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Advisory Agreement</w:t>
      </w:r>
    </w:p>
    <w:p>
      <w:pPr>
        <w:spacing w:after="0" w:line="94"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On June 28, 2022, the Company entered into the Investment Advisory Agreement with the Adviser.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a base management fee (the “Management Fee”) and may also pay an incentive fee (the “Incentive Fee”).</w:t>
      </w:r>
    </w:p>
    <w:p>
      <w:pPr>
        <w:spacing w:after="0" w:line="167"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In November 2025, the Board renewed the Investment Advisory Agreement. Unless earlier terminated as described below, the Investment Advisory Agreement will remain in effect until November 2026, and may be extended subject to required approvals. The Investment Advisory Agreement may be terminated by either party without penalty on 60 days’ written notice to the other party.</w:t>
      </w:r>
    </w:p>
    <w:p>
      <w:pPr>
        <w:spacing w:after="0" w:line="164"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The Management Fee is calculated at an annual rate of 1.25% of the Company’s gross assets,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 Management Fees for any partial month or quarter will be appropriately prorated.</w:t>
      </w:r>
    </w:p>
    <w:p>
      <w:pPr>
        <w:spacing w:after="0" w:line="164"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For the three and nine months ended September 30, 2025, Management Fees (gross of waivers) were $28.1 million and $79.9 million, respectively. For the three and nine months ended September 30, 2024, Management Fees (gross of waivers) were $18.9 million and $45.0 million, respectively.</w:t>
      </w:r>
    </w:p>
    <w:p>
      <w:pPr>
        <w:spacing w:after="0" w:line="155" w:lineRule="exact"/>
        <w:rPr>
          <w:sz w:val="20"/>
          <w:szCs w:val="20"/>
          <w:color w:val="auto"/>
        </w:rPr>
      </w:pPr>
    </w:p>
    <w:p>
      <w:pPr>
        <w:jc w:val="both"/>
        <w:ind w:right="40" w:firstLine="228"/>
        <w:spacing w:after="0" w:line="284" w:lineRule="auto"/>
        <w:rPr>
          <w:sz w:val="20"/>
          <w:szCs w:val="20"/>
          <w:color w:val="auto"/>
        </w:rPr>
      </w:pPr>
      <w:r>
        <w:rPr>
          <w:rFonts w:ascii="Times New Roman" w:cs="Times New Roman" w:eastAsia="Times New Roman" w:hAnsi="Times New Roman"/>
          <w:sz w:val="14"/>
          <w:szCs w:val="14"/>
          <w:color w:val="auto"/>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 For the three and nine months ended September 30, 2025, Management Fees of $17.9 million and $50.1 million, respectively, have been waived. For the three and nine months ended September 30, 2024, Management Fees of $12.3 million and $28.4 million, respectively, have been waived.</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7" w:name="page28"/>
    <w:bookmarkEnd w:id="27"/>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Incentive Fee consists of two parts, as follows:</w:t>
      </w:r>
    </w:p>
    <w:p>
      <w:pPr>
        <w:spacing w:after="0" w:line="92" w:lineRule="exact"/>
        <w:rPr>
          <w:sz w:val="20"/>
          <w:szCs w:val="20"/>
          <w:color w:val="auto"/>
        </w:rPr>
      </w:pPr>
    </w:p>
    <w:p>
      <w:pPr>
        <w:ind w:left="240" w:right="280"/>
        <w:spacing w:after="0" w:line="247" w:lineRule="auto"/>
        <w:rPr>
          <w:sz w:val="20"/>
          <w:szCs w:val="20"/>
          <w:color w:val="auto"/>
        </w:rPr>
      </w:pPr>
      <w:r>
        <w:rPr>
          <w:rFonts w:ascii="Times New Roman" w:cs="Times New Roman" w:eastAsia="Times New Roman" w:hAnsi="Times New Roman"/>
          <w:sz w:val="16"/>
          <w:szCs w:val="16"/>
          <w:color w:val="auto"/>
        </w:rPr>
        <w:t>(i)The first component, payable at the end of each quarter in arrears, equals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w:t>
      </w:r>
    </w:p>
    <w:p>
      <w:pPr>
        <w:spacing w:after="0" w:line="68" w:lineRule="exact"/>
        <w:rPr>
          <w:sz w:val="20"/>
          <w:szCs w:val="20"/>
          <w:color w:val="auto"/>
        </w:rPr>
      </w:pPr>
    </w:p>
    <w:p>
      <w:pPr>
        <w:ind w:left="480" w:right="60"/>
        <w:spacing w:after="0" w:line="239" w:lineRule="auto"/>
        <w:rPr>
          <w:sz w:val="20"/>
          <w:szCs w:val="20"/>
          <w:color w:val="auto"/>
        </w:rPr>
      </w:pPr>
      <w:r>
        <w:rPr>
          <w:rFonts w:ascii="Times New Roman" w:cs="Times New Roman" w:eastAsia="Times New Roman" w:hAnsi="Times New Roman"/>
          <w:sz w:val="16"/>
          <w:szCs w:val="16"/>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shares, but excluding the Incentive Fee). Pre -Incentive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w:t>
      </w:r>
    </w:p>
    <w:p>
      <w:pPr>
        <w:spacing w:after="0" w:line="77" w:lineRule="exact"/>
        <w:rPr>
          <w:sz w:val="20"/>
          <w:szCs w:val="20"/>
          <w:color w:val="auto"/>
        </w:rPr>
      </w:pPr>
    </w:p>
    <w:p>
      <w:pPr>
        <w:ind w:left="240" w:right="40"/>
        <w:spacing w:after="0" w:line="238" w:lineRule="auto"/>
        <w:rPr>
          <w:sz w:val="20"/>
          <w:szCs w:val="20"/>
          <w:color w:val="auto"/>
        </w:rPr>
      </w:pPr>
      <w:r>
        <w:rPr>
          <w:rFonts w:ascii="Times New Roman" w:cs="Times New Roman" w:eastAsia="Times New Roman" w:hAnsi="Times New Roman"/>
          <w:sz w:val="16"/>
          <w:szCs w:val="16"/>
          <w:color w:val="auto"/>
        </w:rPr>
        <w:t>(ii)The second component, payable at the end of each fiscal year in arrears, prior to an Exchange Listing, equal 12.5% of cumulative realized capital gains from the inception of the Company to the end of such fiscal year, less the aggregate amount of any previously paid capital gain Incentive Fee for prior periods (the “Capital Gains Fee”). In the determination of the second component of the Incentive Fee, any unrealized gains/(losses) specifically related to the foreign currency denominated borrowings of non-US dollar denominated investments is offset against any associated unrealized gains/(losses) related to foreign currency denominated investments.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 12.5% and the portion of the Company’s realized capital gains that accrued following an Exchange Listing will be subject to an Incentive Fee rate of 17.5%.</w:t>
      </w:r>
    </w:p>
    <w:p>
      <w:pPr>
        <w:spacing w:after="0" w:line="170"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For purposes of determining whether pre-Incentive Fee net investment income exceeds the hurdle rate, pre-Incentive Fee net investment income is expressed as a rate of return on the average daily hurdle calculation value throughout the immediately preceding calendar quarter.</w:t>
      </w:r>
    </w:p>
    <w:p>
      <w:pPr>
        <w:spacing w:after="0" w:line="155"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55"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An “Exchange Listing” is a quotation or listing of the Company’s securities on a national securities exchange (including through an initial public offering) or a sale of all or substantially all of our assets to, or a merger or other liquidity transaction with, an entity in which the Company’s shareholders receive shares of a publicly-traded company which continues to be managed by the Adviser or an affiliate thereof.</w:t>
      </w:r>
    </w:p>
    <w:p>
      <w:pPr>
        <w:spacing w:after="0" w:line="164"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For the three and nine months ended September 30, 2025, Incentive Fees on net investment income were $20.2 million and $62.6 million, respectively. For the three and nine months ended September 30, 2025 Incentive Fees on capital gains were $(1.0) million and $ (3.8) million, respectively. For the three and nine months ended September 30, 2024, Incentive Fees on net investment income were $14.9 million and $38.4 million, respectively. For the three and nine months ended September 30, 2024, Incentive Fees on capital gains were $3.4 million and $9.2 million, respectively. As of September 30, 2025, the Capital Gains Fees accrued are not contractually payable to the Adviser.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Expense Support Agreement</w:t>
      </w:r>
    </w:p>
    <w:p>
      <w:pPr>
        <w:spacing w:after="0" w:line="94"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On June 28, 2022, the Company entered into an expense support and conditional reimbursement agreement (the “Expense Support Agreement”) with the Adviser. The Expense Support Agreement provides that, at such times as the Adviser determines, the Adviser may pay certain expenses of the Company, provided that no portion of the payment will be used to pay any interest (each an “Expense Payment”) . Such Expense Payment will be made in any combination of cash or other immediately available funds no later than forty- 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Company’s shareholders based on distributions declared with respect to record dates occurring in such calendar quarter (such amount referred to as the “Excess Operating Funds”), the Company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w:t>
      </w:r>
    </w:p>
    <w:p>
      <w:pPr>
        <w:spacing w:after="0" w:line="1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8" w:name="page29"/>
    <w:bookmarkEnd w:id="28"/>
    <w:p>
      <w:pPr>
        <w:spacing w:after="0" w:line="17"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all or a portion of any Reimbursement Payment in any particular calendar quarter, so that such Reimbursement Payment may be reimbursable in a future calendar quarter.</w:t>
      </w:r>
    </w:p>
    <w:p>
      <w:pPr>
        <w:spacing w:after="0" w:line="155"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As of September 30, 2025 and 2024, the Adviser had not provided any written commitments for Expense Payments. The Company has not made any Reimbursement Payments to the Adviser. The Company may or may not reimburse remaining expenses in the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License Agreement</w:t>
      </w:r>
    </w:p>
    <w:p>
      <w:pPr>
        <w:spacing w:after="0" w:line="94"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We have entered into a License Agreement with Austin IP, LLC that grants us a non-exclusive, royalty-free license to use the mark “Sixth Street” and any derivative thereof.</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Investments at Fair Value</w:t>
      </w:r>
    </w:p>
    <w:p>
      <w:pPr>
        <w:spacing w:after="0" w:line="94"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at fair value consisted of the following at September 30, 2025 and December 31, 2024:</w:t>
      </w:r>
    </w:p>
    <w:p>
      <w:pPr>
        <w:spacing w:after="0" w:line="200"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4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20" w:type="dxa"/>
            <w:vAlign w:val="bottom"/>
          </w:tcPr>
          <w:p>
            <w:pPr>
              <w:spacing w:after="0"/>
              <w:rPr>
                <w:sz w:val="15"/>
                <w:szCs w:val="15"/>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38"/>
        </w:trPr>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 xml:space="preserve">Amortized Cost </w:t>
            </w:r>
            <w:r>
              <w:rPr>
                <w:rFonts w:ascii="Times New Roman" w:cs="Times New Roman" w:eastAsia="Times New Roman" w:hAnsi="Times New Roman"/>
                <w:sz w:val="16"/>
                <w:szCs w:val="16"/>
                <w:b w:val="1"/>
                <w:bCs w:val="1"/>
                <w:color w:val="auto"/>
                <w:vertAlign w:val="superscript"/>
              </w:rPr>
              <w:t>(1)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7,064,720</w:t>
            </w:r>
          </w:p>
        </w:tc>
        <w:tc>
          <w:tcPr>
            <w:tcW w:w="3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7,314,206</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249,486</w:t>
            </w:r>
          </w:p>
        </w:tc>
        <w:tc>
          <w:tcPr>
            <w:tcW w:w="0" w:type="dxa"/>
            <w:vAlign w:val="bottom"/>
          </w:tcPr>
          <w:p>
            <w:pPr>
              <w:spacing w:after="0"/>
              <w:rPr>
                <w:sz w:val="1"/>
                <w:szCs w:val="1"/>
                <w:color w:val="auto"/>
              </w:rPr>
            </w:pP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4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33,823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34,781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40" w:type="dxa"/>
            <w:vAlign w:val="bottom"/>
            <w:shd w:val="clear" w:color="auto" w:fill="CFF0FC"/>
          </w:tcPr>
          <w:p>
            <w:pPr>
              <w:spacing w:after="0"/>
              <w:rPr>
                <w:sz w:val="15"/>
                <w:szCs w:val="15"/>
                <w:color w:val="auto"/>
              </w:rPr>
            </w:pPr>
          </w:p>
        </w:tc>
        <w:tc>
          <w:tcPr>
            <w:tcW w:w="13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208,642</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215,843</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7,201</w:t>
            </w:r>
          </w:p>
        </w:tc>
        <w:tc>
          <w:tcPr>
            <w:tcW w:w="0" w:type="dxa"/>
            <w:vAlign w:val="bottom"/>
          </w:tcPr>
          <w:p>
            <w:pPr>
              <w:spacing w:after="0"/>
              <w:rPr>
                <w:sz w:val="1"/>
                <w:szCs w:val="1"/>
                <w:color w:val="auto"/>
              </w:rPr>
            </w:pP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132,991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159,242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3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Investments</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7,440,176</w:t>
            </w:r>
          </w:p>
        </w:tc>
        <w:tc>
          <w:tcPr>
            <w:tcW w:w="3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7,724,072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283,896</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24"/>
                <w:szCs w:val="24"/>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38"/>
        </w:trPr>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vMerge w:val="restart"/>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 xml:space="preserve">Amortized Cost </w:t>
            </w:r>
            <w:r>
              <w:rPr>
                <w:rFonts w:ascii="Times New Roman" w:cs="Times New Roman" w:eastAsia="Times New Roman" w:hAnsi="Times New Roman"/>
                <w:sz w:val="16"/>
                <w:szCs w:val="16"/>
                <w:b w:val="1"/>
                <w:bCs w:val="1"/>
                <w:color w:val="auto"/>
                <w:vertAlign w:val="superscript"/>
              </w:rPr>
              <w:t>(1)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6,732,065</w:t>
            </w:r>
          </w:p>
        </w:tc>
        <w:tc>
          <w:tcPr>
            <w:tcW w:w="3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6,871,809</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139,744</w:t>
            </w:r>
          </w:p>
        </w:tc>
        <w:tc>
          <w:tcPr>
            <w:tcW w:w="0" w:type="dxa"/>
            <w:vAlign w:val="bottom"/>
          </w:tcPr>
          <w:p>
            <w:pPr>
              <w:spacing w:after="0"/>
              <w:rPr>
                <w:sz w:val="1"/>
                <w:szCs w:val="1"/>
                <w:color w:val="auto"/>
              </w:rPr>
            </w:pP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4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89,461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94,778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5,317</w:t>
            </w: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40" w:type="dxa"/>
            <w:vAlign w:val="bottom"/>
            <w:shd w:val="clear" w:color="auto" w:fill="CFF0FC"/>
          </w:tcPr>
          <w:p>
            <w:pPr>
              <w:spacing w:after="0"/>
              <w:rPr>
                <w:sz w:val="15"/>
                <w:szCs w:val="15"/>
                <w:color w:val="auto"/>
              </w:rPr>
            </w:pPr>
          </w:p>
        </w:tc>
        <w:tc>
          <w:tcPr>
            <w:tcW w:w="13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118,441</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123,184</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4,743</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140,027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154,511</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3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Investments</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7,079,994</w:t>
            </w:r>
          </w:p>
        </w:tc>
        <w:tc>
          <w:tcPr>
            <w:tcW w:w="3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7,244,282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164,288</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(1)The amortized cost represents the original cost adjusted for the amortization of discounts or premiums, as applicable, on debt investments using the effective interest method.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9" w:name="page30"/>
    <w:bookmarkEnd w:id="29"/>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industry composition of investments at fair value at September 30, 2025 and December 31, 2024:</w:t>
      </w:r>
    </w:p>
    <w:p>
      <w:pPr>
        <w:spacing w:after="0" w:line="200" w:lineRule="exact"/>
        <w:rPr>
          <w:sz w:val="20"/>
          <w:szCs w:val="20"/>
          <w:color w:val="auto"/>
        </w:rPr>
      </w:pPr>
    </w:p>
    <w:tbl>
      <w:tblPr>
        <w:tblLayout w:type="fixed"/>
        <w:tblInd w:w="84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5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Automotive</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16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r>
      <w:tr>
        <w:trPr>
          <w:trHeight w:val="180"/>
        </w:trPr>
        <w:tc>
          <w:tcPr>
            <w:tcW w:w="5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Business Services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20.3%</w:t>
            </w:r>
          </w:p>
        </w:tc>
        <w:tc>
          <w:tcPr>
            <w:tcW w:w="16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18.7%</w:t>
            </w:r>
          </w:p>
        </w:tc>
      </w:tr>
      <w:tr>
        <w:trPr>
          <w:trHeight w:val="180"/>
        </w:trPr>
        <w:tc>
          <w:tcPr>
            <w:tcW w:w="5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Chemicals</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6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0.5%</w:t>
            </w:r>
          </w:p>
        </w:tc>
      </w:tr>
      <w:tr>
        <w:trPr>
          <w:trHeight w:val="180"/>
        </w:trPr>
        <w:tc>
          <w:tcPr>
            <w:tcW w:w="5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Communications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16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6.4%</w:t>
            </w:r>
          </w:p>
        </w:tc>
      </w:tr>
      <w:tr>
        <w:trPr>
          <w:trHeight w:val="180"/>
        </w:trPr>
        <w:tc>
          <w:tcPr>
            <w:tcW w:w="5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Education</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16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r>
      <w:tr>
        <w:trPr>
          <w:trHeight w:val="180"/>
        </w:trPr>
        <w:tc>
          <w:tcPr>
            <w:tcW w:w="5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Electronics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16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r>
      <w:tr>
        <w:trPr>
          <w:trHeight w:val="180"/>
        </w:trPr>
        <w:tc>
          <w:tcPr>
            <w:tcW w:w="5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Financial Services</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6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w:t>
            </w:r>
          </w:p>
        </w:tc>
      </w:tr>
      <w:tr>
        <w:trPr>
          <w:trHeight w:val="180"/>
        </w:trPr>
        <w:tc>
          <w:tcPr>
            <w:tcW w:w="5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Healthcare</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16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5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Hotel, Gaming and Leisure</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16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w:t>
            </w:r>
          </w:p>
        </w:tc>
      </w:tr>
      <w:tr>
        <w:trPr>
          <w:trHeight w:val="180"/>
        </w:trPr>
        <w:tc>
          <w:tcPr>
            <w:tcW w:w="5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Human Resource Support Services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16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r>
      <w:tr>
        <w:trPr>
          <w:trHeight w:val="180"/>
        </w:trPr>
        <w:tc>
          <w:tcPr>
            <w:tcW w:w="5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Insurance</w:t>
            </w:r>
          </w:p>
        </w:tc>
        <w:tc>
          <w:tcPr>
            <w:tcW w:w="18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r>
      <w:tr>
        <w:trPr>
          <w:trHeight w:val="180"/>
        </w:trPr>
        <w:tc>
          <w:tcPr>
            <w:tcW w:w="5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Internet Services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7.8%</w:t>
            </w:r>
          </w:p>
        </w:tc>
        <w:tc>
          <w:tcPr>
            <w:tcW w:w="16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7.2%</w:t>
            </w:r>
          </w:p>
        </w:tc>
      </w:tr>
      <w:tr>
        <w:trPr>
          <w:trHeight w:val="180"/>
        </w:trPr>
        <w:tc>
          <w:tcPr>
            <w:tcW w:w="5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Manufacturing</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16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w:t>
            </w:r>
          </w:p>
        </w:tc>
      </w:tr>
      <w:tr>
        <w:trPr>
          <w:trHeight w:val="180"/>
        </w:trPr>
        <w:tc>
          <w:tcPr>
            <w:tcW w:w="5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Oil, Gas and Consumable Fuels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6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r>
      <w:tr>
        <w:trPr>
          <w:trHeight w:val="180"/>
        </w:trPr>
        <w:tc>
          <w:tcPr>
            <w:tcW w:w="5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16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r>
      <w:tr>
        <w:trPr>
          <w:trHeight w:val="180"/>
        </w:trPr>
        <w:tc>
          <w:tcPr>
            <w:tcW w:w="5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Pharmaceuticals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16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8.7%</w:t>
            </w:r>
          </w:p>
        </w:tc>
      </w:tr>
      <w:tr>
        <w:trPr>
          <w:trHeight w:val="180"/>
        </w:trPr>
        <w:tc>
          <w:tcPr>
            <w:tcW w:w="5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Real Estate </w:t>
            </w:r>
            <w:r>
              <w:rPr>
                <w:rFonts w:ascii="Times New Roman" w:cs="Times New Roman" w:eastAsia="Times New Roman" w:hAnsi="Times New Roman"/>
                <w:sz w:val="20"/>
                <w:szCs w:val="20"/>
                <w:color w:val="auto"/>
                <w:vertAlign w:val="superscript"/>
              </w:rPr>
              <w:t>(1)</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6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w:t>
            </w:r>
          </w:p>
        </w:tc>
      </w:tr>
      <w:tr>
        <w:trPr>
          <w:trHeight w:val="180"/>
        </w:trPr>
        <w:tc>
          <w:tcPr>
            <w:tcW w:w="5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Retail and Consumer Products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16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9.5%</w:t>
            </w:r>
          </w:p>
        </w:tc>
      </w:tr>
      <w:tr>
        <w:trPr>
          <w:trHeight w:val="180"/>
        </w:trPr>
        <w:tc>
          <w:tcPr>
            <w:tcW w:w="5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Transportation</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6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180"/>
        </w:trPr>
        <w:tc>
          <w:tcPr>
            <w:tcW w:w="540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82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16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20"/>
        </w:trPr>
        <w:tc>
          <w:tcPr>
            <w:tcW w:w="54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(1)Value rounds to less than 0.1%</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geographic composition of investments at fair value at September 30, 2025 and December 31, 2024:</w:t>
      </w:r>
    </w:p>
    <w:p>
      <w:pPr>
        <w:spacing w:after="0" w:line="200" w:lineRule="exact"/>
        <w:rPr>
          <w:sz w:val="20"/>
          <w:szCs w:val="20"/>
          <w:color w:val="auto"/>
        </w:rPr>
      </w:pPr>
    </w:p>
    <w:tbl>
      <w:tblPr>
        <w:tblLayout w:type="fixed"/>
        <w:tblInd w:w="84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5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1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80"/>
        </w:trPr>
        <w:tc>
          <w:tcPr>
            <w:tcW w:w="53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Midwest</w:t>
            </w:r>
          </w:p>
        </w:tc>
        <w:tc>
          <w:tcPr>
            <w:tcW w:w="18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16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18.0%</w:t>
            </w:r>
          </w:p>
        </w:tc>
      </w:tr>
      <w:tr>
        <w:trPr>
          <w:trHeight w:val="180"/>
        </w:trPr>
        <w:tc>
          <w:tcPr>
            <w:tcW w:w="53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Northeast</w:t>
            </w:r>
          </w:p>
        </w:tc>
        <w:tc>
          <w:tcPr>
            <w:tcW w:w="18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10.7%</w:t>
            </w:r>
          </w:p>
        </w:tc>
        <w:tc>
          <w:tcPr>
            <w:tcW w:w="16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17.3%</w:t>
            </w:r>
          </w:p>
        </w:tc>
      </w:tr>
      <w:tr>
        <w:trPr>
          <w:trHeight w:val="180"/>
        </w:trPr>
        <w:tc>
          <w:tcPr>
            <w:tcW w:w="53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South</w:t>
            </w:r>
          </w:p>
        </w:tc>
        <w:tc>
          <w:tcPr>
            <w:tcW w:w="18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16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14.2%</w:t>
            </w:r>
          </w:p>
        </w:tc>
      </w:tr>
      <w:tr>
        <w:trPr>
          <w:trHeight w:val="180"/>
        </w:trPr>
        <w:tc>
          <w:tcPr>
            <w:tcW w:w="53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West</w:t>
            </w:r>
          </w:p>
        </w:tc>
        <w:tc>
          <w:tcPr>
            <w:tcW w:w="18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24.8%</w:t>
            </w:r>
          </w:p>
        </w:tc>
        <w:tc>
          <w:tcPr>
            <w:tcW w:w="16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26.8%</w:t>
            </w:r>
          </w:p>
        </w:tc>
      </w:tr>
      <w:tr>
        <w:trPr>
          <w:trHeight w:val="180"/>
        </w:trPr>
        <w:tc>
          <w:tcPr>
            <w:tcW w:w="53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Canada </w:t>
            </w:r>
            <w:r>
              <w:rPr>
                <w:rFonts w:ascii="Times New Roman" w:cs="Times New Roman" w:eastAsia="Times New Roman" w:hAnsi="Times New Roman"/>
                <w:sz w:val="20"/>
                <w:szCs w:val="20"/>
                <w:color w:val="auto"/>
                <w:vertAlign w:val="superscript"/>
              </w:rPr>
              <w:t>(1)</w:t>
            </w:r>
          </w:p>
        </w:tc>
        <w:tc>
          <w:tcPr>
            <w:tcW w:w="18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6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r>
      <w:tr>
        <w:trPr>
          <w:trHeight w:val="180"/>
        </w:trPr>
        <w:tc>
          <w:tcPr>
            <w:tcW w:w="5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Finland </w:t>
            </w:r>
            <w:r>
              <w:rPr>
                <w:rFonts w:ascii="Times New Roman" w:cs="Times New Roman" w:eastAsia="Times New Roman" w:hAnsi="Times New Roman"/>
                <w:sz w:val="20"/>
                <w:szCs w:val="20"/>
                <w:color w:val="auto"/>
                <w:vertAlign w:val="superscript"/>
              </w:rPr>
              <w:t>(1)</w:t>
            </w:r>
          </w:p>
        </w:tc>
        <w:tc>
          <w:tcPr>
            <w:tcW w:w="18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6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w:t>
            </w:r>
          </w:p>
        </w:tc>
      </w:tr>
      <w:tr>
        <w:trPr>
          <w:trHeight w:val="180"/>
        </w:trPr>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France</w:t>
            </w:r>
          </w:p>
        </w:tc>
        <w:tc>
          <w:tcPr>
            <w:tcW w:w="18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6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180"/>
        </w:trPr>
        <w:tc>
          <w:tcPr>
            <w:tcW w:w="5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18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6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0.6%</w:t>
            </w:r>
          </w:p>
        </w:tc>
      </w:tr>
      <w:tr>
        <w:trPr>
          <w:trHeight w:val="252"/>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Italy</w:t>
            </w:r>
          </w:p>
        </w:tc>
        <w:tc>
          <w:tcPr>
            <w:tcW w:w="1860" w:type="dxa"/>
            <w:vAlign w:val="bottom"/>
            <w:gridSpan w:val="2"/>
          </w:tcPr>
          <w:p>
            <w:pPr>
              <w:jc w:val="right"/>
              <w:ind w:right="120"/>
              <w:spacing w:after="0" w:line="252" w:lineRule="exact"/>
              <w:rPr>
                <w:sz w:val="20"/>
                <w:szCs w:val="20"/>
                <w:color w:val="auto"/>
              </w:rPr>
            </w:pPr>
            <w:r>
              <w:rPr>
                <w:rFonts w:ascii="Times New Roman" w:cs="Times New Roman" w:eastAsia="Times New Roman" w:hAnsi="Times New Roman"/>
                <w:sz w:val="15"/>
                <w:szCs w:val="15"/>
                <w:color w:val="auto"/>
              </w:rPr>
              <w:t>2.3</w:t>
            </w:r>
            <w:r>
              <w:rPr>
                <w:rFonts w:ascii="Times New Roman" w:cs="Times New Roman" w:eastAsia="Times New Roman" w:hAnsi="Times New Roman"/>
                <w:sz w:val="29"/>
                <w:szCs w:val="29"/>
                <w:color w:val="auto"/>
                <w:vertAlign w:val="subscript"/>
              </w:rPr>
              <w:t>%</w:t>
            </w:r>
          </w:p>
        </w:tc>
        <w:tc>
          <w:tcPr>
            <w:tcW w:w="1680" w:type="dxa"/>
            <w:vAlign w:val="bottom"/>
            <w:gridSpan w:val="2"/>
          </w:tcPr>
          <w:p>
            <w:pPr>
              <w:jc w:val="right"/>
              <w:spacing w:after="0" w:line="252" w:lineRule="exact"/>
              <w:rPr>
                <w:sz w:val="20"/>
                <w:szCs w:val="20"/>
                <w:color w:val="auto"/>
              </w:rPr>
            </w:pPr>
            <w:r>
              <w:rPr>
                <w:rFonts w:ascii="Times New Roman" w:cs="Times New Roman" w:eastAsia="Times New Roman" w:hAnsi="Times New Roman"/>
                <w:sz w:val="15"/>
                <w:szCs w:val="15"/>
                <w:color w:val="auto"/>
              </w:rPr>
              <w:t>2.4</w:t>
            </w:r>
            <w:r>
              <w:rPr>
                <w:rFonts w:ascii="Times New Roman" w:cs="Times New Roman" w:eastAsia="Times New Roman" w:hAnsi="Times New Roman"/>
                <w:sz w:val="29"/>
                <w:szCs w:val="29"/>
                <w:color w:val="auto"/>
                <w:vertAlign w:val="subscript"/>
              </w:rPr>
              <w:t>%</w:t>
            </w:r>
          </w:p>
        </w:tc>
      </w:tr>
      <w:tr>
        <w:trPr>
          <w:trHeight w:val="180"/>
        </w:trPr>
        <w:tc>
          <w:tcPr>
            <w:tcW w:w="5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Netherlands</w:t>
            </w:r>
          </w:p>
        </w:tc>
        <w:tc>
          <w:tcPr>
            <w:tcW w:w="18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16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r>
      <w:tr>
        <w:trPr>
          <w:trHeight w:val="180"/>
        </w:trPr>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Norway</w:t>
            </w:r>
          </w:p>
        </w:tc>
        <w:tc>
          <w:tcPr>
            <w:tcW w:w="18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16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r>
      <w:tr>
        <w:trPr>
          <w:trHeight w:val="180"/>
        </w:trPr>
        <w:tc>
          <w:tcPr>
            <w:tcW w:w="5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Sweden</w:t>
            </w:r>
          </w:p>
        </w:tc>
        <w:tc>
          <w:tcPr>
            <w:tcW w:w="18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6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80"/>
        </w:trPr>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18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12.6%</w:t>
            </w:r>
          </w:p>
        </w:tc>
        <w:tc>
          <w:tcPr>
            <w:tcW w:w="16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10.8%</w:t>
            </w:r>
          </w:p>
        </w:tc>
      </w:tr>
      <w:tr>
        <w:trPr>
          <w:trHeight w:val="200"/>
        </w:trPr>
        <w:tc>
          <w:tcPr>
            <w:tcW w:w="5340" w:type="dxa"/>
            <w:vAlign w:val="bottom"/>
            <w:shd w:val="clear" w:color="auto" w:fill="CFF0FC"/>
          </w:tcPr>
          <w:p>
            <w:pPr>
              <w:ind w:left="10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86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1680" w:type="dxa"/>
            <w:vAlign w:val="bottom"/>
            <w:gridSpan w:val="2"/>
            <w:shd w:val="clear" w:color="auto" w:fill="CFF0FC"/>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(1)Value rounds to less than 0.1%</w:t>
      </w:r>
    </w:p>
    <w:p>
      <w:pPr>
        <w:spacing w:after="0" w:line="1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30" w:name="page31"/>
    <w:bookmarkEnd w:id="30"/>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Derivatives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 may enter into foreign currency forward contracts from time to time to help mitigate its foreign currency risk exposures.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 Forward Contracts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table presents the information related to the Company's foreign currency forward derivative instruments as of September 30,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gridSpan w:val="4"/>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As of September 30, 2025</w:t>
            </w:r>
          </w:p>
        </w:tc>
        <w:tc>
          <w:tcPr>
            <w:tcW w:w="2860" w:type="dxa"/>
            <w:vAlign w:val="bottom"/>
          </w:tcPr>
          <w:p>
            <w:pPr>
              <w:spacing w:after="0"/>
              <w:rPr>
                <w:sz w:val="14"/>
                <w:szCs w:val="14"/>
                <w:color w:val="auto"/>
              </w:rPr>
            </w:pPr>
          </w:p>
        </w:tc>
      </w:tr>
      <w:tr>
        <w:trPr>
          <w:trHeight w:val="156"/>
        </w:trPr>
        <w:tc>
          <w:tcPr>
            <w:tcW w:w="2400" w:type="dxa"/>
            <w:vAlign w:val="bottom"/>
          </w:tcPr>
          <w:p>
            <w:pPr>
              <w:spacing w:after="0"/>
              <w:rPr>
                <w:sz w:val="13"/>
                <w:szCs w:val="13"/>
                <w:color w:val="auto"/>
              </w:rPr>
            </w:pPr>
          </w:p>
        </w:tc>
        <w:tc>
          <w:tcPr>
            <w:tcW w:w="2040" w:type="dxa"/>
            <w:vAlign w:val="bottom"/>
            <w:gridSpan w:val="2"/>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Notional amount to be</w:t>
            </w:r>
          </w:p>
        </w:tc>
        <w:tc>
          <w:tcPr>
            <w:tcW w:w="160" w:type="dxa"/>
            <w:vAlign w:val="bottom"/>
          </w:tcPr>
          <w:p>
            <w:pPr>
              <w:spacing w:after="0"/>
              <w:rPr>
                <w:sz w:val="13"/>
                <w:szCs w:val="13"/>
                <w:color w:val="auto"/>
              </w:rPr>
            </w:pPr>
          </w:p>
        </w:tc>
        <w:tc>
          <w:tcPr>
            <w:tcW w:w="138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Gross Amount 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Gross Amount of</w:t>
            </w:r>
          </w:p>
        </w:tc>
        <w:tc>
          <w:tcPr>
            <w:tcW w:w="2860" w:type="dxa"/>
            <w:vAlign w:val="bottom"/>
          </w:tcPr>
          <w:p>
            <w:pPr>
              <w:jc w:val="center"/>
              <w:ind w:left="130"/>
              <w:spacing w:after="0"/>
              <w:rPr>
                <w:sz w:val="20"/>
                <w:szCs w:val="20"/>
                <w:color w:val="auto"/>
              </w:rPr>
            </w:pPr>
            <w:r>
              <w:rPr>
                <w:rFonts w:ascii="Times New Roman" w:cs="Times New Roman" w:eastAsia="Times New Roman" w:hAnsi="Times New Roman"/>
                <w:sz w:val="13"/>
                <w:szCs w:val="13"/>
                <w:b w:val="1"/>
                <w:bCs w:val="1"/>
                <w:color w:val="auto"/>
              </w:rPr>
              <w:t>Balance Sheet</w:t>
            </w:r>
          </w:p>
        </w:tc>
      </w:tr>
      <w:tr>
        <w:trPr>
          <w:trHeight w:val="170"/>
        </w:trPr>
        <w:tc>
          <w:tcPr>
            <w:tcW w:w="2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Derivative Instrument</w:t>
            </w:r>
          </w:p>
        </w:tc>
        <w:tc>
          <w:tcPr>
            <w:tcW w:w="840" w:type="dxa"/>
            <w:vAlign w:val="bottom"/>
          </w:tcPr>
          <w:p>
            <w:pPr>
              <w:spacing w:after="0"/>
              <w:rPr>
                <w:sz w:val="14"/>
                <w:szCs w:val="14"/>
                <w:color w:val="auto"/>
              </w:rPr>
            </w:pPr>
          </w:p>
        </w:tc>
        <w:tc>
          <w:tcPr>
            <w:tcW w:w="1200" w:type="dxa"/>
            <w:vAlign w:val="bottom"/>
          </w:tcPr>
          <w:p>
            <w:pPr>
              <w:jc w:val="right"/>
              <w:ind w:right="809"/>
              <w:spacing w:after="0"/>
              <w:rPr>
                <w:sz w:val="20"/>
                <w:szCs w:val="20"/>
                <w:color w:val="auto"/>
              </w:rPr>
            </w:pPr>
            <w:r>
              <w:rPr>
                <w:rFonts w:ascii="Times New Roman" w:cs="Times New Roman" w:eastAsia="Times New Roman" w:hAnsi="Times New Roman"/>
                <w:sz w:val="13"/>
                <w:szCs w:val="13"/>
                <w:b w:val="1"/>
                <w:bCs w:val="1"/>
                <w:color w:val="auto"/>
              </w:rPr>
              <w:t>sold</w:t>
            </w:r>
          </w:p>
        </w:tc>
        <w:tc>
          <w:tcPr>
            <w:tcW w:w="160" w:type="dxa"/>
            <w:vAlign w:val="bottom"/>
          </w:tcPr>
          <w:p>
            <w:pPr>
              <w:spacing w:after="0"/>
              <w:rPr>
                <w:sz w:val="14"/>
                <w:szCs w:val="14"/>
                <w:color w:val="auto"/>
              </w:rPr>
            </w:pPr>
          </w:p>
        </w:tc>
        <w:tc>
          <w:tcPr>
            <w:tcW w:w="1380" w:type="dxa"/>
            <w:vAlign w:val="bottom"/>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Recognized Assets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Recognized Liabilities</w:t>
            </w:r>
          </w:p>
        </w:tc>
        <w:tc>
          <w:tcPr>
            <w:tcW w:w="2860" w:type="dxa"/>
            <w:vAlign w:val="bottom"/>
          </w:tcPr>
          <w:p>
            <w:pPr>
              <w:jc w:val="center"/>
              <w:ind w:left="170"/>
              <w:spacing w:after="0"/>
              <w:rPr>
                <w:sz w:val="20"/>
                <w:szCs w:val="20"/>
                <w:color w:val="auto"/>
              </w:rPr>
            </w:pPr>
            <w:r>
              <w:rPr>
                <w:rFonts w:ascii="Times New Roman" w:cs="Times New Roman" w:eastAsia="Times New Roman" w:hAnsi="Times New Roman"/>
                <w:sz w:val="13"/>
                <w:szCs w:val="13"/>
                <w:b w:val="1"/>
                <w:bCs w:val="1"/>
                <w:color w:val="auto"/>
              </w:rPr>
              <w:t>Location of Net Amounts</w:t>
            </w:r>
          </w:p>
        </w:tc>
      </w:tr>
      <w:tr>
        <w:trPr>
          <w:trHeight w:val="168"/>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Foreign currency forward contract</w:t>
            </w:r>
          </w:p>
        </w:tc>
        <w:tc>
          <w:tcPr>
            <w:tcW w:w="84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CAD</w:t>
            </w:r>
          </w:p>
        </w:tc>
        <w:tc>
          <w:tcPr>
            <w:tcW w:w="1200" w:type="dxa"/>
            <w:vAlign w:val="bottom"/>
            <w:shd w:val="clear" w:color="auto" w:fill="CFF0FC"/>
          </w:tcPr>
          <w:p>
            <w:pPr>
              <w:jc w:val="right"/>
              <w:ind w:right="169"/>
              <w:spacing w:after="0"/>
              <w:rPr>
                <w:sz w:val="20"/>
                <w:szCs w:val="20"/>
                <w:color w:val="auto"/>
              </w:rPr>
            </w:pPr>
            <w:r>
              <w:rPr>
                <w:rFonts w:ascii="Times New Roman" w:cs="Times New Roman" w:eastAsia="Times New Roman" w:hAnsi="Times New Roman"/>
                <w:sz w:val="14"/>
                <w:szCs w:val="14"/>
                <w:color w:val="auto"/>
              </w:rPr>
              <w:t>142,733</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103,696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102,582</w:t>
            </w:r>
          </w:p>
        </w:tc>
        <w:tc>
          <w:tcPr>
            <w:tcW w:w="28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4"/>
                <w:szCs w:val="14"/>
                <w:color w:val="auto"/>
              </w:rPr>
              <w:t>Prepaid expenses and other assets</w:t>
            </w:r>
          </w:p>
        </w:tc>
      </w:tr>
      <w:tr>
        <w:trPr>
          <w:trHeight w:val="16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forward contract</w:t>
            </w: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GBP</w:t>
            </w:r>
          </w:p>
        </w:tc>
        <w:tc>
          <w:tcPr>
            <w:tcW w:w="12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73,454</w:t>
            </w:r>
          </w:p>
        </w:tc>
        <w:tc>
          <w:tcPr>
            <w:tcW w:w="1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99,542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98,887</w:t>
            </w:r>
          </w:p>
        </w:tc>
        <w:tc>
          <w:tcPr>
            <w:tcW w:w="286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Prepaid expenses and other assets</w:t>
            </w:r>
          </w:p>
        </w:tc>
      </w:tr>
      <w:tr>
        <w:trPr>
          <w:trHeight w:val="168"/>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Foreign currency forward contract</w:t>
            </w:r>
          </w:p>
        </w:tc>
        <w:tc>
          <w:tcPr>
            <w:tcW w:w="84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NOK</w:t>
            </w:r>
          </w:p>
        </w:tc>
        <w:tc>
          <w:tcPr>
            <w:tcW w:w="1200" w:type="dxa"/>
            <w:vAlign w:val="bottom"/>
            <w:shd w:val="clear" w:color="auto" w:fill="CFF0FC"/>
          </w:tcPr>
          <w:p>
            <w:pPr>
              <w:jc w:val="right"/>
              <w:ind w:right="169"/>
              <w:spacing w:after="0"/>
              <w:rPr>
                <w:sz w:val="20"/>
                <w:szCs w:val="20"/>
                <w:color w:val="auto"/>
              </w:rPr>
            </w:pPr>
            <w:r>
              <w:rPr>
                <w:rFonts w:ascii="Times New Roman" w:cs="Times New Roman" w:eastAsia="Times New Roman" w:hAnsi="Times New Roman"/>
                <w:sz w:val="14"/>
                <w:szCs w:val="14"/>
                <w:color w:val="auto"/>
              </w:rPr>
              <w:t>7,427</w:t>
            </w: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28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4"/>
                <w:szCs w:val="14"/>
                <w:color w:val="auto"/>
              </w:rPr>
              <w:t>Prepaid expenses and other assets</w:t>
            </w:r>
          </w:p>
        </w:tc>
      </w:tr>
      <w:tr>
        <w:trPr>
          <w:trHeight w:val="168"/>
        </w:trPr>
        <w:tc>
          <w:tcPr>
            <w:tcW w:w="2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203,965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202,213</w:t>
            </w:r>
          </w:p>
        </w:tc>
        <w:tc>
          <w:tcPr>
            <w:tcW w:w="2860" w:type="dxa"/>
            <w:vAlign w:val="bottom"/>
          </w:tcPr>
          <w:p>
            <w:pPr>
              <w:spacing w:after="0"/>
              <w:rPr>
                <w:sz w:val="14"/>
                <w:szCs w:val="14"/>
                <w:color w:val="auto"/>
              </w:rPr>
            </w:pPr>
          </w:p>
        </w:tc>
      </w:tr>
      <w:tr>
        <w:trPr>
          <w:trHeight w:val="20"/>
        </w:trPr>
        <w:tc>
          <w:tcPr>
            <w:tcW w:w="2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bl>
    <w:p>
      <w:pPr>
        <w:spacing w:after="0" w:line="83"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Net realized and unrealized gains and losses on derivative instruments not designated as a qualifying hedge accounting relationship recognized by the Company for the three and nine months ended September 30, 2025 and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76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60" w:type="dxa"/>
            <w:vAlign w:val="bottom"/>
            <w:gridSpan w:val="3"/>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80" w:type="dxa"/>
            <w:vAlign w:val="bottom"/>
          </w:tcPr>
          <w:p>
            <w:pPr>
              <w:spacing w:after="0"/>
              <w:rPr>
                <w:sz w:val="13"/>
                <w:szCs w:val="13"/>
                <w:color w:val="auto"/>
              </w:rPr>
            </w:pPr>
          </w:p>
        </w:tc>
        <w:tc>
          <w:tcPr>
            <w:tcW w:w="1760" w:type="dxa"/>
            <w:vAlign w:val="bottom"/>
            <w:gridSpan w:val="3"/>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56"/>
        </w:trPr>
        <w:tc>
          <w:tcPr>
            <w:tcW w:w="176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80" w:type="dxa"/>
            <w:vAlign w:val="bottom"/>
          </w:tcPr>
          <w:p>
            <w:pPr>
              <w:spacing w:after="0"/>
              <w:rPr>
                <w:sz w:val="13"/>
                <w:szCs w:val="13"/>
                <w:color w:val="auto"/>
              </w:rPr>
            </w:pPr>
          </w:p>
        </w:tc>
      </w:tr>
      <w:tr>
        <w:trPr>
          <w:trHeight w:val="170"/>
        </w:trPr>
        <w:tc>
          <w:tcPr>
            <w:tcW w:w="1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Derivative Instrument</w:t>
            </w:r>
          </w:p>
        </w:tc>
        <w:tc>
          <w:tcPr>
            <w:tcW w:w="4420" w:type="dxa"/>
            <w:vAlign w:val="bottom"/>
          </w:tcPr>
          <w:p>
            <w:pPr>
              <w:ind w:left="1980"/>
              <w:spacing w:after="0"/>
              <w:rPr>
                <w:sz w:val="20"/>
                <w:szCs w:val="20"/>
                <w:color w:val="auto"/>
              </w:rPr>
            </w:pPr>
            <w:r>
              <w:rPr>
                <w:rFonts w:ascii="Times New Roman" w:cs="Times New Roman" w:eastAsia="Times New Roman" w:hAnsi="Times New Roman"/>
                <w:sz w:val="13"/>
                <w:szCs w:val="13"/>
                <w:b w:val="1"/>
                <w:bCs w:val="1"/>
                <w:color w:val="auto"/>
              </w:rPr>
              <w:t>Statement Location</w:t>
            </w:r>
          </w:p>
        </w:tc>
        <w:tc>
          <w:tcPr>
            <w:tcW w:w="580" w:type="dxa"/>
            <w:vAlign w:val="bottom"/>
          </w:tcPr>
          <w:p>
            <w:pPr>
              <w:spacing w:after="0"/>
              <w:rPr>
                <w:sz w:val="14"/>
                <w:szCs w:val="14"/>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Pr>
          <w:p>
            <w:pPr>
              <w:spacing w:after="0"/>
              <w:rPr>
                <w:sz w:val="14"/>
                <w:szCs w:val="14"/>
                <w:color w:val="auto"/>
              </w:rPr>
            </w:pP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tcPr>
          <w:p>
            <w:pPr>
              <w:spacing w:after="0"/>
              <w:rPr>
                <w:sz w:val="14"/>
                <w:szCs w:val="14"/>
                <w:color w:val="auto"/>
              </w:rPr>
            </w:pP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Pr>
          <w:p>
            <w:pPr>
              <w:spacing w:after="0"/>
              <w:rPr>
                <w:sz w:val="14"/>
                <w:szCs w:val="14"/>
                <w:color w:val="auto"/>
              </w:rPr>
            </w:pPr>
          </w:p>
        </w:tc>
        <w:tc>
          <w:tcPr>
            <w:tcW w:w="580" w:type="dxa"/>
            <w:vAlign w:val="bottom"/>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w w:val="92"/>
              </w:rPr>
              <w:t>2024</w:t>
            </w:r>
          </w:p>
        </w:tc>
      </w:tr>
      <w:tr>
        <w:trPr>
          <w:trHeight w:val="156"/>
        </w:trPr>
        <w:tc>
          <w:tcPr>
            <w:tcW w:w="1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Foreign currency forward</w:t>
            </w:r>
          </w:p>
        </w:tc>
        <w:tc>
          <w:tcPr>
            <w:tcW w:w="44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80"/>
        </w:trPr>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contract</w:t>
            </w:r>
          </w:p>
        </w:tc>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Unrealized gains (losses) on foreign currency forward contracts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7,394</w:t>
            </w:r>
          </w:p>
        </w:tc>
        <w:tc>
          <w:tcPr>
            <w:tcW w:w="3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4"/>
                <w:szCs w:val="14"/>
                <w:color w:val="auto"/>
              </w:rPr>
              <w:t>1,734</w:t>
            </w:r>
          </w:p>
        </w:tc>
        <w:tc>
          <w:tcPr>
            <w:tcW w:w="3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56"/>
        </w:trPr>
        <w:tc>
          <w:tcPr>
            <w:tcW w:w="17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Foreign currency forward</w:t>
            </w:r>
          </w:p>
        </w:tc>
        <w:tc>
          <w:tcPr>
            <w:tcW w:w="4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88"/>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contract</w:t>
            </w:r>
          </w:p>
        </w:tc>
        <w:tc>
          <w:tcPr>
            <w:tcW w:w="4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Realized gains (losses) on foreign currency forward contracts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(4,038)</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(14,260)</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w:t>
            </w: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Rate Swaps</w:t>
      </w:r>
    </w:p>
    <w:p>
      <w:pPr>
        <w:spacing w:after="0" w:line="9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Company may enter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spacing w:after="0" w:line="16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Cash flows related to the Company's derivatives are included within operating activities on the Consolidated Statements of Cash Flows. The following table presents the amounts paid and received on the Company’s interest rate swap transactions, excluding upfront fees, for the three and nine months ended September 30, 2025 and 2024, respectively:</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20" w:type="dxa"/>
            <w:vAlign w:val="bottom"/>
            <w:gridSpan w:val="11"/>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8"/>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2025</w:t>
            </w: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32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0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Paid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Net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Paid</w:t>
            </w:r>
          </w:p>
        </w:tc>
        <w:tc>
          <w:tcPr>
            <w:tcW w:w="18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220" w:type="dxa"/>
            <w:vAlign w:val="bottom"/>
          </w:tcPr>
          <w:p>
            <w:pPr>
              <w:spacing w:after="0"/>
              <w:rPr>
                <w:sz w:val="14"/>
                <w:szCs w:val="14"/>
                <w:color w:val="auto"/>
              </w:rPr>
            </w:pPr>
          </w:p>
        </w:tc>
        <w:tc>
          <w:tcPr>
            <w:tcW w:w="6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68"/>
        </w:trPr>
        <w:tc>
          <w:tcPr>
            <w:tcW w:w="1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132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3/11/2029</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2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(10,544)</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(31,245)</w:t>
            </w:r>
          </w:p>
        </w:tc>
        <w:tc>
          <w:tcPr>
            <w:tcW w:w="120" w:type="dxa"/>
            <w:vAlign w:val="bottom"/>
            <w:tcBorders>
              <w:right w:val="single" w:sz="8" w:color="CFF0FC"/>
            </w:tcBorders>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29,250</w:t>
            </w:r>
          </w:p>
        </w:tc>
        <w:tc>
          <w:tcPr>
            <w:tcW w:w="14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jc w:val="right"/>
              <w:ind w:right="9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(1,995)</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13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3/11/2029</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68"/>
        </w:trPr>
        <w:tc>
          <w:tcPr>
            <w:tcW w:w="1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132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1/15/2030</w:t>
            </w: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2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(10,597)</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(1,972)</w:t>
            </w:r>
          </w:p>
        </w:tc>
        <w:tc>
          <w:tcPr>
            <w:tcW w:w="1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(31,402)</w:t>
            </w:r>
          </w:p>
        </w:tc>
        <w:tc>
          <w:tcPr>
            <w:tcW w:w="120" w:type="dxa"/>
            <w:vAlign w:val="bottom"/>
            <w:tcBorders>
              <w:right w:val="single" w:sz="8" w:color="CFF0FC"/>
            </w:tcBorders>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25,875</w:t>
            </w:r>
          </w:p>
        </w:tc>
        <w:tc>
          <w:tcPr>
            <w:tcW w:w="14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(5,527)</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13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7/15/2030</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(12,212)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(33,781)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(1,625)</w:t>
            </w:r>
          </w:p>
        </w:tc>
        <w:tc>
          <w:tcPr>
            <w:tcW w:w="0" w:type="dxa"/>
            <w:vAlign w:val="bottom"/>
          </w:tcPr>
          <w:p>
            <w:pPr>
              <w:spacing w:after="0"/>
              <w:rPr>
                <w:sz w:val="1"/>
                <w:szCs w:val="1"/>
                <w:color w:val="auto"/>
              </w:rPr>
            </w:pPr>
          </w:p>
        </w:tc>
      </w:tr>
      <w:tr>
        <w:trPr>
          <w:trHeight w:val="188"/>
        </w:trPr>
        <w:tc>
          <w:tcPr>
            <w:tcW w:w="1320" w:type="dxa"/>
            <w:vAlign w:val="bottom"/>
            <w:shd w:val="clear" w:color="auto" w:fill="CFF0FC"/>
          </w:tcPr>
          <w:p>
            <w:pPr>
              <w:ind w:left="40"/>
              <w:spacing w:after="0" w:line="148" w:lineRule="exact"/>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2,100,000</w:t>
            </w:r>
          </w:p>
        </w:tc>
        <w:tc>
          <w:tcPr>
            <w:tcW w:w="2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shd w:val="clear" w:color="auto" w:fill="CFF0FC"/>
          </w:tcPr>
          <w:p>
            <w:pPr>
              <w:jc w:val="right"/>
              <w:ind w:right="80"/>
              <w:spacing w:after="0" w:line="148" w:lineRule="exact"/>
              <w:rPr>
                <w:sz w:val="20"/>
                <w:szCs w:val="20"/>
                <w:color w:val="auto"/>
              </w:rPr>
            </w:pPr>
            <w:r>
              <w:rPr>
                <w:rFonts w:ascii="Times New Roman" w:cs="Times New Roman" w:eastAsia="Times New Roman" w:hAnsi="Times New Roman"/>
                <w:sz w:val="11"/>
                <w:szCs w:val="11"/>
                <w:color w:val="auto"/>
              </w:rPr>
              <w:t>(35,879</w:t>
            </w:r>
            <w:r>
              <w:rPr>
                <w:rFonts w:ascii="Times New Roman" w:cs="Times New Roman" w:eastAsia="Times New Roman" w:hAnsi="Times New Roman"/>
                <w:sz w:val="17"/>
                <w:szCs w:val="17"/>
                <w:color w:val="auto"/>
                <w:vertAlign w:val="subscript"/>
              </w:rPr>
              <w:t>)</w:t>
            </w:r>
          </w:p>
        </w:tc>
        <w:tc>
          <w:tcPr>
            <w:tcW w:w="220" w:type="dxa"/>
            <w:vAlign w:val="bottom"/>
            <w:gridSpan w:val="2"/>
            <w:shd w:val="clear" w:color="auto" w:fill="CFF0FC"/>
          </w:tcPr>
          <w:p>
            <w:pPr>
              <w:jc w:val="right"/>
              <w:ind w:right="8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FF0FC"/>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32,297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(3,582</w:t>
            </w:r>
            <w:r>
              <w:rPr>
                <w:rFonts w:ascii="Times New Roman" w:cs="Times New Roman" w:eastAsia="Times New Roman" w:hAnsi="Times New Roman"/>
                <w:sz w:val="17"/>
                <w:szCs w:val="17"/>
                <w:color w:val="auto"/>
                <w:vertAlign w:val="subscript"/>
              </w:rPr>
              <w:t>)</w:t>
            </w:r>
          </w:p>
        </w:tc>
        <w:tc>
          <w:tcPr>
            <w:tcW w:w="10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FF0FC"/>
          </w:tcPr>
          <w:p>
            <w:pPr>
              <w:spacing w:after="0"/>
              <w:rPr>
                <w:sz w:val="16"/>
                <w:szCs w:val="16"/>
                <w:color w:val="auto"/>
              </w:rPr>
            </w:pPr>
          </w:p>
        </w:tc>
        <w:tc>
          <w:tcPr>
            <w:tcW w:w="880" w:type="dxa"/>
            <w:vAlign w:val="bottom"/>
            <w:tcBorders>
              <w:right w:val="single" w:sz="8" w:color="CFF0FC"/>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1"/>
                <w:szCs w:val="11"/>
                <w:color w:val="auto"/>
              </w:rPr>
              <w:t>(103,913</w:t>
            </w:r>
            <w:r>
              <w:rPr>
                <w:rFonts w:ascii="Times New Roman" w:cs="Times New Roman" w:eastAsia="Times New Roman" w:hAnsi="Times New Roman"/>
                <w:sz w:val="17"/>
                <w:szCs w:val="17"/>
                <w:color w:val="auto"/>
                <w:vertAlign w:val="subscript"/>
              </w:rPr>
              <w:t>)</w:t>
            </w:r>
          </w:p>
        </w:tc>
        <w:tc>
          <w:tcPr>
            <w:tcW w:w="120" w:type="dxa"/>
            <w:vAlign w:val="bottom"/>
            <w:tcBorders>
              <w:right w:val="single" w:sz="8" w:color="CFF0FC"/>
            </w:tcBorders>
            <w:shd w:val="clear" w:color="auto" w:fill="CFF0FC"/>
          </w:tcPr>
          <w:p>
            <w:pPr>
              <w:spacing w:after="0"/>
              <w:rPr>
                <w:sz w:val="16"/>
                <w:szCs w:val="16"/>
                <w:color w:val="auto"/>
              </w:rPr>
            </w:pPr>
          </w:p>
        </w:tc>
        <w:tc>
          <w:tcPr>
            <w:tcW w:w="180" w:type="dxa"/>
            <w:vAlign w:val="bottom"/>
            <w:tcBorders>
              <w:left w:val="single" w:sz="8" w:color="CFF0FC"/>
            </w:tcBorders>
            <w:shd w:val="clear" w:color="auto" w:fill="CFF0FC"/>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right w:val="single" w:sz="8" w:color="CFF0FC"/>
            </w:tcBorders>
            <w:shd w:val="clear" w:color="auto" w:fill="CFF0FC"/>
          </w:tcPr>
          <w:p>
            <w:pPr>
              <w:jc w:val="right"/>
              <w:spacing w:after="0" w:line="148" w:lineRule="exact"/>
              <w:rPr>
                <w:sz w:val="20"/>
                <w:szCs w:val="20"/>
                <w:color w:val="auto"/>
              </w:rPr>
            </w:pPr>
            <w:r>
              <w:rPr>
                <w:rFonts w:ascii="Times New Roman" w:cs="Times New Roman" w:eastAsia="Times New Roman" w:hAnsi="Times New Roman"/>
                <w:sz w:val="14"/>
                <w:szCs w:val="14"/>
                <w:color w:val="auto"/>
              </w:rPr>
              <w:t>94,594</w:t>
            </w:r>
          </w:p>
        </w:tc>
        <w:tc>
          <w:tcPr>
            <w:tcW w:w="140" w:type="dxa"/>
            <w:vAlign w:val="bottom"/>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jc w:val="right"/>
              <w:ind w:right="9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60"/>
              <w:spacing w:after="0" w:line="148" w:lineRule="exact"/>
              <w:rPr>
                <w:sz w:val="20"/>
                <w:szCs w:val="20"/>
                <w:color w:val="auto"/>
              </w:rPr>
            </w:pPr>
            <w:r>
              <w:rPr>
                <w:rFonts w:ascii="Times New Roman" w:cs="Times New Roman" w:eastAsia="Times New Roman" w:hAnsi="Times New Roman"/>
                <w:sz w:val="11"/>
                <w:szCs w:val="11"/>
                <w:color w:val="auto"/>
              </w:rPr>
              <w:t>(9,319</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13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gridSpan w:val="11"/>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8"/>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2024</w:t>
            </w:r>
          </w:p>
        </w:tc>
        <w:tc>
          <w:tcPr>
            <w:tcW w:w="0" w:type="dxa"/>
            <w:vAlign w:val="bottom"/>
          </w:tcPr>
          <w:p>
            <w:pPr>
              <w:spacing w:after="0"/>
              <w:rPr>
                <w:sz w:val="1"/>
                <w:szCs w:val="1"/>
                <w:color w:val="auto"/>
              </w:rPr>
            </w:pPr>
          </w:p>
        </w:tc>
      </w:tr>
      <w:tr>
        <w:trPr>
          <w:trHeight w:val="170"/>
        </w:trPr>
        <w:tc>
          <w:tcPr>
            <w:tcW w:w="1320" w:type="dxa"/>
            <w:vAlign w:val="bottom"/>
          </w:tcPr>
          <w:p>
            <w:pPr>
              <w:spacing w:after="0"/>
              <w:rPr>
                <w:sz w:val="14"/>
                <w:szCs w:val="14"/>
                <w:color w:val="auto"/>
              </w:rPr>
            </w:pPr>
          </w:p>
        </w:tc>
        <w:tc>
          <w:tcPr>
            <w:tcW w:w="132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0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Paid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Net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Paid</w:t>
            </w:r>
          </w:p>
        </w:tc>
        <w:tc>
          <w:tcPr>
            <w:tcW w:w="1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22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68"/>
        </w:trPr>
        <w:tc>
          <w:tcPr>
            <w:tcW w:w="1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13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3/11/2029</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2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(12,038)</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1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(2,288)</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(25,925)</w:t>
            </w:r>
          </w:p>
        </w:tc>
        <w:tc>
          <w:tcPr>
            <w:tcW w:w="1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21,017</w:t>
            </w:r>
          </w:p>
        </w:tc>
        <w:tc>
          <w:tcPr>
            <w:tcW w:w="14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(4,908)</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1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3/11/2029</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(3,151)</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188"/>
        </w:trPr>
        <w:tc>
          <w:tcPr>
            <w:tcW w:w="13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swap</w:t>
            </w:r>
          </w:p>
        </w:tc>
        <w:tc>
          <w:tcPr>
            <w:tcW w:w="13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1/15/2030</w:t>
            </w:r>
          </w:p>
        </w:tc>
        <w:tc>
          <w:tcPr>
            <w:tcW w:w="100" w:type="dxa"/>
            <w:vAlign w:val="bottom"/>
            <w:shd w:val="clear" w:color="auto" w:fill="CFF0FC"/>
          </w:tcPr>
          <w:p>
            <w:pPr>
              <w:spacing w:after="0"/>
              <w:rPr>
                <w:sz w:val="16"/>
                <w:szCs w:val="16"/>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2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(1,133)</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tcBorders>
              <w:right w:val="single" w:sz="8" w:color="CFF0FC"/>
            </w:tcBorders>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tcBorders>
              <w:right w:val="single" w:sz="8" w:color="CFF0FC"/>
            </w:tcBorders>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(1,133)</w:t>
            </w:r>
          </w:p>
        </w:tc>
        <w:tc>
          <w:tcPr>
            <w:tcW w:w="180" w:type="dxa"/>
            <w:vAlign w:val="bottom"/>
            <w:tcBorders>
              <w:left w:val="single" w:sz="8" w:color="CFF0FC"/>
            </w:tcBorders>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40" w:type="dxa"/>
            <w:vAlign w:val="bottom"/>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spacing w:after="0"/>
              <w:rPr>
                <w:sz w:val="16"/>
                <w:szCs w:val="16"/>
                <w:color w:val="auto"/>
              </w:rPr>
            </w:pPr>
          </w:p>
        </w:tc>
        <w:tc>
          <w:tcPr>
            <w:tcW w:w="6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76"/>
        </w:trPr>
        <w:tc>
          <w:tcPr>
            <w:tcW w:w="1320" w:type="dxa"/>
            <w:vAlign w:val="bottom"/>
            <w:vMerge w:val="continue"/>
            <w:shd w:val="clear" w:color="auto" w:fill="CFF0FC"/>
          </w:tcPr>
          <w:p>
            <w:pPr>
              <w:spacing w:after="0"/>
              <w:rPr>
                <w:sz w:val="6"/>
                <w:szCs w:val="6"/>
                <w:color w:val="auto"/>
              </w:rPr>
            </w:pPr>
          </w:p>
        </w:tc>
        <w:tc>
          <w:tcPr>
            <w:tcW w:w="132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160" w:type="dxa"/>
            <w:vAlign w:val="bottom"/>
            <w:vMerge w:val="continue"/>
            <w:shd w:val="clear" w:color="auto" w:fill="CFF0FC"/>
          </w:tcPr>
          <w:p>
            <w:pPr>
              <w:spacing w:after="0"/>
              <w:rPr>
                <w:sz w:val="6"/>
                <w:szCs w:val="6"/>
                <w:color w:val="auto"/>
              </w:rPr>
            </w:pPr>
          </w:p>
        </w:tc>
        <w:tc>
          <w:tcPr>
            <w:tcW w:w="220" w:type="dxa"/>
            <w:vAlign w:val="bottom"/>
            <w:tcBorders>
              <w:right w:val="single" w:sz="8" w:color="CFF0FC"/>
            </w:tcBorders>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80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20" w:type="dxa"/>
            <w:vAlign w:val="bottom"/>
            <w:tcBorders>
              <w:right w:val="single" w:sz="8" w:color="CFF0FC"/>
            </w:tcBorders>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880" w:type="dxa"/>
            <w:vAlign w:val="bottom"/>
            <w:tcBorders>
              <w:right w:val="single" w:sz="8" w:color="CFF0FC"/>
            </w:tcBorders>
            <w:gridSpan w:val="3"/>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000" w:type="dxa"/>
            <w:vAlign w:val="bottom"/>
            <w:tcBorders>
              <w:right w:val="single" w:sz="8" w:color="CFF0FC"/>
            </w:tcBorders>
            <w:gridSpan w:val="2"/>
            <w:vMerge w:val="continue"/>
            <w:shd w:val="clear" w:color="auto" w:fill="CFF0FC"/>
          </w:tcPr>
          <w:p>
            <w:pPr>
              <w:spacing w:after="0"/>
              <w:rPr>
                <w:sz w:val="6"/>
                <w:szCs w:val="6"/>
                <w:color w:val="auto"/>
              </w:rPr>
            </w:pPr>
          </w:p>
        </w:tc>
        <w:tc>
          <w:tcPr>
            <w:tcW w:w="180" w:type="dxa"/>
            <w:vAlign w:val="bottom"/>
            <w:tcBorders>
              <w:left w:val="single" w:sz="8" w:color="CFF0FC"/>
            </w:tcBorders>
            <w:shd w:val="clear" w:color="auto" w:fill="CFF0FC"/>
          </w:tcPr>
          <w:p>
            <w:pPr>
              <w:spacing w:after="0"/>
              <w:rPr>
                <w:sz w:val="6"/>
                <w:szCs w:val="6"/>
                <w:color w:val="auto"/>
              </w:rPr>
            </w:pPr>
          </w:p>
        </w:tc>
        <w:tc>
          <w:tcPr>
            <w:tcW w:w="820" w:type="dxa"/>
            <w:vAlign w:val="bottom"/>
            <w:tcBorders>
              <w:right w:val="single" w:sz="8" w:color="CFF0FC"/>
            </w:tcBorders>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220" w:type="dxa"/>
            <w:vAlign w:val="bottom"/>
            <w:tcBorders>
              <w:left w:val="single" w:sz="8" w:color="CFF0FC"/>
            </w:tcBorders>
            <w:shd w:val="clear" w:color="auto" w:fill="CFF0FC"/>
          </w:tcPr>
          <w:p>
            <w:pPr>
              <w:spacing w:after="0"/>
              <w:rPr>
                <w:sz w:val="6"/>
                <w:szCs w:val="6"/>
                <w:color w:val="auto"/>
              </w:rPr>
            </w:pPr>
          </w:p>
        </w:tc>
        <w:tc>
          <w:tcPr>
            <w:tcW w:w="68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1320" w:type="dxa"/>
            <w:vAlign w:val="bottom"/>
          </w:tcPr>
          <w:p>
            <w:pPr>
              <w:ind w:left="40"/>
              <w:spacing w:after="0" w:line="148" w:lineRule="exact"/>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tcPr>
          <w:p>
            <w:pPr>
              <w:spacing w:after="0"/>
              <w:rPr>
                <w:sz w:val="14"/>
                <w:szCs w:val="14"/>
                <w:color w:val="auto"/>
              </w:rPr>
            </w:pPr>
          </w:p>
        </w:tc>
        <w:tc>
          <w:tcPr>
            <w:tcW w:w="10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1,350,000</w:t>
            </w:r>
          </w:p>
        </w:tc>
        <w:tc>
          <w:tcPr>
            <w:tcW w:w="220" w:type="dxa"/>
            <w:vAlign w:val="bottom"/>
          </w:tcPr>
          <w:p>
            <w:pPr>
              <w:spacing w:after="0"/>
              <w:rPr>
                <w:sz w:val="14"/>
                <w:szCs w:val="14"/>
                <w:color w:val="auto"/>
              </w:rPr>
            </w:pPr>
          </w:p>
        </w:tc>
        <w:tc>
          <w:tcPr>
            <w:tcW w:w="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80"/>
              <w:spacing w:after="0" w:line="148" w:lineRule="exact"/>
              <w:rPr>
                <w:sz w:val="20"/>
                <w:szCs w:val="20"/>
                <w:color w:val="auto"/>
              </w:rPr>
            </w:pPr>
            <w:r>
              <w:rPr>
                <w:rFonts w:ascii="Times New Roman" w:cs="Times New Roman" w:eastAsia="Times New Roman" w:hAnsi="Times New Roman"/>
                <w:sz w:val="11"/>
                <w:szCs w:val="11"/>
                <w:color w:val="auto"/>
              </w:rPr>
              <w:t>(16,071</w:t>
            </w:r>
            <w:r>
              <w:rPr>
                <w:rFonts w:ascii="Times New Roman" w:cs="Times New Roman" w:eastAsia="Times New Roman" w:hAnsi="Times New Roman"/>
                <w:sz w:val="17"/>
                <w:szCs w:val="17"/>
                <w:color w:val="auto"/>
                <w:vertAlign w:val="subscript"/>
              </w:rPr>
              <w:t>)</w:t>
            </w:r>
          </w:p>
        </w:tc>
        <w:tc>
          <w:tcPr>
            <w:tcW w:w="220" w:type="dxa"/>
            <w:vAlign w:val="bottom"/>
            <w:gridSpan w:val="2"/>
          </w:tcPr>
          <w:p>
            <w:pPr>
              <w:jc w:val="right"/>
              <w:ind w:right="6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13,050</w:t>
            </w:r>
          </w:p>
        </w:tc>
        <w:tc>
          <w:tcPr>
            <w:tcW w:w="140" w:type="dxa"/>
            <w:vAlign w:val="bottom"/>
          </w:tcPr>
          <w:p>
            <w:pPr>
              <w:spacing w:after="0"/>
              <w:rPr>
                <w:sz w:val="14"/>
                <w:szCs w:val="14"/>
                <w:color w:val="auto"/>
              </w:rPr>
            </w:pPr>
          </w:p>
        </w:tc>
        <w:tc>
          <w:tcPr>
            <w:tcW w:w="26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jc w:val="right"/>
              <w:ind w:right="60"/>
              <w:spacing w:after="0" w:line="148" w:lineRule="exact"/>
              <w:rPr>
                <w:sz w:val="20"/>
                <w:szCs w:val="20"/>
                <w:color w:val="auto"/>
              </w:rPr>
            </w:pPr>
            <w:r>
              <w:rPr>
                <w:rFonts w:ascii="Times New Roman" w:cs="Times New Roman" w:eastAsia="Times New Roman" w:hAnsi="Times New Roman"/>
                <w:sz w:val="11"/>
                <w:szCs w:val="11"/>
                <w:color w:val="auto"/>
              </w:rPr>
              <w:t>(3,021</w:t>
            </w:r>
            <w:r>
              <w:rPr>
                <w:rFonts w:ascii="Times New Roman" w:cs="Times New Roman" w:eastAsia="Times New Roman" w:hAnsi="Times New Roman"/>
                <w:sz w:val="17"/>
                <w:szCs w:val="17"/>
                <w:color w:val="auto"/>
                <w:vertAlign w:val="subscript"/>
              </w:rPr>
              <w:t>)</w:t>
            </w:r>
          </w:p>
        </w:tc>
        <w:tc>
          <w:tcPr>
            <w:tcW w:w="20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80"/>
              <w:spacing w:after="0" w:line="148" w:lineRule="exact"/>
              <w:rPr>
                <w:sz w:val="20"/>
                <w:szCs w:val="20"/>
                <w:color w:val="auto"/>
              </w:rPr>
            </w:pPr>
            <w:r>
              <w:rPr>
                <w:rFonts w:ascii="Times New Roman" w:cs="Times New Roman" w:eastAsia="Times New Roman" w:hAnsi="Times New Roman"/>
                <w:sz w:val="11"/>
                <w:szCs w:val="11"/>
                <w:color w:val="auto"/>
              </w:rPr>
              <w:t>(30,209</w:t>
            </w:r>
            <w:r>
              <w:rPr>
                <w:rFonts w:ascii="Times New Roman" w:cs="Times New Roman" w:eastAsia="Times New Roman" w:hAnsi="Times New Roman"/>
                <w:sz w:val="17"/>
                <w:szCs w:val="17"/>
                <w:color w:val="auto"/>
                <w:vertAlign w:val="subscript"/>
              </w:rPr>
              <w:t>)</w:t>
            </w:r>
          </w:p>
        </w:tc>
        <w:tc>
          <w:tcPr>
            <w:tcW w:w="18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24,533</w:t>
            </w:r>
          </w:p>
        </w:tc>
        <w:tc>
          <w:tcPr>
            <w:tcW w:w="140" w:type="dxa"/>
            <w:vAlign w:val="bottom"/>
          </w:tcPr>
          <w:p>
            <w:pPr>
              <w:spacing w:after="0"/>
              <w:rPr>
                <w:sz w:val="14"/>
                <w:szCs w:val="14"/>
                <w:color w:val="auto"/>
              </w:rPr>
            </w:pPr>
          </w:p>
        </w:tc>
        <w:tc>
          <w:tcPr>
            <w:tcW w:w="220" w:type="dxa"/>
            <w:vAlign w:val="bottom"/>
          </w:tcPr>
          <w:p>
            <w:pPr>
              <w:jc w:val="right"/>
              <w:ind w:right="36"/>
              <w:spacing w:after="0" w:line="14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0"/>
              <w:spacing w:after="0" w:line="148" w:lineRule="exact"/>
              <w:rPr>
                <w:sz w:val="20"/>
                <w:szCs w:val="20"/>
                <w:color w:val="auto"/>
              </w:rPr>
            </w:pPr>
            <w:r>
              <w:rPr>
                <w:rFonts w:ascii="Times New Roman" w:cs="Times New Roman" w:eastAsia="Times New Roman" w:hAnsi="Times New Roman"/>
                <w:sz w:val="11"/>
                <w:szCs w:val="11"/>
                <w:color w:val="auto"/>
              </w:rPr>
              <w:t>(5,676</w:t>
            </w:r>
            <w:r>
              <w:rPr>
                <w:rFonts w:ascii="Times New Roman" w:cs="Times New Roman" w:eastAsia="Times New Roman" w:hAnsi="Times New Roman"/>
                <w:sz w:val="17"/>
                <w:szCs w:val="17"/>
                <w:color w:val="auto"/>
                <w:vertAlign w:val="subscript"/>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For the three and nine months ended September 30, 2025, the Company recognized $3.3 million and $60.0 million, respectively, of unrealized gains on interest rate swaps designated as hedging instruments in the Consolidated Statements of Operations. For the three and nine months ended September 30, 2025, this amount was offset by an increase of $ 0.5 million and $17.2 million, respectively, for a change in carrying value of the 2029 Notes, an increase of $1.8 million and $19.3 million, respectively, for a change in carrying value of the January 2030 Notes and an increase of $1.1 million and $23.5 million, respectively, for a change in carrying value of the July 2030 Notes.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 w:name="page32"/>
    <w:bookmarkEnd w:id="31"/>
    <w:p>
      <w:pPr>
        <w:spacing w:after="0" w:line="113"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For the three and nine months ended September 30, 2024, the Company recognized $21.6 million and $19.3 million, respectively, of unrealized gains on interest rate swaps designated as hedging instruments in the Consolidated Statements of Operations. For the three and nine months ended September 30, 2024, this amount was offset by an increase of $24.8 million and $ 22.5 million, respectively, for a change in carrying value of the 2029 Notes and a decrease of $(3.2) million and $(3.2) million, respectively, for a change in carrying value of the 2030 Notes.</w:t>
      </w:r>
    </w:p>
    <w:p>
      <w:pPr>
        <w:spacing w:after="0" w:line="167" w:lineRule="exact"/>
        <w:rPr>
          <w:sz w:val="20"/>
          <w:szCs w:val="20"/>
          <w:color w:val="auto"/>
        </w:rPr>
      </w:pPr>
    </w:p>
    <w:p>
      <w:pPr>
        <w:ind w:right="240" w:firstLine="228"/>
        <w:spacing w:after="0" w:line="243" w:lineRule="auto"/>
        <w:rPr>
          <w:sz w:val="20"/>
          <w:szCs w:val="20"/>
          <w:color w:val="auto"/>
        </w:rPr>
      </w:pPr>
      <w:r>
        <w:rPr>
          <w:rFonts w:ascii="Times New Roman" w:cs="Times New Roman" w:eastAsia="Times New Roman" w:hAnsi="Times New Roman"/>
          <w:sz w:val="16"/>
          <w:szCs w:val="16"/>
          <w:color w:val="auto"/>
        </w:rPr>
        <w:t>As of September 30, 2025, the swap transactions had a fair value of $34.8 million which is netted against cash collateral of $106.8 million. As of December 31, 2024, the swap transactions had a fair value of $(25.2) million which is netted against cash collateral of $68.6 million on the Company's Consolidated Balance Sheet. Cash is pledged as collateral under the Company’s derivative agreements and is included in restricted cash as a component of cash and cash equivalents on the Company's Consolidated Balance Sheet.</w:t>
      </w:r>
    </w:p>
    <w:p>
      <w:pPr>
        <w:spacing w:after="0" w:line="167" w:lineRule="exact"/>
        <w:rPr>
          <w:sz w:val="20"/>
          <w:szCs w:val="20"/>
          <w:color w:val="auto"/>
        </w:rPr>
      </w:pPr>
    </w:p>
    <w:p>
      <w:pPr>
        <w:jc w:val="both"/>
        <w:ind w:right="80" w:firstLine="228"/>
        <w:spacing w:after="0" w:line="243" w:lineRule="auto"/>
        <w:rPr>
          <w:sz w:val="20"/>
          <w:szCs w:val="20"/>
          <w:color w:val="auto"/>
        </w:rPr>
      </w:pPr>
      <w:r>
        <w:rPr>
          <w:rFonts w:ascii="Times New Roman" w:cs="Times New Roman" w:eastAsia="Times New Roman" w:hAnsi="Times New Roman"/>
          <w:sz w:val="16"/>
          <w:szCs w:val="16"/>
          <w:color w:val="auto"/>
        </w:rPr>
        <w:t>The Company is required under the terms of its derivatives agreements to pledge assets as collateral to secure its obligations underlying the derivatives. The amount of collateral required varies over time based on the mark -to- 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262" w:lineRule="exact"/>
        <w:rPr>
          <w:sz w:val="20"/>
          <w:szCs w:val="20"/>
          <w:color w:val="auto"/>
        </w:rPr>
      </w:pPr>
    </w:p>
    <w:p>
      <w:pPr>
        <w:ind w:right="8000" w:firstLine="6"/>
        <w:spacing w:after="0" w:line="361" w:lineRule="auto"/>
        <w:tabs>
          <w:tab w:leader="none" w:pos="156"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Fair Value of Financial Instruments </w:t>
      </w:r>
      <w:r>
        <w:rPr>
          <w:rFonts w:ascii="Times New Roman" w:cs="Times New Roman" w:eastAsia="Times New Roman" w:hAnsi="Times New Roman"/>
          <w:sz w:val="16"/>
          <w:szCs w:val="16"/>
          <w:i w:val="1"/>
          <w:iCs w:val="1"/>
          <w:color w:val="auto"/>
        </w:rPr>
        <w:t>Investments</w:t>
      </w: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tables present fair value measurements of investments as of September 30, 2025 and December 31, 2024:</w:t>
      </w:r>
    </w:p>
    <w:p>
      <w:pPr>
        <w:spacing w:after="0" w:line="200"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3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20" w:type="dxa"/>
            <w:vAlign w:val="bottom"/>
            <w:gridSpan w:val="8"/>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Fair Value Hierarchy at September 30, 2025</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20" w:type="dxa"/>
            <w:vAlign w:val="bottom"/>
          </w:tcPr>
          <w:p>
            <w:pPr>
              <w:spacing w:after="0"/>
              <w:rPr>
                <w:sz w:val="14"/>
                <w:szCs w:val="14"/>
                <w:color w:val="auto"/>
              </w:rPr>
            </w:pPr>
          </w:p>
        </w:tc>
        <w:tc>
          <w:tcPr>
            <w:tcW w:w="84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3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840" w:type="dxa"/>
            <w:vAlign w:val="bottom"/>
            <w:shd w:val="clear" w:color="auto" w:fill="CFF0FC"/>
          </w:tcPr>
          <w:p>
            <w:pPr>
              <w:jc w:val="right"/>
              <w:ind w:right="68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265,343</w:t>
            </w:r>
          </w:p>
        </w:tc>
        <w:tc>
          <w:tcPr>
            <w:tcW w:w="2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7,048,863</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7,314,206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840" w:type="dxa"/>
            <w:vAlign w:val="bottom"/>
          </w:tcPr>
          <w:p>
            <w:pPr>
              <w:spacing w:after="0"/>
              <w:rPr>
                <w:sz w:val="15"/>
                <w:szCs w:val="15"/>
                <w:color w:val="auto"/>
              </w:rPr>
            </w:pPr>
          </w:p>
        </w:tc>
        <w:tc>
          <w:tcPr>
            <w:tcW w:w="2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33,986</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34,781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215,843</w:t>
            </w:r>
          </w:p>
        </w:tc>
        <w:tc>
          <w:tcPr>
            <w:tcW w:w="2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215,843</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840" w:type="dxa"/>
            <w:vAlign w:val="bottom"/>
          </w:tcPr>
          <w:p>
            <w:pPr>
              <w:spacing w:after="0"/>
              <w:rPr>
                <w:sz w:val="17"/>
                <w:szCs w:val="17"/>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159,242</w:t>
            </w:r>
          </w:p>
        </w:tc>
        <w:tc>
          <w:tcPr>
            <w:tcW w:w="260" w:type="dxa"/>
            <w:vAlign w:val="bottom"/>
          </w:tcPr>
          <w:p>
            <w:pPr>
              <w:spacing w:after="0"/>
              <w:rPr>
                <w:sz w:val="17"/>
                <w:szCs w:val="17"/>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159,242</w:t>
            </w:r>
          </w:p>
        </w:tc>
        <w:tc>
          <w:tcPr>
            <w:tcW w:w="0" w:type="dxa"/>
            <w:vAlign w:val="bottom"/>
          </w:tcPr>
          <w:p>
            <w:pPr>
              <w:spacing w:after="0"/>
              <w:rPr>
                <w:sz w:val="1"/>
                <w:szCs w:val="1"/>
                <w:color w:val="auto"/>
              </w:rPr>
            </w:pPr>
          </w:p>
        </w:tc>
      </w:tr>
      <w:tr>
        <w:trPr>
          <w:trHeight w:val="97"/>
        </w:trPr>
        <w:tc>
          <w:tcPr>
            <w:tcW w:w="3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investments at fair value</w:t>
            </w:r>
          </w:p>
        </w:tc>
        <w:tc>
          <w:tcPr>
            <w:tcW w:w="840" w:type="dxa"/>
            <w:vAlign w:val="bottom"/>
            <w:shd w:val="clear" w:color="auto" w:fill="CFF0FC"/>
          </w:tcPr>
          <w:p>
            <w:pPr>
              <w:jc w:val="right"/>
              <w:ind w:right="68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266,138</w:t>
            </w:r>
          </w:p>
        </w:tc>
        <w:tc>
          <w:tcPr>
            <w:tcW w:w="2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7,457,934</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7,724,072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840" w:type="dxa"/>
            <w:vAlign w:val="bottom"/>
          </w:tcPr>
          <w:p>
            <w:pPr>
              <w:spacing w:after="0"/>
              <w:rPr>
                <w:sz w:val="15"/>
                <w:szCs w:val="15"/>
                <w:color w:val="auto"/>
              </w:rPr>
            </w:pPr>
          </w:p>
        </w:tc>
        <w:tc>
          <w:tcPr>
            <w:tcW w:w="2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34,776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34,776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72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840" w:type="dxa"/>
            <w:vAlign w:val="bottom"/>
            <w:shd w:val="clear" w:color="auto" w:fill="CFF0FC"/>
          </w:tcPr>
          <w:p>
            <w:pPr>
              <w:jc w:val="right"/>
              <w:ind w:right="68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300,914</w:t>
            </w:r>
          </w:p>
        </w:tc>
        <w:tc>
          <w:tcPr>
            <w:tcW w:w="2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7,457,934</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7,758,848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8"/>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Fair Value Hierarchy at December 31, 2024</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720" w:type="dxa"/>
            <w:vAlign w:val="bottom"/>
          </w:tcPr>
          <w:p>
            <w:pPr>
              <w:spacing w:after="0"/>
              <w:rPr>
                <w:sz w:val="14"/>
                <w:szCs w:val="14"/>
                <w:color w:val="auto"/>
              </w:rPr>
            </w:pPr>
          </w:p>
        </w:tc>
        <w:tc>
          <w:tcPr>
            <w:tcW w:w="84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3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840" w:type="dxa"/>
            <w:vAlign w:val="bottom"/>
            <w:shd w:val="clear" w:color="auto" w:fill="CFF0FC"/>
          </w:tcPr>
          <w:p>
            <w:pPr>
              <w:jc w:val="right"/>
              <w:ind w:right="68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143,398</w:t>
            </w:r>
          </w:p>
        </w:tc>
        <w:tc>
          <w:tcPr>
            <w:tcW w:w="2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6,728,411</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6,871,809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840" w:type="dxa"/>
            <w:vAlign w:val="bottom"/>
          </w:tcPr>
          <w:p>
            <w:pPr>
              <w:spacing w:after="0"/>
              <w:rPr>
                <w:sz w:val="15"/>
                <w:szCs w:val="15"/>
                <w:color w:val="auto"/>
              </w:rPr>
            </w:pPr>
          </w:p>
        </w:tc>
        <w:tc>
          <w:tcPr>
            <w:tcW w:w="2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1,309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93,469</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94,778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123,184</w:t>
            </w:r>
          </w:p>
        </w:tc>
        <w:tc>
          <w:tcPr>
            <w:tcW w:w="2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123,184</w:t>
            </w:r>
          </w:p>
        </w:tc>
        <w:tc>
          <w:tcPr>
            <w:tcW w:w="0" w:type="dxa"/>
            <w:vAlign w:val="bottom"/>
          </w:tcPr>
          <w:p>
            <w:pPr>
              <w:spacing w:after="0"/>
              <w:rPr>
                <w:sz w:val="1"/>
                <w:szCs w:val="1"/>
                <w:color w:val="auto"/>
              </w:rPr>
            </w:pPr>
          </w:p>
        </w:tc>
      </w:tr>
      <w:tr>
        <w:trPr>
          <w:trHeight w:val="180"/>
        </w:trPr>
        <w:tc>
          <w:tcPr>
            <w:tcW w:w="3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840" w:type="dxa"/>
            <w:vAlign w:val="bottom"/>
          </w:tcPr>
          <w:p>
            <w:pPr>
              <w:spacing w:after="0"/>
              <w:rPr>
                <w:sz w:val="15"/>
                <w:szCs w:val="15"/>
                <w:color w:val="auto"/>
              </w:rPr>
            </w:pPr>
          </w:p>
        </w:tc>
        <w:tc>
          <w:tcPr>
            <w:tcW w:w="2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154,511</w:t>
            </w:r>
          </w:p>
        </w:tc>
        <w:tc>
          <w:tcPr>
            <w:tcW w:w="260" w:type="dxa"/>
            <w:vAlign w:val="bottom"/>
          </w:tcPr>
          <w:p>
            <w:pPr>
              <w:spacing w:after="0"/>
              <w:rPr>
                <w:sz w:val="15"/>
                <w:szCs w:val="15"/>
                <w:color w:val="auto"/>
              </w:rPr>
            </w:pPr>
          </w:p>
        </w:tc>
        <w:tc>
          <w:tcPr>
            <w:tcW w:w="9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154,511</w:t>
            </w:r>
          </w:p>
        </w:tc>
        <w:tc>
          <w:tcPr>
            <w:tcW w:w="0" w:type="dxa"/>
            <w:vAlign w:val="bottom"/>
          </w:tcPr>
          <w:p>
            <w:pPr>
              <w:spacing w:after="0"/>
              <w:rPr>
                <w:sz w:val="1"/>
                <w:szCs w:val="1"/>
                <w:color w:val="auto"/>
              </w:rPr>
            </w:pPr>
          </w:p>
        </w:tc>
      </w:tr>
      <w:tr>
        <w:trPr>
          <w:trHeight w:val="180"/>
        </w:trPr>
        <w:tc>
          <w:tcPr>
            <w:tcW w:w="372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investments at fair value</w:t>
            </w:r>
          </w:p>
        </w:tc>
        <w:tc>
          <w:tcPr>
            <w:tcW w:w="840" w:type="dxa"/>
            <w:vAlign w:val="bottom"/>
            <w:shd w:val="clear" w:color="auto" w:fill="CFF0FC"/>
          </w:tcPr>
          <w:p>
            <w:pPr>
              <w:jc w:val="right"/>
              <w:ind w:right="68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144,707</w:t>
            </w:r>
          </w:p>
        </w:tc>
        <w:tc>
          <w:tcPr>
            <w:tcW w:w="2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7,099,575</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7,244,282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840" w:type="dxa"/>
            <w:vAlign w:val="bottom"/>
          </w:tcPr>
          <w:p>
            <w:pPr>
              <w:spacing w:after="0"/>
              <w:rPr>
                <w:sz w:val="15"/>
                <w:szCs w:val="15"/>
                <w:color w:val="auto"/>
              </w:rPr>
            </w:pPr>
          </w:p>
        </w:tc>
        <w:tc>
          <w:tcPr>
            <w:tcW w:w="2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(25,214)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(25,214)</w:t>
            </w:r>
          </w:p>
        </w:tc>
        <w:tc>
          <w:tcPr>
            <w:tcW w:w="0" w:type="dxa"/>
            <w:vAlign w:val="bottom"/>
          </w:tcPr>
          <w:p>
            <w:pPr>
              <w:spacing w:after="0"/>
              <w:rPr>
                <w:sz w:val="1"/>
                <w:szCs w:val="1"/>
                <w:color w:val="auto"/>
              </w:rPr>
            </w:pPr>
          </w:p>
        </w:tc>
      </w:tr>
      <w:tr>
        <w:trPr>
          <w:trHeight w:val="200"/>
        </w:trPr>
        <w:tc>
          <w:tcPr>
            <w:tcW w:w="372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840" w:type="dxa"/>
            <w:vAlign w:val="bottom"/>
            <w:shd w:val="clear" w:color="auto" w:fill="CFF0FC"/>
          </w:tcPr>
          <w:p>
            <w:pPr>
              <w:jc w:val="right"/>
              <w:ind w:right="68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119,493</w:t>
            </w:r>
          </w:p>
        </w:tc>
        <w:tc>
          <w:tcPr>
            <w:tcW w:w="2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7,099,575</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7,219,068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w:t>
      </w:r>
    </w:p>
    <w:p>
      <w:pPr>
        <w:spacing w:after="0" w:line="92"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tables present the changes in the fair value of investments for which Level 3 inputs were used to determine the fair value as of and for the three and nine months ended September 30, 2025: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20" w:type="dxa"/>
            <w:vAlign w:val="bottom"/>
            <w:gridSpan w:val="9"/>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As of and for the Three Months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Second-lien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10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0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6,838,709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32,265</w:t>
            </w:r>
          </w:p>
        </w:tc>
        <w:tc>
          <w:tcPr>
            <w:tcW w:w="8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210,092</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159,301</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7,240,367</w:t>
            </w:r>
          </w:p>
        </w:tc>
        <w:tc>
          <w:tcPr>
            <w:tcW w:w="100" w:type="dxa"/>
            <w:vAlign w:val="bottom"/>
            <w:shd w:val="clear" w:color="auto" w:fill="CFF0FC"/>
          </w:tcPr>
          <w:p>
            <w:pPr>
              <w:spacing w:after="0"/>
              <w:rPr>
                <w:sz w:val="15"/>
                <w:szCs w:val="15"/>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Purchases or originations</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740,004</w:t>
            </w:r>
          </w:p>
        </w:tc>
        <w:tc>
          <w:tcPr>
            <w:tcW w:w="10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740,037</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Repayments / redemptions</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(532,927)</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(532,927)</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Sales proceeds</w:t>
            </w:r>
          </w:p>
        </w:tc>
        <w:tc>
          <w:tcPr>
            <w:tcW w:w="140" w:type="dxa"/>
            <w:vAlign w:val="bottom"/>
          </w:tcPr>
          <w:p>
            <w:pPr>
              <w:spacing w:after="0"/>
              <w:rPr>
                <w:sz w:val="15"/>
                <w:szCs w:val="15"/>
                <w:color w:val="auto"/>
              </w:rPr>
            </w:pPr>
          </w:p>
        </w:tc>
        <w:tc>
          <w:tcPr>
            <w:tcW w:w="11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(12,706)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(13,360)</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Paid-in-kind interest</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12,070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1,288</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5,653</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19,011</w:t>
            </w:r>
          </w:p>
        </w:tc>
        <w:tc>
          <w:tcPr>
            <w:tcW w:w="100" w:type="dxa"/>
            <w:vAlign w:val="bottom"/>
            <w:shd w:val="clear" w:color="auto" w:fill="CFF0FC"/>
          </w:tcPr>
          <w:p>
            <w:pPr>
              <w:spacing w:after="0"/>
              <w:rPr>
                <w:sz w:val="15"/>
                <w:szCs w:val="15"/>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change in unrealized gains (losses)</w:t>
            </w:r>
          </w:p>
        </w:tc>
        <w:tc>
          <w:tcPr>
            <w:tcW w:w="140" w:type="dxa"/>
            <w:vAlign w:val="bottom"/>
          </w:tcPr>
          <w:p>
            <w:pPr>
              <w:spacing w:after="0"/>
              <w:rPr>
                <w:sz w:val="15"/>
                <w:szCs w:val="15"/>
                <w:color w:val="auto"/>
              </w:rPr>
            </w:pPr>
          </w:p>
        </w:tc>
        <w:tc>
          <w:tcPr>
            <w:tcW w:w="11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(26,040)</w:t>
            </w: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6,466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(19,331)</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6,148</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6,188</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amortization of discount on securities</w:t>
            </w: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17,661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17,949</w:t>
            </w:r>
          </w:p>
        </w:tc>
        <w:tc>
          <w:tcPr>
            <w:tcW w:w="100" w:type="dxa"/>
            <w:vAlign w:val="bottom"/>
          </w:tcPr>
          <w:p>
            <w:pPr>
              <w:spacing w:after="0"/>
              <w:rPr>
                <w:sz w:val="15"/>
                <w:szCs w:val="15"/>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Transfers within Level 3</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Transfers into (out of) Level 3</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0"/>
        </w:trPr>
        <w:tc>
          <w:tcPr>
            <w:tcW w:w="48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Balance, End of Period</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7,048,863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33,986</w:t>
            </w:r>
          </w:p>
        </w:tc>
        <w:tc>
          <w:tcPr>
            <w:tcW w:w="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215,843</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159,242</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7,457,934</w:t>
            </w:r>
          </w:p>
        </w:tc>
        <w:tc>
          <w:tcPr>
            <w:tcW w:w="100" w:type="dxa"/>
            <w:vAlign w:val="bottom"/>
            <w:shd w:val="clear" w:color="auto" w:fill="CFF0FC"/>
          </w:tcPr>
          <w:p>
            <w:pPr>
              <w:spacing w:after="0"/>
              <w:rPr>
                <w:sz w:val="17"/>
                <w:szCs w:val="17"/>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707"/>
        </w:trPr>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gridSpan w:val="9"/>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As of and for the Nine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Second-lien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10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0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6,728,411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93,469</w:t>
            </w:r>
          </w:p>
        </w:tc>
        <w:tc>
          <w:tcPr>
            <w:tcW w:w="8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123,184</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154,511</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7,099,575</w:t>
            </w:r>
          </w:p>
        </w:tc>
        <w:tc>
          <w:tcPr>
            <w:tcW w:w="100" w:type="dxa"/>
            <w:vAlign w:val="bottom"/>
            <w:shd w:val="clear" w:color="auto" w:fill="CFF0FC"/>
          </w:tcPr>
          <w:p>
            <w:pPr>
              <w:spacing w:after="0"/>
              <w:rPr>
                <w:sz w:val="15"/>
                <w:szCs w:val="15"/>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Purchases or originations</w:t>
            </w: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1,799,501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19,198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76,440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4,097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1,899,236</w:t>
            </w:r>
          </w:p>
        </w:tc>
        <w:tc>
          <w:tcPr>
            <w:tcW w:w="100" w:type="dxa"/>
            <w:vAlign w:val="bottom"/>
          </w:tcPr>
          <w:p>
            <w:pPr>
              <w:spacing w:after="0"/>
              <w:rPr>
                <w:sz w:val="15"/>
                <w:szCs w:val="15"/>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Repayments / redemptions</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(1,548,022)</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(83,916)</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(1,631,938)</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Sales proceeds</w:t>
            </w:r>
          </w:p>
        </w:tc>
        <w:tc>
          <w:tcPr>
            <w:tcW w:w="140" w:type="dxa"/>
            <w:vAlign w:val="bottom"/>
          </w:tcPr>
          <w:p>
            <w:pPr>
              <w:spacing w:after="0"/>
              <w:rPr>
                <w:sz w:val="15"/>
                <w:szCs w:val="15"/>
                <w:color w:val="auto"/>
              </w:rPr>
            </w:pPr>
          </w:p>
        </w:tc>
        <w:tc>
          <w:tcPr>
            <w:tcW w:w="11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(116,074)</w:t>
            </w:r>
          </w:p>
        </w:tc>
        <w:tc>
          <w:tcPr>
            <w:tcW w:w="10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(24,468)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(140,542)</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Paid-in-kind interest</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32,081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3,454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13,362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48,897</w:t>
            </w:r>
          </w:p>
        </w:tc>
        <w:tc>
          <w:tcPr>
            <w:tcW w:w="100" w:type="dxa"/>
            <w:vAlign w:val="bottom"/>
            <w:shd w:val="clear" w:color="auto" w:fill="CFF0FC"/>
          </w:tcPr>
          <w:p>
            <w:pPr>
              <w:spacing w:after="0"/>
              <w:rPr>
                <w:sz w:val="15"/>
                <w:szCs w:val="15"/>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change in unrealized gains (losses)</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108,458</w:t>
            </w:r>
          </w:p>
        </w:tc>
        <w:tc>
          <w:tcPr>
            <w:tcW w:w="100" w:type="dxa"/>
            <w:vAlign w:val="bottom"/>
          </w:tcPr>
          <w:p>
            <w:pPr>
              <w:spacing w:after="0"/>
              <w:rPr>
                <w:sz w:val="15"/>
                <w:szCs w:val="15"/>
                <w:color w:val="auto"/>
              </w:rPr>
            </w:pPr>
          </w:p>
        </w:tc>
        <w:tc>
          <w:tcPr>
            <w:tcW w:w="9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(3,769)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2,459</w:t>
            </w: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11,765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118,913</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13,337</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13,862</w:t>
            </w:r>
          </w:p>
        </w:tc>
        <w:tc>
          <w:tcPr>
            <w:tcW w:w="100" w:type="dxa"/>
            <w:vAlign w:val="bottom"/>
            <w:shd w:val="clear" w:color="auto" w:fill="CFF0FC"/>
          </w:tcPr>
          <w:p>
            <w:pPr>
              <w:spacing w:after="0"/>
              <w:rPr>
                <w:sz w:val="15"/>
                <w:szCs w:val="15"/>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amortization of discount on securities</w:t>
            </w: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43,983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5,550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49,931</w:t>
            </w:r>
          </w:p>
        </w:tc>
        <w:tc>
          <w:tcPr>
            <w:tcW w:w="100" w:type="dxa"/>
            <w:vAlign w:val="bottom"/>
          </w:tcPr>
          <w:p>
            <w:pPr>
              <w:spacing w:after="0"/>
              <w:rPr>
                <w:sz w:val="15"/>
                <w:szCs w:val="15"/>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Transfers within Level 3</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Transfers into (out of) Level 3</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0"/>
        </w:trPr>
        <w:tc>
          <w:tcPr>
            <w:tcW w:w="48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Balance, End of Period</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7,048,863</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33,986</w:t>
            </w:r>
          </w:p>
        </w:tc>
        <w:tc>
          <w:tcPr>
            <w:tcW w:w="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215,843</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159,242</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7,457,934</w:t>
            </w:r>
          </w:p>
        </w:tc>
        <w:tc>
          <w:tcPr>
            <w:tcW w:w="100" w:type="dxa"/>
            <w:vAlign w:val="bottom"/>
            <w:shd w:val="clear" w:color="auto" w:fill="CFF0FC"/>
          </w:tcPr>
          <w:p>
            <w:pPr>
              <w:spacing w:after="0"/>
              <w:rPr>
                <w:sz w:val="17"/>
                <w:szCs w:val="17"/>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179"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tables present the changes in the fair value of investments for which Level 3 inputs were used to determine the fair value as of and for the three and nine months ended September 30,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9"/>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As of and for the Three Months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Second-lien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10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0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0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4,702,324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90,299</w:t>
            </w:r>
          </w:p>
        </w:tc>
        <w:tc>
          <w:tcPr>
            <w:tcW w:w="6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115,090</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94,080</w:t>
            </w:r>
          </w:p>
        </w:tc>
        <w:tc>
          <w:tcPr>
            <w:tcW w:w="1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5,001,793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Purchases or originations</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778,777</w:t>
            </w:r>
          </w:p>
        </w:tc>
        <w:tc>
          <w:tcPr>
            <w:tcW w:w="100" w:type="dxa"/>
            <w:vAlign w:val="bottom"/>
          </w:tcPr>
          <w:p>
            <w:pPr>
              <w:spacing w:after="0"/>
              <w:rPr>
                <w:sz w:val="17"/>
                <w:szCs w:val="17"/>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778,777</w:t>
            </w:r>
          </w:p>
        </w:tc>
        <w:tc>
          <w:tcPr>
            <w:tcW w:w="0" w:type="dxa"/>
            <w:vAlign w:val="bottom"/>
          </w:tcPr>
          <w:p>
            <w:pPr>
              <w:spacing w:after="0"/>
              <w:rPr>
                <w:sz w:val="1"/>
                <w:szCs w:val="1"/>
                <w:color w:val="auto"/>
              </w:rPr>
            </w:pPr>
          </w:p>
        </w:tc>
      </w:tr>
      <w:tr>
        <w:trPr>
          <w:trHeight w:val="85"/>
        </w:trPr>
        <w:tc>
          <w:tcPr>
            <w:tcW w:w="4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Repayments / redemptions</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(90,027)</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(90,027)</w:t>
            </w:r>
          </w:p>
        </w:tc>
        <w:tc>
          <w:tcPr>
            <w:tcW w:w="0" w:type="dxa"/>
            <w:vAlign w:val="bottom"/>
          </w:tcPr>
          <w:p>
            <w:pPr>
              <w:spacing w:after="0"/>
              <w:rPr>
                <w:sz w:val="1"/>
                <w:szCs w:val="1"/>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Sales proceeds</w:t>
            </w:r>
          </w:p>
        </w:tc>
        <w:tc>
          <w:tcPr>
            <w:tcW w:w="140" w:type="dxa"/>
            <w:vAlign w:val="bottom"/>
          </w:tcPr>
          <w:p>
            <w:pPr>
              <w:spacing w:after="0"/>
              <w:rPr>
                <w:sz w:val="15"/>
                <w:szCs w:val="15"/>
                <w:color w:val="auto"/>
              </w:rPr>
            </w:pPr>
          </w:p>
        </w:tc>
        <w:tc>
          <w:tcPr>
            <w:tcW w:w="11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(19,862)</w:t>
            </w:r>
          </w:p>
        </w:tc>
        <w:tc>
          <w:tcPr>
            <w:tcW w:w="100" w:type="dxa"/>
            <w:vAlign w:val="bottom"/>
          </w:tcPr>
          <w:p>
            <w:pPr>
              <w:spacing w:after="0"/>
              <w:rPr>
                <w:sz w:val="15"/>
                <w:szCs w:val="15"/>
                <w:color w:val="auto"/>
              </w:rPr>
            </w:pPr>
          </w:p>
        </w:tc>
        <w:tc>
          <w:tcPr>
            <w:tcW w:w="8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(19,862)</w:t>
            </w:r>
          </w:p>
        </w:tc>
        <w:tc>
          <w:tcPr>
            <w:tcW w:w="0" w:type="dxa"/>
            <w:vAlign w:val="bottom"/>
          </w:tcPr>
          <w:p>
            <w:pPr>
              <w:spacing w:after="0"/>
              <w:rPr>
                <w:sz w:val="1"/>
                <w:szCs w:val="1"/>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Paid-in-kind interest</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3,925</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356</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3,844</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8,125</w:t>
            </w:r>
          </w:p>
        </w:tc>
        <w:tc>
          <w:tcPr>
            <w:tcW w:w="0" w:type="dxa"/>
            <w:vAlign w:val="bottom"/>
          </w:tcPr>
          <w:p>
            <w:pPr>
              <w:spacing w:after="0"/>
              <w:rPr>
                <w:sz w:val="1"/>
                <w:szCs w:val="1"/>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change in unrealized gains (losses)</w:t>
            </w: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45,972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2,629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7,142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realized gains (losses)</w:t>
            </w:r>
          </w:p>
        </w:tc>
        <w:tc>
          <w:tcPr>
            <w:tcW w:w="14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8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amortization of discount on securities</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7,463</w:t>
            </w: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7,798</w:t>
            </w:r>
          </w:p>
        </w:tc>
        <w:tc>
          <w:tcPr>
            <w:tcW w:w="0" w:type="dxa"/>
            <w:vAlign w:val="bottom"/>
          </w:tcPr>
          <w:p>
            <w:pPr>
              <w:spacing w:after="0"/>
              <w:rPr>
                <w:sz w:val="1"/>
                <w:szCs w:val="1"/>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Transfers within Level 3</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Transfers into (out of) Level 3</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8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Balance, End of Period</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5,428,702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93,519</w:t>
            </w:r>
          </w:p>
        </w:tc>
        <w:tc>
          <w:tcPr>
            <w:tcW w:w="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119,293</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101,222</w:t>
            </w:r>
          </w:p>
        </w:tc>
        <w:tc>
          <w:tcPr>
            <w:tcW w:w="3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5,742,736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38"/>
        </w:trPr>
        <w:tc>
          <w:tcPr>
            <w:tcW w:w="48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48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4" w:right="680" w:bottom="1440" w:gutter="0" w:footer="0" w:header="0"/>
        </w:sectPr>
      </w:pPr>
    </w:p>
    <w:bookmarkStart w:id="33" w:name="page34"/>
    <w:bookmarkEnd w:id="33"/>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gridSpan w:val="9"/>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As of and for the Nine Months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Second-lien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10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0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2,848,805</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79,091</w:t>
            </w:r>
          </w:p>
        </w:tc>
        <w:tc>
          <w:tcPr>
            <w:tcW w:w="8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105,918</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62,651</w:t>
            </w:r>
          </w:p>
        </w:tc>
        <w:tc>
          <w:tcPr>
            <w:tcW w:w="1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3,096,465</w:t>
            </w:r>
          </w:p>
        </w:tc>
        <w:tc>
          <w:tcPr>
            <w:tcW w:w="100" w:type="dxa"/>
            <w:vAlign w:val="bottom"/>
            <w:shd w:val="clear" w:color="auto" w:fill="CFF0FC"/>
          </w:tcPr>
          <w:p>
            <w:pPr>
              <w:spacing w:after="0"/>
              <w:rPr>
                <w:sz w:val="15"/>
                <w:szCs w:val="15"/>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Purchases or originations</w:t>
            </w: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3,034,317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10,021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28,259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3,072,597</w:t>
            </w:r>
          </w:p>
        </w:tc>
        <w:tc>
          <w:tcPr>
            <w:tcW w:w="100" w:type="dxa"/>
            <w:vAlign w:val="bottom"/>
          </w:tcPr>
          <w:p>
            <w:pPr>
              <w:spacing w:after="0"/>
              <w:rPr>
                <w:sz w:val="15"/>
                <w:szCs w:val="15"/>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Repayments / redemptions</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(131,629)</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(131,629)</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Sale proceeds</w:t>
            </w:r>
          </w:p>
        </w:tc>
        <w:tc>
          <w:tcPr>
            <w:tcW w:w="140" w:type="dxa"/>
            <w:vAlign w:val="bottom"/>
          </w:tcPr>
          <w:p>
            <w:pPr>
              <w:spacing w:after="0"/>
              <w:rPr>
                <w:sz w:val="15"/>
                <w:szCs w:val="15"/>
                <w:color w:val="auto"/>
              </w:rPr>
            </w:pPr>
          </w:p>
        </w:tc>
        <w:tc>
          <w:tcPr>
            <w:tcW w:w="11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(426,269)</w:t>
            </w:r>
          </w:p>
        </w:tc>
        <w:tc>
          <w:tcPr>
            <w:tcW w:w="100" w:type="dxa"/>
            <w:vAlign w:val="bottom"/>
          </w:tcPr>
          <w:p>
            <w:pPr>
              <w:spacing w:after="0"/>
              <w:rPr>
                <w:sz w:val="15"/>
                <w:szCs w:val="15"/>
                <w:color w:val="auto"/>
              </w:rPr>
            </w:pPr>
          </w:p>
        </w:tc>
        <w:tc>
          <w:tcPr>
            <w:tcW w:w="9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(2,161)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(428,430)</w:t>
            </w: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Paid-in-kind interest</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10,516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850</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10,504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21,870</w:t>
            </w:r>
          </w:p>
        </w:tc>
        <w:tc>
          <w:tcPr>
            <w:tcW w:w="100" w:type="dxa"/>
            <w:vAlign w:val="bottom"/>
            <w:shd w:val="clear" w:color="auto" w:fill="CFF0FC"/>
          </w:tcPr>
          <w:p>
            <w:pPr>
              <w:spacing w:after="0"/>
              <w:rPr>
                <w:sz w:val="15"/>
                <w:szCs w:val="15"/>
                <w:color w:val="auto"/>
              </w:rPr>
            </w:pP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change in unrealized gains (losses)</w:t>
            </w: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72,753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4,989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2,571</w:t>
            </w: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10,312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90,625</w:t>
            </w:r>
          </w:p>
        </w:tc>
        <w:tc>
          <w:tcPr>
            <w:tcW w:w="100" w:type="dxa"/>
            <w:vAlign w:val="bottom"/>
          </w:tcPr>
          <w:p>
            <w:pPr>
              <w:spacing w:after="0"/>
              <w:rPr>
                <w:sz w:val="15"/>
                <w:szCs w:val="15"/>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4,477</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4,542</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amortization of discount on securities</w:t>
            </w: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15,732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16,696</w:t>
            </w:r>
          </w:p>
        </w:tc>
        <w:tc>
          <w:tcPr>
            <w:tcW w:w="100" w:type="dxa"/>
            <w:vAlign w:val="bottom"/>
          </w:tcPr>
          <w:p>
            <w:pPr>
              <w:spacing w:after="0"/>
              <w:rPr>
                <w:sz w:val="15"/>
                <w:szCs w:val="15"/>
                <w:color w:val="auto"/>
              </w:rPr>
            </w:pPr>
          </w:p>
        </w:tc>
      </w:tr>
      <w:tr>
        <w:trPr>
          <w:trHeight w:val="180"/>
        </w:trPr>
        <w:tc>
          <w:tcPr>
            <w:tcW w:w="4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Transfers within Level 3</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Transfers into (out of) Level 3</w:t>
            </w:r>
          </w:p>
        </w:tc>
        <w:tc>
          <w:tcPr>
            <w:tcW w:w="140" w:type="dxa"/>
            <w:vAlign w:val="bottom"/>
          </w:tcPr>
          <w:p>
            <w:pPr>
              <w:spacing w:after="0"/>
              <w:rPr>
                <w:sz w:val="15"/>
                <w:szCs w:val="15"/>
                <w:color w:val="auto"/>
              </w:rPr>
            </w:pPr>
          </w:p>
        </w:tc>
        <w:tc>
          <w:tcPr>
            <w:tcW w:w="11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0"/>
        </w:trPr>
        <w:tc>
          <w:tcPr>
            <w:tcW w:w="48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Balance, End of Period</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5,428,702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93,519</w:t>
            </w:r>
          </w:p>
        </w:tc>
        <w:tc>
          <w:tcPr>
            <w:tcW w:w="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119,293</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101,222</w:t>
            </w:r>
          </w:p>
        </w:tc>
        <w:tc>
          <w:tcPr>
            <w:tcW w:w="3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5,742,736</w:t>
            </w:r>
          </w:p>
        </w:tc>
        <w:tc>
          <w:tcPr>
            <w:tcW w:w="100" w:type="dxa"/>
            <w:vAlign w:val="bottom"/>
            <w:shd w:val="clear" w:color="auto" w:fill="CFF0FC"/>
          </w:tcPr>
          <w:p>
            <w:pPr>
              <w:spacing w:after="0"/>
              <w:rPr>
                <w:sz w:val="17"/>
                <w:szCs w:val="17"/>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179" w:lineRule="exact"/>
        <w:rPr>
          <w:sz w:val="20"/>
          <w:szCs w:val="20"/>
          <w:color w:val="auto"/>
        </w:rPr>
      </w:pPr>
    </w:p>
    <w:p>
      <w:pPr>
        <w:ind w:right="700"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tables present information with respect to the net change in unrealized gains or losses on investments for which Level 3 inputs were used in determining fair value that are still held by the Company at September 30, 2025 and September 30,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c>
          <w:tcPr>
            <w:tcW w:w="160" w:type="dxa"/>
            <w:vAlign w:val="bottom"/>
          </w:tcPr>
          <w:p>
            <w:pPr>
              <w:spacing w:after="0"/>
              <w:rPr>
                <w:sz w:val="13"/>
                <w:szCs w:val="13"/>
                <w:color w:val="auto"/>
              </w:rPr>
            </w:pPr>
          </w:p>
        </w:tc>
        <w:tc>
          <w:tcPr>
            <w:tcW w:w="2780" w:type="dxa"/>
            <w:vAlign w:val="bottom"/>
            <w:gridSpan w:val="3"/>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r>
      <w:tr>
        <w:trPr>
          <w:trHeight w:val="156"/>
        </w:trPr>
        <w:tc>
          <w:tcPr>
            <w:tcW w:w="7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Gains or (Losses)</w:t>
            </w:r>
          </w:p>
        </w:tc>
        <w:tc>
          <w:tcPr>
            <w:tcW w:w="160" w:type="dxa"/>
            <w:vAlign w:val="bottom"/>
          </w:tcPr>
          <w:p>
            <w:pPr>
              <w:spacing w:after="0"/>
              <w:rPr>
                <w:sz w:val="13"/>
                <w:szCs w:val="13"/>
                <w:color w:val="auto"/>
              </w:rPr>
            </w:pPr>
          </w:p>
        </w:tc>
        <w:tc>
          <w:tcPr>
            <w:tcW w:w="2780" w:type="dxa"/>
            <w:vAlign w:val="bottom"/>
            <w:gridSpan w:val="3"/>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Gains or (Losses)</w:t>
            </w:r>
          </w:p>
        </w:tc>
      </w:tr>
      <w:tr>
        <w:trPr>
          <w:trHeight w:val="156"/>
        </w:trPr>
        <w:tc>
          <w:tcPr>
            <w:tcW w:w="7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60" w:type="dxa"/>
            <w:vAlign w:val="bottom"/>
          </w:tcPr>
          <w:p>
            <w:pPr>
              <w:spacing w:after="0"/>
              <w:rPr>
                <w:sz w:val="13"/>
                <w:szCs w:val="13"/>
                <w:color w:val="auto"/>
              </w:rPr>
            </w:pPr>
          </w:p>
        </w:tc>
        <w:tc>
          <w:tcPr>
            <w:tcW w:w="2780" w:type="dxa"/>
            <w:vAlign w:val="bottom"/>
            <w:gridSpan w:val="3"/>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156"/>
        </w:trPr>
        <w:tc>
          <w:tcPr>
            <w:tcW w:w="7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September 30, 2025 on</w:t>
            </w:r>
          </w:p>
        </w:tc>
        <w:tc>
          <w:tcPr>
            <w:tcW w:w="160" w:type="dxa"/>
            <w:vAlign w:val="bottom"/>
          </w:tcPr>
          <w:p>
            <w:pPr>
              <w:spacing w:after="0"/>
              <w:rPr>
                <w:sz w:val="13"/>
                <w:szCs w:val="13"/>
                <w:color w:val="auto"/>
              </w:rPr>
            </w:pPr>
          </w:p>
        </w:tc>
        <w:tc>
          <w:tcPr>
            <w:tcW w:w="2780" w:type="dxa"/>
            <w:vAlign w:val="bottom"/>
            <w:gridSpan w:val="3"/>
          </w:tcPr>
          <w:p>
            <w:pPr>
              <w:jc w:val="center"/>
              <w:ind w:right="980"/>
              <w:spacing w:after="0"/>
              <w:rPr>
                <w:sz w:val="20"/>
                <w:szCs w:val="20"/>
                <w:color w:val="auto"/>
              </w:rPr>
            </w:pPr>
            <w:r>
              <w:rPr>
                <w:rFonts w:ascii="Times New Roman" w:cs="Times New Roman" w:eastAsia="Times New Roman" w:hAnsi="Times New Roman"/>
                <w:sz w:val="13"/>
                <w:szCs w:val="13"/>
                <w:b w:val="1"/>
                <w:bCs w:val="1"/>
                <w:color w:val="auto"/>
              </w:rPr>
              <w:t>September 30, 2024 on</w:t>
            </w:r>
          </w:p>
        </w:tc>
      </w:tr>
      <w:tr>
        <w:trPr>
          <w:trHeight w:val="156"/>
        </w:trPr>
        <w:tc>
          <w:tcPr>
            <w:tcW w:w="7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Investments Held at</w:t>
            </w:r>
          </w:p>
        </w:tc>
        <w:tc>
          <w:tcPr>
            <w:tcW w:w="160" w:type="dxa"/>
            <w:vAlign w:val="bottom"/>
          </w:tcPr>
          <w:p>
            <w:pPr>
              <w:spacing w:after="0"/>
              <w:rPr>
                <w:sz w:val="13"/>
                <w:szCs w:val="13"/>
                <w:color w:val="auto"/>
              </w:rPr>
            </w:pPr>
          </w:p>
        </w:tc>
        <w:tc>
          <w:tcPr>
            <w:tcW w:w="2780" w:type="dxa"/>
            <w:vAlign w:val="bottom"/>
            <w:gridSpan w:val="3"/>
          </w:tcPr>
          <w:p>
            <w:pPr>
              <w:jc w:val="center"/>
              <w:ind w:right="980"/>
              <w:spacing w:after="0"/>
              <w:rPr>
                <w:sz w:val="20"/>
                <w:szCs w:val="20"/>
                <w:color w:val="auto"/>
              </w:rPr>
            </w:pPr>
            <w:r>
              <w:rPr>
                <w:rFonts w:ascii="Times New Roman" w:cs="Times New Roman" w:eastAsia="Times New Roman" w:hAnsi="Times New Roman"/>
                <w:sz w:val="13"/>
                <w:szCs w:val="13"/>
                <w:b w:val="1"/>
                <w:bCs w:val="1"/>
                <w:color w:val="auto"/>
              </w:rPr>
              <w:t>Investments Held at</w:t>
            </w:r>
          </w:p>
        </w:tc>
      </w:tr>
      <w:tr>
        <w:trPr>
          <w:trHeight w:val="170"/>
        </w:trPr>
        <w:tc>
          <w:tcPr>
            <w:tcW w:w="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0" w:type="dxa"/>
            <w:vAlign w:val="bottom"/>
          </w:tcPr>
          <w:p>
            <w:pPr>
              <w:spacing w:after="0"/>
              <w:rPr>
                <w:sz w:val="14"/>
                <w:szCs w:val="14"/>
                <w:color w:val="auto"/>
              </w:rPr>
            </w:pPr>
          </w:p>
        </w:tc>
        <w:tc>
          <w:tcPr>
            <w:tcW w:w="2780" w:type="dxa"/>
            <w:vAlign w:val="bottom"/>
            <w:gridSpan w:val="3"/>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80"/>
        </w:trPr>
        <w:tc>
          <w:tcPr>
            <w:tcW w:w="760" w:type="dxa"/>
            <w:vAlign w:val="bottom"/>
          </w:tcPr>
          <w:p>
            <w:pPr>
              <w:spacing w:after="0"/>
              <w:rPr>
                <w:sz w:val="15"/>
                <w:szCs w:val="15"/>
                <w:color w:val="auto"/>
              </w:rPr>
            </w:pPr>
          </w:p>
        </w:tc>
        <w:tc>
          <w:tcPr>
            <w:tcW w:w="3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5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(11,664)</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47,862</w:t>
            </w:r>
          </w:p>
        </w:tc>
        <w:tc>
          <w:tcPr>
            <w:tcW w:w="80" w:type="dxa"/>
            <w:vAlign w:val="bottom"/>
            <w:shd w:val="clear" w:color="auto" w:fill="CFF0FC"/>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760" w:type="dxa"/>
            <w:vAlign w:val="bottom"/>
          </w:tcPr>
          <w:p>
            <w:pPr>
              <w:spacing w:after="0"/>
              <w:rPr>
                <w:sz w:val="15"/>
                <w:szCs w:val="15"/>
                <w:color w:val="auto"/>
              </w:rPr>
            </w:pPr>
          </w:p>
        </w:tc>
        <w:tc>
          <w:tcPr>
            <w:tcW w:w="3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2,630</w:t>
            </w:r>
          </w:p>
        </w:tc>
        <w:tc>
          <w:tcPr>
            <w:tcW w:w="740" w:type="dxa"/>
            <w:vAlign w:val="bottom"/>
          </w:tcPr>
          <w:p>
            <w:pPr>
              <w:spacing w:after="0"/>
              <w:rPr>
                <w:sz w:val="15"/>
                <w:szCs w:val="15"/>
                <w:color w:val="auto"/>
              </w:rPr>
            </w:pPr>
          </w:p>
        </w:tc>
      </w:tr>
      <w:tr>
        <w:trPr>
          <w:trHeight w:val="180"/>
        </w:trPr>
        <w:tc>
          <w:tcPr>
            <w:tcW w:w="760" w:type="dxa"/>
            <w:vAlign w:val="bottom"/>
          </w:tcPr>
          <w:p>
            <w:pPr>
              <w:spacing w:after="0"/>
              <w:rPr>
                <w:sz w:val="15"/>
                <w:szCs w:val="15"/>
                <w:color w:val="auto"/>
              </w:rPr>
            </w:pPr>
          </w:p>
        </w:tc>
        <w:tc>
          <w:tcPr>
            <w:tcW w:w="3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FF0FC"/>
          </w:tcPr>
          <w:p>
            <w:pPr>
              <w:spacing w:after="0"/>
              <w:rPr>
                <w:sz w:val="15"/>
                <w:szCs w:val="15"/>
                <w:color w:val="auto"/>
              </w:rPr>
            </w:pPr>
          </w:p>
        </w:tc>
        <w:tc>
          <w:tcPr>
            <w:tcW w:w="1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258</w:t>
            </w:r>
          </w:p>
        </w:tc>
        <w:tc>
          <w:tcPr>
            <w:tcW w:w="80" w:type="dxa"/>
            <w:vAlign w:val="bottom"/>
            <w:shd w:val="clear" w:color="auto" w:fill="CFF0FC"/>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760" w:type="dxa"/>
            <w:vAlign w:val="bottom"/>
          </w:tcPr>
          <w:p>
            <w:pPr>
              <w:spacing w:after="0"/>
              <w:rPr>
                <w:sz w:val="15"/>
                <w:szCs w:val="15"/>
                <w:color w:val="auto"/>
              </w:rPr>
            </w:pPr>
          </w:p>
        </w:tc>
        <w:tc>
          <w:tcPr>
            <w:tcW w:w="3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11,104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7,143</w:t>
            </w:r>
          </w:p>
        </w:tc>
        <w:tc>
          <w:tcPr>
            <w:tcW w:w="740" w:type="dxa"/>
            <w:vAlign w:val="bottom"/>
          </w:tcPr>
          <w:p>
            <w:pPr>
              <w:spacing w:after="0"/>
              <w:rPr>
                <w:sz w:val="15"/>
                <w:szCs w:val="15"/>
                <w:color w:val="auto"/>
              </w:rPr>
            </w:pPr>
          </w:p>
        </w:tc>
      </w:tr>
      <w:tr>
        <w:trPr>
          <w:trHeight w:val="220"/>
        </w:trPr>
        <w:tc>
          <w:tcPr>
            <w:tcW w:w="760" w:type="dxa"/>
            <w:vAlign w:val="bottom"/>
          </w:tcPr>
          <w:p>
            <w:pPr>
              <w:spacing w:after="0"/>
              <w:rPr>
                <w:sz w:val="19"/>
                <w:szCs w:val="19"/>
                <w:color w:val="auto"/>
              </w:rPr>
            </w:pPr>
          </w:p>
        </w:tc>
        <w:tc>
          <w:tcPr>
            <w:tcW w:w="3140" w:type="dxa"/>
            <w:vAlign w:val="bottom"/>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56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1"/>
                <w:szCs w:val="11"/>
                <w:color w:val="auto"/>
              </w:rPr>
              <w:t>(316</w:t>
            </w:r>
            <w:r>
              <w:rPr>
                <w:rFonts w:ascii="Times New Roman" w:cs="Times New Roman" w:eastAsia="Times New Roman" w:hAnsi="Times New Roman"/>
                <w:sz w:val="18"/>
                <w:szCs w:val="18"/>
                <w:color w:val="auto"/>
                <w:vertAlign w:val="subscript"/>
              </w:rPr>
              <w:t>)</w:t>
            </w:r>
          </w:p>
        </w:tc>
        <w:tc>
          <w:tcPr>
            <w:tcW w:w="160" w:type="dxa"/>
            <w:vAlign w:val="bottom"/>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9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57,893</w:t>
            </w:r>
          </w:p>
        </w:tc>
        <w:tc>
          <w:tcPr>
            <w:tcW w:w="80" w:type="dxa"/>
            <w:vAlign w:val="bottom"/>
            <w:shd w:val="clear" w:color="auto" w:fill="CFF0FC"/>
          </w:tcPr>
          <w:p>
            <w:pPr>
              <w:spacing w:after="0"/>
              <w:rPr>
                <w:sz w:val="19"/>
                <w:szCs w:val="19"/>
                <w:color w:val="auto"/>
              </w:rPr>
            </w:pPr>
          </w:p>
        </w:tc>
        <w:tc>
          <w:tcPr>
            <w:tcW w:w="740" w:type="dxa"/>
            <w:vAlign w:val="bottom"/>
          </w:tcPr>
          <w:p>
            <w:pPr>
              <w:spacing w:after="0"/>
              <w:rPr>
                <w:sz w:val="19"/>
                <w:szCs w:val="19"/>
                <w:color w:val="auto"/>
              </w:rPr>
            </w:pPr>
          </w:p>
        </w:tc>
      </w:tr>
      <w:tr>
        <w:trPr>
          <w:trHeight w:val="707"/>
        </w:trPr>
        <w:tc>
          <w:tcPr>
            <w:tcW w:w="760" w:type="dxa"/>
            <w:vAlign w:val="bottom"/>
          </w:tcPr>
          <w:p>
            <w:pPr>
              <w:spacing w:after="0"/>
              <w:rPr>
                <w:sz w:val="24"/>
                <w:szCs w:val="24"/>
                <w:color w:val="auto"/>
              </w:rPr>
            </w:pPr>
          </w:p>
        </w:tc>
        <w:tc>
          <w:tcPr>
            <w:tcW w:w="3140" w:type="dxa"/>
            <w:vAlign w:val="bottom"/>
            <w:tcBorders>
              <w:top w:val="single" w:sz="8" w:color="CFF0FC"/>
            </w:tcBorders>
          </w:tcPr>
          <w:p>
            <w:pPr>
              <w:spacing w:after="0"/>
              <w:rPr>
                <w:sz w:val="24"/>
                <w:szCs w:val="24"/>
                <w:color w:val="auto"/>
              </w:rPr>
            </w:pPr>
          </w:p>
        </w:tc>
        <w:tc>
          <w:tcPr>
            <w:tcW w:w="14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c>
          <w:tcPr>
            <w:tcW w:w="80" w:type="dxa"/>
            <w:vAlign w:val="bottom"/>
            <w:tcBorders>
              <w:top w:val="single" w:sz="8" w:color="CFF0FC"/>
            </w:tcBorders>
          </w:tcPr>
          <w:p>
            <w:pPr>
              <w:spacing w:after="0"/>
              <w:rPr>
                <w:sz w:val="24"/>
                <w:szCs w:val="24"/>
                <w:color w:val="auto"/>
              </w:rPr>
            </w:pPr>
          </w:p>
        </w:tc>
        <w:tc>
          <w:tcPr>
            <w:tcW w:w="740" w:type="dxa"/>
            <w:vAlign w:val="bottom"/>
          </w:tcPr>
          <w:p>
            <w:pPr>
              <w:spacing w:after="0"/>
              <w:rPr>
                <w:sz w:val="24"/>
                <w:szCs w:val="24"/>
                <w:color w:val="auto"/>
              </w:rPr>
            </w:pPr>
          </w:p>
        </w:tc>
      </w:tr>
      <w:tr>
        <w:trPr>
          <w:trHeight w:val="156"/>
        </w:trPr>
        <w:tc>
          <w:tcPr>
            <w:tcW w:w="7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Gains or (Losses)</w:t>
            </w:r>
          </w:p>
        </w:tc>
        <w:tc>
          <w:tcPr>
            <w:tcW w:w="160" w:type="dxa"/>
            <w:vAlign w:val="bottom"/>
          </w:tcPr>
          <w:p>
            <w:pPr>
              <w:spacing w:after="0"/>
              <w:rPr>
                <w:sz w:val="13"/>
                <w:szCs w:val="13"/>
                <w:color w:val="auto"/>
              </w:rPr>
            </w:pPr>
          </w:p>
        </w:tc>
        <w:tc>
          <w:tcPr>
            <w:tcW w:w="2780" w:type="dxa"/>
            <w:vAlign w:val="bottom"/>
            <w:gridSpan w:val="3"/>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Gains or (Losses)</w:t>
            </w:r>
          </w:p>
        </w:tc>
      </w:tr>
      <w:tr>
        <w:trPr>
          <w:trHeight w:val="156"/>
        </w:trPr>
        <w:tc>
          <w:tcPr>
            <w:tcW w:w="7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160" w:type="dxa"/>
            <w:vAlign w:val="bottom"/>
          </w:tcPr>
          <w:p>
            <w:pPr>
              <w:spacing w:after="0"/>
              <w:rPr>
                <w:sz w:val="13"/>
                <w:szCs w:val="13"/>
                <w:color w:val="auto"/>
              </w:rPr>
            </w:pPr>
          </w:p>
        </w:tc>
        <w:tc>
          <w:tcPr>
            <w:tcW w:w="2780" w:type="dxa"/>
            <w:vAlign w:val="bottom"/>
            <w:gridSpan w:val="3"/>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56"/>
        </w:trPr>
        <w:tc>
          <w:tcPr>
            <w:tcW w:w="7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September 30, 2025 on</w:t>
            </w:r>
          </w:p>
        </w:tc>
        <w:tc>
          <w:tcPr>
            <w:tcW w:w="160" w:type="dxa"/>
            <w:vAlign w:val="bottom"/>
          </w:tcPr>
          <w:p>
            <w:pPr>
              <w:spacing w:after="0"/>
              <w:rPr>
                <w:sz w:val="13"/>
                <w:szCs w:val="13"/>
                <w:color w:val="auto"/>
              </w:rPr>
            </w:pPr>
          </w:p>
        </w:tc>
        <w:tc>
          <w:tcPr>
            <w:tcW w:w="2780" w:type="dxa"/>
            <w:vAlign w:val="bottom"/>
            <w:gridSpan w:val="3"/>
          </w:tcPr>
          <w:p>
            <w:pPr>
              <w:jc w:val="center"/>
              <w:ind w:right="980"/>
              <w:spacing w:after="0"/>
              <w:rPr>
                <w:sz w:val="20"/>
                <w:szCs w:val="20"/>
                <w:color w:val="auto"/>
              </w:rPr>
            </w:pPr>
            <w:r>
              <w:rPr>
                <w:rFonts w:ascii="Times New Roman" w:cs="Times New Roman" w:eastAsia="Times New Roman" w:hAnsi="Times New Roman"/>
                <w:sz w:val="13"/>
                <w:szCs w:val="13"/>
                <w:b w:val="1"/>
                <w:bCs w:val="1"/>
                <w:color w:val="auto"/>
              </w:rPr>
              <w:t>September 30, 2024 on</w:t>
            </w:r>
          </w:p>
        </w:tc>
      </w:tr>
      <w:tr>
        <w:trPr>
          <w:trHeight w:val="156"/>
        </w:trPr>
        <w:tc>
          <w:tcPr>
            <w:tcW w:w="7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Investments Held at</w:t>
            </w:r>
          </w:p>
        </w:tc>
        <w:tc>
          <w:tcPr>
            <w:tcW w:w="160" w:type="dxa"/>
            <w:vAlign w:val="bottom"/>
          </w:tcPr>
          <w:p>
            <w:pPr>
              <w:spacing w:after="0"/>
              <w:rPr>
                <w:sz w:val="13"/>
                <w:szCs w:val="13"/>
                <w:color w:val="auto"/>
              </w:rPr>
            </w:pPr>
          </w:p>
        </w:tc>
        <w:tc>
          <w:tcPr>
            <w:tcW w:w="2780" w:type="dxa"/>
            <w:vAlign w:val="bottom"/>
            <w:gridSpan w:val="3"/>
          </w:tcPr>
          <w:p>
            <w:pPr>
              <w:jc w:val="center"/>
              <w:ind w:right="980"/>
              <w:spacing w:after="0"/>
              <w:rPr>
                <w:sz w:val="20"/>
                <w:szCs w:val="20"/>
                <w:color w:val="auto"/>
              </w:rPr>
            </w:pPr>
            <w:r>
              <w:rPr>
                <w:rFonts w:ascii="Times New Roman" w:cs="Times New Roman" w:eastAsia="Times New Roman" w:hAnsi="Times New Roman"/>
                <w:sz w:val="13"/>
                <w:szCs w:val="13"/>
                <w:b w:val="1"/>
                <w:bCs w:val="1"/>
                <w:color w:val="auto"/>
              </w:rPr>
              <w:t>Investments Held at</w:t>
            </w:r>
          </w:p>
        </w:tc>
      </w:tr>
      <w:tr>
        <w:trPr>
          <w:trHeight w:val="170"/>
        </w:trPr>
        <w:tc>
          <w:tcPr>
            <w:tcW w:w="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0" w:type="dxa"/>
            <w:vAlign w:val="bottom"/>
          </w:tcPr>
          <w:p>
            <w:pPr>
              <w:spacing w:after="0"/>
              <w:rPr>
                <w:sz w:val="14"/>
                <w:szCs w:val="14"/>
                <w:color w:val="auto"/>
              </w:rPr>
            </w:pPr>
          </w:p>
        </w:tc>
        <w:tc>
          <w:tcPr>
            <w:tcW w:w="2780" w:type="dxa"/>
            <w:vAlign w:val="bottom"/>
            <w:gridSpan w:val="3"/>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80"/>
        </w:trPr>
        <w:tc>
          <w:tcPr>
            <w:tcW w:w="760" w:type="dxa"/>
            <w:vAlign w:val="bottom"/>
          </w:tcPr>
          <w:p>
            <w:pPr>
              <w:spacing w:after="0"/>
              <w:rPr>
                <w:sz w:val="15"/>
                <w:szCs w:val="15"/>
                <w:color w:val="auto"/>
              </w:rPr>
            </w:pPr>
          </w:p>
        </w:tc>
        <w:tc>
          <w:tcPr>
            <w:tcW w:w="3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5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141,297</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74,550</w:t>
            </w:r>
          </w:p>
        </w:tc>
        <w:tc>
          <w:tcPr>
            <w:tcW w:w="80" w:type="dxa"/>
            <w:vAlign w:val="bottom"/>
            <w:shd w:val="clear" w:color="auto" w:fill="CFF0FC"/>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760" w:type="dxa"/>
            <w:vAlign w:val="bottom"/>
          </w:tcPr>
          <w:p>
            <w:pPr>
              <w:spacing w:after="0"/>
              <w:rPr>
                <w:sz w:val="15"/>
                <w:szCs w:val="15"/>
                <w:color w:val="auto"/>
              </w:rPr>
            </w:pPr>
          </w:p>
        </w:tc>
        <w:tc>
          <w:tcPr>
            <w:tcW w:w="3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1,390</w:t>
            </w:r>
          </w:p>
        </w:tc>
        <w:tc>
          <w:tcPr>
            <w:tcW w:w="160" w:type="dxa"/>
            <w:vAlign w:val="bottom"/>
          </w:tcPr>
          <w:p>
            <w:pPr>
              <w:spacing w:after="0"/>
              <w:rPr>
                <w:sz w:val="15"/>
                <w:szCs w:val="15"/>
                <w:color w:val="auto"/>
              </w:rPr>
            </w:pPr>
          </w:p>
        </w:tc>
        <w:tc>
          <w:tcPr>
            <w:tcW w:w="2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4,990</w:t>
            </w:r>
          </w:p>
        </w:tc>
        <w:tc>
          <w:tcPr>
            <w:tcW w:w="740" w:type="dxa"/>
            <w:vAlign w:val="bottom"/>
          </w:tcPr>
          <w:p>
            <w:pPr>
              <w:spacing w:after="0"/>
              <w:rPr>
                <w:sz w:val="15"/>
                <w:szCs w:val="15"/>
                <w:color w:val="auto"/>
              </w:rPr>
            </w:pPr>
          </w:p>
        </w:tc>
      </w:tr>
      <w:tr>
        <w:trPr>
          <w:trHeight w:val="180"/>
        </w:trPr>
        <w:tc>
          <w:tcPr>
            <w:tcW w:w="760" w:type="dxa"/>
            <w:vAlign w:val="bottom"/>
          </w:tcPr>
          <w:p>
            <w:pPr>
              <w:spacing w:after="0"/>
              <w:rPr>
                <w:sz w:val="15"/>
                <w:szCs w:val="15"/>
                <w:color w:val="auto"/>
              </w:rPr>
            </w:pPr>
          </w:p>
        </w:tc>
        <w:tc>
          <w:tcPr>
            <w:tcW w:w="31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2,458</w:t>
            </w:r>
          </w:p>
        </w:tc>
        <w:tc>
          <w:tcPr>
            <w:tcW w:w="160" w:type="dxa"/>
            <w:vAlign w:val="bottom"/>
            <w:shd w:val="clear" w:color="auto" w:fill="CFF0FC"/>
          </w:tcPr>
          <w:p>
            <w:pPr>
              <w:spacing w:after="0"/>
              <w:rPr>
                <w:sz w:val="15"/>
                <w:szCs w:val="15"/>
                <w:color w:val="auto"/>
              </w:rPr>
            </w:pPr>
          </w:p>
        </w:tc>
        <w:tc>
          <w:tcPr>
            <w:tcW w:w="2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2,570</w:t>
            </w:r>
          </w:p>
        </w:tc>
        <w:tc>
          <w:tcPr>
            <w:tcW w:w="740" w:type="dxa"/>
            <w:vAlign w:val="bottom"/>
          </w:tcPr>
          <w:p>
            <w:pPr>
              <w:spacing w:after="0"/>
              <w:rPr>
                <w:sz w:val="15"/>
                <w:szCs w:val="15"/>
                <w:color w:val="auto"/>
              </w:rPr>
            </w:pPr>
          </w:p>
        </w:tc>
      </w:tr>
      <w:tr>
        <w:trPr>
          <w:trHeight w:val="180"/>
        </w:trPr>
        <w:tc>
          <w:tcPr>
            <w:tcW w:w="760" w:type="dxa"/>
            <w:vAlign w:val="bottom"/>
          </w:tcPr>
          <w:p>
            <w:pPr>
              <w:spacing w:after="0"/>
              <w:rPr>
                <w:sz w:val="15"/>
                <w:szCs w:val="15"/>
                <w:color w:val="auto"/>
              </w:rPr>
            </w:pPr>
          </w:p>
        </w:tc>
        <w:tc>
          <w:tcPr>
            <w:tcW w:w="31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15,448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10,312</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0"/>
        </w:trPr>
        <w:tc>
          <w:tcPr>
            <w:tcW w:w="760" w:type="dxa"/>
            <w:vAlign w:val="bottom"/>
          </w:tcPr>
          <w:p>
            <w:pPr>
              <w:spacing w:after="0"/>
              <w:rPr>
                <w:sz w:val="17"/>
                <w:szCs w:val="17"/>
                <w:color w:val="auto"/>
              </w:rPr>
            </w:pPr>
          </w:p>
        </w:tc>
        <w:tc>
          <w:tcPr>
            <w:tcW w:w="314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5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1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160,593</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92,422</w:t>
            </w:r>
          </w:p>
        </w:tc>
        <w:tc>
          <w:tcPr>
            <w:tcW w:w="80" w:type="dxa"/>
            <w:vAlign w:val="bottom"/>
            <w:shd w:val="clear" w:color="auto" w:fill="CFF0FC"/>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538"/>
        </w:trPr>
        <w:tc>
          <w:tcPr>
            <w:tcW w:w="7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w:t>
            </w: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74"/>
        </w:trPr>
        <w:tc>
          <w:tcPr>
            <w:tcW w:w="760" w:type="dxa"/>
            <w:vAlign w:val="bottom"/>
            <w:tcBorders>
              <w:bottom w:val="single" w:sz="8" w:color="EEEEEE"/>
            </w:tcBorders>
          </w:tcPr>
          <w:p>
            <w:pPr>
              <w:spacing w:after="0"/>
              <w:rPr>
                <w:sz w:val="24"/>
                <w:szCs w:val="24"/>
                <w:color w:val="auto"/>
              </w:rPr>
            </w:pPr>
          </w:p>
        </w:tc>
        <w:tc>
          <w:tcPr>
            <w:tcW w:w="3140" w:type="dxa"/>
            <w:vAlign w:val="bottom"/>
            <w:tcBorders>
              <w:bottom w:val="single" w:sz="8" w:color="EEEEEE"/>
            </w:tcBorders>
          </w:tcPr>
          <w:p>
            <w:pPr>
              <w:spacing w:after="0"/>
              <w:rPr>
                <w:sz w:val="24"/>
                <w:szCs w:val="24"/>
                <w:color w:val="auto"/>
              </w:rPr>
            </w:pPr>
          </w:p>
        </w:tc>
        <w:tc>
          <w:tcPr>
            <w:tcW w:w="14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9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9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4" w:name="page35"/>
    <w:bookmarkEnd w:id="34"/>
    <w:p>
      <w:pPr>
        <w:spacing w:after="0" w:line="293" w:lineRule="exact"/>
        <w:rPr>
          <w:sz w:val="20"/>
          <w:szCs w:val="20"/>
          <w:color w:val="auto"/>
        </w:rPr>
      </w:pPr>
    </w:p>
    <w:p>
      <w:pPr>
        <w:ind w:right="280" w:firstLine="228"/>
        <w:spacing w:after="0" w:line="247" w:lineRule="auto"/>
        <w:rPr>
          <w:sz w:val="20"/>
          <w:szCs w:val="20"/>
          <w:color w:val="auto"/>
        </w:rPr>
      </w:pPr>
      <w:r>
        <w:rPr>
          <w:rFonts w:ascii="Times New Roman" w:cs="Times New Roman" w:eastAsia="Times New Roman" w:hAnsi="Times New Roman"/>
          <w:sz w:val="16"/>
          <w:szCs w:val="16"/>
          <w:color w:val="auto"/>
        </w:rPr>
        <w:t>The following tables present the fair value of Level 3 Investments at fair value and the significant unobservable inputs used in the valuations as of September 30, 2025 and December 31, 2024. The tables are not intended to be all-inclusive, but instead capture the significant unobservable inputs relevant to the Company’s determination of fair values.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74"/>
        </w:trPr>
        <w:tc>
          <w:tcPr>
            <w:tcW w:w="2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60" w:type="dxa"/>
            <w:vAlign w:val="bottom"/>
            <w:vMerge w:val="restart"/>
          </w:tcPr>
          <w:p>
            <w:pPr>
              <w:jc w:val="center"/>
              <w:ind w:left="111"/>
              <w:spacing w:after="0"/>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38"/>
        </w:trPr>
        <w:tc>
          <w:tcPr>
            <w:tcW w:w="2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6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208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660" w:type="dxa"/>
            <w:vAlign w:val="bottom"/>
            <w:gridSpan w:val="3"/>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Range (Weighted</w:t>
            </w:r>
          </w:p>
        </w:tc>
        <w:tc>
          <w:tcPr>
            <w:tcW w:w="156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w w:val="98"/>
              </w:rPr>
              <w:t>from an</w:t>
            </w:r>
          </w:p>
        </w:tc>
        <w:tc>
          <w:tcPr>
            <w:tcW w:w="0" w:type="dxa"/>
            <w:vAlign w:val="bottom"/>
          </w:tcPr>
          <w:p>
            <w:pPr>
              <w:spacing w:after="0"/>
              <w:rPr>
                <w:sz w:val="1"/>
                <w:szCs w:val="1"/>
                <w:color w:val="auto"/>
              </w:rPr>
            </w:pPr>
          </w:p>
        </w:tc>
      </w:tr>
      <w:tr>
        <w:trPr>
          <w:trHeight w:val="170"/>
        </w:trPr>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56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Technique</w:t>
            </w:r>
          </w:p>
        </w:tc>
        <w:tc>
          <w:tcPr>
            <w:tcW w:w="2080" w:type="dxa"/>
            <w:vAlign w:val="bottom"/>
          </w:tcPr>
          <w:p>
            <w:pPr>
              <w:ind w:left="86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440" w:type="dxa"/>
            <w:vAlign w:val="bottom"/>
          </w:tcPr>
          <w:p>
            <w:pPr>
              <w:spacing w:after="0"/>
              <w:rPr>
                <w:sz w:val="14"/>
                <w:szCs w:val="14"/>
                <w:color w:val="auto"/>
              </w:rPr>
            </w:pPr>
          </w:p>
        </w:tc>
        <w:tc>
          <w:tcPr>
            <w:tcW w:w="600" w:type="dxa"/>
            <w:vAlign w:val="bottom"/>
          </w:tcPr>
          <w:p>
            <w:pPr>
              <w:jc w:val="center"/>
              <w:ind w:left="9"/>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620" w:type="dxa"/>
            <w:vAlign w:val="bottom"/>
          </w:tcPr>
          <w:p>
            <w:pPr>
              <w:spacing w:after="0"/>
              <w:rPr>
                <w:sz w:val="14"/>
                <w:szCs w:val="14"/>
                <w:color w:val="auto"/>
              </w:rPr>
            </w:pPr>
          </w:p>
        </w:tc>
        <w:tc>
          <w:tcPr>
            <w:tcW w:w="156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Increase to Input</w:t>
            </w:r>
          </w:p>
        </w:tc>
        <w:tc>
          <w:tcPr>
            <w:tcW w:w="0" w:type="dxa"/>
            <w:vAlign w:val="bottom"/>
          </w:tcPr>
          <w:p>
            <w:pPr>
              <w:spacing w:after="0"/>
              <w:rPr>
                <w:sz w:val="1"/>
                <w:szCs w:val="1"/>
                <w:color w:val="auto"/>
              </w:rPr>
            </w:pPr>
          </w:p>
        </w:tc>
      </w:tr>
      <w:tr>
        <w:trPr>
          <w:trHeight w:val="168"/>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First-lien debt investments</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7,048,863</w:t>
            </w:r>
          </w:p>
        </w:tc>
        <w:tc>
          <w:tcPr>
            <w:tcW w:w="1560" w:type="dxa"/>
            <w:vAlign w:val="bottom"/>
            <w:shd w:val="clear" w:color="auto" w:fill="CFF0FC"/>
          </w:tcPr>
          <w:p>
            <w:pPr>
              <w:ind w:left="20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(1)</w:t>
            </w:r>
          </w:p>
        </w:tc>
        <w:tc>
          <w:tcPr>
            <w:tcW w:w="2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Discount rate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15.3%</w:t>
            </w:r>
          </w:p>
        </w:tc>
        <w:tc>
          <w:tcPr>
            <w:tcW w:w="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(9.9%)</w:t>
            </w:r>
          </w:p>
        </w:tc>
        <w:tc>
          <w:tcPr>
            <w:tcW w:w="1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Second-lien debt investments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33,986</w:t>
            </w:r>
          </w:p>
        </w:tc>
        <w:tc>
          <w:tcPr>
            <w:tcW w:w="15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approach</w:t>
            </w:r>
          </w:p>
        </w:tc>
        <w:tc>
          <w:tcPr>
            <w:tcW w:w="2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Discount rate</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14.1%</w:t>
            </w:r>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(13.9%)</w:t>
            </w:r>
          </w:p>
        </w:tc>
        <w:tc>
          <w:tcPr>
            <w:tcW w:w="1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Mezzanine debt investments</w:t>
            </w: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215,843</w:t>
            </w:r>
          </w:p>
        </w:tc>
        <w:tc>
          <w:tcPr>
            <w:tcW w:w="1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Income approach</w:t>
            </w:r>
          </w:p>
        </w:tc>
        <w:tc>
          <w:tcPr>
            <w:tcW w:w="2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Discount rate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11.1%</w:t>
            </w:r>
          </w:p>
        </w:tc>
        <w:tc>
          <w:tcPr>
            <w:tcW w:w="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(11.1%)</w:t>
            </w:r>
          </w:p>
        </w:tc>
        <w:tc>
          <w:tcPr>
            <w:tcW w:w="1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Equity and other investments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159,242</w:t>
            </w:r>
          </w:p>
        </w:tc>
        <w:tc>
          <w:tcPr>
            <w:tcW w:w="1560" w:type="dxa"/>
            <w:vAlign w:val="bottom"/>
          </w:tcPr>
          <w:p>
            <w:pPr>
              <w:ind w:left="200"/>
              <w:spacing w:after="0" w:line="168" w:lineRule="exact"/>
              <w:rPr>
                <w:sz w:val="20"/>
                <w:szCs w:val="20"/>
                <w:color w:val="auto"/>
              </w:rPr>
            </w:pPr>
            <w:r>
              <w:rPr>
                <w:rFonts w:ascii="Times New Roman" w:cs="Times New Roman" w:eastAsia="Times New Roman" w:hAnsi="Times New Roman"/>
                <w:sz w:val="14"/>
                <w:szCs w:val="14"/>
                <w:color w:val="auto"/>
              </w:rPr>
              <w:t xml:space="preserve">Market Multiple </w:t>
            </w:r>
            <w:r>
              <w:rPr>
                <w:rFonts w:ascii="Times New Roman" w:cs="Times New Roman" w:eastAsia="Times New Roman" w:hAnsi="Times New Roman"/>
                <w:sz w:val="19"/>
                <w:szCs w:val="19"/>
                <w:color w:val="auto"/>
                <w:vertAlign w:val="superscript"/>
              </w:rPr>
              <w:t>(2)</w:t>
            </w:r>
          </w:p>
        </w:tc>
        <w:tc>
          <w:tcPr>
            <w:tcW w:w="2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Comparable multiple</w:t>
            </w:r>
          </w:p>
        </w:tc>
        <w:tc>
          <w:tcPr>
            <w:tcW w:w="1660" w:type="dxa"/>
            <w:vAlign w:val="bottom"/>
            <w:gridSpan w:val="3"/>
          </w:tcPr>
          <w:p>
            <w:pPr>
              <w:jc w:val="center"/>
              <w:ind w:right="28"/>
              <w:spacing w:after="0"/>
              <w:rPr>
                <w:sz w:val="20"/>
                <w:szCs w:val="20"/>
                <w:color w:val="auto"/>
              </w:rPr>
            </w:pPr>
            <w:r>
              <w:rPr>
                <w:rFonts w:ascii="Times New Roman" w:cs="Times New Roman" w:eastAsia="Times New Roman" w:hAnsi="Times New Roman"/>
                <w:sz w:val="14"/>
                <w:szCs w:val="14"/>
                <w:color w:val="auto"/>
              </w:rPr>
              <w:t>2.0x — 25.0x (13.2x)</w:t>
            </w:r>
          </w:p>
        </w:tc>
        <w:tc>
          <w:tcPr>
            <w:tcW w:w="1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188"/>
        </w:trPr>
        <w:tc>
          <w:tcPr>
            <w:tcW w:w="2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7,457,934</w:t>
            </w:r>
          </w:p>
        </w:tc>
        <w:tc>
          <w:tcPr>
            <w:tcW w:w="1560" w:type="dxa"/>
            <w:vAlign w:val="bottom"/>
            <w:shd w:val="clear" w:color="auto" w:fill="CFF0FC"/>
          </w:tcPr>
          <w:p>
            <w:pPr>
              <w:spacing w:after="0"/>
              <w:rPr>
                <w:sz w:val="16"/>
                <w:szCs w:val="16"/>
                <w:color w:val="auto"/>
              </w:rPr>
            </w:pPr>
          </w:p>
        </w:tc>
        <w:tc>
          <w:tcPr>
            <w:tcW w:w="20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(1)Includes $51.6 million of first-lien debt investments valued using an asset waterfall.</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(2)Includes $57.3 million of equity investments valued using a discounted cash flow analysis.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6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80" w:type="dxa"/>
            <w:vAlign w:val="bottom"/>
          </w:tcPr>
          <w:p>
            <w:pPr>
              <w:spacing w:after="0"/>
              <w:rPr>
                <w:sz w:val="15"/>
                <w:szCs w:val="15"/>
                <w:color w:val="auto"/>
              </w:rPr>
            </w:pPr>
          </w:p>
        </w:tc>
        <w:tc>
          <w:tcPr>
            <w:tcW w:w="1620" w:type="dxa"/>
            <w:vAlign w:val="bottom"/>
            <w:vMerge w:val="restart"/>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38"/>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8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206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Range (Weighted</w:t>
            </w:r>
          </w:p>
        </w:tc>
        <w:tc>
          <w:tcPr>
            <w:tcW w:w="162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from an</w:t>
            </w:r>
          </w:p>
        </w:tc>
        <w:tc>
          <w:tcPr>
            <w:tcW w:w="0" w:type="dxa"/>
            <w:vAlign w:val="bottom"/>
          </w:tcPr>
          <w:p>
            <w:pPr>
              <w:spacing w:after="0"/>
              <w:rPr>
                <w:sz w:val="1"/>
                <w:szCs w:val="1"/>
                <w:color w:val="auto"/>
              </w:rPr>
            </w:pPr>
          </w:p>
        </w:tc>
      </w:tr>
      <w:tr>
        <w:trPr>
          <w:trHeight w:val="170"/>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58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Technique</w:t>
            </w:r>
          </w:p>
        </w:tc>
        <w:tc>
          <w:tcPr>
            <w:tcW w:w="2060" w:type="dxa"/>
            <w:vAlign w:val="bottom"/>
          </w:tcPr>
          <w:p>
            <w:pPr>
              <w:ind w:left="86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Average)</w:t>
            </w:r>
          </w:p>
        </w:tc>
        <w:tc>
          <w:tcPr>
            <w:tcW w:w="162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Increase to Input</w:t>
            </w:r>
          </w:p>
        </w:tc>
        <w:tc>
          <w:tcPr>
            <w:tcW w:w="0" w:type="dxa"/>
            <w:vAlign w:val="bottom"/>
          </w:tcPr>
          <w:p>
            <w:pPr>
              <w:spacing w:after="0"/>
              <w:rPr>
                <w:sz w:val="1"/>
                <w:szCs w:val="1"/>
                <w:color w:val="auto"/>
              </w:rPr>
            </w:pPr>
          </w:p>
        </w:tc>
      </w:tr>
      <w:tr>
        <w:trPr>
          <w:trHeight w:val="168"/>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First-lien debt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6,728,411</w:t>
            </w:r>
          </w:p>
        </w:tc>
        <w:tc>
          <w:tcPr>
            <w:tcW w:w="1580" w:type="dxa"/>
            <w:vAlign w:val="bottom"/>
            <w:shd w:val="clear" w:color="auto" w:fill="CFF0FC"/>
          </w:tcPr>
          <w:p>
            <w:pPr>
              <w:ind w:left="22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(1)</w:t>
            </w:r>
          </w:p>
        </w:tc>
        <w:tc>
          <w:tcPr>
            <w:tcW w:w="20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7.7% — 17.1% (10.6%)</w:t>
            </w:r>
          </w:p>
        </w:tc>
        <w:tc>
          <w:tcPr>
            <w:tcW w:w="1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Second-lien debt investments</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93,469</w:t>
            </w: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approach</w:t>
            </w:r>
          </w:p>
        </w:tc>
        <w:tc>
          <w:tcPr>
            <w:tcW w:w="2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14.7% — 18.1% (17.8%)</w:t>
            </w:r>
          </w:p>
        </w:tc>
        <w:tc>
          <w:tcPr>
            <w:tcW w:w="1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Mezzanine debt investments</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123,184</w:t>
            </w:r>
          </w:p>
        </w:tc>
        <w:tc>
          <w:tcPr>
            <w:tcW w:w="15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Income approach</w:t>
            </w:r>
          </w:p>
        </w:tc>
        <w:tc>
          <w:tcPr>
            <w:tcW w:w="20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12.2% — 12.2% (12.2%)</w:t>
            </w:r>
          </w:p>
        </w:tc>
        <w:tc>
          <w:tcPr>
            <w:tcW w:w="1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Equity and other investments</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154,511</w:t>
            </w:r>
          </w:p>
        </w:tc>
        <w:tc>
          <w:tcPr>
            <w:tcW w:w="1580" w:type="dxa"/>
            <w:vAlign w:val="bottom"/>
          </w:tcPr>
          <w:p>
            <w:pPr>
              <w:ind w:left="220"/>
              <w:spacing w:after="0" w:line="168" w:lineRule="exact"/>
              <w:rPr>
                <w:sz w:val="20"/>
                <w:szCs w:val="20"/>
                <w:color w:val="auto"/>
              </w:rPr>
            </w:pPr>
            <w:r>
              <w:rPr>
                <w:rFonts w:ascii="Times New Roman" w:cs="Times New Roman" w:eastAsia="Times New Roman" w:hAnsi="Times New Roman"/>
                <w:sz w:val="14"/>
                <w:szCs w:val="14"/>
                <w:color w:val="auto"/>
              </w:rPr>
              <w:t xml:space="preserve">Market Multiple </w:t>
            </w:r>
            <w:r>
              <w:rPr>
                <w:rFonts w:ascii="Times New Roman" w:cs="Times New Roman" w:eastAsia="Times New Roman" w:hAnsi="Times New Roman"/>
                <w:sz w:val="19"/>
                <w:szCs w:val="19"/>
                <w:color w:val="auto"/>
                <w:vertAlign w:val="superscript"/>
              </w:rPr>
              <w:t>(2)</w:t>
            </w:r>
          </w:p>
        </w:tc>
        <w:tc>
          <w:tcPr>
            <w:tcW w:w="2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Comparable multiple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4.8x — 20.0x (11.0x)</w:t>
            </w:r>
          </w:p>
        </w:tc>
        <w:tc>
          <w:tcPr>
            <w:tcW w:w="1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208"/>
        </w:trPr>
        <w:tc>
          <w:tcPr>
            <w:tcW w:w="27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7,099,575</w:t>
            </w:r>
          </w:p>
        </w:tc>
        <w:tc>
          <w:tcPr>
            <w:tcW w:w="158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(1)Includes $226.4 million of first-lien debt investments valued using an asset waterfall.</w:t>
      </w:r>
    </w:p>
    <w:p>
      <w:pPr>
        <w:spacing w:after="0" w:line="92" w:lineRule="exact"/>
        <w:rPr>
          <w:sz w:val="20"/>
          <w:szCs w:val="20"/>
          <w:color w:val="auto"/>
        </w:rPr>
      </w:pPr>
    </w:p>
    <w:p>
      <w:pPr>
        <w:ind w:left="480" w:right="60"/>
        <w:spacing w:after="0" w:line="259" w:lineRule="auto"/>
        <w:rPr>
          <w:sz w:val="20"/>
          <w:szCs w:val="20"/>
          <w:color w:val="auto"/>
        </w:rPr>
      </w:pPr>
      <w:r>
        <w:rPr>
          <w:rFonts w:ascii="Times New Roman" w:cs="Times New Roman" w:eastAsia="Times New Roman" w:hAnsi="Times New Roman"/>
          <w:sz w:val="16"/>
          <w:szCs w:val="16"/>
          <w:color w:val="auto"/>
        </w:rPr>
        <w:t>(2)Includes $8.3 million of equity investments valued using a Black-Scholes model and $49.1 million of equity investments valued using a discounted cash flow analysis.</w:t>
      </w:r>
    </w:p>
    <w:p>
      <w:pPr>
        <w:spacing w:after="0" w:line="155"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69"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 -down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Instruments Not Carried at Fair Value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w:t>
      </w:r>
    </w:p>
    <w:p>
      <w:pPr>
        <w:spacing w:after="0" w:line="92"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The fair value of the Company’s Credit Facilities, which are categorized as Level 3 within the fair value hierarchy, as of September 30, 2025 and December 31, 2024, approximates their carrying value as the outstanding balance is callable at carrying value.</w:t>
      </w:r>
    </w:p>
    <w:p>
      <w:pPr>
        <w:spacing w:after="0" w:line="155"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fair value of the Company’s 2029 Notes, January 2030 Notes and July 2030 Notes as of September 30, 2025, and December 31, 2024.</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5" w:name="page36"/>
    <w:bookmarkEnd w:id="35"/>
    <w:tbl>
      <w:tblPr>
        <w:tblLayout w:type="fixed"/>
        <w:tblInd w:w="580" w:type="dxa"/>
        <w:tblCellMar>
          <w:top w:w="0" w:type="dxa"/>
          <w:left w:w="0" w:type="dxa"/>
          <w:bottom w:w="0" w:type="dxa"/>
          <w:right w:w="0" w:type="dxa"/>
        </w:tblCellMar>
      </w:tblPr>
      <w:tr>
        <w:trPr>
          <w:trHeight w:val="169"/>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5"/>
          </w:tcPr>
          <w:p>
            <w:pPr>
              <w:jc w:val="right"/>
              <w:ind w:right="10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gridSpan w:val="6"/>
          </w:tcPr>
          <w:p>
            <w:pPr>
              <w:ind w:left="44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1"/>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Principal</w:t>
            </w:r>
          </w:p>
        </w:tc>
        <w:tc>
          <w:tcPr>
            <w:tcW w:w="300" w:type="dxa"/>
            <w:vAlign w:val="bottom"/>
          </w:tcPr>
          <w:p>
            <w:pPr>
              <w:spacing w:after="0"/>
              <w:rPr>
                <w:sz w:val="15"/>
                <w:szCs w:val="15"/>
                <w:color w:val="auto"/>
              </w:rPr>
            </w:pPr>
          </w:p>
        </w:tc>
        <w:tc>
          <w:tcPr>
            <w:tcW w:w="1200" w:type="dxa"/>
            <w:vAlign w:val="bottom"/>
            <w:gridSpan w:val="2"/>
          </w:tcPr>
          <w:p>
            <w:pPr>
              <w:jc w:val="right"/>
              <w:ind w:right="38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Principal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6"/>
                <w:szCs w:val="16"/>
                <w:b w:val="1"/>
                <w:bCs w:val="1"/>
                <w:color w:val="auto"/>
                <w:vertAlign w:val="superscript"/>
              </w:rPr>
              <w:t>(1)</w:t>
            </w:r>
          </w:p>
        </w:tc>
      </w:tr>
      <w:tr>
        <w:trPr>
          <w:trHeight w:val="180"/>
        </w:trPr>
        <w:tc>
          <w:tcPr>
            <w:tcW w:w="3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780,168</w:t>
            </w:r>
          </w:p>
        </w:tc>
        <w:tc>
          <w:tcPr>
            <w:tcW w:w="460" w:type="dxa"/>
            <w:vAlign w:val="bottom"/>
            <w:gridSpan w:val="2"/>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759,645</w:t>
            </w:r>
          </w:p>
        </w:tc>
      </w:tr>
      <w:tr>
        <w:trPr>
          <w:trHeight w:val="180"/>
        </w:trPr>
        <w:tc>
          <w:tcPr>
            <w:tcW w:w="3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January 2030 Notes</w:t>
            </w:r>
          </w:p>
        </w:tc>
        <w:tc>
          <w:tcPr>
            <w:tcW w:w="100" w:type="dxa"/>
            <w:vAlign w:val="bottom"/>
          </w:tcPr>
          <w:p>
            <w:pPr>
              <w:spacing w:after="0"/>
              <w:rPr>
                <w:sz w:val="15"/>
                <w:szCs w:val="15"/>
                <w:color w:val="auto"/>
              </w:rPr>
            </w:pPr>
          </w:p>
        </w:tc>
        <w:tc>
          <w:tcPr>
            <w:tcW w:w="14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600,000</w:t>
            </w:r>
          </w:p>
        </w:tc>
        <w:tc>
          <w:tcPr>
            <w:tcW w:w="300" w:type="dxa"/>
            <w:vAlign w:val="bottom"/>
          </w:tcPr>
          <w:p>
            <w:pPr>
              <w:spacing w:after="0"/>
              <w:rPr>
                <w:sz w:val="15"/>
                <w:szCs w:val="15"/>
                <w:color w:val="auto"/>
              </w:rPr>
            </w:pPr>
          </w:p>
        </w:tc>
        <w:tc>
          <w:tcPr>
            <w:tcW w:w="12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609,810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588,680</w:t>
            </w:r>
          </w:p>
        </w:tc>
      </w:tr>
      <w:tr>
        <w:trPr>
          <w:trHeight w:val="180"/>
        </w:trPr>
        <w:tc>
          <w:tcPr>
            <w:tcW w:w="3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2030 Notes</w:t>
            </w:r>
          </w:p>
        </w:tc>
        <w:tc>
          <w:tcPr>
            <w:tcW w:w="10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3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775,925</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348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2,100,000</w:t>
            </w:r>
          </w:p>
        </w:tc>
        <w:tc>
          <w:tcPr>
            <w:tcW w:w="80" w:type="dxa"/>
            <w:vAlign w:val="bottom"/>
          </w:tcPr>
          <w:p>
            <w:pPr>
              <w:spacing w:after="0"/>
              <w:rPr>
                <w:sz w:val="15"/>
                <w:szCs w:val="15"/>
                <w:color w:val="auto"/>
              </w:rPr>
            </w:pPr>
          </w:p>
        </w:tc>
        <w:tc>
          <w:tcPr>
            <w:tcW w:w="30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2,165,903</w:t>
            </w:r>
          </w:p>
        </w:tc>
        <w:tc>
          <w:tcPr>
            <w:tcW w:w="100" w:type="dxa"/>
            <w:vAlign w:val="bottom"/>
          </w:tcPr>
          <w:p>
            <w:pPr>
              <w:spacing w:after="0"/>
              <w:rPr>
                <w:sz w:val="15"/>
                <w:szCs w:val="15"/>
                <w:color w:val="auto"/>
              </w:rPr>
            </w:pPr>
          </w:p>
        </w:tc>
        <w:tc>
          <w:tcPr>
            <w:tcW w:w="46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1,350,000</w:t>
            </w:r>
          </w:p>
        </w:tc>
        <w:tc>
          <w:tcPr>
            <w:tcW w:w="80" w:type="dxa"/>
            <w:vAlign w:val="bottom"/>
          </w:tcPr>
          <w:p>
            <w:pPr>
              <w:spacing w:after="0"/>
              <w:rPr>
                <w:sz w:val="15"/>
                <w:szCs w:val="15"/>
                <w:color w:val="auto"/>
              </w:rPr>
            </w:pPr>
          </w:p>
        </w:tc>
        <w:tc>
          <w:tcPr>
            <w:tcW w:w="2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1,348,325</w:t>
            </w:r>
          </w:p>
        </w:tc>
        <w:tc>
          <w:tcPr>
            <w:tcW w:w="80" w:type="dxa"/>
            <w:vAlign w:val="bottom"/>
          </w:tcPr>
          <w:p>
            <w:pPr>
              <w:spacing w:after="0"/>
              <w:rPr>
                <w:sz w:val="15"/>
                <w:szCs w:val="15"/>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(1)The fair value is based on broker quotes received by the Company and is categorized as Level 2 within the fair value hierarchy.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Financial Assets and Liabilities</w:t>
      </w:r>
    </w:p>
    <w:p>
      <w:pPr>
        <w:spacing w:after="0" w:line="92"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Under the fair value hierarchy, cash and cash equivalents are classified as Level 1 while the Company’s other assets and liabilities, other than investments at fair value and the Credit Facilities, are classified as Level 2.</w:t>
      </w:r>
    </w:p>
    <w:p>
      <w:pPr>
        <w:spacing w:after="0" w:line="249" w:lineRule="exact"/>
        <w:rPr>
          <w:sz w:val="20"/>
          <w:szCs w:val="20"/>
          <w:color w:val="auto"/>
        </w:rPr>
      </w:pPr>
    </w:p>
    <w:p>
      <w:pPr>
        <w:ind w:right="9220" w:firstLine="6"/>
        <w:spacing w:after="0" w:line="413" w:lineRule="auto"/>
        <w:tabs>
          <w:tab w:leader="none" w:pos="156"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Debt </w:t>
      </w:r>
      <w:r>
        <w:rPr>
          <w:rFonts w:ascii="Times New Roman" w:cs="Times New Roman" w:eastAsia="Times New Roman" w:hAnsi="Times New Roman"/>
          <w:sz w:val="14"/>
          <w:szCs w:val="14"/>
          <w:i w:val="1"/>
          <w:iCs w:val="1"/>
          <w:color w:val="auto"/>
        </w:rPr>
        <w:t>Subscription Facility</w:t>
      </w:r>
    </w:p>
    <w:p>
      <w:pPr>
        <w:ind w:right="280" w:firstLine="228"/>
        <w:spacing w:after="0" w:line="247" w:lineRule="auto"/>
        <w:rPr>
          <w:sz w:val="20"/>
          <w:szCs w:val="20"/>
          <w:color w:val="auto"/>
        </w:rPr>
      </w:pPr>
      <w:r>
        <w:rPr>
          <w:rFonts w:ascii="Times New Roman" w:cs="Times New Roman" w:eastAsia="Times New Roman" w:hAnsi="Times New Roman"/>
          <w:sz w:val="16"/>
          <w:szCs w:val="16"/>
          <w:color w:val="auto"/>
        </w:rPr>
        <w:t>On September 1, 2022, the Company entered into a revolving credit agreement (the “Subscription Facility”) with Wells Fargo Bank, National Association, as administrative agent (the “Administrative Agent”), letter of credit issuer, lead arranger, as a lender and aggregate commitments under the Subscription Facility were $400 million.</w:t>
      </w:r>
    </w:p>
    <w:p>
      <w:pPr>
        <w:spacing w:after="0" w:line="68" w:lineRule="exact"/>
        <w:rPr>
          <w:sz w:val="20"/>
          <w:szCs w:val="20"/>
          <w:color w:val="auto"/>
        </w:rPr>
      </w:pPr>
    </w:p>
    <w:p>
      <w:pPr>
        <w:ind w:firstLine="228"/>
        <w:spacing w:after="0" w:line="277" w:lineRule="auto"/>
        <w:rPr>
          <w:sz w:val="20"/>
          <w:szCs w:val="20"/>
          <w:color w:val="auto"/>
        </w:rPr>
      </w:pPr>
      <w:r>
        <w:rPr>
          <w:rFonts w:ascii="Times New Roman" w:cs="Times New Roman" w:eastAsia="Times New Roman" w:hAnsi="Times New Roman"/>
          <w:sz w:val="14"/>
          <w:szCs w:val="14"/>
          <w:color w:val="auto"/>
        </w:rPr>
        <w:t>Pursuant to an amendment to the Subscription Facility dated as of December 21, 2022 (the “Subscription Facility First Amendment”), the aggregate commitments under the Subscription Facility were upsized to $700 million. Pursuant to lender joinder agreements dated January 18, 2023 and January 27, 2023, the aggregate commitments under the Subscription Facility were upsized to $800 million and $850 million, respectively. Pursuant to lender joinder agreements dated March 28, 2023, the aggregate commitments under the Subscription Facility were upsized to $1.3 billion. Pursuant to a lender joinder agreement dated April 27, 2023, the aggregate commitments under the Subscription Facility were upsized to $1.35 billion. Pursuant to a lender joinder agreement dated December 1, 2023, the aggregate commitments under the Subscription Facility were upsized to $1.5 billion (the “Maximum Commitment”). On July 3, 2024, the Company exercised its option to extend the stated maturity date to August 29, 2025. Pursuant to the second amendment to the Subscription Facility dated as of August 29, 2025 (the “Subscription Facility Second Amendment”), the aggregate commitments under the Subscription Facility were reduced to $500 million and the stated maturity date was extended to August 28, 2026.</w:t>
      </w:r>
    </w:p>
    <w:p>
      <w:pPr>
        <w:spacing w:after="0" w:line="50"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Borrowings under the Subscription Facility bear interest, at our election at the time of drawdown, at a rate per annum equal to (i) in the case of loans denominated in dollars, at our option (a) an adjusted Daily Simple SOFR rate plus 1.80%, (b) an adjusted Term SOFR rate for the applicable interest period plus 1.80% and (c) in the case of reference rate loans, 0.80%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1.80% or (iii) in the case of loans denominated in sterling, the adjusted SONIA rate plus 1.80%. SONIA loans are subject to a credit spread adjustment of 0.0326%. Loans denominated in dollars may be converted from one rate applicable to dollar denominated loans to another at any time at our election, subject to certain conditions. The Company also will pay an unused commitment fee of 0.25% per annum on the unused commitments.</w:t>
      </w:r>
    </w:p>
    <w:p>
      <w:pPr>
        <w:spacing w:after="0" w:line="170"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The Company may borrow amounts in U.S. dollars or certain other permitted currencies. As of September 30, 2025, the Company had outstanding debt denominated in British pounds (GBP) of 10.3 million and Euros (EUR) of 39.7 million on its Subscription Facility, included in the outstanding principal amount in the table below. As of December 31, 2024, the Company had outstanding debt denominated in British pounds (GBP) of 10.3 million, and Euros (EUR) of 7.3 million on its Subscription Facility, included in the outstanding principal amount in the table below.</w:t>
      </w:r>
    </w:p>
    <w:p>
      <w:pPr>
        <w:spacing w:after="0" w:line="167"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The amount available for borrowing under the Subscription Facility is reduced by any letters of credit issued through the Subscription Facility. As of September 30, 2025 and December 31, 2024, the Company had no outstanding letters of credit issued through the Subscription Facility.</w:t>
      </w:r>
    </w:p>
    <w:p>
      <w:pPr>
        <w:spacing w:after="0" w:line="155" w:lineRule="exact"/>
        <w:rPr>
          <w:sz w:val="20"/>
          <w:szCs w:val="20"/>
          <w:color w:val="auto"/>
        </w:rPr>
      </w:pPr>
    </w:p>
    <w:p>
      <w:pPr>
        <w:ind w:right="640" w:firstLine="228"/>
        <w:spacing w:after="0" w:line="259" w:lineRule="auto"/>
        <w:rPr>
          <w:sz w:val="20"/>
          <w:szCs w:val="20"/>
          <w:color w:val="auto"/>
        </w:rPr>
      </w:pPr>
      <w:r>
        <w:rPr>
          <w:rFonts w:ascii="Times New Roman" w:cs="Times New Roman" w:eastAsia="Times New Roman" w:hAnsi="Times New Roman"/>
          <w:sz w:val="16"/>
          <w:szCs w:val="16"/>
          <w:color w:val="auto"/>
        </w:rPr>
        <w:t>The Subscription Facility includes customary events of default, as well as customary covenants, including restrictions on certain distributions and financial covenants.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September 30, 2025 and December 31, 2024, the Company was in compliance with the terms of the Subscription Facility.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8" w:right="700" w:bottom="1440" w:gutter="0" w:footer="0" w:header="0"/>
        </w:sectPr>
      </w:pPr>
    </w:p>
    <w:bookmarkStart w:id="36" w:name="page37"/>
    <w:bookmarkEnd w:id="36"/>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94" w:lineRule="exact"/>
        <w:rPr>
          <w:sz w:val="20"/>
          <w:szCs w:val="20"/>
          <w:color w:val="auto"/>
        </w:rPr>
      </w:pPr>
    </w:p>
    <w:p>
      <w:pPr>
        <w:ind w:right="220" w:firstLine="228"/>
        <w:spacing w:after="0" w:line="247" w:lineRule="auto"/>
        <w:rPr>
          <w:sz w:val="20"/>
          <w:szCs w:val="20"/>
          <w:color w:val="auto"/>
        </w:rPr>
      </w:pPr>
      <w:r>
        <w:rPr>
          <w:rFonts w:ascii="Times New Roman" w:cs="Times New Roman" w:eastAsia="Times New Roman" w:hAnsi="Times New Roman"/>
          <w:sz w:val="16"/>
          <w:szCs w:val="16"/>
          <w:color w:val="auto"/>
        </w:rPr>
        <w:t>On January 19, 2023, the Company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164" w:lineRule="exact"/>
        <w:rPr>
          <w:sz w:val="20"/>
          <w:szCs w:val="20"/>
          <w:color w:val="auto"/>
        </w:rPr>
      </w:pPr>
    </w:p>
    <w:p>
      <w:pPr>
        <w:ind w:firstLine="228"/>
        <w:spacing w:after="0" w:line="273" w:lineRule="auto"/>
        <w:rPr>
          <w:sz w:val="20"/>
          <w:szCs w:val="20"/>
          <w:color w:val="auto"/>
        </w:rPr>
      </w:pPr>
      <w:r>
        <w:rPr>
          <w:rFonts w:ascii="Times New Roman" w:cs="Times New Roman" w:eastAsia="Times New Roman" w:hAnsi="Times New Roman"/>
          <w:sz w:val="14"/>
          <w:szCs w:val="14"/>
          <w:color w:val="auto"/>
        </w:rPr>
        <w:t>The aggregate commitments under the Revolving Credit Facility were $600 million and included an uncommitted accordion feature that allows the Company, under certain circumstances, to increase the size of the Revolving Credit Facility up to $1 billion. On February 28, 2023, the aggregate commitments under the Revolving Credit Facility were upsized to $700 million. On July 27, 2023, the aggregate commitments under the Revolving Credit Facility were upsized to $725 million. Pursuant to the first amendment to the Revolving Credit Facility dated February 8, 2024, the aggregate commitments under the Revolving Credit Facility were upsized to $1.0 billion and the stated maturity date was extended to February 8, 2029. On April 8, 2024, the aggregate commitments under the Revolving Credit Facility were upsized to</w:t>
      </w:r>
    </w:p>
    <w:p>
      <w:pPr>
        <w:spacing w:after="0" w:line="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6"/>
          <w:szCs w:val="16"/>
          <w:color w:val="auto"/>
        </w:rPr>
        <w:t>$1.2 billion. On May 23, 2024, pursuant to the second amendment, the aggregate commitments under the Revolving Credit Facility were upsized to $1.375 billion, which included a term loan commitment of $100 million, due at the stated maturity. On June 27, 2024, the aggregate commitments under the Revolving Credit Facility were upsized to $1.425 billion. On December 18, 2024, the aggregate commitments under the Revolving Credit Facility were upsized to $1.55 billion, which included a term loan commitment of an additional $50 million, due at the stated maturity. On January 17, 2025, the aggregate commitments under the Revolving Credit Facility were upsized to $1.65 billion, due at the stated maturity. On March 4, 2025, pursuant to the third amendment, the aggregate commitments under the Revolving Credit Facility were upsized to $2.28 billion and the stated maturity was extended to March 4, 2030. On August 26, 2025, the aggregate commitments under the Revolving Credit Facility were upsized to $2.425 billion, which included a term loan commitment of an additional $50 million, due at the stated maturity. On September 23, 2025, pursuant to the fourth amendment, the aggregate commitments under the Revolving Credit Facility were upsized to $2.675 billion, due at the stated maturity. The Revolving Credit Facility includes an uncommitted accordion feature that allows the Company, under certain circumstances, to increase the size of the Revolving Credit Facility to up to $3.42 billion. The Revolving Credit Facility will mature on March 4, 2030.</w:t>
      </w:r>
    </w:p>
    <w:p>
      <w:pPr>
        <w:spacing w:after="0" w:line="173"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Borrowings under the Revolving Credit Facility, including amounts drawn in respect of letters of credit, bear interest, at our election at the time of drawdown, at a rate per annum equal to (i) in the case of loans denominated in dollars, at our option (a) adjusted Term SOFR plus 1.525%, 1.65%, or 1.775%, based on certain borrowing base conditions and (b) an alternative base rate plus 0.525%, 0.65% or 0.775%, based on certain borrowing base conditions, (ii) in the case of loans denominated in other permitted currencies at the relevant rate specified plus 0.525%, 0.65% or 1.775%, based on certain borrowing base conditions, plus in the case of amounts denominated in certain other permitted currencies, an adjustment. We also will pay an unused commitment fee of 0.325% per annum on the unused commitments.</w:t>
      </w:r>
    </w:p>
    <w:p>
      <w:pPr>
        <w:spacing w:after="0" w:line="173" w:lineRule="exact"/>
        <w:rPr>
          <w:sz w:val="20"/>
          <w:szCs w:val="20"/>
          <w:color w:val="auto"/>
        </w:rPr>
      </w:pPr>
    </w:p>
    <w:p>
      <w:pPr>
        <w:jc w:val="both"/>
        <w:ind w:right="14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64" w:lineRule="exact"/>
        <w:rPr>
          <w:sz w:val="20"/>
          <w:szCs w:val="20"/>
          <w:color w:val="auto"/>
        </w:rPr>
      </w:pPr>
    </w:p>
    <w:p>
      <w:pPr>
        <w:ind w:right="34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includes customary events of default, as well as customary covenants, including restrictions on certain distributions and financial covenants. In accordance with the terms of the Revolving Credit Agreement, the financial covenants require:</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•an asset coverage ratio of no less than 2 to 1 on the last day of any fiscal quarter;</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•shareholders’ equity of at least $2.42 billion plus 25% of the net proceeds of the sale of equity interests after March 4, 2025; and</w:t>
      </w:r>
    </w:p>
    <w:p>
      <w:pPr>
        <w:spacing w:after="0" w:line="92" w:lineRule="exact"/>
        <w:rPr>
          <w:sz w:val="20"/>
          <w:szCs w:val="20"/>
          <w:color w:val="auto"/>
        </w:rPr>
      </w:pPr>
    </w:p>
    <w:p>
      <w:pPr>
        <w:ind w:left="480" w:right="20"/>
        <w:spacing w:after="0" w:line="247" w:lineRule="auto"/>
        <w:rPr>
          <w:sz w:val="20"/>
          <w:szCs w:val="20"/>
          <w:color w:val="auto"/>
        </w:rPr>
      </w:pPr>
      <w:r>
        <w:rPr>
          <w:rFonts w:ascii="Times New Roman" w:cs="Times New Roman" w:eastAsia="Times New Roman" w:hAnsi="Times New Roman"/>
          <w:sz w:val="16"/>
          <w:szCs w:val="16"/>
          <w:color w:val="auto"/>
        </w:rPr>
        <w:t>•minimum asset coverage ratio of no less than 1.5 to 1 with respect to (i) the consolidated assets of the Company and the subsidiary guarantors (including certain limitations on the contribution of equity in financing subsidiaries) to (ii) the secured debt of the Company and its subsidiary guarantors (the “Obligor Asset Coverage Ratio”).</w:t>
      </w:r>
    </w:p>
    <w:p>
      <w:pPr>
        <w:spacing w:after="0" w:line="164"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also contains certain additional concentration limits in connection with the calculation of the borrowing base, based on the Obligor Asset Coverage Ratio.</w:t>
      </w:r>
    </w:p>
    <w:p>
      <w:pPr>
        <w:spacing w:after="0" w:line="155"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4"/>
          <w:szCs w:val="14"/>
          <w:color w:val="auto"/>
        </w:rPr>
        <w:t>The Company may borrow amounts in U.S. dollars or certain other permitted currencies. As of September 30, 2025, the Company had outstanding debt denominated in British pounds (GBP) of 301.6 million, Euros (EUR) 946.5 million and Swedish Krona (SEK) 211.3 million on its Revolving Credit Facility, included in the outstanding principal amount in the table below. As of December 31, 2024, the Company had outstanding debt denominated in British pounds (GBP) of 299.2 million, Euros (EUR) 640.1 million and Swedish Krona (SEK) 80.2 million on its Revolving Credit Facility, included in the outstanding principal amount in the table below.</w:t>
      </w:r>
    </w:p>
    <w:p>
      <w:pPr>
        <w:spacing w:after="0" w:line="137" w:lineRule="exact"/>
        <w:rPr>
          <w:sz w:val="20"/>
          <w:szCs w:val="20"/>
          <w:color w:val="auto"/>
        </w:rPr>
      </w:pPr>
    </w:p>
    <w:p>
      <w:pPr>
        <w:jc w:val="both"/>
        <w:ind w:right="6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also provides for the issuance of letters of credit up to an aggregate amount of $100 million. As of September 30, 2025, the Company had $32.0 million in outstanding letters of credit issued through the Revolving Credit Facility. As of December 31, 2024, the Company had $5.9 million in outstanding letters of credit issued through the Revolving Credit Facility. The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7" w:name="page38"/>
    <w:bookmarkEnd w:id="37"/>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amount available for borrowing under the Revolving Credit Facility is reduced by any letters of credit issued through the Revolving Credit Facility.</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Revolving Credit Facility includes customary events of default (with customary cure and notice provisions).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September 30, 2025 and December 31, 2024, the Company was in compliance with the terms of the Revolving Credit Facility.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2029 Notes</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In March 2024, the Company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the Company’s option at any time at par plus a “make whole” premium. Total proceeds from the issuance of the 2029 Notes, net of underwriting discounts, offering costs and original issue discount, were $586.0 million. The Company used the net proceeds of the 2029 Notes to repay outstanding indebtedness under the Revolving Credit Facility and Subscription Facility.</w:t>
      </w:r>
    </w:p>
    <w:p>
      <w:pPr>
        <w:spacing w:after="0" w:line="169"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In June 2024, the Company issued an additional $150 million aggregate principal amount of unsecured notes that mature on March 11, 2029. The additional 2029 Notes are a further issuance of, fungible with, rank equally in right of payment with and have the same terms (other than the issue date and the public offering price) as the initial issuance of the 2029 Notes. Total proceeds from the issuance of the additional 2029 Notes, net of underwriting discounts, offering costs and original issue premium were $147.8 million. The Company used the net proceeds of the 2029 Notes to repay outstanding indebtedness under the Revolving Credit Facility and Subscription Facility.</w:t>
      </w:r>
    </w:p>
    <w:p>
      <w:pPr>
        <w:spacing w:after="0" w:line="169"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The Company entered into two interest rate swaps to align the interest rates of its liabilities with the Company’s investment portfolio, which consists of predominately floating rate loans. The notional amount of the two interest rates swaps is $600.0 million and $150.0 million, respectively, each of which matures on March 11, 2029, matching the maturity date of the 2029 Notes. As a result of the swap, the Company’s effective interest rate on the 2029 Notes is SOFR plus 2.45% (on a weighted average basis). The interest expense related to the 2029 Notes is offset by proceeds received from the interest rate swaps designated as a hedge. The swap adjusted interest expense is included as a component of interest expense on the Company’s Consolidated Statements of Operations. As of September 30, 2025 and December 31, 2024, the effective hedge interest rate swaps had a fair value of $16.1 million and $(1.1) million, respectively, which is offset within interest expense by an equal, but opposite, fair value change for the hedged risk on the 2029 Notes.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January 2030 Notes</w:t>
      </w:r>
    </w:p>
    <w:p>
      <w:pPr>
        <w:spacing w:after="0" w:line="190" w:lineRule="exact"/>
        <w:rPr>
          <w:sz w:val="20"/>
          <w:szCs w:val="20"/>
          <w:color w:val="auto"/>
        </w:rPr>
      </w:pPr>
    </w:p>
    <w:p>
      <w:pPr>
        <w:ind w:right="160" w:firstLine="228"/>
        <w:spacing w:after="0" w:line="241" w:lineRule="auto"/>
        <w:rPr>
          <w:sz w:val="20"/>
          <w:szCs w:val="20"/>
          <w:color w:val="auto"/>
        </w:rPr>
      </w:pPr>
      <w:r>
        <w:rPr>
          <w:rFonts w:ascii="Times New Roman" w:cs="Times New Roman" w:eastAsia="Times New Roman" w:hAnsi="Times New Roman"/>
          <w:sz w:val="16"/>
          <w:szCs w:val="16"/>
          <w:color w:val="auto"/>
        </w:rPr>
        <w:t>In September 2024, the Company issued $600 million aggregate principal amount of unsecured notes that mature on January 15, 2030 (the “January 2030 Notes”). The principal amount of the January 2030 Notes is payable at maturity. The January 2030 Notes bear interest at a rate of 5.75% per year, payable semi- annually commencing on January 15, 2025, and may be redeemed in whole or in part at the Company’s option at any time at par plus a “make whole” premium. Total proceeds from the issuance of the January 2030 Notes, net of underwriting discounts, offering costs and original issue discount, were $591.7 million. The Company used the net proceeds of the January 2030 Notes to repay outstanding indebtedness under the Revolving Credit Facility and Subscription Facility.</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January 2030 Notes, the Company entered into an interest rate swap to align the interest rate of its liability with the Company’s investment portfolio, which consists of predominately floating rate loans. The notional amount of the interest rate swap is $600.0 million which matures on January 15, 2030, matching the maturity date of the January 2030 Notes. As a result of the swap, the Company’s effective interest rate on the January 2030 Notes is SOFR plus 2.55%. The interest expense related to the January 2030 Notes is offset by proceeds received from the interest rate swaps designated as a hedge. The swap adjusted interest expense is included as a component of interest expense on the Company’s Consolidated Statements of Operations. As of September 30, 2025 and December 31, 2024, the effective hedge interest rate swaps had a fair value of $(4.8) million and $(24.1) million, respectively, which is offset within interest expense by an equal, but opposite, fair value change for the hedged risk on the January 2030 Notes.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July 2030 Notes</w:t>
      </w:r>
    </w:p>
    <w:p>
      <w:pPr>
        <w:spacing w:after="0" w:line="190" w:lineRule="exact"/>
        <w:rPr>
          <w:sz w:val="20"/>
          <w:szCs w:val="20"/>
          <w:color w:val="auto"/>
        </w:rPr>
      </w:pPr>
    </w:p>
    <w:p>
      <w:pPr>
        <w:ind w:right="180" w:firstLine="228"/>
        <w:spacing w:after="0" w:line="243" w:lineRule="auto"/>
        <w:rPr>
          <w:sz w:val="20"/>
          <w:szCs w:val="20"/>
          <w:color w:val="auto"/>
        </w:rPr>
      </w:pPr>
      <w:r>
        <w:rPr>
          <w:rFonts w:ascii="Times New Roman" w:cs="Times New Roman" w:eastAsia="Times New Roman" w:hAnsi="Times New Roman"/>
          <w:sz w:val="16"/>
          <w:szCs w:val="16"/>
          <w:color w:val="auto"/>
        </w:rPr>
        <w:t>In January 2025, the Company issued $750 million aggregate principal amount of unsecured notes that mature on July 15, 2030 (the “July 2030 Notes”). The principal amount of the July 2030 Notes is payable at maturity. The July 2030 Notes bear interest at a rate of 6.125% per year, payable semi-annually commencing on July 15, 2025, and may be redeemed in whole or in part at the Company's option at any time at par plus a "make whole" premium. Total proceeds from the issuance of the July 2030 Notes, net of</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8" w:name="page39"/>
    <w:bookmarkEnd w:id="38"/>
    <w:p>
      <w:pPr>
        <w:spacing w:after="0" w:line="11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underwriting discounts, offering costs and original issue discount, were $737.6 million. The Company used the net proceeds of the July 2030 Notes to repay outstanding indebtedness under the Revolving Credit Facility and Subscription Facility.</w:t>
      </w:r>
    </w:p>
    <w:p>
      <w:pPr>
        <w:spacing w:after="0" w:line="155" w:lineRule="exact"/>
        <w:rPr>
          <w:sz w:val="20"/>
          <w:szCs w:val="20"/>
          <w:color w:val="auto"/>
        </w:rPr>
      </w:pPr>
    </w:p>
    <w:p>
      <w:pPr>
        <w:ind w:firstLine="228"/>
        <w:spacing w:after="0" w:line="280" w:lineRule="auto"/>
        <w:rPr>
          <w:sz w:val="20"/>
          <w:szCs w:val="20"/>
          <w:color w:val="auto"/>
        </w:rPr>
      </w:pPr>
      <w:r>
        <w:rPr>
          <w:rFonts w:ascii="Times New Roman" w:cs="Times New Roman" w:eastAsia="Times New Roman" w:hAnsi="Times New Roman"/>
          <w:sz w:val="14"/>
          <w:szCs w:val="14"/>
          <w:color w:val="auto"/>
        </w:rPr>
        <w:t>In connection with the issuance of the July 2030 Notes, the Company entered into an interest rate swap to align the interest rate of its liability with the Company's investment portfolio, which consists of predominately floating rate loans. The notional amount of the interest rate swap is $750.0 million which matures on July 15, 2030, matching the maturity date of the July 2030 Notes. As a result of the swap, the Company's effective interest rate on the July 2030 Notes is SOFR plus 2.01%. The interest expense related to the July 2030 Notes is offset by proceeds received from the interest rate swaps designed as a hedge. The swap adjusted interest expense is included as a component of interest expense on the Company's Consolidated Statements of Operations. As of September 30, 2025, the effective hedge interest rate swaps had a fair value of $23.5 million which is offset within interest expense by an equal, but opposite, fair value change for the hedged risk on the July 2030 Notes.</w:t>
      </w:r>
    </w:p>
    <w:p>
      <w:pPr>
        <w:spacing w:after="0" w:line="145" w:lineRule="exact"/>
        <w:rPr>
          <w:sz w:val="20"/>
          <w:szCs w:val="20"/>
          <w:color w:val="auto"/>
        </w:rPr>
      </w:pPr>
    </w:p>
    <w:p>
      <w:pPr>
        <w:ind w:right="160" w:firstLine="228"/>
        <w:spacing w:after="0" w:line="259" w:lineRule="auto"/>
        <w:rPr>
          <w:sz w:val="20"/>
          <w:szCs w:val="20"/>
          <w:color w:val="auto"/>
        </w:rPr>
      </w:pPr>
      <w:r>
        <w:rPr>
          <w:rFonts w:ascii="Times New Roman" w:cs="Times New Roman" w:eastAsia="Times New Roman" w:hAnsi="Times New Roman"/>
          <w:sz w:val="16"/>
          <w:szCs w:val="16"/>
          <w:color w:val="auto"/>
        </w:rPr>
        <w:t>For the three and nine months ended September 30, 2025 and 2024 respectively, the components of interest expense related to the 2029 Notes, January 2030 Notes and July 2030 Notes are as follows.</w:t>
      </w:r>
    </w:p>
    <w:p>
      <w:pPr>
        <w:spacing w:after="0" w:line="286"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2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6"/>
        </w:trPr>
        <w:tc>
          <w:tcPr>
            <w:tcW w:w="4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70"/>
        </w:trPr>
        <w:tc>
          <w:tcPr>
            <w:tcW w:w="434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00" w:type="dxa"/>
            <w:vAlign w:val="bottom"/>
          </w:tcPr>
          <w:p>
            <w:pPr>
              <w:spacing w:after="0"/>
              <w:rPr>
                <w:sz w:val="14"/>
                <w:szCs w:val="14"/>
                <w:color w:val="auto"/>
              </w:rPr>
            </w:pPr>
          </w:p>
        </w:tc>
        <w:tc>
          <w:tcPr>
            <w:tcW w:w="940" w:type="dxa"/>
            <w:vAlign w:val="bottom"/>
          </w:tcPr>
          <w:p>
            <w:pPr>
              <w:jc w:val="right"/>
              <w:ind w:right="30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r>
      <w:tr>
        <w:trPr>
          <w:trHeight w:val="180"/>
        </w:trPr>
        <w:tc>
          <w:tcPr>
            <w:tcW w:w="4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32,297</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13,625</w:t>
            </w:r>
          </w:p>
        </w:tc>
        <w:tc>
          <w:tcPr>
            <w:tcW w:w="560" w:type="dxa"/>
            <w:vAlign w:val="bottom"/>
            <w:gridSpan w:val="2"/>
            <w:shd w:val="clear" w:color="auto" w:fill="CFF0FC"/>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95,360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25,921</w:t>
            </w:r>
          </w:p>
        </w:tc>
        <w:tc>
          <w:tcPr>
            <w:tcW w:w="80" w:type="dxa"/>
            <w:vAlign w:val="bottom"/>
            <w:shd w:val="clear" w:color="auto" w:fill="CFF0FC"/>
          </w:tcPr>
          <w:p>
            <w:pPr>
              <w:spacing w:after="0"/>
              <w:rPr>
                <w:sz w:val="15"/>
                <w:szCs w:val="15"/>
                <w:color w:val="auto"/>
              </w:rPr>
            </w:pP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Accretion of original issue discount</w:t>
            </w:r>
          </w:p>
        </w:tc>
        <w:tc>
          <w:tcPr>
            <w:tcW w:w="3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543</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294</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1,569</w:t>
            </w:r>
          </w:p>
        </w:tc>
        <w:tc>
          <w:tcPr>
            <w:tcW w:w="1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628</w:t>
            </w:r>
          </w:p>
        </w:tc>
        <w:tc>
          <w:tcPr>
            <w:tcW w:w="80" w:type="dxa"/>
            <w:vAlign w:val="bottom"/>
          </w:tcPr>
          <w:p>
            <w:pPr>
              <w:spacing w:after="0"/>
              <w:rPr>
                <w:sz w:val="15"/>
                <w:szCs w:val="15"/>
                <w:color w:val="auto"/>
              </w:rPr>
            </w:pPr>
          </w:p>
        </w:tc>
      </w:tr>
      <w:tr>
        <w:trPr>
          <w:trHeight w:val="180"/>
        </w:trPr>
        <w:tc>
          <w:tcPr>
            <w:tcW w:w="4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Amortization of deferred financing costs</w:t>
            </w:r>
          </w:p>
        </w:tc>
        <w:tc>
          <w:tcPr>
            <w:tcW w:w="3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1,258</w:t>
            </w:r>
          </w:p>
        </w:tc>
        <w:tc>
          <w:tcPr>
            <w:tcW w:w="6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548</w:t>
            </w: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3,849</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1,052</w:t>
            </w:r>
          </w:p>
        </w:tc>
      </w:tr>
      <w:tr>
        <w:trPr>
          <w:trHeight w:val="180"/>
        </w:trPr>
        <w:tc>
          <w:tcPr>
            <w:tcW w:w="43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Interest Expense</w:t>
            </w:r>
          </w:p>
        </w:tc>
        <w:tc>
          <w:tcPr>
            <w:tcW w:w="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34,098</w:t>
            </w:r>
          </w:p>
        </w:tc>
        <w:tc>
          <w:tcPr>
            <w:tcW w:w="220" w:type="dxa"/>
            <w:vAlign w:val="bottom"/>
          </w:tcPr>
          <w:p>
            <w:pPr>
              <w:spacing w:after="0"/>
              <w:rPr>
                <w:sz w:val="15"/>
                <w:szCs w:val="15"/>
                <w:color w:val="auto"/>
              </w:rPr>
            </w:pPr>
          </w:p>
        </w:tc>
        <w:tc>
          <w:tcPr>
            <w:tcW w:w="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14,467</w:t>
            </w:r>
          </w:p>
        </w:tc>
        <w:tc>
          <w:tcPr>
            <w:tcW w:w="56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100,778</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27,601</w:t>
            </w:r>
          </w:p>
        </w:tc>
        <w:tc>
          <w:tcPr>
            <w:tcW w:w="80" w:type="dxa"/>
            <w:vAlign w:val="bottom"/>
          </w:tcPr>
          <w:p>
            <w:pPr>
              <w:spacing w:after="0"/>
              <w:rPr>
                <w:sz w:val="15"/>
                <w:szCs w:val="15"/>
                <w:color w:val="auto"/>
              </w:rPr>
            </w:pPr>
          </w:p>
        </w:tc>
      </w:tr>
      <w:tr>
        <w:trPr>
          <w:trHeight w:val="20"/>
        </w:trPr>
        <w:tc>
          <w:tcPr>
            <w:tcW w:w="4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20" w:firstLine="228"/>
        <w:spacing w:after="0" w:line="284" w:lineRule="auto"/>
        <w:rPr>
          <w:sz w:val="20"/>
          <w:szCs w:val="20"/>
          <w:color w:val="auto"/>
        </w:rPr>
      </w:pPr>
      <w:r>
        <w:rPr>
          <w:rFonts w:ascii="Times New Roman" w:cs="Times New Roman" w:eastAsia="Times New Roman" w:hAnsi="Times New Roman"/>
          <w:sz w:val="14"/>
          <w:szCs w:val="14"/>
          <w:color w:val="auto"/>
        </w:rPr>
        <w:t>Total interest expense in the table above does not include the effect of the interest rate swaps related to the 2029 Notes, January 2030 Notes and July 2030 Notes. During the three and nine months ended September 30, 2025, the Company received $32.3 million and $94.6 million, respectively, and paid $35.9 million and $ 103.9 million, respectively, related to the settlements of its interest expense in the Company's Consolidated Statement of Operations. During the three and nine months ended September 30, 2024, the Company received $13.1 million and $24.5 million, respectively, and paid $ 16.1 million and $30.2 million, respectively, related to the settlements of its interest expense in the Company's Consolidated Statement of Operations. See Note 5 for further information about the Company's interest rate swaps.</w:t>
      </w:r>
    </w:p>
    <w:p>
      <w:pPr>
        <w:spacing w:after="0" w:line="140"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As of September 30, 2025, the components of the carrying value of the 2029 Notes, January 2030 Notes and July 2030 Notes and the stated interest rates were as follows.</w:t>
      </w:r>
    </w:p>
    <w:p>
      <w:pPr>
        <w:spacing w:after="0" w:line="286" w:lineRule="exact"/>
        <w:rPr>
          <w:sz w:val="20"/>
          <w:szCs w:val="20"/>
          <w:color w:val="auto"/>
        </w:rPr>
      </w:pPr>
    </w:p>
    <w:tbl>
      <w:tblPr>
        <w:tblLayout w:type="fixed"/>
        <w:tblInd w:w="8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2029 Notes</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January 2030 Notes</w:t>
            </w:r>
          </w:p>
        </w:tc>
        <w:tc>
          <w:tcPr>
            <w:tcW w:w="180" w:type="dxa"/>
            <w:vAlign w:val="bottom"/>
          </w:tcPr>
          <w:p>
            <w:pPr>
              <w:spacing w:after="0"/>
              <w:rPr>
                <w:sz w:val="15"/>
                <w:szCs w:val="15"/>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July 2030 Notes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Principal amount of debt</w:t>
            </w:r>
          </w:p>
        </w:tc>
        <w:tc>
          <w:tcPr>
            <w:tcW w:w="1740" w:type="dxa"/>
            <w:vAlign w:val="bottom"/>
            <w:gridSpan w:val="2"/>
            <w:shd w:val="clear" w:color="auto" w:fill="CFF0FC"/>
          </w:tcPr>
          <w:p>
            <w:pPr>
              <w:jc w:val="right"/>
              <w:ind w:right="10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w w:val="96"/>
              </w:rPr>
              <w:t>750,000</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right w:val="single" w:sz="8" w:color="CFF0FC"/>
            </w:tcBorders>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600,000</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Original issue discount, net of accretion</w:t>
            </w: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(4,794)</w:t>
            </w:r>
          </w:p>
        </w:tc>
        <w:tc>
          <w:tcPr>
            <w:tcW w:w="200" w:type="dxa"/>
            <w:vAlign w:val="bottom"/>
          </w:tcPr>
          <w:p>
            <w:pPr>
              <w:spacing w:after="0"/>
              <w:rPr>
                <w:sz w:val="15"/>
                <w:szCs w:val="15"/>
                <w:color w:val="auto"/>
              </w:rPr>
            </w:pPr>
          </w:p>
        </w:tc>
        <w:tc>
          <w:tcPr>
            <w:tcW w:w="17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(789)</w:t>
            </w:r>
          </w:p>
        </w:tc>
        <w:tc>
          <w:tcPr>
            <w:tcW w:w="180" w:type="dxa"/>
            <w:vAlign w:val="bottom"/>
          </w:tcPr>
          <w:p>
            <w:pPr>
              <w:spacing w:after="0"/>
              <w:rPr>
                <w:sz w:val="15"/>
                <w:szCs w:val="15"/>
                <w:color w:val="auto"/>
              </w:rPr>
            </w:pPr>
          </w:p>
        </w:tc>
        <w:tc>
          <w:tcPr>
            <w:tcW w:w="14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(4,348)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 financing costs</w:t>
            </w:r>
          </w:p>
        </w:tc>
        <w:tc>
          <w:tcPr>
            <w:tcW w:w="5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(7,010)</w:t>
            </w:r>
          </w:p>
        </w:tc>
        <w:tc>
          <w:tcPr>
            <w:tcW w:w="200" w:type="dxa"/>
            <w:vAlign w:val="bottom"/>
            <w:shd w:val="clear" w:color="auto" w:fill="CFF0FC"/>
          </w:tcPr>
          <w:p>
            <w:pPr>
              <w:spacing w:after="0"/>
              <w:rPr>
                <w:sz w:val="15"/>
                <w:szCs w:val="15"/>
                <w:color w:val="auto"/>
              </w:rPr>
            </w:pPr>
          </w:p>
        </w:tc>
        <w:tc>
          <w:tcPr>
            <w:tcW w:w="1700" w:type="dxa"/>
            <w:vAlign w:val="bottom"/>
            <w:tcBorders>
              <w:right w:val="single" w:sz="8" w:color="CFF0FC"/>
            </w:tcBorders>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(6,180)</w:t>
            </w:r>
          </w:p>
        </w:tc>
        <w:tc>
          <w:tcPr>
            <w:tcW w:w="1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(8,674)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Fair value of an effective hedge</w:t>
            </w: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16,134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(4,824)</w:t>
            </w:r>
          </w:p>
        </w:tc>
        <w:tc>
          <w:tcPr>
            <w:tcW w:w="18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23,466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Carrying value of debt</w:t>
            </w:r>
          </w:p>
        </w:tc>
        <w:tc>
          <w:tcPr>
            <w:tcW w:w="1740" w:type="dxa"/>
            <w:vAlign w:val="bottom"/>
            <w:gridSpan w:val="2"/>
            <w:shd w:val="clear" w:color="auto" w:fill="CFF0FC"/>
          </w:tcPr>
          <w:p>
            <w:pPr>
              <w:jc w:val="right"/>
              <w:ind w:right="1034"/>
              <w:spacing w:after="0" w:line="160"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w w:val="96"/>
              </w:rPr>
              <w:t>754,330</w:t>
            </w:r>
          </w:p>
        </w:tc>
        <w:tc>
          <w:tcPr>
            <w:tcW w:w="2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right w:val="single" w:sz="8" w:color="CFF0FC"/>
            </w:tcBorders>
            <w:gridSpan w:val="2"/>
            <w:shd w:val="clear" w:color="auto" w:fill="CFF0FC"/>
          </w:tcPr>
          <w:p>
            <w:pPr>
              <w:jc w:val="right"/>
              <w:ind w:right="240"/>
              <w:spacing w:after="0" w:line="160" w:lineRule="exact"/>
              <w:rPr>
                <w:sz w:val="20"/>
                <w:szCs w:val="20"/>
                <w:color w:val="auto"/>
              </w:rPr>
            </w:pPr>
            <w:r>
              <w:rPr>
                <w:rFonts w:ascii="Times New Roman" w:cs="Times New Roman" w:eastAsia="Times New Roman" w:hAnsi="Times New Roman"/>
                <w:sz w:val="16"/>
                <w:szCs w:val="16"/>
                <w:color w:val="auto"/>
              </w:rPr>
              <w:t>588,207</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760,444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302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Stated interest rate</w:t>
            </w: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6.50%</w:t>
            </w:r>
          </w:p>
        </w:tc>
        <w:tc>
          <w:tcPr>
            <w:tcW w:w="200" w:type="dxa"/>
            <w:vAlign w:val="bottom"/>
          </w:tcPr>
          <w:p>
            <w:pPr>
              <w:spacing w:after="0"/>
              <w:rPr>
                <w:sz w:val="15"/>
                <w:szCs w:val="15"/>
                <w:color w:val="auto"/>
              </w:rPr>
            </w:pPr>
          </w:p>
        </w:tc>
        <w:tc>
          <w:tcPr>
            <w:tcW w:w="1700" w:type="dxa"/>
            <w:vAlign w:val="bottom"/>
            <w:gridSpan w:val="2"/>
          </w:tcPr>
          <w:p>
            <w:pPr>
              <w:jc w:val="right"/>
              <w:ind w:right="100"/>
              <w:spacing w:after="0" w:line="179" w:lineRule="exact"/>
              <w:rPr>
                <w:sz w:val="20"/>
                <w:szCs w:val="20"/>
                <w:color w:val="auto"/>
              </w:rPr>
            </w:pPr>
            <w:r>
              <w:rPr>
                <w:rFonts w:ascii="Times New Roman" w:cs="Times New Roman" w:eastAsia="Times New Roman" w:hAnsi="Times New Roman"/>
                <w:sz w:val="16"/>
                <w:szCs w:val="16"/>
                <w:color w:val="auto"/>
              </w:rPr>
              <w:t>5.75%</w:t>
            </w:r>
          </w:p>
        </w:tc>
        <w:tc>
          <w:tcPr>
            <w:tcW w:w="180" w:type="dxa"/>
            <w:vAlign w:val="bottom"/>
          </w:tcPr>
          <w:p>
            <w:pPr>
              <w:spacing w:after="0"/>
              <w:rPr>
                <w:sz w:val="15"/>
                <w:szCs w:val="15"/>
                <w:color w:val="auto"/>
              </w:rPr>
            </w:pPr>
          </w:p>
        </w:tc>
        <w:tc>
          <w:tcPr>
            <w:tcW w:w="146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2024, the components of the carrying value of the 2029 Notes and January 2030 Notes and the stated interest rates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18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6"/>
        </w:trPr>
        <w:tc>
          <w:tcPr>
            <w:tcW w:w="17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2029 Notes</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January 2030 Notes</w:t>
            </w:r>
          </w:p>
        </w:tc>
      </w:tr>
      <w:tr>
        <w:trPr>
          <w:trHeight w:val="180"/>
        </w:trPr>
        <w:tc>
          <w:tcPr>
            <w:tcW w:w="1740" w:type="dxa"/>
            <w:vAlign w:val="bottom"/>
          </w:tcPr>
          <w:p>
            <w:pPr>
              <w:spacing w:after="0"/>
              <w:rPr>
                <w:sz w:val="15"/>
                <w:szCs w:val="15"/>
                <w:color w:val="auto"/>
              </w:rPr>
            </w:pPr>
          </w:p>
        </w:tc>
        <w:tc>
          <w:tcPr>
            <w:tcW w:w="2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Principal amount of debt</w:t>
            </w:r>
          </w:p>
        </w:tc>
        <w:tc>
          <w:tcPr>
            <w:tcW w:w="1660" w:type="dxa"/>
            <w:vAlign w:val="bottom"/>
            <w:gridSpan w:val="2"/>
            <w:shd w:val="clear" w:color="auto" w:fill="CFF0FC"/>
          </w:tcPr>
          <w:p>
            <w:pPr>
              <w:ind w:left="4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w w:val="99"/>
              </w:rPr>
              <w:t>750,000</w:t>
            </w:r>
          </w:p>
        </w:tc>
        <w:tc>
          <w:tcPr>
            <w:tcW w:w="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600,000</w:t>
            </w:r>
          </w:p>
        </w:tc>
        <w:tc>
          <w:tcPr>
            <w:tcW w:w="1740" w:type="dxa"/>
            <w:vAlign w:val="bottom"/>
          </w:tcPr>
          <w:p>
            <w:pPr>
              <w:spacing w:after="0"/>
              <w:rPr>
                <w:sz w:val="15"/>
                <w:szCs w:val="15"/>
                <w:color w:val="auto"/>
              </w:rPr>
            </w:pPr>
          </w:p>
        </w:tc>
      </w:tr>
      <w:tr>
        <w:trPr>
          <w:trHeight w:val="180"/>
        </w:trPr>
        <w:tc>
          <w:tcPr>
            <w:tcW w:w="1740" w:type="dxa"/>
            <w:vAlign w:val="bottom"/>
          </w:tcPr>
          <w:p>
            <w:pPr>
              <w:spacing w:after="0"/>
              <w:rPr>
                <w:sz w:val="15"/>
                <w:szCs w:val="15"/>
                <w:color w:val="auto"/>
              </w:rPr>
            </w:pPr>
          </w:p>
        </w:tc>
        <w:tc>
          <w:tcPr>
            <w:tcW w:w="2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Original issue discount, net of accretion</w:t>
            </w: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(5,695)</w:t>
            </w:r>
          </w:p>
        </w:tc>
        <w:tc>
          <w:tcPr>
            <w:tcW w:w="260" w:type="dxa"/>
            <w:vAlign w:val="bottom"/>
          </w:tcPr>
          <w:p>
            <w:pPr>
              <w:spacing w:after="0"/>
              <w:rPr>
                <w:sz w:val="15"/>
                <w:szCs w:val="15"/>
                <w:color w:val="auto"/>
              </w:rPr>
            </w:pPr>
          </w:p>
        </w:tc>
        <w:tc>
          <w:tcPr>
            <w:tcW w:w="15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(909)</w:t>
            </w:r>
          </w:p>
        </w:tc>
        <w:tc>
          <w:tcPr>
            <w:tcW w:w="1740" w:type="dxa"/>
            <w:vAlign w:val="bottom"/>
          </w:tcPr>
          <w:p>
            <w:pPr>
              <w:spacing w:after="0"/>
              <w:rPr>
                <w:sz w:val="15"/>
                <w:szCs w:val="15"/>
                <w:color w:val="auto"/>
              </w:rPr>
            </w:pPr>
          </w:p>
        </w:tc>
      </w:tr>
      <w:tr>
        <w:trPr>
          <w:trHeight w:val="180"/>
        </w:trPr>
        <w:tc>
          <w:tcPr>
            <w:tcW w:w="1740" w:type="dxa"/>
            <w:vAlign w:val="bottom"/>
          </w:tcPr>
          <w:p>
            <w:pPr>
              <w:spacing w:after="0"/>
              <w:rPr>
                <w:sz w:val="15"/>
                <w:szCs w:val="15"/>
                <w:color w:val="auto"/>
              </w:rPr>
            </w:pPr>
          </w:p>
        </w:tc>
        <w:tc>
          <w:tcPr>
            <w:tcW w:w="2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 financing costs</w:t>
            </w:r>
          </w:p>
        </w:tc>
        <w:tc>
          <w:tcPr>
            <w:tcW w:w="4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(8,486)</w:t>
            </w:r>
          </w:p>
        </w:tc>
        <w:tc>
          <w:tcPr>
            <w:tcW w:w="2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(7,680)</w:t>
            </w:r>
          </w:p>
        </w:tc>
        <w:tc>
          <w:tcPr>
            <w:tcW w:w="1740" w:type="dxa"/>
            <w:vAlign w:val="bottom"/>
          </w:tcPr>
          <w:p>
            <w:pPr>
              <w:spacing w:after="0"/>
              <w:rPr>
                <w:sz w:val="15"/>
                <w:szCs w:val="15"/>
                <w:color w:val="auto"/>
              </w:rPr>
            </w:pPr>
          </w:p>
        </w:tc>
      </w:tr>
      <w:tr>
        <w:trPr>
          <w:trHeight w:val="180"/>
        </w:trPr>
        <w:tc>
          <w:tcPr>
            <w:tcW w:w="1740" w:type="dxa"/>
            <w:vAlign w:val="bottom"/>
          </w:tcPr>
          <w:p>
            <w:pPr>
              <w:spacing w:after="0"/>
              <w:rPr>
                <w:sz w:val="15"/>
                <w:szCs w:val="15"/>
                <w:color w:val="auto"/>
              </w:rPr>
            </w:pPr>
          </w:p>
        </w:tc>
        <w:tc>
          <w:tcPr>
            <w:tcW w:w="2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Fair value of an effective hedge</w:t>
            </w: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(1,079)</w:t>
            </w:r>
          </w:p>
        </w:tc>
        <w:tc>
          <w:tcPr>
            <w:tcW w:w="260" w:type="dxa"/>
            <w:vAlign w:val="bottom"/>
          </w:tcPr>
          <w:p>
            <w:pPr>
              <w:spacing w:after="0"/>
              <w:rPr>
                <w:sz w:val="15"/>
                <w:szCs w:val="15"/>
                <w:color w:val="auto"/>
              </w:rPr>
            </w:pPr>
          </w:p>
        </w:tc>
        <w:tc>
          <w:tcPr>
            <w:tcW w:w="15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(24,135)</w:t>
            </w:r>
          </w:p>
        </w:tc>
        <w:tc>
          <w:tcPr>
            <w:tcW w:w="1740" w:type="dxa"/>
            <w:vAlign w:val="bottom"/>
          </w:tcPr>
          <w:p>
            <w:pPr>
              <w:spacing w:after="0"/>
              <w:rPr>
                <w:sz w:val="15"/>
                <w:szCs w:val="15"/>
                <w:color w:val="auto"/>
              </w:rPr>
            </w:pPr>
          </w:p>
        </w:tc>
      </w:tr>
      <w:tr>
        <w:trPr>
          <w:trHeight w:val="200"/>
        </w:trPr>
        <w:tc>
          <w:tcPr>
            <w:tcW w:w="1740" w:type="dxa"/>
            <w:vAlign w:val="bottom"/>
          </w:tcPr>
          <w:p>
            <w:pPr>
              <w:spacing w:after="0"/>
              <w:rPr>
                <w:sz w:val="17"/>
                <w:szCs w:val="17"/>
                <w:color w:val="auto"/>
              </w:rPr>
            </w:pPr>
          </w:p>
        </w:tc>
        <w:tc>
          <w:tcPr>
            <w:tcW w:w="298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Carrying value of debt</w:t>
            </w:r>
          </w:p>
        </w:tc>
        <w:tc>
          <w:tcPr>
            <w:tcW w:w="1660" w:type="dxa"/>
            <w:vAlign w:val="bottom"/>
            <w:gridSpan w:val="2"/>
            <w:shd w:val="clear" w:color="auto" w:fill="CFF0FC"/>
          </w:tcPr>
          <w:p>
            <w:pPr>
              <w:ind w:left="4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w w:val="99"/>
              </w:rPr>
              <w:t>734,740</w:t>
            </w:r>
          </w:p>
        </w:tc>
        <w:tc>
          <w:tcPr>
            <w:tcW w:w="2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567,276</w:t>
            </w:r>
          </w:p>
        </w:tc>
        <w:tc>
          <w:tcPr>
            <w:tcW w:w="1740" w:type="dxa"/>
            <w:vAlign w:val="bottom"/>
          </w:tcPr>
          <w:p>
            <w:pPr>
              <w:spacing w:after="0"/>
              <w:rPr>
                <w:sz w:val="17"/>
                <w:szCs w:val="17"/>
                <w:color w:val="auto"/>
              </w:rPr>
            </w:pPr>
          </w:p>
        </w:tc>
      </w:tr>
      <w:tr>
        <w:trPr>
          <w:trHeight w:val="20"/>
        </w:trPr>
        <w:tc>
          <w:tcPr>
            <w:tcW w:w="1740" w:type="dxa"/>
            <w:vAlign w:val="bottom"/>
          </w:tcPr>
          <w:p>
            <w:pPr>
              <w:spacing w:after="0" w:line="20" w:lineRule="exact"/>
              <w:rPr>
                <w:sz w:val="1"/>
                <w:szCs w:val="1"/>
                <w:color w:val="auto"/>
              </w:rPr>
            </w:pPr>
          </w:p>
        </w:tc>
        <w:tc>
          <w:tcPr>
            <w:tcW w:w="29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79"/>
        </w:trPr>
        <w:tc>
          <w:tcPr>
            <w:tcW w:w="1740" w:type="dxa"/>
            <w:vAlign w:val="bottom"/>
          </w:tcPr>
          <w:p>
            <w:pPr>
              <w:spacing w:after="0"/>
              <w:rPr>
                <w:sz w:val="15"/>
                <w:szCs w:val="15"/>
                <w:color w:val="auto"/>
              </w:rPr>
            </w:pPr>
          </w:p>
        </w:tc>
        <w:tc>
          <w:tcPr>
            <w:tcW w:w="298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Stated interest rate</w:t>
            </w: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gridSpan w:val="2"/>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rPr>
              <w:t>6.50%</w:t>
            </w:r>
          </w:p>
        </w:tc>
        <w:tc>
          <w:tcPr>
            <w:tcW w:w="260" w:type="dxa"/>
            <w:vAlign w:val="bottom"/>
          </w:tcPr>
          <w:p>
            <w:pPr>
              <w:spacing w:after="0"/>
              <w:rPr>
                <w:sz w:val="15"/>
                <w:szCs w:val="15"/>
                <w:color w:val="auto"/>
              </w:rPr>
            </w:pPr>
          </w:p>
        </w:tc>
        <w:tc>
          <w:tcPr>
            <w:tcW w:w="150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5.75%</w:t>
            </w:r>
          </w:p>
        </w:tc>
        <w:tc>
          <w:tcPr>
            <w:tcW w:w="1740" w:type="dxa"/>
            <w:vAlign w:val="bottom"/>
          </w:tcPr>
          <w:p>
            <w:pPr>
              <w:spacing w:after="0"/>
              <w:rPr>
                <w:sz w:val="15"/>
                <w:szCs w:val="15"/>
                <w:color w:val="auto"/>
              </w:rPr>
            </w:pPr>
          </w:p>
        </w:tc>
      </w:tr>
      <w:tr>
        <w:trPr>
          <w:trHeight w:val="539"/>
        </w:trPr>
        <w:tc>
          <w:tcPr>
            <w:tcW w:w="17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39</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674"/>
        </w:trPr>
        <w:tc>
          <w:tcPr>
            <w:tcW w:w="1740" w:type="dxa"/>
            <w:vAlign w:val="bottom"/>
            <w:tcBorders>
              <w:bottom w:val="single" w:sz="8" w:color="EEEEEE"/>
            </w:tcBorders>
          </w:tcPr>
          <w:p>
            <w:pPr>
              <w:spacing w:after="0"/>
              <w:rPr>
                <w:sz w:val="24"/>
                <w:szCs w:val="24"/>
                <w:color w:val="auto"/>
              </w:rPr>
            </w:pPr>
          </w:p>
        </w:tc>
        <w:tc>
          <w:tcPr>
            <w:tcW w:w="29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3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7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9" w:name="page40"/>
    <w:bookmarkEnd w:id="39"/>
    <w:p>
      <w:pPr>
        <w:spacing w:after="0" w:line="113"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The stated interest rate in the table above does not include the effect of the interest rate swaps. As of September 30, 2025, the Company's swap- adjusted interest rate on the 2029 Notes, January 2030 Notes and July 2030 Notes was SOFR plus 2.45% (on a weighted average basis), 2.55% and 2.01%, respectively. As of December 31, 2024, the Company's swap-adjusted interest rate on the 2029 Notes and January 2030 Notes was SOFR plus 2.45% (on a weighted average basis) and 2.55%, respectively.</w:t>
      </w:r>
    </w:p>
    <w:p>
      <w:pPr>
        <w:spacing w:after="0" w:line="167"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As of September 30, 2025, the Company was in compliance with the terms of the indentures governing the 2029 Notes, January 2030 Notes and July 2030 Notes. As of December 31, 2024, the Company was in compliance with the terms of the indentures governing the 2029 Notes and January 2030 Notes.</w:t>
      </w:r>
    </w:p>
    <w:p>
      <w:pPr>
        <w:spacing w:after="0" w:line="155" w:lineRule="exact"/>
        <w:rPr>
          <w:sz w:val="20"/>
          <w:szCs w:val="20"/>
          <w:color w:val="auto"/>
        </w:rPr>
      </w:pPr>
    </w:p>
    <w:p>
      <w:pPr>
        <w:ind w:right="160" w:firstLine="228"/>
        <w:spacing w:after="0" w:line="259" w:lineRule="auto"/>
        <w:rPr>
          <w:sz w:val="20"/>
          <w:szCs w:val="20"/>
          <w:color w:val="auto"/>
        </w:rPr>
      </w:pPr>
      <w:r>
        <w:rPr>
          <w:rFonts w:ascii="Times New Roman" w:cs="Times New Roman" w:eastAsia="Times New Roman" w:hAnsi="Times New Roman"/>
          <w:sz w:val="16"/>
          <w:szCs w:val="16"/>
          <w:color w:val="auto"/>
        </w:rPr>
        <w:t>In accordance with the 1940 Act, with certain limitations, the Company is allowed to borrow amounts such that its asset coverage, as defined in the 1940 Act, is at least 150% after such borrowing. As of September 30, 2025 and December 31, 2024, the Company's asset coverage was 192.4% and 193.0%, respectively.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September 30, 2025 and December 31, 2024:</w:t>
      </w:r>
    </w:p>
    <w:p>
      <w:pPr>
        <w:spacing w:after="0" w:line="200" w:lineRule="exact"/>
        <w:rPr>
          <w:sz w:val="20"/>
          <w:szCs w:val="20"/>
          <w:color w:val="auto"/>
        </w:rPr>
      </w:pPr>
    </w:p>
    <w:tbl>
      <w:tblPr>
        <w:tblLayout w:type="fixed"/>
        <w:tblInd w:w="800" w:type="dxa"/>
        <w:tblCellMar>
          <w:top w:w="0" w:type="dxa"/>
          <w:left w:w="0" w:type="dxa"/>
          <w:bottom w:w="0" w:type="dxa"/>
          <w:right w:w="0" w:type="dxa"/>
        </w:tblCellMar>
      </w:tblPr>
      <w:tr>
        <w:trPr>
          <w:trHeight w:val="174"/>
        </w:trPr>
        <w:tc>
          <w:tcPr>
            <w:tcW w:w="4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140" w:type="dxa"/>
            <w:vAlign w:val="bottom"/>
          </w:tcPr>
          <w:p>
            <w:pPr>
              <w:spacing w:after="0"/>
              <w:rPr>
                <w:sz w:val="15"/>
                <w:szCs w:val="15"/>
                <w:color w:val="auto"/>
              </w:rPr>
            </w:pPr>
          </w:p>
        </w:tc>
        <w:tc>
          <w:tcPr>
            <w:tcW w:w="2140" w:type="dxa"/>
            <w:vAlign w:val="bottom"/>
            <w:gridSpan w:val="5"/>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2"/>
                <w:szCs w:val="12"/>
                <w:color w:val="auto"/>
              </w:rPr>
            </w:pPr>
          </w:p>
        </w:tc>
        <w:tc>
          <w:tcPr>
            <w:tcW w:w="1140" w:type="dxa"/>
            <w:vAlign w:val="bottom"/>
            <w:gridSpan w:val="2"/>
          </w:tcPr>
          <w:p>
            <w:pPr>
              <w:jc w:val="right"/>
              <w:ind w:right="38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81"/>
        </w:trPr>
        <w:tc>
          <w:tcPr>
            <w:tcW w:w="4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Committed</w:t>
            </w:r>
          </w:p>
        </w:tc>
        <w:tc>
          <w:tcPr>
            <w:tcW w:w="14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Available </w:t>
            </w:r>
            <w:r>
              <w:rPr>
                <w:rFonts w:ascii="Times New Roman" w:cs="Times New Roman" w:eastAsia="Times New Roman" w:hAnsi="Times New Roman"/>
                <w:sz w:val="16"/>
                <w:szCs w:val="16"/>
                <w:b w:val="1"/>
                <w:bCs w:val="1"/>
                <w:color w:val="auto"/>
                <w:w w:val="96"/>
                <w:vertAlign w:val="superscript"/>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c>
          <w:tcPr>
            <w:tcW w:w="0" w:type="dxa"/>
            <w:vAlign w:val="bottom"/>
          </w:tcPr>
          <w:p>
            <w:pPr>
              <w:spacing w:after="0"/>
              <w:rPr>
                <w:sz w:val="1"/>
                <w:szCs w:val="1"/>
                <w:color w:val="auto"/>
              </w:rPr>
            </w:pPr>
          </w:p>
        </w:tc>
      </w:tr>
      <w:tr>
        <w:trPr>
          <w:trHeight w:val="180"/>
        </w:trPr>
        <w:tc>
          <w:tcPr>
            <w:tcW w:w="4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Subscription Facility</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500,000</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60,531</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439,469</w:t>
            </w:r>
          </w:p>
        </w:tc>
        <w:tc>
          <w:tcPr>
            <w:tcW w:w="2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59,299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2,675,000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2,495,644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147,368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2,479,239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754,330</w:t>
            </w:r>
          </w:p>
        </w:tc>
        <w:tc>
          <w:tcPr>
            <w:tcW w:w="0" w:type="dxa"/>
            <w:vAlign w:val="bottom"/>
          </w:tcPr>
          <w:p>
            <w:pPr>
              <w:spacing w:after="0"/>
              <w:rPr>
                <w:sz w:val="1"/>
                <w:szCs w:val="1"/>
                <w:color w:val="auto"/>
              </w:rPr>
            </w:pPr>
          </w:p>
        </w:tc>
      </w:tr>
      <w:tr>
        <w:trPr>
          <w:trHeight w:val="180"/>
        </w:trPr>
        <w:tc>
          <w:tcPr>
            <w:tcW w:w="4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January 2030 Notes</w:t>
            </w:r>
          </w:p>
        </w:tc>
        <w:tc>
          <w:tcPr>
            <w:tcW w:w="140" w:type="dxa"/>
            <w:vAlign w:val="bottom"/>
          </w:tcPr>
          <w:p>
            <w:pPr>
              <w:spacing w:after="0"/>
              <w:rPr>
                <w:sz w:val="15"/>
                <w:szCs w:val="15"/>
                <w:color w:val="auto"/>
              </w:rPr>
            </w:pPr>
          </w:p>
        </w:tc>
        <w:tc>
          <w:tcPr>
            <w:tcW w:w="10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600,000</w:t>
            </w:r>
          </w:p>
        </w:tc>
        <w:tc>
          <w:tcPr>
            <w:tcW w:w="140" w:type="dxa"/>
            <w:vAlign w:val="bottom"/>
          </w:tcPr>
          <w:p>
            <w:pPr>
              <w:spacing w:after="0"/>
              <w:rPr>
                <w:sz w:val="15"/>
                <w:szCs w:val="15"/>
                <w:color w:val="auto"/>
              </w:rPr>
            </w:pPr>
          </w:p>
        </w:tc>
        <w:tc>
          <w:tcPr>
            <w:tcW w:w="11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588,207</w:t>
            </w:r>
          </w:p>
        </w:tc>
        <w:tc>
          <w:tcPr>
            <w:tcW w:w="0" w:type="dxa"/>
            <w:vAlign w:val="bottom"/>
          </w:tcPr>
          <w:p>
            <w:pPr>
              <w:spacing w:after="0"/>
              <w:rPr>
                <w:sz w:val="1"/>
                <w:szCs w:val="1"/>
                <w:color w:val="auto"/>
              </w:rPr>
            </w:pPr>
          </w:p>
        </w:tc>
      </w:tr>
      <w:tr>
        <w:trPr>
          <w:trHeight w:val="180"/>
        </w:trPr>
        <w:tc>
          <w:tcPr>
            <w:tcW w:w="42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2030 Notes</w:t>
            </w: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760,444</w:t>
            </w:r>
          </w:p>
        </w:tc>
        <w:tc>
          <w:tcPr>
            <w:tcW w:w="0" w:type="dxa"/>
            <w:vAlign w:val="bottom"/>
          </w:tcPr>
          <w:p>
            <w:pPr>
              <w:spacing w:after="0"/>
              <w:rPr>
                <w:sz w:val="1"/>
                <w:szCs w:val="1"/>
                <w:color w:val="auto"/>
              </w:rPr>
            </w:pPr>
          </w:p>
        </w:tc>
      </w:tr>
      <w:tr>
        <w:trPr>
          <w:trHeight w:val="180"/>
        </w:trPr>
        <w:tc>
          <w:tcPr>
            <w:tcW w:w="42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5,275,000</w:t>
            </w:r>
          </w:p>
        </w:tc>
        <w:tc>
          <w:tcPr>
            <w:tcW w:w="180" w:type="dxa"/>
            <w:vAlign w:val="bottom"/>
          </w:tcPr>
          <w:p>
            <w:pPr>
              <w:spacing w:after="0"/>
              <w:rPr>
                <w:sz w:val="15"/>
                <w:szCs w:val="15"/>
                <w:color w:val="auto"/>
              </w:rPr>
            </w:pP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4,656,175</w:t>
            </w:r>
          </w:p>
        </w:tc>
        <w:tc>
          <w:tcPr>
            <w:tcW w:w="18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586,837</w:t>
            </w:r>
          </w:p>
        </w:tc>
        <w:tc>
          <w:tcPr>
            <w:tcW w:w="2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4,641,519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Subscription Facility, Revolving Credit Facility, outstanding letters of credit issued and asset coverage requirements.</w:t>
      </w:r>
    </w:p>
    <w:p>
      <w:pPr>
        <w:spacing w:after="0" w:line="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4"/>
          <w:szCs w:val="14"/>
          <w:color w:val="auto"/>
        </w:rPr>
        <w:t>(2)The carrying values of the Subscription Facility, Revolving Credit Facility, the 2029 Notes, January 2030 Notes and July 2030 Notes are presented net of the combination of deferred financing costs and original issue discounts totaling $1.2 million, $16.4 million, $11.8 million, $7.0 million and $13.0 million, respectively.</w:t>
      </w:r>
    </w:p>
    <w:p>
      <w:pPr>
        <w:spacing w:after="0" w:line="1"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6"/>
          <w:szCs w:val="16"/>
          <w:color w:val="auto"/>
        </w:rPr>
        <w:t>(3)The carrying value of the 2029 Notes, January 2030 Notes, and July 2030 Notes are presented inclusive of an incremental $16.1 million, $(4.8) million and $23.5 million, respectively, which represents an adjustment in the carrying value of the 2029 Notes, January 2030 Notes and July 2030 Notes, resulting from a hedge accounting relationship.</w:t>
      </w:r>
    </w:p>
    <w:p>
      <w:pPr>
        <w:spacing w:after="0" w:line="181" w:lineRule="exact"/>
        <w:rPr>
          <w:sz w:val="20"/>
          <w:szCs w:val="20"/>
          <w:color w:val="auto"/>
        </w:rPr>
      </w:pPr>
    </w:p>
    <w:tbl>
      <w:tblPr>
        <w:tblLayout w:type="fixed"/>
        <w:tblInd w:w="800" w:type="dxa"/>
        <w:tblCellMar>
          <w:top w:w="0" w:type="dxa"/>
          <w:left w:w="0" w:type="dxa"/>
          <w:bottom w:w="0" w:type="dxa"/>
          <w:right w:w="0" w:type="dxa"/>
        </w:tblCellMar>
      </w:tblPr>
      <w:tr>
        <w:trPr>
          <w:trHeight w:val="174"/>
        </w:trPr>
        <w:tc>
          <w:tcPr>
            <w:tcW w:w="2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140" w:type="dxa"/>
            <w:vAlign w:val="bottom"/>
          </w:tcPr>
          <w:p>
            <w:pPr>
              <w:spacing w:after="0"/>
              <w:rPr>
                <w:sz w:val="15"/>
                <w:szCs w:val="15"/>
                <w:color w:val="auto"/>
              </w:rPr>
            </w:pPr>
          </w:p>
        </w:tc>
        <w:tc>
          <w:tcPr>
            <w:tcW w:w="2140" w:type="dxa"/>
            <w:vAlign w:val="bottom"/>
            <w:gridSpan w:val="5"/>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2"/>
                <w:szCs w:val="12"/>
                <w:color w:val="auto"/>
              </w:rPr>
            </w:pPr>
          </w:p>
        </w:tc>
        <w:tc>
          <w:tcPr>
            <w:tcW w:w="1140" w:type="dxa"/>
            <w:vAlign w:val="bottom"/>
            <w:gridSpan w:val="2"/>
          </w:tcPr>
          <w:p>
            <w:pPr>
              <w:jc w:val="right"/>
              <w:ind w:right="38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81"/>
        </w:trPr>
        <w:tc>
          <w:tcPr>
            <w:tcW w:w="2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Committed</w:t>
            </w:r>
          </w:p>
        </w:tc>
        <w:tc>
          <w:tcPr>
            <w:tcW w:w="140" w:type="dxa"/>
            <w:vAlign w:val="bottom"/>
          </w:tcPr>
          <w:p>
            <w:pPr>
              <w:spacing w:after="0"/>
              <w:rPr>
                <w:sz w:val="15"/>
                <w:szCs w:val="15"/>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Available </w:t>
            </w:r>
            <w:r>
              <w:rPr>
                <w:rFonts w:ascii="Times New Roman" w:cs="Times New Roman" w:eastAsia="Times New Roman" w:hAnsi="Times New Roman"/>
                <w:sz w:val="16"/>
                <w:szCs w:val="16"/>
                <w:b w:val="1"/>
                <w:bCs w:val="1"/>
                <w:color w:val="auto"/>
                <w:w w:val="96"/>
                <w:vertAlign w:val="superscript"/>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c>
          <w:tcPr>
            <w:tcW w:w="0" w:type="dxa"/>
            <w:vAlign w:val="bottom"/>
          </w:tcPr>
          <w:p>
            <w:pPr>
              <w:spacing w:after="0"/>
              <w:rPr>
                <w:sz w:val="1"/>
                <w:szCs w:val="1"/>
                <w:color w:val="auto"/>
              </w:rPr>
            </w:pPr>
          </w:p>
        </w:tc>
      </w:tr>
      <w:tr>
        <w:trPr>
          <w:trHeight w:val="180"/>
        </w:trPr>
        <w:tc>
          <w:tcPr>
            <w:tcW w:w="2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Subscription Facility</w:t>
            </w:r>
          </w:p>
        </w:tc>
        <w:tc>
          <w:tcPr>
            <w:tcW w:w="14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1,500,000</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1,496,759</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3,241</w:t>
            </w:r>
          </w:p>
        </w:tc>
        <w:tc>
          <w:tcPr>
            <w:tcW w:w="2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1,493,740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1,550,000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1,501,965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42,095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1,492,845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750,000</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734,740</w:t>
            </w:r>
          </w:p>
        </w:tc>
        <w:tc>
          <w:tcPr>
            <w:tcW w:w="0" w:type="dxa"/>
            <w:vAlign w:val="bottom"/>
          </w:tcPr>
          <w:p>
            <w:pPr>
              <w:spacing w:after="0"/>
              <w:rPr>
                <w:sz w:val="1"/>
                <w:szCs w:val="1"/>
                <w:color w:val="auto"/>
              </w:rPr>
            </w:pPr>
          </w:p>
        </w:tc>
      </w:tr>
      <w:tr>
        <w:trPr>
          <w:trHeight w:val="180"/>
        </w:trPr>
        <w:tc>
          <w:tcPr>
            <w:tcW w:w="2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January 2030 Notes</w:t>
            </w: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600,000</w:t>
            </w:r>
          </w:p>
        </w:tc>
        <w:tc>
          <w:tcPr>
            <w:tcW w:w="140" w:type="dxa"/>
            <w:vAlign w:val="bottom"/>
          </w:tcPr>
          <w:p>
            <w:pPr>
              <w:spacing w:after="0"/>
              <w:rPr>
                <w:sz w:val="15"/>
                <w:szCs w:val="15"/>
                <w:color w:val="auto"/>
              </w:rPr>
            </w:pPr>
          </w:p>
        </w:tc>
        <w:tc>
          <w:tcPr>
            <w:tcW w:w="11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567,276</w:t>
            </w:r>
          </w:p>
        </w:tc>
        <w:tc>
          <w:tcPr>
            <w:tcW w:w="0" w:type="dxa"/>
            <w:vAlign w:val="bottom"/>
          </w:tcPr>
          <w:p>
            <w:pPr>
              <w:spacing w:after="0"/>
              <w:rPr>
                <w:sz w:val="1"/>
                <w:szCs w:val="1"/>
                <w:color w:val="auto"/>
              </w:rPr>
            </w:pPr>
          </w:p>
        </w:tc>
      </w:tr>
      <w:tr>
        <w:trPr>
          <w:trHeight w:val="200"/>
        </w:trPr>
        <w:tc>
          <w:tcPr>
            <w:tcW w:w="29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4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4,400,000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4,348,724</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45,336</w:t>
            </w:r>
          </w:p>
        </w:tc>
        <w:tc>
          <w:tcPr>
            <w:tcW w:w="1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4,288,601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Subscription Facility, the Revolving Credit Facility, outstanding letters of credit issued, and asset coverage requirements.</w:t>
      </w:r>
    </w:p>
    <w:p>
      <w:pPr>
        <w:spacing w:after="0" w:line="1" w:lineRule="exact"/>
        <w:rPr>
          <w:sz w:val="20"/>
          <w:szCs w:val="20"/>
          <w:color w:val="auto"/>
        </w:rPr>
      </w:pPr>
    </w:p>
    <w:p>
      <w:pPr>
        <w:ind w:right="420"/>
        <w:spacing w:after="0" w:line="234" w:lineRule="auto"/>
        <w:rPr>
          <w:sz w:val="20"/>
          <w:szCs w:val="20"/>
          <w:color w:val="auto"/>
        </w:rPr>
      </w:pPr>
      <w:r>
        <w:rPr>
          <w:rFonts w:ascii="Times New Roman" w:cs="Times New Roman" w:eastAsia="Times New Roman" w:hAnsi="Times New Roman"/>
          <w:sz w:val="16"/>
          <w:szCs w:val="16"/>
          <w:color w:val="auto"/>
        </w:rPr>
        <w:t>(2)The carrying values of the Subscription Facility, Revolving Credit Facility, 2029 Notes and January 2030 Notes are presented net deferred financing costs $3.0 million, $9.1 million, $14.2 million, and $8.6 million, respectively.</w:t>
      </w:r>
    </w:p>
    <w:p>
      <w:pPr>
        <w:spacing w:after="0" w:line="1" w:lineRule="exact"/>
        <w:rPr>
          <w:sz w:val="20"/>
          <w:szCs w:val="20"/>
          <w:color w:val="auto"/>
        </w:rPr>
      </w:pPr>
    </w:p>
    <w:p>
      <w:pPr>
        <w:ind w:right="440"/>
        <w:spacing w:after="0" w:line="238" w:lineRule="auto"/>
        <w:rPr>
          <w:sz w:val="20"/>
          <w:szCs w:val="20"/>
          <w:color w:val="auto"/>
        </w:rPr>
      </w:pPr>
      <w:r>
        <w:rPr>
          <w:rFonts w:ascii="Times New Roman" w:cs="Times New Roman" w:eastAsia="Times New Roman" w:hAnsi="Times New Roman"/>
          <w:sz w:val="16"/>
          <w:szCs w:val="16"/>
          <w:color w:val="auto"/>
        </w:rPr>
        <w:t>(3)The carrying value of the 2029 Notes and January 2030 Notes are presented inclusive of an incremental $(1.1) million and $(24.1) million, respectively, which represents an adjustment in the carrying value of the 2029 Notes and January 2030 Notes, resulting from a hedge accounting relationship.</w:t>
      </w:r>
    </w:p>
    <w:p>
      <w:pPr>
        <w:spacing w:after="0" w:line="1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three and nine months ended September 30, 2025 and 2024, the components of interest expense were as follows: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0" w:name="page41"/>
    <w:bookmarkEnd w:id="40"/>
    <w:p>
      <w:pPr>
        <w:spacing w:after="0" w:line="125" w:lineRule="exact"/>
        <w:rPr>
          <w:sz w:val="20"/>
          <w:szCs w:val="20"/>
          <w:color w:val="auto"/>
        </w:rPr>
      </w:pPr>
    </w:p>
    <w:tbl>
      <w:tblPr>
        <w:tblLayout w:type="fixed"/>
        <w:tblInd w:w="8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20" w:type="dxa"/>
            <w:vAlign w:val="bottom"/>
            <w:gridSpan w:val="6"/>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00" w:type="dxa"/>
            <w:vAlign w:val="bottom"/>
          </w:tcPr>
          <w:p>
            <w:pPr>
              <w:spacing w:after="0"/>
              <w:rPr>
                <w:sz w:val="13"/>
                <w:szCs w:val="13"/>
                <w:color w:val="auto"/>
              </w:rPr>
            </w:pPr>
          </w:p>
        </w:tc>
        <w:tc>
          <w:tcPr>
            <w:tcW w:w="1620" w:type="dxa"/>
            <w:vAlign w:val="bottom"/>
            <w:gridSpan w:val="3"/>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4"/>
                <w:szCs w:val="14"/>
                <w:color w:val="auto"/>
              </w:rPr>
            </w:pP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51,232</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44,129</w:t>
            </w:r>
          </w:p>
        </w:tc>
        <w:tc>
          <w:tcPr>
            <w:tcW w:w="2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150,240</w:t>
            </w:r>
          </w:p>
        </w:tc>
        <w:tc>
          <w:tcPr>
            <w:tcW w:w="560" w:type="dxa"/>
            <w:vAlign w:val="bottom"/>
            <w:shd w:val="clear" w:color="auto" w:fill="CFF0FC"/>
          </w:tcPr>
          <w:p>
            <w:pPr>
              <w:jc w:val="right"/>
              <w:ind w:right="40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117,690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Commitment fees</w:t>
            </w:r>
          </w:p>
        </w:tc>
        <w:tc>
          <w:tcPr>
            <w:tcW w:w="340" w:type="dxa"/>
            <w:vAlign w:val="bottom"/>
          </w:tcPr>
          <w:p>
            <w:pPr>
              <w:spacing w:after="0"/>
              <w:rPr>
                <w:sz w:val="15"/>
                <w:szCs w:val="15"/>
                <w:color w:val="auto"/>
              </w:rPr>
            </w:pPr>
          </w:p>
        </w:tc>
        <w:tc>
          <w:tcPr>
            <w:tcW w:w="9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1,631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941</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4,775</w:t>
            </w:r>
          </w:p>
        </w:tc>
        <w:tc>
          <w:tcPr>
            <w:tcW w:w="560" w:type="dxa"/>
            <w:vAlign w:val="bottom"/>
          </w:tcPr>
          <w:p>
            <w:pPr>
              <w:spacing w:after="0"/>
              <w:rPr>
                <w:sz w:val="15"/>
                <w:szCs w:val="15"/>
                <w:color w:val="auto"/>
              </w:rPr>
            </w:pPr>
          </w:p>
        </w:tc>
        <w:tc>
          <w:tcPr>
            <w:tcW w:w="7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2,376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Amortization of deferred financing costs</w:t>
            </w:r>
          </w:p>
        </w:tc>
        <w:tc>
          <w:tcPr>
            <w:tcW w:w="3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3,001</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1,606</w:t>
            </w:r>
          </w:p>
        </w:tc>
        <w:tc>
          <w:tcPr>
            <w:tcW w:w="4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9,255</w:t>
            </w:r>
          </w:p>
        </w:tc>
        <w:tc>
          <w:tcPr>
            <w:tcW w:w="5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5,724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Accretion of original issue discount</w:t>
            </w:r>
          </w:p>
        </w:tc>
        <w:tc>
          <w:tcPr>
            <w:tcW w:w="3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543</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294</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1,569</w:t>
            </w:r>
          </w:p>
        </w:tc>
        <w:tc>
          <w:tcPr>
            <w:tcW w:w="5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Swap settlement</w:t>
            </w:r>
          </w:p>
        </w:tc>
        <w:tc>
          <w:tcPr>
            <w:tcW w:w="3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3,582</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3,021</w:t>
            </w:r>
          </w:p>
        </w:tc>
        <w:tc>
          <w:tcPr>
            <w:tcW w:w="4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9,319</w:t>
            </w:r>
          </w:p>
        </w:tc>
        <w:tc>
          <w:tcPr>
            <w:tcW w:w="5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5,676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0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 Interest Expense</w:t>
            </w:r>
          </w:p>
        </w:tc>
        <w:tc>
          <w:tcPr>
            <w:tcW w:w="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59,989</w:t>
            </w:r>
          </w:p>
        </w:tc>
        <w:tc>
          <w:tcPr>
            <w:tcW w:w="180" w:type="dxa"/>
            <w:vAlign w:val="bottom"/>
          </w:tcPr>
          <w:p>
            <w:pPr>
              <w:spacing w:after="0"/>
              <w:rPr>
                <w:sz w:val="15"/>
                <w:szCs w:val="15"/>
                <w:color w:val="auto"/>
              </w:rPr>
            </w:pPr>
          </w:p>
        </w:tc>
        <w:tc>
          <w:tcPr>
            <w:tcW w:w="1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49,991</w:t>
            </w:r>
          </w:p>
        </w:tc>
        <w:tc>
          <w:tcPr>
            <w:tcW w:w="220" w:type="dxa"/>
            <w:vAlign w:val="bottom"/>
          </w:tcPr>
          <w:p>
            <w:pPr>
              <w:spacing w:after="0"/>
              <w:rPr>
                <w:sz w:val="15"/>
                <w:szCs w:val="15"/>
                <w:color w:val="auto"/>
              </w:rPr>
            </w:pPr>
          </w:p>
        </w:tc>
        <w:tc>
          <w:tcPr>
            <w:tcW w:w="400" w:type="dxa"/>
            <w:vAlign w:val="bottom"/>
          </w:tcPr>
          <w:p>
            <w:pPr>
              <w:jc w:val="right"/>
              <w:ind w:right="24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175,158</w:t>
            </w:r>
          </w:p>
        </w:tc>
        <w:tc>
          <w:tcPr>
            <w:tcW w:w="560" w:type="dxa"/>
            <w:vAlign w:val="bottom"/>
          </w:tcPr>
          <w:p>
            <w:pPr>
              <w:jc w:val="right"/>
              <w:ind w:right="40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132,094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Average debt outstanding (in millions)</w:t>
            </w:r>
          </w:p>
        </w:tc>
        <w:tc>
          <w:tcPr>
            <w:tcW w:w="3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3,822.5</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2,598.9</w:t>
            </w:r>
          </w:p>
        </w:tc>
        <w:tc>
          <w:tcPr>
            <w:tcW w:w="220" w:type="dxa"/>
            <w:vAlign w:val="bottom"/>
            <w:shd w:val="clear" w:color="auto" w:fill="CFF0FC"/>
          </w:tcPr>
          <w:p>
            <w:pPr>
              <w:spacing w:after="0"/>
              <w:rPr>
                <w:sz w:val="13"/>
                <w:szCs w:val="13"/>
                <w:color w:val="auto"/>
              </w:rPr>
            </w:pPr>
          </w:p>
        </w:tc>
        <w:tc>
          <w:tcPr>
            <w:tcW w:w="400" w:type="dxa"/>
            <w:vAlign w:val="bottom"/>
            <w:shd w:val="clear" w:color="auto" w:fill="CFF0FC"/>
          </w:tcPr>
          <w:p>
            <w:pPr>
              <w:jc w:val="right"/>
              <w:ind w:right="246"/>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3,594.4</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05"/>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2,252.9</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interest rate</w:t>
            </w:r>
          </w:p>
        </w:tc>
        <w:tc>
          <w:tcPr>
            <w:tcW w:w="3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w:t>
            </w:r>
          </w:p>
        </w:tc>
        <w:tc>
          <w:tcPr>
            <w:tcW w:w="4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w:t>
            </w:r>
          </w:p>
        </w:tc>
        <w:tc>
          <w:tcPr>
            <w:tcW w:w="5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right="7920" w:firstLine="6"/>
        <w:spacing w:after="0" w:line="413" w:lineRule="auto"/>
        <w:tabs>
          <w:tab w:leader="none" w:pos="156"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i w:val="1"/>
          <w:iCs w:val="1"/>
          <w:color w:val="auto"/>
        </w:rPr>
        <w:t>Portfolio Company Commitments</w:t>
      </w:r>
    </w:p>
    <w:p>
      <w:pPr>
        <w:ind w:firstLine="228"/>
        <w:spacing w:after="0" w:line="241" w:lineRule="auto"/>
        <w:rPr>
          <w:sz w:val="20"/>
          <w:szCs w:val="20"/>
          <w:color w:val="auto"/>
        </w:rPr>
      </w:pPr>
      <w:r>
        <w:rPr>
          <w:rFonts w:ascii="Times New Roman" w:cs="Times New Roman" w:eastAsia="Times New Roman" w:hAnsi="Times New Roman"/>
          <w:sz w:val="16"/>
          <w:szCs w:val="16"/>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September 30, 2025 and December 31, 2024, the Company had the following commitments to fund investments in current portfolio companies:</w:t>
      </w:r>
    </w:p>
    <w:p>
      <w:pPr>
        <w:spacing w:after="0" w:line="1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660" w:top="1440" w:right="9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320" w:type="dxa"/>
            <w:vAlign w:val="bottom"/>
          </w:tcPr>
          <w:p>
            <w:pPr>
              <w:spacing w:after="0"/>
              <w:rPr>
                <w:sz w:val="14"/>
                <w:szCs w:val="14"/>
                <w:color w:val="auto"/>
              </w:rPr>
            </w:pP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Alaska Bidco Oy - Delayed Draw &amp; Revolver</w:t>
            </w:r>
          </w:p>
        </w:tc>
        <w:tc>
          <w:tcPr>
            <w:tcW w:w="14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246</w:t>
            </w:r>
          </w:p>
        </w:tc>
        <w:tc>
          <w:tcPr>
            <w:tcW w:w="3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217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Apellis Pharmaceuticals, Inc.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42,105</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Aptean, Inc.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15,757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Arrow Buyer, Inc.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20,157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Arrowhead Pharmaceuticals, Inc. - Delayed Draw</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121,309</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135,222</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Artisan Bidco, Inc.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6,191</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16,886</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Avalara, Inc. -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13,636</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AVSC Holding Corp.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26,580</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33,830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Azurite Intermediate Holdings, Inc. - Revolver &amp; Equity</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29,175</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29,175</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Babylon Finco Limited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16,527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Banyan Software Holdings, LLC - Delayed Draw</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19,491</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BCTO Bluebill Buyer, Inc. - Delayed Draw</w:t>
            </w:r>
          </w:p>
        </w:tc>
        <w:tc>
          <w:tcPr>
            <w:tcW w:w="1440" w:type="dxa"/>
            <w:vAlign w:val="bottom"/>
          </w:tcPr>
          <w:p>
            <w:pPr>
              <w:spacing w:after="0"/>
              <w:rPr>
                <w:sz w:val="17"/>
                <w:szCs w:val="17"/>
                <w:color w:val="auto"/>
              </w:rPr>
            </w:pPr>
          </w:p>
        </w:tc>
        <w:tc>
          <w:tcPr>
            <w:tcW w:w="154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1,074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58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Ben Nevis Midco Limited - Delayed Draw</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27,307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Big Wombat Holdings, Inc - Revolver</w:t>
            </w:r>
          </w:p>
        </w:tc>
        <w:tc>
          <w:tcPr>
            <w:tcW w:w="1440" w:type="dxa"/>
            <w:vAlign w:val="bottom"/>
          </w:tcPr>
          <w:p>
            <w:pPr>
              <w:spacing w:after="0"/>
              <w:rPr>
                <w:sz w:val="15"/>
                <w:szCs w:val="15"/>
                <w:color w:val="auto"/>
              </w:rPr>
            </w:pPr>
          </w:p>
        </w:tc>
        <w:tc>
          <w:tcPr>
            <w:tcW w:w="15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706</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BTRS Holdings, Inc.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9,086</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Cirrus (Bidco) Ltd - Delayed Draw</w:t>
            </w:r>
          </w:p>
        </w:tc>
        <w:tc>
          <w:tcPr>
            <w:tcW w:w="1440" w:type="dxa"/>
            <w:vAlign w:val="bottom"/>
          </w:tcPr>
          <w:p>
            <w:pPr>
              <w:spacing w:after="0"/>
              <w:rPr>
                <w:sz w:val="15"/>
                <w:szCs w:val="15"/>
                <w:color w:val="auto"/>
              </w:rPr>
            </w:pPr>
          </w:p>
        </w:tc>
        <w:tc>
          <w:tcPr>
            <w:tcW w:w="15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449</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417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Cordance Operations LLC - Delayed Draw</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50,000</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Coupa Holdings, LLC - Delayed Draw &amp;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20,427</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20,428</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Crewline Buyer, Inc. - Revolver &amp; Equity</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16,295</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16,295</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Disco Parent, Inc.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5,776</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EDB Parent, LLC - Delayed Draw</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1,517</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Edge Bidco B.V. - Delayed Draw &amp;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1,127</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993</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Elysium BidCo Limited -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19,289</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Erling Lux Bidco SARL - Delayed Draw &amp;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6,253</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2,772</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Eventus Buyer, LLC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16,157</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18,777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Flight Intermediate HoldCo, Inc.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38,792</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44,012</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Fullsteam Operations, LLC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70,282</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Galileo Parent, Inc.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8,077</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12,788</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Greenshoot Bidco B.V. -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462</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407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Heritage Environmental Services, Inc. - Delayed Draw &amp;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29,746</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28,485</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Hippo XPA Bidco AB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9,636</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1,697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HireVue, Inc.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3,528</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5,141</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HMP Omnimedia, LLC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64,773</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Ingenovis Health Finance, LLC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10,000</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Kangaroo Bidco AS - Delayed Draw</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22,500</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22,500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Kryptona BidCo US, LLC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14,674</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14,674</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Lynx BidCo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15,686</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25,077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Merit Software Finance Holdings, LLC - Delayed Draw &amp;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1,071</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3,214</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PDI TA Holdings, Inc.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7,941</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26,516</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QSR Acquisition Co.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Rail Acquisitions LLC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7,075</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RainFocus, LLC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1,150</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8"/>
              </w:rPr>
              <w:t>Rapid Data GmbH Unternehmensberatung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1,617</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1,425</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Raptor US Buyer II Corp.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4,318</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4,318</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Sapphire Software Buyer, Inc. -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27,027</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27,027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Scorpio Bidco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17,242</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15,195</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Severin Acquisition, LLC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53,590</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72,475</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Shiftmove GmbH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6,854</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6,040</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Sky Bidco S.p.A. - Delayed Draw</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33,639</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29,645</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SkyLark UK DebtCo Limited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40,555</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24,084</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SL Buyer Corp. - Delayed Draw</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1,258</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SMA Technologies Holdings, LLC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3,991</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3,991</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Sport Alliance GmbH -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489</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647</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Tango Management Consulting, LLC #2 - Delayed Draw &amp; Revolver</w:t>
            </w:r>
          </w:p>
        </w:tc>
        <w:tc>
          <w:tcPr>
            <w:tcW w:w="1440" w:type="dxa"/>
            <w:vAlign w:val="bottom"/>
          </w:tcPr>
          <w:p>
            <w:pPr>
              <w:spacing w:after="0"/>
              <w:rPr>
                <w:sz w:val="17"/>
                <w:szCs w:val="17"/>
                <w:color w:val="auto"/>
              </w:rPr>
            </w:pPr>
          </w:p>
        </w:tc>
        <w:tc>
          <w:tcPr>
            <w:tcW w:w="15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6,207</w:t>
            </w:r>
          </w:p>
        </w:tc>
        <w:tc>
          <w:tcPr>
            <w:tcW w:w="320" w:type="dxa"/>
            <w:vAlign w:val="bottom"/>
          </w:tcPr>
          <w:p>
            <w:pPr>
              <w:spacing w:after="0"/>
              <w:rPr>
                <w:sz w:val="17"/>
                <w:szCs w:val="17"/>
                <w:color w:val="auto"/>
              </w:rPr>
            </w:pP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40" w:type="dxa"/>
            <w:vAlign w:val="bottom"/>
          </w:tcPr>
          <w:p>
            <w:pPr>
              <w:jc w:val="right"/>
              <w:ind w:right="1142"/>
              <w:spacing w:after="0"/>
              <w:rPr>
                <w:sz w:val="20"/>
                <w:szCs w:val="20"/>
                <w:color w:val="auto"/>
              </w:rPr>
            </w:pPr>
            <w:r>
              <w:rPr>
                <w:rFonts w:ascii="Times New Roman" w:cs="Times New Roman" w:eastAsia="Times New Roman" w:hAnsi="Times New Roman"/>
                <w:sz w:val="16"/>
                <w:szCs w:val="16"/>
                <w:color w:val="auto"/>
              </w:rPr>
              <w:t>42</w:t>
            </w: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580" w:type="dxa"/>
            <w:vAlign w:val="bottom"/>
            <w:tcBorders>
              <w:bottom w:val="single" w:sz="8" w:color="EEEEEE"/>
            </w:tcBorders>
          </w:tcPr>
          <w:p>
            <w:pPr>
              <w:spacing w:after="0"/>
              <w:rPr>
                <w:sz w:val="24"/>
                <w:szCs w:val="24"/>
                <w:color w:val="auto"/>
              </w:rPr>
            </w:pPr>
          </w:p>
        </w:tc>
        <w:tc>
          <w:tcPr>
            <w:tcW w:w="456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8" w:right="680" w:bottom="1440" w:gutter="0" w:footer="0" w:header="0"/>
        </w:sectPr>
      </w:pPr>
    </w:p>
    <w:bookmarkStart w:id="42" w:name="page43"/>
    <w:bookmarkEnd w:id="42"/>
    <w:tbl>
      <w:tblPr>
        <w:tblLayout w:type="fixed"/>
        <w:tblInd w:w="580" w:type="dxa"/>
        <w:tblCellMar>
          <w:top w:w="0" w:type="dxa"/>
          <w:left w:w="0" w:type="dxa"/>
          <w:bottom w:w="0" w:type="dxa"/>
          <w:right w:w="0" w:type="dxa"/>
        </w:tblCellMar>
      </w:tblPr>
      <w:tr>
        <w:trPr>
          <w:trHeight w:val="184"/>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Truck-Lite Co., LLC - Delayed Draw &amp; Revolver</w:t>
            </w:r>
          </w:p>
        </w:tc>
        <w:tc>
          <w:tcPr>
            <w:tcW w:w="5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41,617</w:t>
            </w:r>
          </w:p>
        </w:tc>
        <w:tc>
          <w:tcPr>
            <w:tcW w:w="2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61,202</w:t>
            </w:r>
          </w:p>
        </w:tc>
        <w:tc>
          <w:tcPr>
            <w:tcW w:w="80" w:type="dxa"/>
            <w:vAlign w:val="bottom"/>
            <w:shd w:val="clear" w:color="auto" w:fill="CFF0FC"/>
          </w:tcPr>
          <w:p>
            <w:pPr>
              <w:spacing w:after="0"/>
              <w:rPr>
                <w:sz w:val="16"/>
                <w:szCs w:val="16"/>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USA Debusk, LLC - Delayed Draw &amp; Revolver</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43,282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42,137</w:t>
            </w:r>
          </w:p>
        </w:tc>
        <w:tc>
          <w:tcPr>
            <w:tcW w:w="80" w:type="dxa"/>
            <w:vAlign w:val="bottom"/>
          </w:tcPr>
          <w:p>
            <w:pPr>
              <w:spacing w:after="0"/>
              <w:rPr>
                <w:sz w:val="18"/>
                <w:szCs w:val="18"/>
                <w:color w:val="auto"/>
              </w:rPr>
            </w:pPr>
          </w:p>
        </w:tc>
      </w:tr>
      <w:tr>
        <w:trPr>
          <w:trHeight w:val="180"/>
        </w:trPr>
        <w:tc>
          <w:tcPr>
            <w:tcW w:w="5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Varinem German Bidco GmbH - Delayed Draw</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4,919</w:t>
            </w: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3,553</w:t>
            </w:r>
          </w:p>
        </w:tc>
      </w:tr>
      <w:tr>
        <w:trPr>
          <w:trHeight w:val="180"/>
        </w:trPr>
        <w:tc>
          <w:tcPr>
            <w:tcW w:w="5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Velocity Clinical Research, Inc. - Delayed Draw &amp; Revolver</w:t>
            </w:r>
          </w:p>
        </w:tc>
        <w:tc>
          <w:tcPr>
            <w:tcW w:w="5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40,978</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Wrangler Topco, LLC - Delayed Draw &amp; Revolver</w:t>
            </w:r>
          </w:p>
        </w:tc>
        <w:tc>
          <w:tcPr>
            <w:tcW w:w="5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20,065</w:t>
            </w:r>
          </w:p>
        </w:tc>
        <w:tc>
          <w:tcPr>
            <w:tcW w:w="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32,377</w:t>
            </w:r>
          </w:p>
        </w:tc>
        <w:tc>
          <w:tcPr>
            <w:tcW w:w="80" w:type="dxa"/>
            <w:vAlign w:val="bottom"/>
            <w:shd w:val="clear" w:color="auto" w:fill="CFF0FC"/>
          </w:tcPr>
          <w:p>
            <w:pPr>
              <w:spacing w:after="0"/>
              <w:rPr>
                <w:sz w:val="15"/>
                <w:szCs w:val="15"/>
                <w:color w:val="auto"/>
              </w:rPr>
            </w:pPr>
          </w:p>
        </w:tc>
      </w:tr>
      <w:tr>
        <w:trPr>
          <w:trHeight w:val="180"/>
        </w:trPr>
        <w:tc>
          <w:tcPr>
            <w:tcW w:w="584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Total Portfolio Company Commitments </w:t>
            </w:r>
            <w:r>
              <w:rPr>
                <w:rFonts w:ascii="Times New Roman" w:cs="Times New Roman" w:eastAsia="Times New Roman" w:hAnsi="Times New Roman"/>
                <w:sz w:val="18"/>
                <w:szCs w:val="18"/>
                <w:b w:val="1"/>
                <w:bCs w:val="1"/>
                <w:color w:val="auto"/>
                <w:vertAlign w:val="superscript"/>
              </w:rPr>
              <w:t>(1)(2)</w:t>
            </w:r>
          </w:p>
        </w:tc>
        <w:tc>
          <w:tcPr>
            <w:tcW w:w="560" w:type="dxa"/>
            <w:vAlign w:val="bottom"/>
          </w:tcPr>
          <w:p>
            <w:pPr>
              <w:jc w:val="right"/>
              <w:ind w:right="4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877,933</w:t>
            </w:r>
          </w:p>
        </w:tc>
        <w:tc>
          <w:tcPr>
            <w:tcW w:w="82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1,050,384</w:t>
            </w:r>
          </w:p>
        </w:tc>
        <w:tc>
          <w:tcPr>
            <w:tcW w:w="80" w:type="dxa"/>
            <w:vAlign w:val="bottom"/>
          </w:tcPr>
          <w:p>
            <w:pPr>
              <w:spacing w:after="0"/>
              <w:rPr>
                <w:sz w:val="15"/>
                <w:szCs w:val="15"/>
                <w:color w:val="auto"/>
              </w:rPr>
            </w:pPr>
          </w:p>
        </w:tc>
      </w:tr>
      <w:tr>
        <w:trPr>
          <w:trHeight w:val="20"/>
        </w:trPr>
        <w:tc>
          <w:tcPr>
            <w:tcW w:w="5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(1)Represents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(2)The Company’s estimate of the fair value of the current investments in these portfolio companies includes an analysis of the fair value of any unfunded commitments.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Commitments and Contingencies</w:t>
      </w:r>
    </w:p>
    <w:p>
      <w:pPr>
        <w:spacing w:after="0" w:line="190" w:lineRule="exact"/>
        <w:rPr>
          <w:sz w:val="20"/>
          <w:szCs w:val="20"/>
          <w:color w:val="auto"/>
        </w:rPr>
      </w:pPr>
    </w:p>
    <w:p>
      <w:pPr>
        <w:ind w:right="420" w:firstLine="228"/>
        <w:spacing w:after="0" w:line="259" w:lineRule="auto"/>
        <w:rPr>
          <w:sz w:val="20"/>
          <w:szCs w:val="20"/>
          <w:color w:val="auto"/>
        </w:rPr>
      </w:pPr>
      <w:r>
        <w:rPr>
          <w:rFonts w:ascii="Times New Roman" w:cs="Times New Roman" w:eastAsia="Times New Roman" w:hAnsi="Times New Roman"/>
          <w:sz w:val="16"/>
          <w:szCs w:val="16"/>
          <w:color w:val="auto"/>
        </w:rPr>
        <w:t>As of September 30, 2025 and December 31, 2024, the Company did not have any unfunded commitments to fund investments to new borrowers that were not current portfolio companies as of such date.</w:t>
      </w:r>
    </w:p>
    <w:p>
      <w:pPr>
        <w:spacing w:after="0" w:line="155" w:lineRule="exact"/>
        <w:rPr>
          <w:sz w:val="20"/>
          <w:szCs w:val="20"/>
          <w:color w:val="auto"/>
        </w:rPr>
      </w:pPr>
    </w:p>
    <w:p>
      <w:pPr>
        <w:ind w:right="36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Company may become a party to certain legal proceedings incidental to the normal course of its business. As of September 30, 2025 and December 31, 2024, management is not aware of any material pending or threatened litigation that would require accounting recognition or financial statement disclosure.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Net Assets</w:t>
      </w:r>
    </w:p>
    <w:p>
      <w:pPr>
        <w:spacing w:after="0" w:line="94"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In connection with its formation, the Company has the authority to issue an unlimited number of Common Shares of beneficial interest at $0.001 per share par value. On June 24, 2022, our Adviser purchased $30 thousand of Common Shares of the Company at a price of $25.00 per Common Share as our initial capital. These Common Shares were issued and sold in reliance upon Section 4(a)(2) of the Securities Act, which provides an exemption from the registration requirements of the Securities Act.</w:t>
      </w:r>
    </w:p>
    <w:p>
      <w:pPr>
        <w:spacing w:after="0" w:line="167"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The Company has entered into subscription agreements (the “Subscription Agreements”) with investors providing for the private placement of the Company’s Common Shares. Under the terms of the Subscription Agreements, investors are required to fund drawdowns to purchase the Company’s Common Shares up to the amount of their respective Capital Commitment on an as-needed basis each time the Company delivers a drawdown notice to its investors. As of September 30, 2025, the Company had received Capital Commitments totaling $7.4 billion ($3.7 billion remaining undrawn). As of December 31, 2024, the Company had received Capital Commitments totaling $7.4 billion ($3.7 billion remaining undrawn).</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Company has a dividend reinvestment plan, whereby the Company may issue Common Shares in order to satisfy dividend reinvestment requests. The number of Common Shares to be issued to a shareholder is determined by dividing the total dollar amount of the cash dividend or distribution payable to a shareholder by the price per share of the Company’s Common Shares at the close of the payment date of a distribution. However, if the price per share on the payment date of a cash dividend or distribution exceeds the most recently computed net asset value per share, the Company will issue shares at the greater of (i) the most recently computed net asset value per share and (ii) 95% of the current price per share (or such lesser discount to the current price per share that still exceeds the most recently computed net asset value per share).</w:t>
      </w:r>
    </w:p>
    <w:p>
      <w:pPr>
        <w:spacing w:after="0" w:line="173"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Pursuant to the Company’s dividend reinvestment plan, the following table summarizes the Common Shares issued to shareholders who have not opted out of the Company’s dividend reinvestment plan for the nine months ended September 30, 2025 and 2024. All shares issued to shareholders in the tables below are newly issued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02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40" w:type="dxa"/>
            <w:vAlign w:val="bottom"/>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40" w:type="dxa"/>
            <w:vAlign w:val="bottom"/>
          </w:tcPr>
          <w:p>
            <w:pPr>
              <w:jc w:val="right"/>
              <w:ind w:right="648"/>
              <w:spacing w:after="0"/>
              <w:rPr>
                <w:sz w:val="20"/>
                <w:szCs w:val="20"/>
                <w:color w:val="auto"/>
              </w:rPr>
            </w:pPr>
            <w:r>
              <w:rPr>
                <w:rFonts w:ascii="Times New Roman" w:cs="Times New Roman" w:eastAsia="Times New Roman" w:hAnsi="Times New Roman"/>
                <w:sz w:val="13"/>
                <w:szCs w:val="13"/>
                <w:b w:val="1"/>
                <w:bCs w:val="1"/>
                <w:color w:val="auto"/>
              </w:rPr>
              <w:t>Date</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380" w:type="dxa"/>
            <w:vAlign w:val="bottom"/>
          </w:tcPr>
          <w:p>
            <w:pPr>
              <w:ind w:left="1120"/>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640" w:type="dxa"/>
            <w:vAlign w:val="bottom"/>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246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December 31, 2024</w:t>
            </w:r>
          </w:p>
        </w:tc>
        <w:tc>
          <w:tcPr>
            <w:tcW w:w="2380" w:type="dxa"/>
            <w:vAlign w:val="bottom"/>
            <w:shd w:val="clear" w:color="auto" w:fill="CFF0FC"/>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December 31, 2024</w:t>
            </w:r>
          </w:p>
        </w:tc>
        <w:tc>
          <w:tcPr>
            <w:tcW w:w="1640" w:type="dxa"/>
            <w:vAlign w:val="bottom"/>
            <w:shd w:val="clear" w:color="auto" w:fill="CFF0FC"/>
          </w:tcPr>
          <w:p>
            <w:pPr>
              <w:jc w:val="right"/>
              <w:ind w:right="8"/>
              <w:spacing w:after="0" w:line="180" w:lineRule="exact"/>
              <w:rPr>
                <w:sz w:val="20"/>
                <w:szCs w:val="20"/>
                <w:color w:val="auto"/>
              </w:rPr>
            </w:pPr>
            <w:r>
              <w:rPr>
                <w:rFonts w:ascii="Times New Roman" w:cs="Times New Roman" w:eastAsia="Times New Roman" w:hAnsi="Times New Roman"/>
                <w:sz w:val="16"/>
                <w:szCs w:val="16"/>
                <w:color w:val="auto"/>
              </w:rPr>
              <w:t>January 30, 2025</w:t>
            </w:r>
          </w:p>
        </w:tc>
        <w:tc>
          <w:tcPr>
            <w:tcW w:w="1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1,456,909</w:t>
            </w:r>
          </w:p>
        </w:tc>
        <w:tc>
          <w:tcPr>
            <w:tcW w:w="80" w:type="dxa"/>
            <w:vAlign w:val="bottom"/>
            <w:shd w:val="clear" w:color="auto" w:fill="CFF0FC"/>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March 31, 2025</w:t>
            </w:r>
          </w:p>
        </w:tc>
        <w:tc>
          <w:tcPr>
            <w:tcW w:w="2380" w:type="dxa"/>
            <w:vAlign w:val="bottom"/>
          </w:tcPr>
          <w:p>
            <w:pPr>
              <w:jc w:val="right"/>
              <w:ind w:right="46"/>
              <w:spacing w:after="0" w:line="180" w:lineRule="exact"/>
              <w:rPr>
                <w:sz w:val="20"/>
                <w:szCs w:val="20"/>
                <w:color w:val="auto"/>
              </w:rPr>
            </w:pPr>
            <w:r>
              <w:rPr>
                <w:rFonts w:ascii="Times New Roman" w:cs="Times New Roman" w:eastAsia="Times New Roman" w:hAnsi="Times New Roman"/>
                <w:sz w:val="16"/>
                <w:szCs w:val="16"/>
                <w:color w:val="auto"/>
              </w:rPr>
              <w:t>March 31, 2025</w:t>
            </w:r>
          </w:p>
        </w:tc>
        <w:tc>
          <w:tcPr>
            <w:tcW w:w="1640" w:type="dxa"/>
            <w:vAlign w:val="bottom"/>
          </w:tcPr>
          <w:p>
            <w:pPr>
              <w:jc w:val="right"/>
              <w:ind w:right="8"/>
              <w:spacing w:after="0" w:line="180" w:lineRule="exact"/>
              <w:rPr>
                <w:sz w:val="20"/>
                <w:szCs w:val="20"/>
                <w:color w:val="auto"/>
              </w:rPr>
            </w:pPr>
            <w:r>
              <w:rPr>
                <w:rFonts w:ascii="Times New Roman" w:cs="Times New Roman" w:eastAsia="Times New Roman" w:hAnsi="Times New Roman"/>
                <w:sz w:val="16"/>
                <w:szCs w:val="16"/>
                <w:color w:val="auto"/>
              </w:rPr>
              <w:t>May 6, 2025</w:t>
            </w:r>
          </w:p>
        </w:tc>
        <w:tc>
          <w:tcPr>
            <w:tcW w:w="1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1,479,035</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020" w:type="dxa"/>
            <w:vAlign w:val="bottom"/>
          </w:tcPr>
          <w:p>
            <w:pPr>
              <w:spacing w:after="0"/>
              <w:rPr>
                <w:sz w:val="20"/>
                <w:szCs w:val="20"/>
                <w:color w:val="auto"/>
              </w:rPr>
            </w:pPr>
          </w:p>
        </w:tc>
        <w:tc>
          <w:tcPr>
            <w:tcW w:w="3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June 30, 2025</w:t>
            </w:r>
          </w:p>
        </w:tc>
        <w:tc>
          <w:tcPr>
            <w:tcW w:w="2380" w:type="dxa"/>
            <w:vAlign w:val="bottom"/>
            <w:tcBorders>
              <w:bottom w:val="single" w:sz="8" w:color="CFF0FC"/>
            </w:tcBorders>
            <w:shd w:val="clear" w:color="auto" w:fill="CFF0FC"/>
          </w:tcPr>
          <w:p>
            <w:pPr>
              <w:jc w:val="right"/>
              <w:ind w:right="46"/>
              <w:spacing w:after="0"/>
              <w:rPr>
                <w:sz w:val="20"/>
                <w:szCs w:val="20"/>
                <w:color w:val="auto"/>
              </w:rPr>
            </w:pPr>
            <w:r>
              <w:rPr>
                <w:rFonts w:ascii="Times New Roman" w:cs="Times New Roman" w:eastAsia="Times New Roman" w:hAnsi="Times New Roman"/>
                <w:sz w:val="16"/>
                <w:szCs w:val="16"/>
                <w:color w:val="auto"/>
              </w:rPr>
              <w:t>June 30, 2025</w:t>
            </w:r>
          </w:p>
        </w:tc>
        <w:tc>
          <w:tcPr>
            <w:tcW w:w="164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August 5, 2025</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1,559,071</w:t>
            </w:r>
          </w:p>
        </w:tc>
        <w:tc>
          <w:tcPr>
            <w:tcW w:w="80" w:type="dxa"/>
            <w:vAlign w:val="bottom"/>
            <w:tcBorders>
              <w:bottom w:val="single" w:sz="8" w:color="CFF0FC"/>
            </w:tcBorders>
            <w:shd w:val="clear" w:color="auto" w:fill="CFF0FC"/>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0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Common Shares Issued</w:t>
            </w:r>
          </w:p>
        </w:tc>
        <w:tc>
          <w:tcPr>
            <w:tcW w:w="2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4,495,015</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80" w:type="dxa"/>
            <w:vAlign w:val="bottom"/>
            <w:vMerge w:val="restart"/>
          </w:tcPr>
          <w:p>
            <w:pPr>
              <w:ind w:left="1120"/>
              <w:spacing w:after="0"/>
              <w:rPr>
                <w:sz w:val="20"/>
                <w:szCs w:val="20"/>
                <w:color w:val="auto"/>
              </w:rPr>
            </w:pPr>
            <w:r>
              <w:rPr>
                <w:rFonts w:ascii="Times New Roman" w:cs="Times New Roman" w:eastAsia="Times New Roman" w:hAnsi="Times New Roman"/>
                <w:sz w:val="16"/>
                <w:szCs w:val="16"/>
                <w:color w:val="auto"/>
              </w:rPr>
              <w:t>43</w:t>
            </w:r>
          </w:p>
        </w:tc>
        <w:tc>
          <w:tcPr>
            <w:tcW w:w="1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10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020" w:type="dxa"/>
            <w:vAlign w:val="bottom"/>
            <w:tcBorders>
              <w:bottom w:val="single" w:sz="8" w:color="EEEEEE"/>
            </w:tcBorders>
          </w:tcPr>
          <w:p>
            <w:pPr>
              <w:spacing w:after="0"/>
              <w:rPr>
                <w:sz w:val="24"/>
                <w:szCs w:val="24"/>
                <w:color w:val="auto"/>
              </w:rPr>
            </w:pPr>
          </w:p>
        </w:tc>
        <w:tc>
          <w:tcPr>
            <w:tcW w:w="3060" w:type="dxa"/>
            <w:vAlign w:val="bottom"/>
            <w:tcBorders>
              <w:bottom w:val="single" w:sz="8" w:color="EEEEEE"/>
            </w:tcBorders>
          </w:tcPr>
          <w:p>
            <w:pPr>
              <w:spacing w:after="0"/>
              <w:rPr>
                <w:sz w:val="24"/>
                <w:szCs w:val="24"/>
                <w:color w:val="auto"/>
              </w:rPr>
            </w:pPr>
          </w:p>
        </w:tc>
        <w:tc>
          <w:tcPr>
            <w:tcW w:w="2380" w:type="dxa"/>
            <w:vAlign w:val="bottom"/>
            <w:tcBorders>
              <w:bottom w:val="single" w:sz="8" w:color="EEEEEE"/>
            </w:tcBorders>
          </w:tcPr>
          <w:p>
            <w:pPr>
              <w:spacing w:after="0"/>
              <w:rPr>
                <w:sz w:val="24"/>
                <w:szCs w:val="24"/>
                <w:color w:val="auto"/>
              </w:rPr>
            </w:pPr>
          </w:p>
        </w:tc>
        <w:tc>
          <w:tcPr>
            <w:tcW w:w="1640" w:type="dxa"/>
            <w:vAlign w:val="bottom"/>
            <w:tcBorders>
              <w:bottom w:val="single" w:sz="8" w:color="EEEEEE"/>
            </w:tcBorders>
          </w:tcPr>
          <w:p>
            <w:pPr>
              <w:spacing w:after="0"/>
              <w:rPr>
                <w:sz w:val="24"/>
                <w:szCs w:val="24"/>
                <w:color w:val="auto"/>
              </w:rPr>
            </w:pPr>
          </w:p>
        </w:tc>
        <w:tc>
          <w:tcPr>
            <w:tcW w:w="13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94" w:right="680" w:bottom="1440" w:gutter="0" w:footer="0" w:header="0"/>
        </w:sectPr>
      </w:pPr>
    </w:p>
    <w:bookmarkStart w:id="43" w:name="page44"/>
    <w:bookmarkEnd w:id="43"/>
    <w:p>
      <w:pPr>
        <w:spacing w:after="0" w:line="317" w:lineRule="exact"/>
        <w:rPr>
          <w:sz w:val="20"/>
          <w:szCs w:val="20"/>
          <w:color w:val="auto"/>
        </w:rPr>
      </w:pPr>
    </w:p>
    <w:tbl>
      <w:tblPr>
        <w:tblLayout w:type="fixed"/>
        <w:tblInd w:w="1020" w:type="dxa"/>
        <w:tblCellMar>
          <w:top w:w="0" w:type="dxa"/>
          <w:left w:w="0" w:type="dxa"/>
          <w:bottom w:w="0" w:type="dxa"/>
          <w:right w:w="0" w:type="dxa"/>
        </w:tblCellMar>
      </w:tblPr>
      <w:tr>
        <w:trPr>
          <w:trHeight w:val="156"/>
        </w:trPr>
        <w:tc>
          <w:tcPr>
            <w:tcW w:w="3060" w:type="dxa"/>
            <w:vAlign w:val="bottom"/>
          </w:tcPr>
          <w:p>
            <w:pPr>
              <w:spacing w:after="0"/>
              <w:rPr>
                <w:sz w:val="13"/>
                <w:szCs w:val="13"/>
                <w:color w:val="auto"/>
              </w:rPr>
            </w:pPr>
          </w:p>
        </w:tc>
        <w:tc>
          <w:tcPr>
            <w:tcW w:w="402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0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40" w:type="dxa"/>
            <w:vAlign w:val="bottom"/>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0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40" w:type="dxa"/>
            <w:vAlign w:val="bottom"/>
          </w:tcPr>
          <w:p>
            <w:pPr>
              <w:jc w:val="right"/>
              <w:ind w:right="648"/>
              <w:spacing w:after="0"/>
              <w:rPr>
                <w:sz w:val="20"/>
                <w:szCs w:val="20"/>
                <w:color w:val="auto"/>
              </w:rPr>
            </w:pPr>
            <w:r>
              <w:rPr>
                <w:rFonts w:ascii="Times New Roman" w:cs="Times New Roman" w:eastAsia="Times New Roman" w:hAnsi="Times New Roman"/>
                <w:sz w:val="13"/>
                <w:szCs w:val="13"/>
                <w:b w:val="1"/>
                <w:bCs w:val="1"/>
                <w:color w:val="auto"/>
              </w:rPr>
              <w:t>Date</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380" w:type="dxa"/>
            <w:vAlign w:val="bottom"/>
          </w:tcPr>
          <w:p>
            <w:pPr>
              <w:jc w:val="right"/>
              <w:ind w:right="467"/>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640" w:type="dxa"/>
            <w:vAlign w:val="bottom"/>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4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 Issued</w:t>
            </w:r>
          </w:p>
        </w:tc>
      </w:tr>
      <w:tr>
        <w:trPr>
          <w:trHeight w:val="180"/>
        </w:trPr>
        <w:tc>
          <w:tcPr>
            <w:tcW w:w="3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December 29, 2023</w:t>
            </w:r>
          </w:p>
        </w:tc>
        <w:tc>
          <w:tcPr>
            <w:tcW w:w="2380" w:type="dxa"/>
            <w:vAlign w:val="bottom"/>
            <w:shd w:val="clear" w:color="auto" w:fill="CFF0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December 31, 2023</w:t>
            </w:r>
          </w:p>
        </w:tc>
        <w:tc>
          <w:tcPr>
            <w:tcW w:w="1640" w:type="dxa"/>
            <w:vAlign w:val="bottom"/>
            <w:shd w:val="clear" w:color="auto" w:fill="CFF0FC"/>
          </w:tcPr>
          <w:p>
            <w:pPr>
              <w:jc w:val="right"/>
              <w:ind w:right="28"/>
              <w:spacing w:after="0" w:line="180" w:lineRule="exact"/>
              <w:rPr>
                <w:sz w:val="20"/>
                <w:szCs w:val="20"/>
                <w:color w:val="auto"/>
              </w:rPr>
            </w:pPr>
            <w:r>
              <w:rPr>
                <w:rFonts w:ascii="Times New Roman" w:cs="Times New Roman" w:eastAsia="Times New Roman" w:hAnsi="Times New Roman"/>
                <w:sz w:val="16"/>
                <w:szCs w:val="16"/>
                <w:color w:val="auto"/>
              </w:rPr>
              <w:t>February 21, 2024</w:t>
            </w:r>
          </w:p>
        </w:tc>
        <w:tc>
          <w:tcPr>
            <w:tcW w:w="14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795,040</w:t>
            </w:r>
          </w:p>
        </w:tc>
      </w:tr>
      <w:tr>
        <w:trPr>
          <w:trHeight w:val="180"/>
        </w:trPr>
        <w:tc>
          <w:tcPr>
            <w:tcW w:w="3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March 29, 2024</w:t>
            </w:r>
          </w:p>
        </w:tc>
        <w:tc>
          <w:tcPr>
            <w:tcW w:w="2380" w:type="dxa"/>
            <w:vAlign w:val="bottom"/>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March 31, 2024</w:t>
            </w:r>
          </w:p>
        </w:tc>
        <w:tc>
          <w:tcPr>
            <w:tcW w:w="1640" w:type="dxa"/>
            <w:vAlign w:val="bottom"/>
          </w:tcPr>
          <w:p>
            <w:pPr>
              <w:jc w:val="right"/>
              <w:ind w:right="8"/>
              <w:spacing w:after="0" w:line="180" w:lineRule="exact"/>
              <w:rPr>
                <w:sz w:val="20"/>
                <w:szCs w:val="20"/>
                <w:color w:val="auto"/>
              </w:rPr>
            </w:pPr>
            <w:r>
              <w:rPr>
                <w:rFonts w:ascii="Times New Roman" w:cs="Times New Roman" w:eastAsia="Times New Roman" w:hAnsi="Times New Roman"/>
                <w:sz w:val="16"/>
                <w:szCs w:val="16"/>
                <w:color w:val="auto"/>
              </w:rPr>
              <w:t>May 7, 2024</w:t>
            </w:r>
          </w:p>
        </w:tc>
        <w:tc>
          <w:tcPr>
            <w:tcW w:w="14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869,766</w:t>
            </w:r>
          </w:p>
        </w:tc>
      </w:tr>
      <w:tr>
        <w:trPr>
          <w:trHeight w:val="180"/>
        </w:trPr>
        <w:tc>
          <w:tcPr>
            <w:tcW w:w="3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June 30, 2024</w:t>
            </w:r>
          </w:p>
        </w:tc>
        <w:tc>
          <w:tcPr>
            <w:tcW w:w="2380" w:type="dxa"/>
            <w:vAlign w:val="bottom"/>
            <w:shd w:val="clear" w:color="auto" w:fill="CFF0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June 30, 2024</w:t>
            </w:r>
          </w:p>
        </w:tc>
        <w:tc>
          <w:tcPr>
            <w:tcW w:w="1640" w:type="dxa"/>
            <w:vAlign w:val="bottom"/>
            <w:shd w:val="clear" w:color="auto" w:fill="CFF0FC"/>
          </w:tcPr>
          <w:p>
            <w:pPr>
              <w:jc w:val="right"/>
              <w:ind w:right="28"/>
              <w:spacing w:after="0" w:line="180" w:lineRule="exact"/>
              <w:rPr>
                <w:sz w:val="20"/>
                <w:szCs w:val="20"/>
                <w:color w:val="auto"/>
              </w:rPr>
            </w:pPr>
            <w:r>
              <w:rPr>
                <w:rFonts w:ascii="Times New Roman" w:cs="Times New Roman" w:eastAsia="Times New Roman" w:hAnsi="Times New Roman"/>
                <w:sz w:val="16"/>
                <w:szCs w:val="16"/>
                <w:color w:val="auto"/>
              </w:rPr>
              <w:t>August 6, 2024</w:t>
            </w:r>
          </w:p>
        </w:tc>
        <w:tc>
          <w:tcPr>
            <w:tcW w:w="14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953,857</w:t>
            </w:r>
          </w:p>
        </w:tc>
      </w:tr>
      <w:tr>
        <w:trPr>
          <w:trHeight w:val="180"/>
        </w:trPr>
        <w:tc>
          <w:tcPr>
            <w:tcW w:w="30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Common Shares Issued</w:t>
            </w:r>
          </w:p>
        </w:tc>
        <w:tc>
          <w:tcPr>
            <w:tcW w:w="2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2,618,663</w:t>
            </w:r>
          </w:p>
        </w:tc>
        <w:tc>
          <w:tcPr>
            <w:tcW w:w="80" w:type="dxa"/>
            <w:vAlign w:val="bottom"/>
          </w:tcPr>
          <w:p>
            <w:pPr>
              <w:spacing w:after="0"/>
              <w:rPr>
                <w:sz w:val="15"/>
                <w:szCs w:val="15"/>
                <w:color w:val="auto"/>
              </w:rPr>
            </w:pPr>
          </w:p>
        </w:tc>
      </w:tr>
      <w:tr>
        <w:trPr>
          <w:trHeight w:val="20"/>
        </w:trPr>
        <w:tc>
          <w:tcPr>
            <w:tcW w:w="3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During the nine months ended September 30, 2025, the Company issued 4,495,015 Common Shares to investors who have not opted out of our dividend reinvestment plan for proceeds of $130.7 million. During the nine months ended September 30, 2024, the Company issued 2,618,663 Common Shares to investors who have not opted out of our dividend reinvestment plan for proceeds of $74.5 million.</w:t>
      </w:r>
    </w:p>
    <w:p>
      <w:pPr>
        <w:spacing w:after="0" w:line="16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There were no Common Shares issued and proceeds received related to the Company's capital drawdowns delivered pursuant to the Subscription Agreements for the nine months ended September 30, 2025. The following table summarizes the total Common Shares issued and proceeds received related to the Company’s capital drawdowns delivered for the nine months ended September 30, 2024:</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156"/>
        </w:trPr>
        <w:tc>
          <w:tcPr>
            <w:tcW w:w="4780" w:type="dxa"/>
            <w:vAlign w:val="bottom"/>
          </w:tcPr>
          <w:p>
            <w:pPr>
              <w:spacing w:after="0"/>
              <w:rPr>
                <w:sz w:val="13"/>
                <w:szCs w:val="13"/>
                <w:color w:val="auto"/>
              </w:rPr>
            </w:pPr>
          </w:p>
        </w:tc>
        <w:tc>
          <w:tcPr>
            <w:tcW w:w="196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Number of Common Shares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Common Share Issuance Date</w:t>
            </w:r>
          </w:p>
        </w:tc>
        <w:tc>
          <w:tcPr>
            <w:tcW w:w="1960" w:type="dxa"/>
            <w:vAlign w:val="bottom"/>
          </w:tcPr>
          <w:p>
            <w:pPr>
              <w:jc w:val="right"/>
              <w:ind w:right="725"/>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Proceeds Received</w:t>
            </w:r>
          </w:p>
        </w:tc>
      </w:tr>
      <w:tr>
        <w:trPr>
          <w:trHeight w:val="180"/>
        </w:trPr>
        <w:tc>
          <w:tcPr>
            <w:tcW w:w="4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March 6, 2024</w:t>
            </w:r>
          </w:p>
        </w:tc>
        <w:tc>
          <w:tcPr>
            <w:tcW w:w="1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12,174,753</w:t>
            </w:r>
          </w:p>
        </w:tc>
        <w:tc>
          <w:tcPr>
            <w:tcW w:w="500" w:type="dxa"/>
            <w:vAlign w:val="bottom"/>
            <w:gridSpan w:val="2"/>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349,736</w:t>
            </w: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March 26, 2024</w:t>
            </w:r>
          </w:p>
        </w:tc>
        <w:tc>
          <w:tcPr>
            <w:tcW w:w="1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5,174,155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150,000</w:t>
            </w:r>
          </w:p>
        </w:tc>
      </w:tr>
      <w:tr>
        <w:trPr>
          <w:trHeight w:val="180"/>
        </w:trPr>
        <w:tc>
          <w:tcPr>
            <w:tcW w:w="4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June 25, 2024</w:t>
            </w:r>
          </w:p>
        </w:tc>
        <w:tc>
          <w:tcPr>
            <w:tcW w:w="1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10,152,231</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300,000</w:t>
            </w:r>
          </w:p>
        </w:tc>
      </w:tr>
      <w:tr>
        <w:trPr>
          <w:trHeight w:val="180"/>
        </w:trPr>
        <w:tc>
          <w:tcPr>
            <w:tcW w:w="4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September 24, 2024</w:t>
            </w:r>
          </w:p>
        </w:tc>
        <w:tc>
          <w:tcPr>
            <w:tcW w:w="1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8,280,854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250,000</w:t>
            </w:r>
          </w:p>
        </w:tc>
      </w:tr>
      <w:tr>
        <w:trPr>
          <w:trHeight w:val="220"/>
        </w:trPr>
        <w:tc>
          <w:tcPr>
            <w:tcW w:w="4780" w:type="dxa"/>
            <w:vAlign w:val="bottom"/>
            <w:tcBorders>
              <w:bottom w:val="single" w:sz="8" w:color="CFF0FC"/>
            </w:tcBorders>
            <w:shd w:val="clear" w:color="auto" w:fill="CFF0FC"/>
          </w:tcPr>
          <w:p>
            <w:pPr>
              <w:spacing w:after="0"/>
              <w:rPr>
                <w:sz w:val="19"/>
                <w:szCs w:val="19"/>
                <w:color w:val="auto"/>
              </w:rPr>
            </w:pPr>
          </w:p>
        </w:tc>
        <w:tc>
          <w:tcPr>
            <w:tcW w:w="19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35,781,993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1,049,736</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357" w:lineRule="exact"/>
        <w:rPr>
          <w:sz w:val="20"/>
          <w:szCs w:val="20"/>
          <w:color w:val="auto"/>
        </w:rPr>
      </w:pPr>
    </w:p>
    <w:p>
      <w:pPr>
        <w:ind w:left="240" w:hanging="234"/>
        <w:spacing w:after="0"/>
        <w:tabs>
          <w:tab w:leader="none" w:pos="24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w:t>
      </w:r>
    </w:p>
    <w:p>
      <w:pPr>
        <w:spacing w:after="0" w:line="94" w:lineRule="exact"/>
        <w:rPr>
          <w:rFonts w:ascii="Times New Roman" w:cs="Times New Roman" w:eastAsia="Times New Roman" w:hAnsi="Times New Roman"/>
          <w:sz w:val="16"/>
          <w:szCs w:val="16"/>
          <w:b w:val="1"/>
          <w:bCs w:val="1"/>
          <w:color w:val="auto"/>
        </w:rPr>
      </w:pP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The following tables set forth the computation of basic and diluted earnings per common share for the three and nine months ended September 30, 2025 and 2024:</w:t>
      </w:r>
    </w:p>
    <w:p>
      <w:pPr>
        <w:spacing w:after="0" w:line="42"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6"/>
          </w:tcPr>
          <w:p>
            <w:pPr>
              <w:ind w:left="8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5"/>
          </w:tcPr>
          <w:p>
            <w:pPr>
              <w:jc w:val="right"/>
              <w:ind w:right="106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0"/>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20" w:type="dxa"/>
            <w:vAlign w:val="bottom"/>
          </w:tcPr>
          <w:p>
            <w:pPr>
              <w:spacing w:after="0"/>
              <w:rPr>
                <w:sz w:val="14"/>
                <w:szCs w:val="14"/>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September 30, 2024</w:t>
            </w:r>
          </w:p>
        </w:tc>
      </w:tr>
      <w:tr>
        <w:trPr>
          <w:trHeight w:val="180"/>
        </w:trPr>
        <w:tc>
          <w:tcPr>
            <w:tcW w:w="3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Increase (decrease) in net assets resulting from operations</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138,381</w:t>
            </w:r>
          </w:p>
        </w:tc>
        <w:tc>
          <w:tcPr>
            <w:tcW w:w="2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126,980</w:t>
            </w:r>
          </w:p>
        </w:tc>
        <w:tc>
          <w:tcPr>
            <w:tcW w:w="2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424,414</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332,299</w:t>
            </w:r>
          </w:p>
        </w:tc>
      </w:tr>
      <w:tr>
        <w:trPr>
          <w:trHeight w:val="167"/>
        </w:trPr>
        <w:tc>
          <w:tcPr>
            <w:tcW w:w="39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Weighted average Common Shares outstanding—basic and</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144,109,918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95,855,394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142,632,179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83,485,668</w:t>
            </w:r>
          </w:p>
        </w:tc>
        <w:tc>
          <w:tcPr>
            <w:tcW w:w="100" w:type="dxa"/>
            <w:vAlign w:val="bottom"/>
          </w:tcPr>
          <w:p>
            <w:pPr>
              <w:spacing w:after="0"/>
              <w:rPr>
                <w:sz w:val="16"/>
                <w:szCs w:val="16"/>
                <w:color w:val="auto"/>
              </w:rPr>
            </w:pPr>
          </w:p>
        </w:tc>
      </w:tr>
      <w:tr>
        <w:trPr>
          <w:trHeight w:val="200"/>
        </w:trPr>
        <w:tc>
          <w:tcPr>
            <w:tcW w:w="3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Earnings (loss) per common share—basic and diluted</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0.96</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FF0FC"/>
          </w:tcPr>
          <w:p>
            <w:pPr>
              <w:spacing w:after="0"/>
              <w:rPr>
                <w:sz w:val="17"/>
                <w:szCs w:val="17"/>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85" w:lineRule="exact"/>
        <w:rPr>
          <w:sz w:val="20"/>
          <w:szCs w:val="20"/>
          <w:color w:val="auto"/>
        </w:rPr>
      </w:pPr>
    </w:p>
    <w:p>
      <w:pPr>
        <w:ind w:left="240" w:hanging="234"/>
        <w:spacing w:after="0"/>
        <w:tabs>
          <w:tab w:leader="none" w:pos="24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Dividends</w:t>
      </w:r>
    </w:p>
    <w:p>
      <w:pPr>
        <w:spacing w:after="0" w:line="370" w:lineRule="exact"/>
        <w:rPr>
          <w:rFonts w:ascii="Times New Roman" w:cs="Times New Roman" w:eastAsia="Times New Roman" w:hAnsi="Times New Roman"/>
          <w:sz w:val="16"/>
          <w:szCs w:val="16"/>
          <w:b w:val="1"/>
          <w:bCs w:val="1"/>
          <w:color w:val="auto"/>
        </w:rPr>
      </w:pP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summarizes dividends declared during the nine months ended September 30, 2025 and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420" w:type="dxa"/>
            <w:vAlign w:val="bottom"/>
          </w:tcPr>
          <w:p>
            <w:pPr>
              <w:jc w:val="right"/>
              <w:ind w:right="708"/>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420" w:type="dxa"/>
            <w:vAlign w:val="bottom"/>
          </w:tcPr>
          <w:p>
            <w:pPr>
              <w:jc w:val="right"/>
              <w:ind w:right="948"/>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60" w:type="dxa"/>
            <w:vAlign w:val="bottom"/>
            <w:gridSpan w:val="2"/>
          </w:tcPr>
          <w:p>
            <w:pPr>
              <w:ind w:left="800"/>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380" w:type="dxa"/>
            <w:vAlign w:val="bottom"/>
          </w:tcPr>
          <w:p>
            <w:pPr>
              <w:jc w:val="right"/>
              <w:ind w:right="684"/>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2420" w:type="dxa"/>
            <w:vAlign w:val="bottom"/>
          </w:tcPr>
          <w:p>
            <w:pPr>
              <w:jc w:val="right"/>
              <w:ind w:right="768"/>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20" w:type="dxa"/>
            <w:vAlign w:val="bottom"/>
          </w:tcPr>
          <w:p>
            <w:pPr>
              <w:spacing w:after="0"/>
              <w:rPr>
                <w:sz w:val="14"/>
                <w:szCs w:val="14"/>
                <w:color w:val="auto"/>
              </w:rPr>
            </w:pPr>
          </w:p>
        </w:tc>
        <w:tc>
          <w:tcPr>
            <w:tcW w:w="21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2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March 31, 2025</w:t>
            </w:r>
          </w:p>
        </w:tc>
        <w:tc>
          <w:tcPr>
            <w:tcW w:w="238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March 31, 2025</w:t>
            </w:r>
          </w:p>
        </w:tc>
        <w:tc>
          <w:tcPr>
            <w:tcW w:w="2420" w:type="dxa"/>
            <w:vAlign w:val="bottom"/>
            <w:shd w:val="clear" w:color="auto" w:fill="CFF0FC"/>
          </w:tcPr>
          <w:p>
            <w:pPr>
              <w:jc w:val="right"/>
              <w:ind w:right="48"/>
              <w:spacing w:after="0" w:line="180" w:lineRule="exact"/>
              <w:rPr>
                <w:sz w:val="20"/>
                <w:szCs w:val="20"/>
                <w:color w:val="auto"/>
              </w:rPr>
            </w:pPr>
            <w:r>
              <w:rPr>
                <w:rFonts w:ascii="Times New Roman" w:cs="Times New Roman" w:eastAsia="Times New Roman" w:hAnsi="Times New Roman"/>
                <w:sz w:val="16"/>
                <w:szCs w:val="16"/>
                <w:color w:val="auto"/>
              </w:rPr>
              <w:t>May 5, 2025</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0.67</w:t>
            </w:r>
          </w:p>
        </w:tc>
        <w:tc>
          <w:tcPr>
            <w:tcW w:w="80" w:type="dxa"/>
            <w:vAlign w:val="bottom"/>
            <w:shd w:val="clear" w:color="auto" w:fill="CFF0FC"/>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2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June 30, 2025</w:t>
            </w:r>
          </w:p>
        </w:tc>
        <w:tc>
          <w:tcPr>
            <w:tcW w:w="2380" w:type="dxa"/>
            <w:vAlign w:val="bottom"/>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June 30, 2025</w:t>
            </w:r>
          </w:p>
        </w:tc>
        <w:tc>
          <w:tcPr>
            <w:tcW w:w="2420" w:type="dxa"/>
            <w:vAlign w:val="bottom"/>
          </w:tcPr>
          <w:p>
            <w:pPr>
              <w:jc w:val="right"/>
              <w:ind w:right="68"/>
              <w:spacing w:after="0" w:line="180" w:lineRule="exact"/>
              <w:rPr>
                <w:sz w:val="20"/>
                <w:szCs w:val="20"/>
                <w:color w:val="auto"/>
              </w:rPr>
            </w:pPr>
            <w:r>
              <w:rPr>
                <w:rFonts w:ascii="Times New Roman" w:cs="Times New Roman" w:eastAsia="Times New Roman" w:hAnsi="Times New Roman"/>
                <w:sz w:val="16"/>
                <w:szCs w:val="16"/>
                <w:color w:val="auto"/>
              </w:rPr>
              <w:t>August 4, 2025</w:t>
            </w:r>
          </w:p>
        </w:tc>
        <w:tc>
          <w:tcPr>
            <w:tcW w:w="1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0.70</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30, 2025</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30, 2025</w:t>
            </w:r>
          </w:p>
        </w:tc>
        <w:tc>
          <w:tcPr>
            <w:tcW w:w="24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November 10, 2025</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80" w:type="dxa"/>
            <w:vAlign w:val="bottom"/>
            <w:shd w:val="clear" w:color="auto" w:fill="CFF0FC"/>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800" w:type="dxa"/>
            <w:vAlign w:val="bottom"/>
          </w:tcPr>
          <w:p>
            <w:pPr>
              <w:spacing w:after="0"/>
              <w:rPr>
                <w:sz w:val="6"/>
                <w:szCs w:val="6"/>
                <w:color w:val="auto"/>
              </w:rPr>
            </w:pPr>
          </w:p>
        </w:tc>
        <w:tc>
          <w:tcPr>
            <w:tcW w:w="2660" w:type="dxa"/>
            <w:vAlign w:val="bottom"/>
            <w:shd w:val="clear" w:color="auto" w:fill="CFF0FC"/>
          </w:tcPr>
          <w:p>
            <w:pPr>
              <w:spacing w:after="0"/>
              <w:rPr>
                <w:sz w:val="6"/>
                <w:szCs w:val="6"/>
                <w:color w:val="auto"/>
              </w:rPr>
            </w:pPr>
          </w:p>
        </w:tc>
        <w:tc>
          <w:tcPr>
            <w:tcW w:w="2380" w:type="dxa"/>
            <w:vAlign w:val="bottom"/>
            <w:shd w:val="clear" w:color="auto" w:fill="CFF0FC"/>
          </w:tcPr>
          <w:p>
            <w:pPr>
              <w:spacing w:after="0"/>
              <w:rPr>
                <w:sz w:val="6"/>
                <w:szCs w:val="6"/>
                <w:color w:val="auto"/>
              </w:rPr>
            </w:pPr>
          </w:p>
        </w:tc>
        <w:tc>
          <w:tcPr>
            <w:tcW w:w="24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3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26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23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2.07</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380" w:type="dxa"/>
            <w:vAlign w:val="bottom"/>
            <w:vMerge w:val="restart"/>
          </w:tcPr>
          <w:p>
            <w:pPr>
              <w:jc w:val="right"/>
              <w:ind w:right="404"/>
              <w:spacing w:after="0"/>
              <w:rPr>
                <w:sz w:val="20"/>
                <w:szCs w:val="20"/>
                <w:color w:val="auto"/>
              </w:rPr>
            </w:pPr>
            <w:r>
              <w:rPr>
                <w:rFonts w:ascii="Times New Roman" w:cs="Times New Roman" w:eastAsia="Times New Roman" w:hAnsi="Times New Roman"/>
                <w:sz w:val="16"/>
                <w:szCs w:val="16"/>
                <w:color w:val="auto"/>
              </w:rPr>
              <w:t>44</w:t>
            </w:r>
          </w:p>
        </w:tc>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8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800" w:type="dxa"/>
            <w:vAlign w:val="bottom"/>
            <w:tcBorders>
              <w:bottom w:val="single" w:sz="8" w:color="EEEEEE"/>
            </w:tcBorders>
          </w:tcPr>
          <w:p>
            <w:pPr>
              <w:spacing w:after="0"/>
              <w:rPr>
                <w:sz w:val="24"/>
                <w:szCs w:val="24"/>
                <w:color w:val="auto"/>
              </w:rPr>
            </w:pPr>
          </w:p>
        </w:tc>
        <w:tc>
          <w:tcPr>
            <w:tcW w:w="2660" w:type="dxa"/>
            <w:vAlign w:val="bottom"/>
            <w:tcBorders>
              <w:bottom w:val="single" w:sz="8" w:color="EEEEEE"/>
            </w:tcBorders>
          </w:tcPr>
          <w:p>
            <w:pPr>
              <w:spacing w:after="0"/>
              <w:rPr>
                <w:sz w:val="24"/>
                <w:szCs w:val="24"/>
                <w:color w:val="auto"/>
              </w:rPr>
            </w:pPr>
          </w:p>
        </w:tc>
        <w:tc>
          <w:tcPr>
            <w:tcW w:w="2380" w:type="dxa"/>
            <w:vAlign w:val="bottom"/>
            <w:tcBorders>
              <w:bottom w:val="single" w:sz="8" w:color="EEEEEE"/>
            </w:tcBorders>
          </w:tcPr>
          <w:p>
            <w:pPr>
              <w:spacing w:after="0"/>
              <w:rPr>
                <w:sz w:val="24"/>
                <w:szCs w:val="24"/>
                <w:color w:val="auto"/>
              </w:rPr>
            </w:pPr>
          </w:p>
        </w:tc>
        <w:tc>
          <w:tcPr>
            <w:tcW w:w="24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4" w:name="page45"/>
    <w:bookmarkEnd w:id="44"/>
    <w:tbl>
      <w:tblPr>
        <w:tblLayout w:type="fixed"/>
        <w:tblInd w:w="800" w:type="dxa"/>
        <w:tblCellMar>
          <w:top w:w="0" w:type="dxa"/>
          <w:left w:w="0" w:type="dxa"/>
          <w:bottom w:w="0" w:type="dxa"/>
          <w:right w:w="0" w:type="dxa"/>
        </w:tblCellMar>
      </w:tblPr>
      <w:tr>
        <w:trPr>
          <w:trHeight w:val="156"/>
        </w:trPr>
        <w:tc>
          <w:tcPr>
            <w:tcW w:w="2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420" w:type="dxa"/>
            <w:vAlign w:val="bottom"/>
          </w:tcPr>
          <w:p>
            <w:pPr>
              <w:jc w:val="right"/>
              <w:ind w:right="708"/>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6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420" w:type="dxa"/>
            <w:vAlign w:val="bottom"/>
          </w:tcPr>
          <w:p>
            <w:pPr>
              <w:jc w:val="right"/>
              <w:ind w:right="948"/>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2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380" w:type="dxa"/>
            <w:vAlign w:val="bottom"/>
          </w:tcPr>
          <w:p>
            <w:pPr>
              <w:jc w:val="right"/>
              <w:ind w:right="685"/>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2420" w:type="dxa"/>
            <w:vAlign w:val="bottom"/>
          </w:tcPr>
          <w:p>
            <w:pPr>
              <w:jc w:val="right"/>
              <w:ind w:right="768"/>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2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Dividend per Share</w:t>
            </w:r>
          </w:p>
        </w:tc>
      </w:tr>
      <w:tr>
        <w:trPr>
          <w:trHeight w:val="180"/>
        </w:trPr>
        <w:tc>
          <w:tcPr>
            <w:tcW w:w="2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March 29, 2024</w:t>
            </w:r>
          </w:p>
        </w:tc>
        <w:tc>
          <w:tcPr>
            <w:tcW w:w="238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March 31, 2024</w:t>
            </w:r>
          </w:p>
        </w:tc>
        <w:tc>
          <w:tcPr>
            <w:tcW w:w="2420" w:type="dxa"/>
            <w:vAlign w:val="bottom"/>
            <w:shd w:val="clear" w:color="auto" w:fill="CFF0FC"/>
          </w:tcPr>
          <w:p>
            <w:pPr>
              <w:jc w:val="right"/>
              <w:ind w:right="48"/>
              <w:spacing w:after="0" w:line="180" w:lineRule="exact"/>
              <w:rPr>
                <w:sz w:val="20"/>
                <w:szCs w:val="20"/>
                <w:color w:val="auto"/>
              </w:rPr>
            </w:pPr>
            <w:r>
              <w:rPr>
                <w:rFonts w:ascii="Times New Roman" w:cs="Times New Roman" w:eastAsia="Times New Roman" w:hAnsi="Times New Roman"/>
                <w:sz w:val="16"/>
                <w:szCs w:val="16"/>
                <w:color w:val="auto"/>
              </w:rPr>
              <w:t>May 6, 2024</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0.67</w:t>
            </w:r>
          </w:p>
        </w:tc>
        <w:tc>
          <w:tcPr>
            <w:tcW w:w="80" w:type="dxa"/>
            <w:vAlign w:val="bottom"/>
            <w:shd w:val="clear" w:color="auto" w:fill="CFF0FC"/>
          </w:tcPr>
          <w:p>
            <w:pPr>
              <w:spacing w:after="0"/>
              <w:rPr>
                <w:sz w:val="15"/>
                <w:szCs w:val="15"/>
                <w:color w:val="auto"/>
              </w:rPr>
            </w:pPr>
          </w:p>
        </w:tc>
      </w:tr>
      <w:tr>
        <w:trPr>
          <w:trHeight w:val="180"/>
        </w:trPr>
        <w:tc>
          <w:tcPr>
            <w:tcW w:w="2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June 28, 2024</w:t>
            </w:r>
          </w:p>
        </w:tc>
        <w:tc>
          <w:tcPr>
            <w:tcW w:w="2380" w:type="dxa"/>
            <w:vAlign w:val="bottom"/>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June 30, 2024</w:t>
            </w:r>
          </w:p>
        </w:tc>
        <w:tc>
          <w:tcPr>
            <w:tcW w:w="2420" w:type="dxa"/>
            <w:vAlign w:val="bottom"/>
          </w:tcPr>
          <w:p>
            <w:pPr>
              <w:jc w:val="right"/>
              <w:ind w:right="68"/>
              <w:spacing w:after="0" w:line="180" w:lineRule="exact"/>
              <w:rPr>
                <w:sz w:val="20"/>
                <w:szCs w:val="20"/>
                <w:color w:val="auto"/>
              </w:rPr>
            </w:pPr>
            <w:r>
              <w:rPr>
                <w:rFonts w:ascii="Times New Roman" w:cs="Times New Roman" w:eastAsia="Times New Roman" w:hAnsi="Times New Roman"/>
                <w:sz w:val="16"/>
                <w:szCs w:val="16"/>
                <w:color w:val="auto"/>
              </w:rPr>
              <w:t>August 5, 2024</w:t>
            </w:r>
          </w:p>
        </w:tc>
        <w:tc>
          <w:tcPr>
            <w:tcW w:w="1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0.67</w:t>
            </w:r>
          </w:p>
        </w:tc>
        <w:tc>
          <w:tcPr>
            <w:tcW w:w="80" w:type="dxa"/>
            <w:vAlign w:val="bottom"/>
          </w:tcPr>
          <w:p>
            <w:pPr>
              <w:spacing w:after="0"/>
              <w:rPr>
                <w:sz w:val="15"/>
                <w:szCs w:val="15"/>
                <w:color w:val="auto"/>
              </w:rPr>
            </w:pPr>
          </w:p>
        </w:tc>
      </w:tr>
      <w:tr>
        <w:trPr>
          <w:trHeight w:val="180"/>
        </w:trPr>
        <w:tc>
          <w:tcPr>
            <w:tcW w:w="2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September 30, 2024</w:t>
            </w:r>
          </w:p>
        </w:tc>
        <w:tc>
          <w:tcPr>
            <w:tcW w:w="2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September 30, 2024</w:t>
            </w:r>
          </w:p>
        </w:tc>
        <w:tc>
          <w:tcPr>
            <w:tcW w:w="2420" w:type="dxa"/>
            <w:vAlign w:val="bottom"/>
            <w:shd w:val="clear" w:color="auto" w:fill="CFF0FC"/>
          </w:tcPr>
          <w:p>
            <w:pPr>
              <w:jc w:val="right"/>
              <w:ind w:right="68"/>
              <w:spacing w:after="0" w:line="180" w:lineRule="exact"/>
              <w:rPr>
                <w:sz w:val="20"/>
                <w:szCs w:val="20"/>
                <w:color w:val="auto"/>
              </w:rPr>
            </w:pPr>
            <w:r>
              <w:rPr>
                <w:rFonts w:ascii="Times New Roman" w:cs="Times New Roman" w:eastAsia="Times New Roman" w:hAnsi="Times New Roman"/>
                <w:sz w:val="16"/>
                <w:szCs w:val="16"/>
                <w:color w:val="auto"/>
              </w:rPr>
              <w:t>November 12, 2024</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0.67</w:t>
            </w:r>
          </w:p>
        </w:tc>
        <w:tc>
          <w:tcPr>
            <w:tcW w:w="80" w:type="dxa"/>
            <w:vAlign w:val="bottom"/>
            <w:shd w:val="clear" w:color="auto" w:fill="CFF0FC"/>
          </w:tcPr>
          <w:p>
            <w:pPr>
              <w:spacing w:after="0"/>
              <w:rPr>
                <w:sz w:val="15"/>
                <w:szCs w:val="15"/>
                <w:color w:val="auto"/>
              </w:rPr>
            </w:pPr>
          </w:p>
        </w:tc>
      </w:tr>
      <w:tr>
        <w:trPr>
          <w:trHeight w:val="180"/>
        </w:trPr>
        <w:tc>
          <w:tcPr>
            <w:tcW w:w="2660" w:type="dxa"/>
            <w:vAlign w:val="bottom"/>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23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2.01</w:t>
            </w:r>
          </w:p>
        </w:tc>
        <w:tc>
          <w:tcPr>
            <w:tcW w:w="80" w:type="dxa"/>
            <w:vAlign w:val="bottom"/>
          </w:tcPr>
          <w:p>
            <w:pPr>
              <w:spacing w:after="0"/>
              <w:rPr>
                <w:sz w:val="15"/>
                <w:szCs w:val="15"/>
                <w:color w:val="auto"/>
              </w:rPr>
            </w:pPr>
          </w:p>
        </w:tc>
      </w:tr>
      <w:tr>
        <w:trPr>
          <w:trHeight w:val="20"/>
        </w:trPr>
        <w:tc>
          <w:tcPr>
            <w:tcW w:w="2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228"/>
        <w:spacing w:after="0" w:line="259" w:lineRule="auto"/>
        <w:rPr>
          <w:sz w:val="20"/>
          <w:szCs w:val="20"/>
          <w:color w:val="auto"/>
        </w:rPr>
      </w:pPr>
      <w:r>
        <w:rPr>
          <w:rFonts w:ascii="Times New Roman" w:cs="Times New Roman" w:eastAsia="Times New Roman" w:hAnsi="Times New Roman"/>
          <w:sz w:val="16"/>
          <w:szCs w:val="16"/>
          <w:color w:val="auto"/>
        </w:rPr>
        <w:t>The dividends declared during the nine months ended September 30, 2025 and 2024 were derived from net investment income and long-term capital gains, determined on a tax basis.</w:t>
      </w:r>
    </w:p>
    <w:p>
      <w:pPr>
        <w:spacing w:after="0" w:line="1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With respect to distributions, the Company has adopted an “opt out” dividend reinvestment plan for shareholders. As a result, in the event of a declared cash distribution or other distribution, each shareholder that has not “opted out” of the dividend reinvestment plan will have their dividends or distributions automatically reinvested in additional Common Shares rather than receiving cash distributions. Shareholders who receive distributions in the form of Common Shares will be subject to the same U.S. federal, state and local tax consequences as if they received cash distributions.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Financial Highlights</w:t>
      </w:r>
    </w:p>
    <w:p>
      <w:pPr>
        <w:spacing w:after="0" w:line="94"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The following per share data and ratios have been derived from information provided in the Consolidated Financial Statements. The following are the financial highlights for one share of Common Shares outstanding for the nine months ended September 30, 2025 and 2024:</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156"/>
        </w:trPr>
        <w:tc>
          <w:tcPr>
            <w:tcW w:w="4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80" w:type="dxa"/>
            <w:vAlign w:val="bottom"/>
            <w:gridSpan w:val="3"/>
          </w:tcPr>
          <w:p>
            <w:pPr>
              <w:jc w:val="right"/>
              <w:ind w:right="903"/>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0" w:type="dxa"/>
            <w:vAlign w:val="bottom"/>
          </w:tcPr>
          <w:p>
            <w:pPr>
              <w:spacing w:after="0"/>
              <w:rPr>
                <w:sz w:val="1"/>
                <w:szCs w:val="1"/>
                <w:color w:val="auto"/>
              </w:rPr>
            </w:pPr>
          </w:p>
        </w:tc>
      </w:tr>
      <w:tr>
        <w:trPr>
          <w:trHeight w:val="170"/>
        </w:trPr>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20" w:type="dxa"/>
            <w:vAlign w:val="bottom"/>
          </w:tcPr>
          <w:p>
            <w:pPr>
              <w:spacing w:after="0"/>
              <w:rPr>
                <w:sz w:val="14"/>
                <w:szCs w:val="14"/>
                <w:color w:val="auto"/>
              </w:rPr>
            </w:pPr>
          </w:p>
        </w:tc>
        <w:tc>
          <w:tcPr>
            <w:tcW w:w="150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180"/>
        </w:trPr>
        <w:tc>
          <w:tcPr>
            <w:tcW w:w="4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b w:val="1"/>
                <w:bCs w:val="1"/>
                <w:color w:val="auto"/>
              </w:rPr>
              <w:t xml:space="preserve">Per Share Data </w:t>
            </w:r>
            <w:r>
              <w:rPr>
                <w:rFonts w:ascii="Times New Roman" w:cs="Times New Roman" w:eastAsia="Times New Roman" w:hAnsi="Times New Roman"/>
                <w:sz w:val="20"/>
                <w:szCs w:val="20"/>
                <w:b w:val="1"/>
                <w:bCs w:val="1"/>
                <w:color w:val="auto"/>
                <w:vertAlign w:val="superscript"/>
              </w:rPr>
              <w:t>(1)</w:t>
            </w:r>
          </w:p>
        </w:tc>
        <w:tc>
          <w:tcPr>
            <w:tcW w:w="2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asset value, beginning of period</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28.79</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27.75</w:t>
            </w:r>
          </w:p>
        </w:tc>
        <w:tc>
          <w:tcPr>
            <w:tcW w:w="0" w:type="dxa"/>
            <w:vAlign w:val="bottom"/>
          </w:tcPr>
          <w:p>
            <w:pPr>
              <w:spacing w:after="0"/>
              <w:rPr>
                <w:sz w:val="1"/>
                <w:szCs w:val="1"/>
                <w:color w:val="auto"/>
              </w:rPr>
            </w:pPr>
          </w:p>
        </w:tc>
      </w:tr>
      <w:tr>
        <w:trPr>
          <w:trHeight w:val="180"/>
        </w:trPr>
        <w:tc>
          <w:tcPr>
            <w:tcW w:w="49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investment income </w:t>
            </w:r>
            <w:r>
              <w:rPr>
                <w:rFonts w:ascii="Times New Roman" w:cs="Times New Roman" w:eastAsia="Times New Roman" w:hAnsi="Times New Roman"/>
                <w:sz w:val="20"/>
                <w:szCs w:val="20"/>
                <w:color w:val="auto"/>
                <w:vertAlign w:val="superscript"/>
              </w:rPr>
              <w:t>(2)</w:t>
            </w:r>
          </w:p>
        </w:tc>
        <w:tc>
          <w:tcPr>
            <w:tcW w:w="280" w:type="dxa"/>
            <w:vAlign w:val="bottom"/>
          </w:tcPr>
          <w:p>
            <w:pPr>
              <w:spacing w:after="0"/>
              <w:rPr>
                <w:sz w:val="15"/>
                <w:szCs w:val="15"/>
                <w:color w:val="auto"/>
              </w:rPr>
            </w:pPr>
          </w:p>
        </w:tc>
        <w:tc>
          <w:tcPr>
            <w:tcW w:w="15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3.10</w:t>
            </w:r>
          </w:p>
        </w:tc>
        <w:tc>
          <w:tcPr>
            <w:tcW w:w="220" w:type="dxa"/>
            <w:vAlign w:val="bottom"/>
          </w:tcPr>
          <w:p>
            <w:pPr>
              <w:spacing w:after="0"/>
              <w:rPr>
                <w:sz w:val="15"/>
                <w:szCs w:val="15"/>
                <w:color w:val="auto"/>
              </w:rPr>
            </w:pPr>
          </w:p>
        </w:tc>
        <w:tc>
          <w:tcPr>
            <w:tcW w:w="15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180"/>
        </w:trPr>
        <w:tc>
          <w:tcPr>
            <w:tcW w:w="4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realized and unrealized gain (loss) </w:t>
            </w:r>
            <w:r>
              <w:rPr>
                <w:rFonts w:ascii="Times New Roman" w:cs="Times New Roman" w:eastAsia="Times New Roman" w:hAnsi="Times New Roman"/>
                <w:sz w:val="20"/>
                <w:szCs w:val="20"/>
                <w:color w:val="auto"/>
                <w:vertAlign w:val="superscript"/>
              </w:rPr>
              <w:t>(2)</w:t>
            </w:r>
          </w:p>
        </w:tc>
        <w:tc>
          <w:tcPr>
            <w:tcW w:w="28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(0.12)</w:t>
            </w:r>
          </w:p>
        </w:tc>
        <w:tc>
          <w:tcPr>
            <w:tcW w:w="2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0.87</w:t>
            </w:r>
          </w:p>
        </w:tc>
        <w:tc>
          <w:tcPr>
            <w:tcW w:w="0" w:type="dxa"/>
            <w:vAlign w:val="bottom"/>
          </w:tcPr>
          <w:p>
            <w:pPr>
              <w:spacing w:after="0"/>
              <w:rPr>
                <w:sz w:val="1"/>
                <w:szCs w:val="1"/>
                <w:color w:val="auto"/>
              </w:rPr>
            </w:pPr>
          </w:p>
        </w:tc>
      </w:tr>
      <w:tr>
        <w:trPr>
          <w:trHeight w:val="180"/>
        </w:trPr>
        <w:tc>
          <w:tcPr>
            <w:tcW w:w="498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from operations</w:t>
            </w:r>
          </w:p>
        </w:tc>
        <w:tc>
          <w:tcPr>
            <w:tcW w:w="280" w:type="dxa"/>
            <w:vAlign w:val="bottom"/>
          </w:tcPr>
          <w:p>
            <w:pPr>
              <w:spacing w:after="0"/>
              <w:rPr>
                <w:sz w:val="15"/>
                <w:szCs w:val="15"/>
                <w:color w:val="auto"/>
              </w:rPr>
            </w:pPr>
          </w:p>
        </w:tc>
        <w:tc>
          <w:tcPr>
            <w:tcW w:w="15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2.98</w:t>
            </w:r>
          </w:p>
        </w:tc>
        <w:tc>
          <w:tcPr>
            <w:tcW w:w="220" w:type="dxa"/>
            <w:vAlign w:val="bottom"/>
          </w:tcPr>
          <w:p>
            <w:pPr>
              <w:spacing w:after="0"/>
              <w:rPr>
                <w:sz w:val="15"/>
                <w:szCs w:val="15"/>
                <w:color w:val="auto"/>
              </w:rPr>
            </w:pPr>
          </w:p>
        </w:tc>
        <w:tc>
          <w:tcPr>
            <w:tcW w:w="15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180"/>
        </w:trPr>
        <w:tc>
          <w:tcPr>
            <w:tcW w:w="4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Common Share Issuance </w:t>
            </w:r>
            <w:r>
              <w:rPr>
                <w:rFonts w:ascii="Times New Roman" w:cs="Times New Roman" w:eastAsia="Times New Roman" w:hAnsi="Times New Roman"/>
                <w:sz w:val="20"/>
                <w:szCs w:val="20"/>
                <w:color w:val="auto"/>
                <w:vertAlign w:val="superscript"/>
              </w:rPr>
              <w:t>(3)</w:t>
            </w:r>
          </w:p>
        </w:tc>
        <w:tc>
          <w:tcPr>
            <w:tcW w:w="28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180"/>
        </w:trPr>
        <w:tc>
          <w:tcPr>
            <w:tcW w:w="49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Dividends declared </w:t>
            </w:r>
            <w:r>
              <w:rPr>
                <w:rFonts w:ascii="Times New Roman" w:cs="Times New Roman" w:eastAsia="Times New Roman" w:hAnsi="Times New Roman"/>
                <w:sz w:val="20"/>
                <w:szCs w:val="20"/>
                <w:color w:val="auto"/>
                <w:vertAlign w:val="superscript"/>
              </w:rPr>
              <w:t>(4)</w:t>
            </w:r>
          </w:p>
        </w:tc>
        <w:tc>
          <w:tcPr>
            <w:tcW w:w="280" w:type="dxa"/>
            <w:vAlign w:val="bottom"/>
          </w:tcPr>
          <w:p>
            <w:pPr>
              <w:spacing w:after="0"/>
              <w:rPr>
                <w:sz w:val="15"/>
                <w:szCs w:val="15"/>
                <w:color w:val="auto"/>
              </w:rPr>
            </w:pPr>
          </w:p>
        </w:tc>
        <w:tc>
          <w:tcPr>
            <w:tcW w:w="156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(2.07)</w:t>
            </w:r>
          </w:p>
        </w:tc>
        <w:tc>
          <w:tcPr>
            <w:tcW w:w="220" w:type="dxa"/>
            <w:vAlign w:val="bottom"/>
          </w:tcPr>
          <w:p>
            <w:pPr>
              <w:spacing w:after="0"/>
              <w:rPr>
                <w:sz w:val="15"/>
                <w:szCs w:val="15"/>
                <w:color w:val="auto"/>
              </w:rPr>
            </w:pPr>
          </w:p>
        </w:tc>
        <w:tc>
          <w:tcPr>
            <w:tcW w:w="150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180"/>
        </w:trPr>
        <w:tc>
          <w:tcPr>
            <w:tcW w:w="4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increase (decrease) in net assets</w:t>
            </w:r>
          </w:p>
        </w:tc>
        <w:tc>
          <w:tcPr>
            <w:tcW w:w="28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0.91</w:t>
            </w:r>
          </w:p>
        </w:tc>
        <w:tc>
          <w:tcPr>
            <w:tcW w:w="22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05"/>
        </w:trPr>
        <w:tc>
          <w:tcPr>
            <w:tcW w:w="4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Asset Value, End of Period</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vMerge w:val="restart"/>
          </w:tcPr>
          <w:p>
            <w:pPr>
              <w:jc w:val="right"/>
              <w:ind w:right="123"/>
              <w:spacing w:after="0"/>
              <w:rPr>
                <w:sz w:val="20"/>
                <w:szCs w:val="20"/>
                <w:color w:val="auto"/>
              </w:rPr>
            </w:pPr>
            <w:r>
              <w:rPr>
                <w:rFonts w:ascii="Times New Roman" w:cs="Times New Roman" w:eastAsia="Times New Roman" w:hAnsi="Times New Roman"/>
                <w:sz w:val="16"/>
                <w:szCs w:val="16"/>
                <w:color w:val="auto"/>
              </w:rPr>
              <w:t>29.68</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auto"/>
              </w:rPr>
              <w:t>29.69</w:t>
            </w:r>
          </w:p>
        </w:tc>
        <w:tc>
          <w:tcPr>
            <w:tcW w:w="0" w:type="dxa"/>
            <w:vAlign w:val="bottom"/>
          </w:tcPr>
          <w:p>
            <w:pPr>
              <w:spacing w:after="0"/>
              <w:rPr>
                <w:sz w:val="1"/>
                <w:szCs w:val="1"/>
                <w:color w:val="auto"/>
              </w:rPr>
            </w:pPr>
          </w:p>
        </w:tc>
      </w:tr>
      <w:tr>
        <w:trPr>
          <w:trHeight w:val="107"/>
        </w:trPr>
        <w:tc>
          <w:tcPr>
            <w:tcW w:w="498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Total return based on net asset value </w:t>
            </w:r>
            <w:r>
              <w:rPr>
                <w:rFonts w:ascii="Times New Roman" w:cs="Times New Roman" w:eastAsia="Times New Roman" w:hAnsi="Times New Roman"/>
                <w:sz w:val="20"/>
                <w:szCs w:val="20"/>
                <w:color w:val="auto"/>
                <w:vertAlign w:val="superscript"/>
              </w:rPr>
              <w:t>(5)</w:t>
            </w:r>
          </w:p>
        </w:tc>
        <w:tc>
          <w:tcPr>
            <w:tcW w:w="28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10.49%</w:t>
            </w:r>
          </w:p>
        </w:tc>
        <w:tc>
          <w:tcPr>
            <w:tcW w:w="22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14.76%</w:t>
            </w:r>
          </w:p>
        </w:tc>
        <w:tc>
          <w:tcPr>
            <w:tcW w:w="0" w:type="dxa"/>
            <w:vAlign w:val="bottom"/>
          </w:tcPr>
          <w:p>
            <w:pPr>
              <w:spacing w:after="0"/>
              <w:rPr>
                <w:sz w:val="1"/>
                <w:szCs w:val="1"/>
                <w:color w:val="auto"/>
              </w:rPr>
            </w:pPr>
          </w:p>
        </w:tc>
      </w:tr>
      <w:tr>
        <w:trPr>
          <w:trHeight w:val="180"/>
        </w:trPr>
        <w:tc>
          <w:tcPr>
            <w:tcW w:w="4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Common shares outstanding, end of period</w:t>
            </w:r>
          </w:p>
        </w:tc>
        <w:tc>
          <w:tcPr>
            <w:tcW w:w="280" w:type="dxa"/>
            <w:vAlign w:val="bottom"/>
          </w:tcPr>
          <w:p>
            <w:pPr>
              <w:spacing w:after="0"/>
              <w:rPr>
                <w:sz w:val="15"/>
                <w:szCs w:val="15"/>
                <w:color w:val="auto"/>
              </w:rPr>
            </w:pPr>
          </w:p>
        </w:tc>
        <w:tc>
          <w:tcPr>
            <w:tcW w:w="1560" w:type="dxa"/>
            <w:vAlign w:val="bottom"/>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144,703,043</w:t>
            </w:r>
          </w:p>
        </w:tc>
        <w:tc>
          <w:tcPr>
            <w:tcW w:w="220" w:type="dxa"/>
            <w:vAlign w:val="bottom"/>
          </w:tcPr>
          <w:p>
            <w:pPr>
              <w:spacing w:after="0"/>
              <w:rPr>
                <w:sz w:val="15"/>
                <w:szCs w:val="15"/>
                <w:color w:val="auto"/>
              </w:rPr>
            </w:pPr>
          </w:p>
        </w:tc>
        <w:tc>
          <w:tcPr>
            <w:tcW w:w="15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103,879,431</w:t>
            </w:r>
          </w:p>
        </w:tc>
        <w:tc>
          <w:tcPr>
            <w:tcW w:w="0" w:type="dxa"/>
            <w:vAlign w:val="bottom"/>
          </w:tcPr>
          <w:p>
            <w:pPr>
              <w:spacing w:after="0"/>
              <w:rPr>
                <w:sz w:val="1"/>
                <w:szCs w:val="1"/>
                <w:color w:val="auto"/>
              </w:rPr>
            </w:pPr>
          </w:p>
        </w:tc>
      </w:tr>
      <w:tr>
        <w:trPr>
          <w:trHeight w:val="180"/>
        </w:trPr>
        <w:tc>
          <w:tcPr>
            <w:tcW w:w="4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b w:val="1"/>
                <w:bCs w:val="1"/>
                <w:color w:val="auto"/>
              </w:rPr>
              <w:t xml:space="preserve">Ratios / Supplemental Data </w:t>
            </w:r>
            <w:r>
              <w:rPr>
                <w:rFonts w:ascii="Times New Roman" w:cs="Times New Roman" w:eastAsia="Times New Roman" w:hAnsi="Times New Roman"/>
                <w:sz w:val="20"/>
                <w:szCs w:val="20"/>
                <w:b w:val="1"/>
                <w:bCs w:val="1"/>
                <w:color w:val="auto"/>
                <w:vertAlign w:val="superscript"/>
              </w:rPr>
              <w:t>(6)</w:t>
            </w:r>
          </w:p>
        </w:tc>
        <w:tc>
          <w:tcPr>
            <w:tcW w:w="2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Ratio of gross expenses to average net assets without management fee waiver</w:t>
            </w:r>
          </w:p>
        </w:tc>
        <w:tc>
          <w:tcPr>
            <w:tcW w:w="280" w:type="dxa"/>
            <w:vAlign w:val="bottom"/>
          </w:tcPr>
          <w:p>
            <w:pPr>
              <w:spacing w:after="0"/>
              <w:rPr>
                <w:sz w:val="15"/>
                <w:szCs w:val="15"/>
                <w:color w:val="auto"/>
              </w:rPr>
            </w:pPr>
          </w:p>
        </w:tc>
        <w:tc>
          <w:tcPr>
            <w:tcW w:w="15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10.42%</w:t>
            </w:r>
          </w:p>
        </w:tc>
        <w:tc>
          <w:tcPr>
            <w:tcW w:w="22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12.56%</w:t>
            </w:r>
          </w:p>
        </w:tc>
        <w:tc>
          <w:tcPr>
            <w:tcW w:w="0" w:type="dxa"/>
            <w:vAlign w:val="bottom"/>
          </w:tcPr>
          <w:p>
            <w:pPr>
              <w:spacing w:after="0"/>
              <w:rPr>
                <w:sz w:val="1"/>
                <w:szCs w:val="1"/>
                <w:color w:val="auto"/>
              </w:rPr>
            </w:pPr>
          </w:p>
        </w:tc>
      </w:tr>
      <w:tr>
        <w:trPr>
          <w:trHeight w:val="167"/>
        </w:trPr>
        <w:tc>
          <w:tcPr>
            <w:tcW w:w="498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Ratio of net expenses to average net assets with</w:t>
            </w:r>
          </w:p>
        </w:tc>
        <w:tc>
          <w:tcPr>
            <w:tcW w:w="28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management fee waiver</w:t>
            </w:r>
          </w:p>
        </w:tc>
        <w:tc>
          <w:tcPr>
            <w:tcW w:w="28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8.81%</w:t>
            </w: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0" w:type="dxa"/>
            <w:vAlign w:val="bottom"/>
          </w:tcPr>
          <w:p>
            <w:pPr>
              <w:spacing w:after="0"/>
              <w:rPr>
                <w:sz w:val="1"/>
                <w:szCs w:val="1"/>
                <w:color w:val="auto"/>
              </w:rPr>
            </w:pPr>
          </w:p>
        </w:tc>
      </w:tr>
      <w:tr>
        <w:trPr>
          <w:trHeight w:val="167"/>
        </w:trPr>
        <w:tc>
          <w:tcPr>
            <w:tcW w:w="498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w w:val="99"/>
              </w:rPr>
              <w:t>Ratio of net investment income to average net assets without management fee</w:t>
            </w: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waiver</w:t>
            </w:r>
          </w:p>
        </w:tc>
        <w:tc>
          <w:tcPr>
            <w:tcW w:w="280" w:type="dxa"/>
            <w:vAlign w:val="bottom"/>
          </w:tcPr>
          <w:p>
            <w:pPr>
              <w:spacing w:after="0"/>
              <w:rPr>
                <w:sz w:val="16"/>
                <w:szCs w:val="16"/>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12.55%</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0" w:type="dxa"/>
            <w:vAlign w:val="bottom"/>
          </w:tcPr>
          <w:p>
            <w:pPr>
              <w:spacing w:after="0"/>
              <w:rPr>
                <w:sz w:val="1"/>
                <w:szCs w:val="1"/>
                <w:color w:val="auto"/>
              </w:rPr>
            </w:pPr>
          </w:p>
        </w:tc>
      </w:tr>
      <w:tr>
        <w:trPr>
          <w:trHeight w:val="167"/>
        </w:trPr>
        <w:tc>
          <w:tcPr>
            <w:tcW w:w="498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Ratio of net investment income to average net assets with management fee</w:t>
            </w:r>
          </w:p>
        </w:tc>
        <w:tc>
          <w:tcPr>
            <w:tcW w:w="28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waiver</w:t>
            </w:r>
          </w:p>
        </w:tc>
        <w:tc>
          <w:tcPr>
            <w:tcW w:w="28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14.16%</w:t>
            </w:r>
          </w:p>
        </w:tc>
        <w:tc>
          <w:tcPr>
            <w:tcW w:w="22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0" w:type="dxa"/>
            <w:vAlign w:val="bottom"/>
          </w:tcPr>
          <w:p>
            <w:pPr>
              <w:spacing w:after="0"/>
              <w:rPr>
                <w:sz w:val="1"/>
                <w:szCs w:val="1"/>
                <w:color w:val="auto"/>
              </w:rPr>
            </w:pPr>
          </w:p>
        </w:tc>
      </w:tr>
      <w:tr>
        <w:trPr>
          <w:trHeight w:val="180"/>
        </w:trPr>
        <w:tc>
          <w:tcPr>
            <w:tcW w:w="4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Portfolio turnover</w:t>
            </w:r>
          </w:p>
        </w:tc>
        <w:tc>
          <w:tcPr>
            <w:tcW w:w="280" w:type="dxa"/>
            <w:vAlign w:val="bottom"/>
          </w:tcPr>
          <w:p>
            <w:pPr>
              <w:spacing w:after="0"/>
              <w:rPr>
                <w:sz w:val="15"/>
                <w:szCs w:val="15"/>
                <w:color w:val="auto"/>
              </w:rPr>
            </w:pPr>
          </w:p>
        </w:tc>
        <w:tc>
          <w:tcPr>
            <w:tcW w:w="15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32.22%</w:t>
            </w:r>
          </w:p>
        </w:tc>
        <w:tc>
          <w:tcPr>
            <w:tcW w:w="22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16.38%</w:t>
            </w:r>
          </w:p>
        </w:tc>
        <w:tc>
          <w:tcPr>
            <w:tcW w:w="0" w:type="dxa"/>
            <w:vAlign w:val="bottom"/>
          </w:tcPr>
          <w:p>
            <w:pPr>
              <w:spacing w:after="0"/>
              <w:rPr>
                <w:sz w:val="1"/>
                <w:szCs w:val="1"/>
                <w:color w:val="auto"/>
              </w:rPr>
            </w:pPr>
          </w:p>
        </w:tc>
      </w:tr>
      <w:tr>
        <w:trPr>
          <w:trHeight w:val="180"/>
        </w:trPr>
        <w:tc>
          <w:tcPr>
            <w:tcW w:w="49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assets, end of period</w:t>
            </w:r>
          </w:p>
        </w:tc>
        <w:tc>
          <w:tcPr>
            <w:tcW w:w="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123"/>
              <w:spacing w:after="0" w:line="180" w:lineRule="exact"/>
              <w:rPr>
                <w:sz w:val="20"/>
                <w:szCs w:val="20"/>
                <w:color w:val="auto"/>
              </w:rPr>
            </w:pPr>
            <w:r>
              <w:rPr>
                <w:rFonts w:ascii="Times New Roman" w:cs="Times New Roman" w:eastAsia="Times New Roman" w:hAnsi="Times New Roman"/>
                <w:sz w:val="16"/>
                <w:szCs w:val="16"/>
                <w:color w:val="auto"/>
              </w:rPr>
              <w:t>4,295,225</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3,084,597</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(2)The per share data was derived by using the weighted average Common Shares outstanding during the period.</w:t>
      </w:r>
    </w:p>
    <w:p>
      <w:pPr>
        <w:ind w:right="200"/>
        <w:spacing w:after="0" w:line="234" w:lineRule="auto"/>
        <w:rPr>
          <w:sz w:val="20"/>
          <w:szCs w:val="20"/>
          <w:color w:val="auto"/>
        </w:rPr>
      </w:pPr>
      <w:r>
        <w:rPr>
          <w:rFonts w:ascii="Times New Roman" w:cs="Times New Roman" w:eastAsia="Times New Roman" w:hAnsi="Times New Roman"/>
          <w:sz w:val="16"/>
          <w:szCs w:val="16"/>
          <w:color w:val="auto"/>
        </w:rPr>
        <w:t>(3)The amount shown at this caption is the balancing amount derived from share issuances. The amount shown for share issuance will fluctuate due to the timing of share issuances and the weighting of average shares over the period.</w:t>
      </w:r>
    </w:p>
    <w:p>
      <w:pPr>
        <w:spacing w:after="0" w:line="236" w:lineRule="auto"/>
        <w:rPr>
          <w:sz w:val="20"/>
          <w:szCs w:val="20"/>
          <w:color w:val="auto"/>
        </w:rPr>
      </w:pPr>
      <w:r>
        <w:rPr>
          <w:rFonts w:ascii="Times New Roman" w:cs="Times New Roman" w:eastAsia="Times New Roman" w:hAnsi="Times New Roman"/>
          <w:sz w:val="16"/>
          <w:szCs w:val="16"/>
          <w:color w:val="auto"/>
        </w:rPr>
        <w:t>(4)The per share data was derived by using the actual shares outstanding at the date of the relevant transactions.</w:t>
      </w:r>
    </w:p>
    <w:p>
      <w:pPr>
        <w:ind w:right="260"/>
        <w:spacing w:after="0" w:line="234" w:lineRule="auto"/>
        <w:rPr>
          <w:sz w:val="20"/>
          <w:szCs w:val="20"/>
          <w:color w:val="auto"/>
        </w:rPr>
      </w:pPr>
      <w:r>
        <w:rPr>
          <w:rFonts w:ascii="Times New Roman" w:cs="Times New Roman" w:eastAsia="Times New Roman" w:hAnsi="Times New Roman"/>
          <w:sz w:val="16"/>
          <w:szCs w:val="16"/>
          <w:color w:val="auto"/>
        </w:rPr>
        <w:t>(5)Total return based on net asset value is calculated as the change in net asset value per share during the period plus declared dividends, assuming reinvestment of dividends, divided by the beginning net asset value per share.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(6)T</w:t>
      </w:r>
      <w:r>
        <w:rPr>
          <w:rFonts w:ascii="Times New Roman" w:cs="Times New Roman" w:eastAsia="Times New Roman" w:hAnsi="Times New Roman"/>
          <w:sz w:val="16"/>
          <w:szCs w:val="16"/>
          <w:color w:val="1D1C1D"/>
        </w:rPr>
        <w:t>he ratios, excluding nonrecurring expenses, such as organization costs, are annualized.</w:t>
      </w:r>
    </w:p>
    <w:p>
      <w:pPr>
        <w:spacing w:after="0" w:line="3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384" w:right="800" w:bottom="1440" w:gutter="0" w:footer="0" w:header="0"/>
        </w:sectPr>
      </w:pPr>
    </w:p>
    <w:bookmarkStart w:id="45" w:name="page46"/>
    <w:bookmarkEnd w:id="45"/>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Subsequent Events</w:t>
      </w:r>
    </w:p>
    <w:p>
      <w:pPr>
        <w:spacing w:after="0" w:line="94" w:lineRule="exact"/>
        <w:rPr>
          <w:sz w:val="20"/>
          <w:szCs w:val="20"/>
          <w:color w:val="auto"/>
        </w:rPr>
      </w:pPr>
    </w:p>
    <w:p>
      <w:pPr>
        <w:jc w:val="both"/>
        <w:ind w:firstLine="228"/>
        <w:spacing w:after="0" w:line="247" w:lineRule="auto"/>
        <w:rPr>
          <w:sz w:val="20"/>
          <w:szCs w:val="20"/>
          <w:color w:val="auto"/>
        </w:rPr>
      </w:pPr>
      <w:r>
        <w:rPr>
          <w:rFonts w:ascii="Times New Roman" w:cs="Times New Roman" w:eastAsia="Times New Roman" w:hAnsi="Times New Roman"/>
          <w:sz w:val="16"/>
          <w:szCs w:val="16"/>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and nine months ended September 30, 2025.</w:t>
      </w:r>
    </w:p>
    <w:p>
      <w:pPr>
        <w:spacing w:after="0" w:line="16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660" w:top="1440" w:right="940" w:bottom="1440" w:gutter="0" w:footer="0" w:header="0"/>
        </w:sectPr>
      </w:pPr>
    </w:p>
    <w:bookmarkStart w:id="46" w:name="page47"/>
    <w:bookmarkEnd w:id="46"/>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92" w:lineRule="exact"/>
        <w:rPr>
          <w:sz w:val="20"/>
          <w:szCs w:val="20"/>
          <w:color w:val="auto"/>
        </w:rPr>
      </w:pPr>
    </w:p>
    <w:p>
      <w:pPr>
        <w:ind w:right="280" w:firstLine="228"/>
        <w:spacing w:after="0" w:line="334" w:lineRule="auto"/>
        <w:rPr>
          <w:sz w:val="20"/>
          <w:szCs w:val="20"/>
          <w:color w:val="auto"/>
        </w:rPr>
      </w:pPr>
      <w:r>
        <w:rPr>
          <w:rFonts w:ascii="Times New Roman" w:cs="Times New Roman" w:eastAsia="Times New Roman" w:hAnsi="Times New Roman"/>
          <w:sz w:val="14"/>
          <w:szCs w:val="14"/>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in this report.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jc w:val="both"/>
        <w:ind w:firstLine="228"/>
        <w:spacing w:after="0" w:line="247" w:lineRule="auto"/>
        <w:rPr>
          <w:sz w:val="20"/>
          <w:szCs w:val="20"/>
          <w:color w:val="auto"/>
        </w:rPr>
      </w:pPr>
      <w:r>
        <w:rPr>
          <w:rFonts w:ascii="Times New Roman" w:cs="Times New Roman" w:eastAsia="Times New Roman" w:hAnsi="Times New Roman"/>
          <w:sz w:val="16"/>
          <w:szCs w:val="16"/>
          <w:color w:val="auto"/>
        </w:rPr>
        <w:t>Sixth Street Lending Partners is a Delaware statutory trust formed on April 5, 2022. The Adviser is our external manager. We have three wholly owned subsidiaries, SSLP Lending, LLC, a Delaware limited liability company, which holds a California finance lender and broker license, Sixth Street LP Holding II, LLC and Sixth Street Lending Partners Sub, LLC in which we may hold certain investments.</w:t>
      </w:r>
    </w:p>
    <w:p>
      <w:pPr>
        <w:spacing w:after="0" w:line="164"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We have elected to be regulated as a BDC under the 1940 Act and have elected to be treated as a RIC under the Code. As a result, we are required to comply with various statutory and regulatory requirements, such as: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requirement to invest at least 70% of our assets in “qualifying assets”;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•source of income limitations;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•asset diversification requirements; and</w:t>
      </w:r>
    </w:p>
    <w:p>
      <w:pPr>
        <w:spacing w:after="0" w:line="92" w:lineRule="exact"/>
        <w:rPr>
          <w:sz w:val="20"/>
          <w:szCs w:val="20"/>
          <w:color w:val="auto"/>
        </w:rPr>
      </w:pPr>
    </w:p>
    <w:p>
      <w:pPr>
        <w:ind w:left="240" w:right="80"/>
        <w:spacing w:after="0" w:line="259" w:lineRule="auto"/>
        <w:rPr>
          <w:sz w:val="20"/>
          <w:szCs w:val="20"/>
          <w:color w:val="auto"/>
        </w:rPr>
      </w:pPr>
      <w:r>
        <w:rPr>
          <w:rFonts w:ascii="Times New Roman" w:cs="Times New Roman" w:eastAsia="Times New Roman" w:hAnsi="Times New Roman"/>
          <w:sz w:val="16"/>
          <w:szCs w:val="16"/>
          <w:color w:val="auto"/>
        </w:rPr>
        <w:t>•the requirement to distribute (or be treated as distributing) in each taxable year at least 90% of our investment company taxable income and tax-exempt interest for that taxable year.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Investment Framework</w:t>
      </w:r>
    </w:p>
    <w:p>
      <w:pPr>
        <w:spacing w:after="0" w:line="94"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Our investment objective is to generate current income by targeting investments with favorable “risk-adjusted returns,” which are expected returns that are adjusted based on the levels of risk associated with the investments. Since we began our investment activities in August 2022, through September 30, 2025, we have originated approximately $27.4 billion aggregate principal amount of investments and retained approximately $ 9.1 billion aggregate principal amount of these investments on our balance sheet prior to any subsequent exits and repayments. We seek to generate current income and long-term capital appreciation primarily by investing in U.S.-domiciled upper middle- market companies through direct originations of senior secured loans and, to a lesser extent, originations of mezzanine and unsecured loans and investments in corporate bonds, equity securities, and other instruments.</w:t>
      </w:r>
    </w:p>
    <w:p>
      <w:pPr>
        <w:spacing w:after="0" w:line="173"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By “upper middle-market companies,” we mean companies that have annual EBITDA, which we believe is a useful proxy for cash flow, of greater than $ 75 million, although we may invest in smaller companies on occasion. “EBITDA” means a company’s earnings before interest, tax, depreciation and amortization. As of September 30, 2025, our core portfolio companies had a weighted average annual revenue of $784.6 million and weighted average annual EBITDA of $251.0 million. As of September 30, 2025, our core portfolio companies had a median annual revenue of $198.8 million and median annual EBITDA of $67.8 million.</w:t>
      </w:r>
    </w:p>
    <w:p>
      <w:pPr>
        <w:spacing w:after="0" w:line="167" w:lineRule="exact"/>
        <w:rPr>
          <w:sz w:val="20"/>
          <w:szCs w:val="20"/>
          <w:color w:val="auto"/>
        </w:rPr>
      </w:pPr>
    </w:p>
    <w:p>
      <w:pPr>
        <w:ind w:right="60" w:firstLine="228"/>
        <w:spacing w:after="0" w:line="289" w:lineRule="auto"/>
        <w:rPr>
          <w:sz w:val="20"/>
          <w:szCs w:val="20"/>
          <w:color w:val="auto"/>
        </w:rPr>
      </w:pPr>
      <w:r>
        <w:rPr>
          <w:rFonts w:ascii="Times New Roman" w:cs="Times New Roman" w:eastAsia="Times New Roman" w:hAnsi="Times New Roman"/>
          <w:sz w:val="14"/>
          <w:szCs w:val="14"/>
          <w:color w:val="auto"/>
        </w:rPr>
        <w:t>We invest in first-lien debt, second -lien debt, mezzanine and unsecured debt and equity and other investments. Our first-lien debt may include stand- alone first-lien loans; “last out” first-lien loans, which are loans that have a secondary priority behind super-senior “first out” first-lien loans; “unitranche” loans, which are loans that combine features of first-lien, second -lien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37"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We seek to create a portfolio over time that includes primarily senior secured investments by investing approximately $125 million to $300 million of capital, on average, across our core positions of upper middle-market companies.</w:t>
      </w:r>
    </w:p>
    <w:p>
      <w:pPr>
        <w:spacing w:after="0" w:line="155" w:lineRule="exact"/>
        <w:rPr>
          <w:sz w:val="20"/>
          <w:szCs w:val="20"/>
          <w:color w:val="auto"/>
        </w:rPr>
      </w:pPr>
    </w:p>
    <w:p>
      <w:pPr>
        <w:ind w:right="180" w:firstLine="228"/>
        <w:spacing w:after="0" w:line="331" w:lineRule="auto"/>
        <w:rPr>
          <w:sz w:val="20"/>
          <w:szCs w:val="20"/>
          <w:color w:val="auto"/>
        </w:rPr>
      </w:pPr>
      <w:r>
        <w:rPr>
          <w:rFonts w:ascii="Times New Roman" w:cs="Times New Roman" w:eastAsia="Times New Roman" w:hAnsi="Times New Roman"/>
          <w:sz w:val="14"/>
          <w:szCs w:val="14"/>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08" w:lineRule="exact"/>
        <w:rPr>
          <w:sz w:val="20"/>
          <w:szCs w:val="20"/>
          <w:color w:val="auto"/>
        </w:rPr>
      </w:pPr>
    </w:p>
    <w:p>
      <w:pPr>
        <w:ind w:right="840" w:firstLine="228"/>
        <w:spacing w:after="0" w:line="331" w:lineRule="auto"/>
        <w:rPr>
          <w:sz w:val="20"/>
          <w:szCs w:val="20"/>
          <w:color w:val="auto"/>
        </w:rPr>
      </w:pPr>
      <w:r>
        <w:rPr>
          <w:rFonts w:ascii="Times New Roman" w:cs="Times New Roman" w:eastAsia="Times New Roman" w:hAnsi="Times New Roman"/>
          <w:sz w:val="14"/>
          <w:szCs w:val="14"/>
          <w:color w:val="auto"/>
        </w:rPr>
        <w:t>The companies in which we invest use our capital to support organic growth, acquisitions, market or product expansion and recapitalizations (including restructurings). As of September 30, 2025, the largest investment in a single issuer based on fair value represented 5.0% of our total investment portfolio.</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September 30, 2025, the average investment size in each of our portfolio companies was approximately $108.8 million based on fair value.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7" w:name="page48"/>
    <w:bookmarkEnd w:id="47"/>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Through our Adviser, we consider potential investments utilizing a four-tiered investment framework and against our existing portfolio as a whole:</w:t>
      </w:r>
    </w:p>
    <w:p>
      <w:pPr>
        <w:spacing w:after="0" w:line="186" w:lineRule="exact"/>
        <w:rPr>
          <w:sz w:val="20"/>
          <w:szCs w:val="20"/>
          <w:color w:val="auto"/>
        </w:rPr>
      </w:pPr>
    </w:p>
    <w:p>
      <w:pPr>
        <w:ind w:right="80" w:firstLine="22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Business and sector selection. </w:t>
      </w:r>
      <w:r>
        <w:rPr>
          <w:rFonts w:ascii="Times New Roman" w:cs="Times New Roman" w:eastAsia="Times New Roman" w:hAnsi="Times New Roman"/>
          <w:sz w:val="16"/>
          <w:szCs w:val="16"/>
          <w:color w:val="auto"/>
        </w:rPr>
        <w:t>We focus on companies with enterprise values above $750 million. When reviewing potential investments, we will seek to invest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businesses with high marginal cash flow, recurring revenue streams and where we believe credit quality will improve over time. We will look for portfolio companies that we think have a sustainable competitive advantage in growing industries or distressed situations. We will also seek companies where our investment will have a low loan-to-value ratio.</w:t>
      </w:r>
    </w:p>
    <w:p>
      <w:pPr>
        <w:spacing w:after="0" w:line="166"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September 30, 2025, the largest industry represented 20.3% of our total investment portfolio based on fair value.</w:t>
      </w:r>
    </w:p>
    <w:p>
      <w:pPr>
        <w:spacing w:after="0" w:line="186"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Investment Structuring. </w:t>
      </w:r>
      <w:r>
        <w:rPr>
          <w:rFonts w:ascii="Times New Roman" w:cs="Times New Roman" w:eastAsia="Times New Roman" w:hAnsi="Times New Roman"/>
          <w:sz w:val="16"/>
          <w:szCs w:val="16"/>
          <w:color w:val="auto"/>
        </w:rPr>
        <w:t>We focus on investing at the top of the capital structure and protecting that position. As of September 30, 2025, approximately 95.1%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portfolio was invested in secured debt, including 94.7% in first- 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three months ended September 30, 2025, the weighted average term on new debt investment commitments in new portfolio companies was 5.9 years.</w:t>
      </w:r>
    </w:p>
    <w:p>
      <w:pPr>
        <w:spacing w:after="0" w:line="170" w:lineRule="exact"/>
        <w:rPr>
          <w:sz w:val="20"/>
          <w:szCs w:val="20"/>
          <w:color w:val="auto"/>
        </w:rPr>
      </w:pPr>
    </w:p>
    <w:p>
      <w:pPr>
        <w:ind w:right="80" w:firstLine="228"/>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Deal Dynamics. </w:t>
      </w:r>
      <w:r>
        <w:rPr>
          <w:rFonts w:ascii="Times New Roman" w:cs="Times New Roman" w:eastAsia="Times New Roman" w:hAnsi="Times New Roman"/>
          <w:sz w:val="16"/>
          <w:szCs w:val="16"/>
          <w:color w:val="auto"/>
        </w:rPr>
        <w:t>We focus on, among other deal dynamics, direct origination of investments, where we identify and lead the investment transaction. We seek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transactions that are too small for the traditional high yield market. We look to invest in companies that value our commitment and ability to originate an investment that meets their goals and fits within their existing capital structure.</w:t>
      </w:r>
    </w:p>
    <w:p>
      <w:pPr>
        <w:spacing w:after="0" w:line="162" w:lineRule="exact"/>
        <w:rPr>
          <w:sz w:val="20"/>
          <w:szCs w:val="20"/>
          <w:color w:val="auto"/>
        </w:rPr>
      </w:pPr>
    </w:p>
    <w:p>
      <w:pPr>
        <w:ind w:firstLine="22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Risk Mitigation. </w:t>
      </w:r>
      <w:r>
        <w:rPr>
          <w:rFonts w:ascii="Times New Roman" w:cs="Times New Roman" w:eastAsia="Times New Roman" w:hAnsi="Times New Roman"/>
          <w:sz w:val="14"/>
          <w:szCs w:val="14"/>
          <w:color w:val="auto"/>
        </w:rPr>
        <w:t>We seek to mitigate non-credit-related risk on our returns in several ways, including call protection provisions to protect future interest income. As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September 30, 2025, we had call protection on 95.4% of our debt investments based on fair value, with weighted average call prices of 109.0% for the first year, 104.5% for the second year and 102.1% for the third year, in each case from the date of the initial investment. As of September 30, 2025, 96.6% of our debt investments based on fair value bore interest at floating rates, with 100% of these subject to interest rate floors, which we believe helps act as a portfolio-wide hedge against inflation.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Relationship with our Adviser and Sixth Street</w:t>
      </w:r>
    </w:p>
    <w:p>
      <w:pPr>
        <w:spacing w:after="0" w:line="96"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73" w:lineRule="exact"/>
        <w:rPr>
          <w:sz w:val="20"/>
          <w:szCs w:val="20"/>
          <w:color w:val="auto"/>
        </w:rPr>
      </w:pPr>
    </w:p>
    <w:p>
      <w:pPr>
        <w:ind w:right="80" w:firstLine="228"/>
        <w:spacing w:after="0" w:line="237" w:lineRule="auto"/>
        <w:rPr>
          <w:sz w:val="20"/>
          <w:szCs w:val="20"/>
          <w:color w:val="auto"/>
        </w:rPr>
      </w:pPr>
      <w:r>
        <w:rPr>
          <w:rFonts w:ascii="Times New Roman" w:cs="Times New Roman" w:eastAsia="Times New Roman" w:hAnsi="Times New Roman"/>
          <w:sz w:val="16"/>
          <w:szCs w:val="16"/>
          <w:color w:val="auto"/>
        </w:rPr>
        <w:t>Sixth Street is a global investment business with over $115 billion of assets under management as of September 30, 2025. Sixth Street’s direct lending platforms include Sixth Street Specialty Lending and Sixth Street Lending Partners, which are aimed at U.S. upper middle-market loan originations, Sixth Street Specialty Lending Europe, which is aimed at European middle- 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730 investment and operating professionals. As of September 30, 2025, seventy-nine (79) of these personnel are dedicated to direct lending, including sixty-five (65) investment professionals.</w:t>
      </w:r>
    </w:p>
    <w:p>
      <w:pPr>
        <w:spacing w:after="0" w:line="174"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w:t>
      </w:r>
    </w:p>
    <w:p>
      <w:pPr>
        <w:spacing w:after="0" w:line="1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48" w:name="page49"/>
    <w:bookmarkEnd w:id="48"/>
    <w:p>
      <w:pPr>
        <w:spacing w:after="0" w:line="11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64" w:lineRule="exact"/>
        <w:rPr>
          <w:sz w:val="20"/>
          <w:szCs w:val="20"/>
          <w:color w:val="auto"/>
        </w:rPr>
      </w:pPr>
    </w:p>
    <w:p>
      <w:pPr>
        <w:ind w:right="220" w:firstLine="228"/>
        <w:spacing w:after="0" w:line="331" w:lineRule="auto"/>
        <w:rPr>
          <w:sz w:val="20"/>
          <w:szCs w:val="20"/>
          <w:color w:val="auto"/>
        </w:rPr>
      </w:pPr>
      <w:r>
        <w:rPr>
          <w:rFonts w:ascii="Times New Roman" w:cs="Times New Roman" w:eastAsia="Times New Roman" w:hAnsi="Times New Roman"/>
          <w:sz w:val="14"/>
          <w:szCs w:val="14"/>
          <w:color w:val="auto"/>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spacing w:after="0" w:line="108"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67"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(the "Incentive Fees").</w:t>
      </w:r>
    </w:p>
    <w:p>
      <w:pPr>
        <w:spacing w:after="0" w:line="164"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Under the terms of the Administration Agreement, the Adviser also provides administrative services to us. These services include providing office space, equipment and office services, maintaining financial records, preparing reports to shareholders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Economic Conditions</w:t>
      </w:r>
    </w:p>
    <w:p>
      <w:pPr>
        <w:spacing w:after="0" w:line="144" w:lineRule="exact"/>
        <w:rPr>
          <w:sz w:val="20"/>
          <w:szCs w:val="20"/>
          <w:color w:val="auto"/>
        </w:rPr>
      </w:pPr>
    </w:p>
    <w:p>
      <w:pPr>
        <w:jc w:val="both"/>
        <w:ind w:right="160" w:firstLine="228"/>
        <w:spacing w:after="0" w:line="247" w:lineRule="auto"/>
        <w:rPr>
          <w:sz w:val="20"/>
          <w:szCs w:val="20"/>
          <w:color w:val="auto"/>
        </w:rPr>
      </w:pPr>
      <w:r>
        <w:rPr>
          <w:rFonts w:ascii="Times New Roman" w:cs="Times New Roman" w:eastAsia="Times New Roman" w:hAnsi="Times New Roman"/>
          <w:sz w:val="16"/>
          <w:szCs w:val="16"/>
          <w:color w:val="auto"/>
        </w:rPr>
        <w:t>To date, 2025 has been marked by continued uncertainty in global markets, driven by investor concerns over inflation, elevated interest rates, ongoing political and regulatory uncertainty, including potential shifts in U.S. trade policy and the imposition of new tariffs, as well as geopolitical instability stemming from the conflicts in Ukraine and the Middle East.</w:t>
      </w:r>
    </w:p>
    <w:p>
      <w:pPr>
        <w:spacing w:after="0" w:line="164"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Further contributing to economic uncertainty, the current U.S. presidential administration has signaled its intention to implement, and has started to implement, significant changes to U.S. trade policy, the size of the federal government, tax policy and the enforcement of various regulations. These policy shifts could introduce additional market instability and reduce investor confidence. For example, the U.S. government recently announced tariffs on goods imported from various countries to the United States. Countries subject to such tariffs have imposed, or may in the future, impose reciprocal or retaliatory tariffs and other trade measures. We are actively monitoring the tariff developments and analyzing the potential impacts on our business, the businesses of our portfolio companies and the broader economic environment. In light of these developments, there can be no assurances that political and regulatory conditions will not worsen and/or adversely affect the Company, its portfolio companies or their respective financial performance.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Our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focus primarily on the direct origination of loans to upper middle-market companies domiciled in the United States.</w:t>
      </w:r>
    </w:p>
    <w:p>
      <w:pPr>
        <w:spacing w:after="0" w:line="188"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6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In addition, as part of our risk strategy on investments, we may reduce certain levels of investments through partial sales or syndication to additional investors.</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9" w:name="page50"/>
    <w:bookmarkEnd w:id="49"/>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96" w:lineRule="exact"/>
        <w:rPr>
          <w:sz w:val="20"/>
          <w:szCs w:val="20"/>
          <w:color w:val="auto"/>
        </w:rPr>
      </w:pPr>
    </w:p>
    <w:p>
      <w:pPr>
        <w:ind w:right="160" w:firstLine="228"/>
        <w:spacing w:after="0" w:line="239" w:lineRule="auto"/>
        <w:rPr>
          <w:sz w:val="20"/>
          <w:szCs w:val="20"/>
          <w:color w:val="auto"/>
        </w:rPr>
      </w:pPr>
      <w:r>
        <w:rPr>
          <w:rFonts w:ascii="Times New Roman" w:cs="Times New Roman" w:eastAsia="Times New Roman" w:hAnsi="Times New Roman"/>
          <w:sz w:val="16"/>
          <w:szCs w:val="16"/>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September 30, 2025, 96.6% of these investments based on fair value bore interest at a floating rate, with 100% of these subject to interest rate floors. Interest on debt investments is generally payable monthly or quarterly. Some of our investments provide for deferred interest payments or PIK interest. For the three and nine months ended September 30, 2025, 8.0% and 7.0%, respectively, of our total investment income was comprised of PIK interest. For the three and nine months ended September 30, 2024, 4.9% and 4.8%, respectively, of our total investment income was comprised of PIK interest.</w:t>
      </w:r>
    </w:p>
    <w:p>
      <w:pPr>
        <w:spacing w:after="0" w:line="173"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Changes in our net investment income are primarily driven by the spread between the payments we receive from our investments in our portfolio companies against our cost of funding and fees related to portfolio activity, rather than by changes in interest rates. Our investment portfolio primarily consists of floating rate loans, and our Credit Facilities,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 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0"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In addition to interest income, our net investment income may also be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9"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Loan origination fees, original issue discount and market discount or premium are capitalized, and we accrete or amortize such amounts as interest income using the effective interest method for term instruments and the straight -line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69" w:lineRule="exact"/>
        <w:rPr>
          <w:sz w:val="20"/>
          <w:szCs w:val="20"/>
          <w:color w:val="auto"/>
        </w:rPr>
      </w:pPr>
    </w:p>
    <w:p>
      <w:pPr>
        <w:ind w:right="540" w:firstLine="228"/>
        <w:spacing w:after="0" w:line="259" w:lineRule="auto"/>
        <w:rPr>
          <w:sz w:val="20"/>
          <w:szCs w:val="20"/>
          <w:color w:val="auto"/>
        </w:rPr>
      </w:pPr>
      <w:r>
        <w:rPr>
          <w:rFonts w:ascii="Times New Roman" w:cs="Times New Roman" w:eastAsia="Times New Roman" w:hAnsi="Times New Roman"/>
          <w:sz w:val="16"/>
          <w:szCs w:val="16"/>
          <w:color w:val="auto"/>
        </w:rPr>
        <w:t>Dividend income on common equity investments is recorded on the record date for private portfolio companies or on the ex-dividend date for publicly traded portfolio companies.</w:t>
      </w:r>
    </w:p>
    <w:p>
      <w:pPr>
        <w:spacing w:after="0" w:line="1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6" w:lineRule="exact"/>
        <w:rPr>
          <w:sz w:val="20"/>
          <w:szCs w:val="20"/>
          <w:color w:val="auto"/>
        </w:rPr>
      </w:pPr>
    </w:p>
    <w:p>
      <w:pPr>
        <w:ind w:right="540" w:firstLine="228"/>
        <w:spacing w:after="0" w:line="247" w:lineRule="auto"/>
        <w:rPr>
          <w:sz w:val="20"/>
          <w:szCs w:val="20"/>
          <w:color w:val="auto"/>
        </w:rPr>
      </w:pPr>
      <w:r>
        <w:rPr>
          <w:rFonts w:ascii="Times New Roman" w:cs="Times New Roman" w:eastAsia="Times New Roman" w:hAnsi="Times New Roman"/>
          <w:sz w:val="16"/>
          <w:szCs w:val="16"/>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ind w:left="240" w:right="60"/>
        <w:spacing w:after="0" w:line="247" w:lineRule="auto"/>
        <w:rPr>
          <w:sz w:val="20"/>
          <w:szCs w:val="20"/>
          <w:color w:val="auto"/>
        </w:rPr>
      </w:pPr>
      <w:r>
        <w:rPr>
          <w:rFonts w:ascii="Times New Roman" w:cs="Times New Roman" w:eastAsia="Times New Roman" w:hAnsi="Times New Roman"/>
          <w:sz w:val="16"/>
          <w:szCs w:val="16"/>
          <w:color w:val="auto"/>
        </w:rPr>
        <w:t>•organizational and offering expenses related to the Company’s initial private offering of Common Shares (up to an aggregate of 0.10% of total capital commitments to the Company, it being understood and agreed that the Adviser shall bear all such organizational and offering expenses related to the Company’s initial private offering of Common Shares in excess of such amount);</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•calculating individual asset values and our net asset value (including the cost and expenses of any independent valuation firms);</w:t>
      </w:r>
    </w:p>
    <w:p>
      <w:pPr>
        <w:spacing w:after="0" w:line="92" w:lineRule="exact"/>
        <w:rPr>
          <w:sz w:val="20"/>
          <w:szCs w:val="20"/>
          <w:color w:val="auto"/>
        </w:rPr>
      </w:pPr>
    </w:p>
    <w:p>
      <w:pPr>
        <w:ind w:left="240" w:right="560"/>
        <w:spacing w:after="0" w:line="331" w:lineRule="auto"/>
        <w:rPr>
          <w:sz w:val="20"/>
          <w:szCs w:val="20"/>
          <w:color w:val="auto"/>
        </w:rPr>
      </w:pPr>
      <w:r>
        <w:rPr>
          <w:rFonts w:ascii="Times New Roman" w:cs="Times New Roman" w:eastAsia="Times New Roman" w:hAnsi="Times New Roman"/>
          <w:sz w:val="14"/>
          <w:szCs w:val="14"/>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12" w:lineRule="exact"/>
        <w:rPr>
          <w:sz w:val="20"/>
          <w:szCs w:val="20"/>
          <w:color w:val="auto"/>
        </w:rPr>
      </w:pPr>
    </w:p>
    <w:p>
      <w:pPr>
        <w:ind w:left="240" w:right="3120"/>
        <w:spacing w:after="0" w:line="384" w:lineRule="auto"/>
        <w:rPr>
          <w:sz w:val="20"/>
          <w:szCs w:val="20"/>
          <w:color w:val="auto"/>
        </w:rPr>
      </w:pPr>
      <w:r>
        <w:rPr>
          <w:rFonts w:ascii="Times New Roman" w:cs="Times New Roman" w:eastAsia="Times New Roman" w:hAnsi="Times New Roman"/>
          <w:sz w:val="16"/>
          <w:szCs w:val="16"/>
          <w:color w:val="auto"/>
        </w:rPr>
        <w:t>•the costs of any public offerings of our Common Shares and other securities, including registration and listing fees; •the Management Fee and any Incentive Fee;</w:t>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0" w:name="page51"/>
    <w:bookmarkEnd w:id="50"/>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•certain costs and expenses relating to distributions paid on our Common Shares;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•administration fees payable under our Administration Agreement;</w:t>
      </w:r>
    </w:p>
    <w:p>
      <w:pPr>
        <w:spacing w:after="0" w:line="92" w:lineRule="exact"/>
        <w:rPr>
          <w:sz w:val="20"/>
          <w:szCs w:val="20"/>
          <w:color w:val="auto"/>
        </w:rPr>
      </w:pPr>
    </w:p>
    <w:p>
      <w:pPr>
        <w:ind w:left="240" w:right="80"/>
        <w:spacing w:after="0" w:line="243" w:lineRule="auto"/>
        <w:rPr>
          <w:sz w:val="20"/>
          <w:szCs w:val="20"/>
          <w:color w:val="auto"/>
        </w:rPr>
      </w:pPr>
      <w:r>
        <w:rPr>
          <w:rFonts w:ascii="Times New Roman" w:cs="Times New Roman" w:eastAsia="Times New Roman" w:hAnsi="Times New Roman"/>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provide operational and administrative services to us pursuant to the Administration Agreement (based on the percentage of time those individuals devote, on an estimated basis, to our business and affairs);</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and other costs of borrowings or other financing arrangements;</w:t>
      </w:r>
    </w:p>
    <w:p>
      <w:pPr>
        <w:spacing w:after="0" w:line="92" w:lineRule="exact"/>
        <w:rPr>
          <w:sz w:val="20"/>
          <w:szCs w:val="20"/>
          <w:color w:val="auto"/>
        </w:rPr>
      </w:pPr>
    </w:p>
    <w:p>
      <w:pPr>
        <w:ind w:left="240" w:right="1780"/>
        <w:spacing w:after="0" w:line="360" w:lineRule="auto"/>
        <w:rPr>
          <w:sz w:val="20"/>
          <w:szCs w:val="20"/>
          <w:color w:val="auto"/>
        </w:rPr>
      </w:pPr>
      <w:r>
        <w:rPr>
          <w:rFonts w:ascii="Times New Roman" w:cs="Times New Roman" w:eastAsia="Times New Roman" w:hAnsi="Times New Roman"/>
          <w:sz w:val="16"/>
          <w:szCs w:val="16"/>
          <w:color w:val="auto"/>
        </w:rPr>
        <w:t>•the Adviser’s allocable share of costs incurred in providing significant managerial assistance to those portfolio companies that request it; •amounts payable to third parties relating to, or associated with, making or holding investments; •transfer agent and custodial fees;</w:t>
      </w:r>
    </w:p>
    <w:p>
      <w:pPr>
        <w:ind w:left="240"/>
        <w:spacing w:after="0"/>
        <w:rPr>
          <w:sz w:val="20"/>
          <w:szCs w:val="20"/>
          <w:color w:val="auto"/>
        </w:rPr>
      </w:pPr>
      <w:r>
        <w:rPr>
          <w:rFonts w:ascii="Times New Roman" w:cs="Times New Roman" w:eastAsia="Times New Roman" w:hAnsi="Times New Roman"/>
          <w:sz w:val="16"/>
          <w:szCs w:val="16"/>
          <w:color w:val="auto"/>
        </w:rPr>
        <w:t>•costs of hedging;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•commissions and other compensation payable to brokers or dealers;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•taxes;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•Independent Trustees fees and expenses;</w:t>
      </w:r>
    </w:p>
    <w:p>
      <w:pPr>
        <w:spacing w:after="0" w:line="92"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fidelity bond;</w:t>
      </w:r>
    </w:p>
    <w:p>
      <w:pPr>
        <w:spacing w:after="0" w:line="92" w:lineRule="exact"/>
        <w:rPr>
          <w:sz w:val="20"/>
          <w:szCs w:val="20"/>
          <w:color w:val="auto"/>
        </w:rPr>
      </w:pPr>
    </w:p>
    <w:p>
      <w:pPr>
        <w:ind w:left="240" w:right="4280"/>
        <w:spacing w:after="0" w:line="360" w:lineRule="auto"/>
        <w:rPr>
          <w:sz w:val="20"/>
          <w:szCs w:val="20"/>
          <w:color w:val="auto"/>
        </w:rPr>
      </w:pPr>
      <w:r>
        <w:rPr>
          <w:rFonts w:ascii="Times New Roman" w:cs="Times New Roman" w:eastAsia="Times New Roman" w:hAnsi="Times New Roman"/>
          <w:sz w:val="16"/>
          <w:szCs w:val="16"/>
          <w:color w:val="auto"/>
        </w:rPr>
        <w:t>•trustees and officers/errors and omissions liability insurance, and any other insurance premiums; •indemnification payments;</w:t>
      </w:r>
    </w:p>
    <w:p>
      <w:pPr>
        <w:ind w:left="240"/>
        <w:spacing w:after="0"/>
        <w:rPr>
          <w:sz w:val="20"/>
          <w:szCs w:val="20"/>
          <w:color w:val="auto"/>
        </w:rPr>
      </w:pPr>
      <w:r>
        <w:rPr>
          <w:rFonts w:ascii="Times New Roman" w:cs="Times New Roman" w:eastAsia="Times New Roman" w:hAnsi="Times New Roman"/>
          <w:sz w:val="16"/>
          <w:szCs w:val="16"/>
          <w:color w:val="auto"/>
        </w:rPr>
        <w:t>•direct costs and expenses of administration, including audit, accounting, consulting and legal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•all other expenses reasonably incurred by us in connection with making investments and administering our business.</w:t>
      </w:r>
    </w:p>
    <w:p>
      <w:pPr>
        <w:spacing w:after="0" w:line="188"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Leverage</w:t>
      </w:r>
    </w:p>
    <w:p>
      <w:pPr>
        <w:spacing w:after="0" w:line="96"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Trends</w:t>
      </w:r>
    </w:p>
    <w:p>
      <w:pPr>
        <w:spacing w:after="0" w:line="96" w:lineRule="exact"/>
        <w:rPr>
          <w:sz w:val="20"/>
          <w:szCs w:val="20"/>
          <w:color w:val="auto"/>
        </w:rPr>
      </w:pPr>
    </w:p>
    <w:p>
      <w:pPr>
        <w:jc w:val="both"/>
        <w:ind w:right="340" w:firstLine="228"/>
        <w:spacing w:after="0" w:line="331" w:lineRule="auto"/>
        <w:rPr>
          <w:sz w:val="20"/>
          <w:szCs w:val="20"/>
          <w:color w:val="auto"/>
        </w:rPr>
      </w:pPr>
      <w:r>
        <w:rPr>
          <w:rFonts w:ascii="Times New Roman" w:cs="Times New Roman" w:eastAsia="Times New Roman" w:hAnsi="Times New Roman"/>
          <w:sz w:val="14"/>
          <w:szCs w:val="14"/>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08"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Subsequent to the global financial crisis, the implementation of regulatory changes such as Basel III requirements, Leverage Lending Guidance, and the Volcker Rule, tightened risk appetites and reduced the capacity of traditional lenders to serve middle- 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1" w:name="page52"/>
    <w:bookmarkEnd w:id="51"/>
    <w:p>
      <w:pPr>
        <w:spacing w:after="0" w:line="113" w:lineRule="exact"/>
        <w:rPr>
          <w:sz w:val="20"/>
          <w:szCs w:val="20"/>
          <w:color w:val="auto"/>
        </w:rPr>
      </w:pPr>
    </w:p>
    <w:p>
      <w:pPr>
        <w:ind w:firstLine="228"/>
        <w:spacing w:after="0" w:line="299" w:lineRule="auto"/>
        <w:rPr>
          <w:sz w:val="20"/>
          <w:szCs w:val="20"/>
          <w:color w:val="auto"/>
        </w:rPr>
      </w:pPr>
      <w:r>
        <w:rPr>
          <w:rFonts w:ascii="Times New Roman" w:cs="Times New Roman" w:eastAsia="Times New Roman" w:hAnsi="Times New Roman"/>
          <w:sz w:val="14"/>
          <w:szCs w:val="14"/>
          <w:color w:val="auto"/>
        </w:rPr>
        <w:t>This market dynamic is further exacerbated by the specialized due diligence and underwriting capabilities, as well as extensive ongoing monitoring, required for middle -market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31"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and Investment Activity</w:t>
      </w:r>
    </w:p>
    <w:p>
      <w:pPr>
        <w:spacing w:after="0" w:line="94" w:lineRule="exact"/>
        <w:rPr>
          <w:sz w:val="20"/>
          <w:szCs w:val="20"/>
          <w:color w:val="auto"/>
        </w:rPr>
      </w:pPr>
    </w:p>
    <w:p>
      <w:pPr>
        <w:jc w:val="both"/>
        <w:ind w:right="40" w:firstLine="228"/>
        <w:spacing w:after="0" w:line="247" w:lineRule="auto"/>
        <w:rPr>
          <w:sz w:val="20"/>
          <w:szCs w:val="20"/>
          <w:color w:val="auto"/>
        </w:rPr>
      </w:pPr>
      <w:r>
        <w:rPr>
          <w:rFonts w:ascii="Times New Roman" w:cs="Times New Roman" w:eastAsia="Times New Roman" w:hAnsi="Times New Roman"/>
          <w:sz w:val="16"/>
          <w:szCs w:val="16"/>
          <w:color w:val="auto"/>
        </w:rPr>
        <w:t>As of September 30, 2025, our portfolio based on fair value consisted of 94.7% first-lien debt investments, 0.4% second- lien debt investments, 2.8% mezzanine investments and 2.1% equity and other investments. As of December 31, 2024, our portfolio based on fair value consisted of 94.9% first-lien debt investments, 1.3% second-lien debt investments, 1.7% mezzanine investments and 2.1% equity and other investments.</w:t>
      </w:r>
    </w:p>
    <w:p>
      <w:pPr>
        <w:spacing w:after="0" w:line="6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As of September 30, 2025 and December 31, 2024, our weighted average total yield of debt and income-producing securities at fair value (which includes interest income and amortization of fees and discounts) was 10.2% and 11.0% respectively, and our weighted average total yield of debt and income-producing securities at amortized cost (which includes interest income and amortization of fees and discounts) was 10.6% and 11.3%, respectively.</w:t>
      </w:r>
    </w:p>
    <w:p>
      <w:pPr>
        <w:spacing w:after="0" w:line="68"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As of September 30, 2025 and December 31, 2024, we had investments in 71 and 67 portfolio companies, respectively, with an aggregate fair value of $7,724.1 million and $7,244.3 million.</w:t>
      </w:r>
    </w:p>
    <w:p>
      <w:pPr>
        <w:spacing w:after="0" w:line="59"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For the three months ended September 30, 2025, the principal amount of new investments funded was $694.3 million in four new portfolio companies and five existing portfolio companies. For this period, we had $508.8 million aggregate principal amount in exits, sales and repayments.</w:t>
      </w:r>
    </w:p>
    <w:p>
      <w:pPr>
        <w:spacing w:after="0" w:line="59"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For the three months ended September 30, 2024, the principal amount of new investments funded was $890.4 million in eight new portfolio companies and four existing portfolio companies. For this period, we had $83.6 million aggregate principal amount in exits, sales and repayments.</w:t>
      </w:r>
    </w:p>
    <w:p>
      <w:pPr>
        <w:spacing w:after="0" w:line="59"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Our investment activity for the three months ended September 30, 2025 and September 30, 2024, is presented below (information presented herein is at par value unless otherwise indicated).</w:t>
      </w:r>
    </w:p>
    <w:p>
      <w:pPr>
        <w:spacing w:after="0" w:line="200" w:lineRule="exact"/>
        <w:rPr>
          <w:sz w:val="20"/>
          <w:szCs w:val="20"/>
          <w:color w:val="auto"/>
        </w:rPr>
      </w:pPr>
    </w:p>
    <w:p>
      <w:pPr>
        <w:spacing w:after="0" w:line="2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660" w:top="1440" w:right="90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jc w:val="center"/>
              <w:ind w:left="2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70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3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New investment commitments:</w:t>
            </w: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tcPr>
          <w:p>
            <w:pPr>
              <w:ind w:left="80"/>
              <w:spacing w:after="0" w:line="180" w:lineRule="exact"/>
              <w:rPr>
                <w:sz w:val="20"/>
                <w:szCs w:val="20"/>
                <w:color w:val="auto"/>
              </w:rPr>
            </w:pPr>
            <w:r>
              <w:rPr>
                <w:rFonts w:ascii="Times New Roman" w:cs="Times New Roman" w:eastAsia="Times New Roman" w:hAnsi="Times New Roman"/>
                <w:sz w:val="15"/>
                <w:szCs w:val="15"/>
                <w:color w:val="auto"/>
              </w:rPr>
              <w:t xml:space="preserve">Gross originations </w:t>
            </w:r>
            <w:r>
              <w:rPr>
                <w:rFonts w:ascii="Times New Roman" w:cs="Times New Roman" w:eastAsia="Times New Roman" w:hAnsi="Times New Roman"/>
                <w:sz w:val="20"/>
                <w:szCs w:val="20"/>
                <w:color w:val="auto"/>
                <w:vertAlign w:val="superscript"/>
              </w:rPr>
              <w:t>(1)</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83"/>
              <w:spacing w:after="0" w:line="180" w:lineRule="exact"/>
              <w:rPr>
                <w:sz w:val="20"/>
                <w:szCs w:val="20"/>
                <w:color w:val="auto"/>
              </w:rPr>
            </w:pPr>
            <w:r>
              <w:rPr>
                <w:rFonts w:ascii="Times New Roman" w:cs="Times New Roman" w:eastAsia="Times New Roman" w:hAnsi="Times New Roman"/>
                <w:sz w:val="16"/>
                <w:szCs w:val="16"/>
                <w:color w:val="auto"/>
              </w:rPr>
              <w:t>3,640.5</w:t>
            </w:r>
          </w:p>
        </w:tc>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2,396.9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5"/>
                <w:szCs w:val="15"/>
                <w:color w:val="auto"/>
              </w:rPr>
              <w:t xml:space="preserve">Less: Syndications/sell downs </w:t>
            </w:r>
            <w:r>
              <w:rPr>
                <w:rFonts w:ascii="Times New Roman" w:cs="Times New Roman" w:eastAsia="Times New Roman" w:hAnsi="Times New Roman"/>
                <w:sz w:val="20"/>
                <w:szCs w:val="20"/>
                <w:color w:val="auto"/>
                <w:vertAlign w:val="superscript"/>
              </w:rPr>
              <w:t>(1)</w:t>
            </w: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283"/>
              <w:spacing w:after="0" w:line="180" w:lineRule="exact"/>
              <w:rPr>
                <w:sz w:val="20"/>
                <w:szCs w:val="20"/>
                <w:color w:val="auto"/>
              </w:rPr>
            </w:pPr>
            <w:r>
              <w:rPr>
                <w:rFonts w:ascii="Times New Roman" w:cs="Times New Roman" w:eastAsia="Times New Roman" w:hAnsi="Times New Roman"/>
                <w:sz w:val="16"/>
                <w:szCs w:val="16"/>
                <w:color w:val="auto"/>
              </w:rPr>
              <w:t>2,812.4</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1,241.4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 new investment commitments</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83"/>
              <w:spacing w:after="0" w:line="180" w:lineRule="exact"/>
              <w:rPr>
                <w:sz w:val="20"/>
                <w:szCs w:val="20"/>
                <w:color w:val="auto"/>
              </w:rPr>
            </w:pPr>
            <w:r>
              <w:rPr>
                <w:rFonts w:ascii="Times New Roman" w:cs="Times New Roman" w:eastAsia="Times New Roman" w:hAnsi="Times New Roman"/>
                <w:sz w:val="16"/>
                <w:szCs w:val="16"/>
                <w:color w:val="auto"/>
              </w:rPr>
              <w:t>828.1</w:t>
            </w:r>
          </w:p>
        </w:tc>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1,155.5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Principal amount of investments funded:</w:t>
            </w: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First-lien</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83"/>
              <w:spacing w:after="0" w:line="180" w:lineRule="exact"/>
              <w:rPr>
                <w:sz w:val="20"/>
                <w:szCs w:val="20"/>
                <w:color w:val="auto"/>
              </w:rPr>
            </w:pPr>
            <w:r>
              <w:rPr>
                <w:rFonts w:ascii="Times New Roman" w:cs="Times New Roman" w:eastAsia="Times New Roman" w:hAnsi="Times New Roman"/>
                <w:sz w:val="16"/>
                <w:szCs w:val="16"/>
                <w:color w:val="auto"/>
              </w:rPr>
              <w:t>694.3</w:t>
            </w:r>
          </w:p>
        </w:tc>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890.4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Second-lien</w:t>
            </w: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2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Mezzanine</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Equity and other</w:t>
            </w: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2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83"/>
              <w:spacing w:after="0" w:line="180" w:lineRule="exact"/>
              <w:rPr>
                <w:sz w:val="20"/>
                <w:szCs w:val="20"/>
                <w:color w:val="auto"/>
              </w:rPr>
            </w:pPr>
            <w:r>
              <w:rPr>
                <w:rFonts w:ascii="Times New Roman" w:cs="Times New Roman" w:eastAsia="Times New Roman" w:hAnsi="Times New Roman"/>
                <w:sz w:val="16"/>
                <w:szCs w:val="16"/>
                <w:color w:val="auto"/>
              </w:rPr>
              <w:t>694.3</w:t>
            </w:r>
          </w:p>
        </w:tc>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890.4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Principal amount of investments sold or repaid:</w:t>
            </w: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First-lien</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83"/>
              <w:spacing w:after="0" w:line="180" w:lineRule="exact"/>
              <w:rPr>
                <w:sz w:val="20"/>
                <w:szCs w:val="20"/>
                <w:color w:val="auto"/>
              </w:rPr>
            </w:pPr>
            <w:r>
              <w:rPr>
                <w:rFonts w:ascii="Times New Roman" w:cs="Times New Roman" w:eastAsia="Times New Roman" w:hAnsi="Times New Roman"/>
                <w:sz w:val="16"/>
                <w:szCs w:val="16"/>
                <w:color w:val="auto"/>
              </w:rPr>
              <w:t>502.2</w:t>
            </w:r>
          </w:p>
        </w:tc>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Second-lien</w:t>
            </w: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2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Mezzanine</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83"/>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Equity and other</w:t>
            </w: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ind w:right="283"/>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83"/>
              <w:spacing w:after="0" w:line="180" w:lineRule="exact"/>
              <w:rPr>
                <w:sz w:val="20"/>
                <w:szCs w:val="20"/>
                <w:color w:val="auto"/>
              </w:rPr>
            </w:pPr>
            <w:r>
              <w:rPr>
                <w:rFonts w:ascii="Times New Roman" w:cs="Times New Roman" w:eastAsia="Times New Roman" w:hAnsi="Times New Roman"/>
                <w:sz w:val="16"/>
                <w:szCs w:val="16"/>
                <w:color w:val="auto"/>
              </w:rPr>
              <w:t>508.8</w:t>
            </w:r>
          </w:p>
        </w:tc>
        <w:tc>
          <w:tcPr>
            <w:tcW w:w="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Number of new investment commitments in</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new portfolio companies</w:t>
            </w: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tcBorders>
              <w:right w:val="single" w:sz="8" w:color="CFF0FC"/>
            </w:tcBorders>
            <w:vMerge w:val="restart"/>
            <w:shd w:val="clear" w:color="auto" w:fill="CFF0FC"/>
          </w:tcPr>
          <w:p>
            <w:pPr>
              <w:jc w:val="right"/>
              <w:ind w:right="303"/>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880" w:type="dxa"/>
            <w:vAlign w:val="bottom"/>
            <w:tcBorders>
              <w:right w:val="single" w:sz="8" w:color="CFF0FC"/>
            </w:tcBorders>
            <w:vMerge w:val="continue"/>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20" w:type="dxa"/>
            <w:vAlign w:val="bottom"/>
            <w:vMerge w:val="continue"/>
            <w:shd w:val="clear" w:color="auto" w:fill="CFF0FC"/>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Average new investment commitment amount in</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new portfolio companies</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83"/>
              <w:spacing w:after="0"/>
              <w:rPr>
                <w:sz w:val="20"/>
                <w:szCs w:val="20"/>
                <w:color w:val="auto"/>
              </w:rPr>
            </w:pPr>
            <w:r>
              <w:rPr>
                <w:rFonts w:ascii="Times New Roman" w:cs="Times New Roman" w:eastAsia="Times New Roman" w:hAnsi="Times New Roman"/>
                <w:sz w:val="16"/>
                <w:szCs w:val="16"/>
                <w:color w:val="auto"/>
              </w:rPr>
              <w:t>178.6</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term for new investment</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commitments in new portfolio companies</w:t>
            </w: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3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tcBorders>
              <w:right w:val="single" w:sz="8" w:color="CFF0FC"/>
            </w:tcBorders>
            <w:shd w:val="clear" w:color="auto" w:fill="CFF0FC"/>
          </w:tcPr>
          <w:p>
            <w:pPr>
              <w:jc w:val="right"/>
              <w:ind w:right="283"/>
              <w:spacing w:after="0"/>
              <w:rPr>
                <w:sz w:val="20"/>
                <w:szCs w:val="20"/>
                <w:color w:val="auto"/>
              </w:rPr>
            </w:pPr>
            <w:r>
              <w:rPr>
                <w:rFonts w:ascii="Times New Roman" w:cs="Times New Roman" w:eastAsia="Times New Roman" w:hAnsi="Times New Roman"/>
                <w:sz w:val="16"/>
                <w:szCs w:val="16"/>
                <w:color w:val="auto"/>
              </w:rPr>
              <w:t>5.9</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Percentage of new debt investment commitments</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at floating rates</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Percentage of new debt investment commitments</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at fixed rates</w:t>
            </w:r>
          </w:p>
        </w:tc>
        <w:tc>
          <w:tcPr>
            <w:tcW w:w="3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tcBorders>
              <w:right w:val="single" w:sz="8" w:color="CFF0FC"/>
            </w:tcBorders>
            <w:shd w:val="clear" w:color="auto" w:fill="CFF0FC"/>
          </w:tcPr>
          <w:p>
            <w:pPr>
              <w:jc w:val="right"/>
              <w:ind w:right="163"/>
              <w:spacing w:after="0"/>
              <w:rPr>
                <w:sz w:val="20"/>
                <w:szCs w:val="20"/>
                <w:color w:val="auto"/>
              </w:rPr>
            </w:pPr>
            <w:r>
              <w:rPr>
                <w:rFonts w:ascii="Times New Roman" w:cs="Times New Roman" w:eastAsia="Times New Roman" w:hAnsi="Times New Roman"/>
                <w:sz w:val="16"/>
                <w:szCs w:val="16"/>
                <w:color w:val="auto"/>
              </w:rPr>
              <w:t>0.0%</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interest rate of new</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investment commitments</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10.6%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spread over reference rate of</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new floating rate investment commitments</w:t>
            </w:r>
          </w:p>
        </w:tc>
        <w:tc>
          <w:tcPr>
            <w:tcW w:w="3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tcBorders>
              <w:right w:val="single" w:sz="8" w:color="CFF0FC"/>
            </w:tcBorders>
            <w:shd w:val="clear" w:color="auto" w:fill="CFF0FC"/>
          </w:tcPr>
          <w:p>
            <w:pPr>
              <w:jc w:val="right"/>
              <w:ind w:right="163"/>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interest rate on investments</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fully sold or paid down</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11.2%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47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(1)Includes affiliates of Sixth Street.</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180" w:type="dxa"/>
            <w:vAlign w:val="bottom"/>
            <w:gridSpan w:val="8"/>
          </w:tcPr>
          <w:p>
            <w:pPr>
              <w:jc w:val="right"/>
              <w:spacing w:after="0"/>
              <w:rPr>
                <w:sz w:val="20"/>
                <w:szCs w:val="20"/>
                <w:color w:val="auto"/>
              </w:rPr>
            </w:pPr>
            <w:r>
              <w:rPr>
                <w:rFonts w:ascii="Times New Roman" w:cs="Times New Roman" w:eastAsia="Times New Roman" w:hAnsi="Times New Roman"/>
                <w:sz w:val="16"/>
                <w:szCs w:val="16"/>
                <w:color w:val="auto"/>
              </w:rPr>
              <w:t>As of September 30, 2025 and December 31, 2024, our investments consisted of the following:</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020" w:type="dxa"/>
            <w:vAlign w:val="bottom"/>
          </w:tcPr>
          <w:p>
            <w:pPr>
              <w:spacing w:after="0"/>
              <w:rPr>
                <w:sz w:val="24"/>
                <w:szCs w:val="24"/>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320" w:type="dxa"/>
            <w:vAlign w:val="bottom"/>
          </w:tcPr>
          <w:p>
            <w:pPr>
              <w:spacing w:after="0"/>
              <w:rPr>
                <w:sz w:val="24"/>
                <w:szCs w:val="24"/>
                <w:color w:val="auto"/>
              </w:rPr>
            </w:pPr>
          </w:p>
        </w:tc>
        <w:tc>
          <w:tcPr>
            <w:tcW w:w="2000" w:type="dxa"/>
            <w:vAlign w:val="bottom"/>
            <w:gridSpan w:val="6"/>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5"/>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3740" w:type="dxa"/>
            <w:vAlign w:val="bottom"/>
            <w:gridSpan w:val="2"/>
            <w:vMerge w:val="continue"/>
          </w:tcPr>
          <w:p>
            <w:pPr>
              <w:spacing w:after="0"/>
              <w:rPr>
                <w:sz w:val="14"/>
                <w:szCs w:val="14"/>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74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320" w:type="dxa"/>
            <w:vAlign w:val="bottom"/>
            <w:shd w:val="clear" w:color="auto" w:fill="CFF0FC"/>
          </w:tcPr>
          <w:p>
            <w:pPr>
              <w:jc w:val="right"/>
              <w:ind w:right="16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7,064.7</w:t>
            </w:r>
          </w:p>
        </w:tc>
        <w:tc>
          <w:tcPr>
            <w:tcW w:w="10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7,314.2</w:t>
            </w:r>
          </w:p>
        </w:tc>
        <w:tc>
          <w:tcPr>
            <w:tcW w:w="8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6,732.1</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6,871.8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7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32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74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3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208.6</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215.8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center"/>
              <w:ind w:left="283"/>
              <w:spacing w:after="0" w:line="180" w:lineRule="exact"/>
              <w:rPr>
                <w:sz w:val="20"/>
                <w:szCs w:val="20"/>
                <w:color w:val="auto"/>
              </w:rPr>
            </w:pPr>
            <w:r>
              <w:rPr>
                <w:rFonts w:ascii="Times New Roman" w:cs="Times New Roman" w:eastAsia="Times New Roman" w:hAnsi="Times New Roman"/>
                <w:sz w:val="16"/>
                <w:szCs w:val="16"/>
                <w:color w:val="auto"/>
                <w:w w:val="99"/>
              </w:rPr>
              <w:t>118.4</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123.2</w:t>
            </w: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37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320" w:type="dxa"/>
            <w:vAlign w:val="bottom"/>
          </w:tcPr>
          <w:p>
            <w:pPr>
              <w:spacing w:after="0"/>
              <w:rPr>
                <w:sz w:val="15"/>
                <w:szCs w:val="15"/>
                <w:color w:val="auto"/>
              </w:rPr>
            </w:pPr>
          </w:p>
        </w:tc>
        <w:tc>
          <w:tcPr>
            <w:tcW w:w="8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left="283"/>
              <w:spacing w:after="0" w:line="180" w:lineRule="exact"/>
              <w:rPr>
                <w:sz w:val="20"/>
                <w:szCs w:val="20"/>
                <w:color w:val="auto"/>
              </w:rPr>
            </w:pPr>
            <w:r>
              <w:rPr>
                <w:rFonts w:ascii="Times New Roman" w:cs="Times New Roman" w:eastAsia="Times New Roman" w:hAnsi="Times New Roman"/>
                <w:sz w:val="16"/>
                <w:szCs w:val="16"/>
                <w:color w:val="auto"/>
                <w:w w:val="99"/>
              </w:rPr>
              <w:t>140.0</w:t>
            </w:r>
          </w:p>
        </w:tc>
        <w:tc>
          <w:tcPr>
            <w:tcW w:w="22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154.5</w:t>
            </w: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3740" w:type="dxa"/>
            <w:vAlign w:val="bottom"/>
            <w:gridSpan w:val="2"/>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shd w:val="clear" w:color="auto" w:fill="CFF0FC"/>
          </w:tcPr>
          <w:p>
            <w:pPr>
              <w:jc w:val="right"/>
              <w:ind w:right="166"/>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7,440.2</w:t>
            </w:r>
          </w:p>
        </w:tc>
        <w:tc>
          <w:tcPr>
            <w:tcW w:w="1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7,724.1</w:t>
            </w:r>
          </w:p>
        </w:tc>
        <w:tc>
          <w:tcPr>
            <w:tcW w:w="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7,080.0</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7,244.3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no non-accrual investments as of September 30, 2025 and December 31, 2024.</w:t>
      </w: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384" w:right="1440" w:bottom="1440" w:gutter="0" w:footer="0" w:header="0"/>
        </w:sectPr>
      </w:pPr>
    </w:p>
    <w:bookmarkStart w:id="53" w:name="page54"/>
    <w:bookmarkEnd w:id="53"/>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weighted average yields and interest rates of our performing debt investments at fair value as of September 30, 2025 and December 31, 2024 were as follows:</w:t>
      </w:r>
    </w:p>
    <w:p>
      <w:pPr>
        <w:spacing w:after="0" w:line="200" w:lineRule="exact"/>
        <w:rPr>
          <w:sz w:val="20"/>
          <w:szCs w:val="20"/>
          <w:color w:val="auto"/>
        </w:rPr>
      </w:pPr>
    </w:p>
    <w:tbl>
      <w:tblPr>
        <w:tblLayout w:type="fixed"/>
        <w:tblInd w:w="122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2460" w:type="dxa"/>
            <w:vAlign w:val="bottom"/>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60" w:type="dxa"/>
            <w:vAlign w:val="bottom"/>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44"/>
        </w:trPr>
        <w:tc>
          <w:tcPr>
            <w:tcW w:w="40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color w:val="auto"/>
              </w:rPr>
              <w:t>Weighted average total yield of debt and income</w:t>
            </w:r>
          </w:p>
        </w:tc>
        <w:tc>
          <w:tcPr>
            <w:tcW w:w="2460" w:type="dxa"/>
            <w:vAlign w:val="bottom"/>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producing securities </w:t>
            </w:r>
            <w:r>
              <w:rPr>
                <w:rFonts w:ascii="Times New Roman" w:cs="Times New Roman" w:eastAsia="Times New Roman" w:hAnsi="Times New Roman"/>
                <w:sz w:val="21"/>
                <w:szCs w:val="21"/>
                <w:color w:val="auto"/>
                <w:vertAlign w:val="superscript"/>
              </w:rPr>
              <w:t>(1)</w:t>
            </w:r>
          </w:p>
        </w:tc>
        <w:tc>
          <w:tcPr>
            <w:tcW w:w="2460" w:type="dxa"/>
            <w:vAlign w:val="bottom"/>
            <w:shd w:val="clear" w:color="auto" w:fill="CFF0FC"/>
          </w:tcPr>
          <w:p>
            <w:pPr>
              <w:jc w:val="right"/>
              <w:ind w:right="105"/>
              <w:spacing w:after="0"/>
              <w:rPr>
                <w:sz w:val="20"/>
                <w:szCs w:val="20"/>
                <w:color w:val="auto"/>
              </w:rPr>
            </w:pPr>
            <w:r>
              <w:rPr>
                <w:rFonts w:ascii="Times New Roman" w:cs="Times New Roman" w:eastAsia="Times New Roman" w:hAnsi="Times New Roman"/>
                <w:sz w:val="16"/>
                <w:szCs w:val="16"/>
                <w:color w:val="auto"/>
              </w:rPr>
              <w:t>10.2%</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67"/>
        </w:trPr>
        <w:tc>
          <w:tcPr>
            <w:tcW w:w="40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Weighted average interest rate of debt and income</w:t>
            </w:r>
          </w:p>
        </w:tc>
        <w:tc>
          <w:tcPr>
            <w:tcW w:w="246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193"/>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producing securities</w:t>
            </w:r>
          </w:p>
        </w:tc>
        <w:tc>
          <w:tcPr>
            <w:tcW w:w="246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9.9%</w:t>
            </w: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0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Weighted average spread over reference rate of all</w:t>
            </w:r>
          </w:p>
        </w:tc>
        <w:tc>
          <w:tcPr>
            <w:tcW w:w="246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floating rate investments</w:t>
            </w:r>
          </w:p>
        </w:tc>
        <w:tc>
          <w:tcPr>
            <w:tcW w:w="2460" w:type="dxa"/>
            <w:vAlign w:val="bottom"/>
            <w:shd w:val="clear" w:color="auto" w:fill="CFF0FC"/>
          </w:tcPr>
          <w:p>
            <w:pPr>
              <w:jc w:val="right"/>
              <w:ind w:right="105"/>
              <w:spacing w:after="0"/>
              <w:rPr>
                <w:sz w:val="20"/>
                <w:szCs w:val="20"/>
                <w:color w:val="auto"/>
              </w:rPr>
            </w:pPr>
            <w:r>
              <w:rPr>
                <w:rFonts w:ascii="Times New Roman" w:cs="Times New Roman" w:eastAsia="Times New Roman" w:hAnsi="Times New Roman"/>
                <w:sz w:val="16"/>
                <w:szCs w:val="16"/>
                <w:color w:val="auto"/>
              </w:rPr>
              <w:t>5.9%</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(1)Weighted average total portfolio yield at fair value was 10.0% at September 30, 2025 and 10.8% at December 31, 2024.</w:t>
      </w:r>
    </w:p>
    <w:p>
      <w:pPr>
        <w:spacing w:after="0" w:line="188"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•assessment of success of the portfolio company in adhering to its business plan and compliance with covenants;</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•periodic and regular contact with portfolio company management and, if appropriate, the financial or strategic sponsor, to discuss financial position, requirements and accomplishments;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•comparisons to other companies in the industry;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•attendance at, and participation in, board meetings;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•review of monthly and quarterly financial statements and financial projections for portfolio companies.</w:t>
      </w:r>
    </w:p>
    <w:p>
      <w:pPr>
        <w:spacing w:after="0" w:line="18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ind w:left="240" w:right="100"/>
        <w:spacing w:after="0" w:line="247" w:lineRule="auto"/>
        <w:rPr>
          <w:sz w:val="20"/>
          <w:szCs w:val="20"/>
          <w:color w:val="auto"/>
        </w:rPr>
      </w:pPr>
      <w:r>
        <w:rPr>
          <w:rFonts w:ascii="Times New Roman" w:cs="Times New Roman" w:eastAsia="Times New Roman" w:hAnsi="Times New Roman"/>
          <w:sz w:val="16"/>
          <w:szCs w:val="16"/>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8" w:lineRule="exact"/>
        <w:rPr>
          <w:sz w:val="20"/>
          <w:szCs w:val="20"/>
          <w:color w:val="auto"/>
        </w:rPr>
      </w:pPr>
    </w:p>
    <w:p>
      <w:pPr>
        <w:ind w:left="240" w:right="280"/>
        <w:spacing w:after="0" w:line="247" w:lineRule="auto"/>
        <w:rPr>
          <w:sz w:val="20"/>
          <w:szCs w:val="20"/>
          <w:color w:val="auto"/>
        </w:rPr>
      </w:pPr>
      <w:r>
        <w:rPr>
          <w:rFonts w:ascii="Times New Roman" w:cs="Times New Roman" w:eastAsia="Times New Roman" w:hAnsi="Times New Roman"/>
          <w:sz w:val="16"/>
          <w:szCs w:val="16"/>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sz w:val="20"/>
          <w:szCs w:val="20"/>
          <w:color w:val="auto"/>
        </w:rPr>
      </w:pPr>
    </w:p>
    <w:p>
      <w:pPr>
        <w:ind w:left="240"/>
        <w:spacing w:after="0" w:line="247" w:lineRule="auto"/>
        <w:rPr>
          <w:sz w:val="20"/>
          <w:szCs w:val="20"/>
          <w:color w:val="auto"/>
        </w:rPr>
      </w:pPr>
      <w:r>
        <w:rPr>
          <w:rFonts w:ascii="Times New Roman" w:cs="Times New Roman" w:eastAsia="Times New Roman" w:hAnsi="Times New Roman"/>
          <w:sz w:val="16"/>
          <w:szCs w:val="16"/>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8" w:lineRule="exact"/>
        <w:rPr>
          <w:sz w:val="20"/>
          <w:szCs w:val="20"/>
          <w:color w:val="auto"/>
        </w:rPr>
      </w:pPr>
    </w:p>
    <w:p>
      <w:pPr>
        <w:ind w:left="240" w:right="40"/>
        <w:spacing w:after="0" w:line="241" w:lineRule="auto"/>
        <w:rPr>
          <w:sz w:val="20"/>
          <w:szCs w:val="20"/>
          <w:color w:val="auto"/>
        </w:rPr>
      </w:pPr>
      <w:r>
        <w:rPr>
          <w:rFonts w:ascii="Times New Roman" w:cs="Times New Roman" w:eastAsia="Times New Roman" w:hAnsi="Times New Roman"/>
          <w:sz w:val="16"/>
          <w:szCs w:val="16"/>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 to-value requirements, the Adviser often will take immediate action to protect its position. These remedies may include negotiating for additional collateral, modifying investment terms or structure, or payment of amendment and waiver fees.</w:t>
      </w:r>
    </w:p>
    <w:p>
      <w:pPr>
        <w:spacing w:after="0" w:line="73" w:lineRule="exact"/>
        <w:rPr>
          <w:sz w:val="20"/>
          <w:szCs w:val="20"/>
          <w:color w:val="auto"/>
        </w:rPr>
      </w:pPr>
    </w:p>
    <w:p>
      <w:pPr>
        <w:ind w:left="240" w:right="60"/>
        <w:spacing w:after="0" w:line="241" w:lineRule="auto"/>
        <w:rPr>
          <w:sz w:val="20"/>
          <w:szCs w:val="20"/>
          <w:color w:val="auto"/>
        </w:rPr>
      </w:pPr>
      <w:r>
        <w:rPr>
          <w:rFonts w:ascii="Times New Roman" w:cs="Times New Roman" w:eastAsia="Times New Roman" w:hAnsi="Times New Roman"/>
          <w:sz w:val="16"/>
          <w:szCs w:val="16"/>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Investments that carry a rating of 5 would typically indicate the position has been placed on non-accrual status (for investments that otherwise would be income producing).</w:t>
      </w:r>
    </w:p>
    <w:p>
      <w:pPr>
        <w:spacing w:after="0" w:line="1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4" w:name="page55"/>
    <w:bookmarkEnd w:id="54"/>
    <w:p>
      <w:pPr>
        <w:spacing w:after="0" w:line="113" w:lineRule="exact"/>
        <w:rPr>
          <w:sz w:val="20"/>
          <w:szCs w:val="20"/>
          <w:color w:val="auto"/>
        </w:rPr>
      </w:pPr>
    </w:p>
    <w:p>
      <w:pPr>
        <w:jc w:val="both"/>
        <w:ind w:firstLine="228"/>
        <w:spacing w:after="0" w:line="247" w:lineRule="auto"/>
        <w:rPr>
          <w:sz w:val="20"/>
          <w:szCs w:val="20"/>
          <w:color w:val="auto"/>
        </w:rPr>
      </w:pPr>
      <w:r>
        <w:rPr>
          <w:rFonts w:ascii="Times New Roman" w:cs="Times New Roman" w:eastAsia="Times New Roman" w:hAnsi="Times New Roman"/>
          <w:sz w:val="16"/>
          <w:szCs w:val="16"/>
          <w:color w:val="auto"/>
        </w:rPr>
        <w:t>The following table shows the distribution of our investments on the 1 to 5 investment performance rating scale at fair value as of September 30, 2025 and December 31, 2024. Investment performance ratings are accurate only as of those dates and may change due to subsequent developments relating to a portfolio company’s business or financial condition, market conditions or developments, and other factors.</w:t>
      </w:r>
    </w:p>
    <w:p>
      <w:pPr>
        <w:spacing w:after="0" w:line="176" w:lineRule="exact"/>
        <w:rPr>
          <w:sz w:val="20"/>
          <w:szCs w:val="20"/>
          <w:color w:val="auto"/>
        </w:rPr>
      </w:pPr>
    </w:p>
    <w:tbl>
      <w:tblPr>
        <w:tblLayout w:type="fixed"/>
        <w:tblInd w:w="480" w:type="dxa"/>
        <w:tblCellMar>
          <w:top w:w="0" w:type="dxa"/>
          <w:left w:w="0" w:type="dxa"/>
          <w:bottom w:w="0" w:type="dxa"/>
          <w:right w:w="0" w:type="dxa"/>
        </w:tblCellMar>
      </w:tblPr>
      <w:tr>
        <w:trPr>
          <w:trHeight w:val="156"/>
        </w:trPr>
        <w:tc>
          <w:tcPr>
            <w:tcW w:w="1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3"/>
          </w:tcPr>
          <w:p>
            <w:pPr>
              <w:ind w:left="1080"/>
              <w:spacing w:after="0"/>
              <w:rPr>
                <w:sz w:val="20"/>
                <w:szCs w:val="20"/>
                <w:color w:val="auto"/>
              </w:rPr>
            </w:pPr>
            <w:r>
              <w:rPr>
                <w:rFonts w:ascii="Times New Roman" w:cs="Times New Roman" w:eastAsia="Times New Roman" w:hAnsi="Times New Roman"/>
                <w:sz w:val="13"/>
                <w:szCs w:val="13"/>
                <w:b w:val="1"/>
                <w:bCs w:val="1"/>
                <w:color w:val="auto"/>
                <w:w w:val="99"/>
              </w:rPr>
              <w:t>September 30, 2025</w:t>
            </w: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100" w:type="dxa"/>
            <w:vAlign w:val="bottom"/>
            <w:gridSpan w:val="4"/>
          </w:tcPr>
          <w:p>
            <w:pPr>
              <w:jc w:val="right"/>
              <w:ind w:right="136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56"/>
        </w:trPr>
        <w:tc>
          <w:tcPr>
            <w:tcW w:w="188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w w:val="99"/>
              </w:rPr>
              <w:t>Investment</w:t>
            </w:r>
          </w:p>
        </w:tc>
        <w:tc>
          <w:tcPr>
            <w:tcW w:w="260" w:type="dxa"/>
            <w:vAlign w:val="bottom"/>
          </w:tcPr>
          <w:p>
            <w:pPr>
              <w:spacing w:after="0"/>
              <w:rPr>
                <w:sz w:val="13"/>
                <w:szCs w:val="13"/>
                <w:color w:val="auto"/>
              </w:rPr>
            </w:pPr>
          </w:p>
        </w:tc>
        <w:tc>
          <w:tcPr>
            <w:tcW w:w="2180" w:type="dxa"/>
            <w:vAlign w:val="bottom"/>
            <w:gridSpan w:val="3"/>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3"/>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188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260" w:type="dxa"/>
            <w:vAlign w:val="bottom"/>
          </w:tcPr>
          <w:p>
            <w:pPr>
              <w:spacing w:after="0"/>
              <w:rPr>
                <w:sz w:val="13"/>
                <w:szCs w:val="13"/>
                <w:color w:val="auto"/>
              </w:rPr>
            </w:pPr>
          </w:p>
        </w:tc>
        <w:tc>
          <w:tcPr>
            <w:tcW w:w="2180" w:type="dxa"/>
            <w:vAlign w:val="bottom"/>
            <w:gridSpan w:val="3"/>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9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3"/>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Percentage of</w:t>
            </w:r>
          </w:p>
        </w:tc>
      </w:tr>
      <w:tr>
        <w:trPr>
          <w:trHeight w:val="170"/>
        </w:trPr>
        <w:tc>
          <w:tcPr>
            <w:tcW w:w="188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Rating</w:t>
            </w:r>
          </w:p>
        </w:tc>
        <w:tc>
          <w:tcPr>
            <w:tcW w:w="260" w:type="dxa"/>
            <w:vAlign w:val="bottom"/>
          </w:tcPr>
          <w:p>
            <w:pPr>
              <w:spacing w:after="0"/>
              <w:rPr>
                <w:sz w:val="14"/>
                <w:szCs w:val="14"/>
                <w:color w:val="auto"/>
              </w:rPr>
            </w:pPr>
          </w:p>
        </w:tc>
        <w:tc>
          <w:tcPr>
            <w:tcW w:w="2180" w:type="dxa"/>
            <w:vAlign w:val="bottom"/>
            <w:gridSpan w:val="3"/>
          </w:tcPr>
          <w:p>
            <w:pPr>
              <w:jc w:val="center"/>
              <w:ind w:right="960"/>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Total Portfolio</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8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Total Portfolio</w:t>
            </w:r>
          </w:p>
        </w:tc>
      </w:tr>
      <w:tr>
        <w:trPr>
          <w:trHeight w:val="180"/>
        </w:trPr>
        <w:tc>
          <w:tcPr>
            <w:tcW w:w="1880" w:type="dxa"/>
            <w:vAlign w:val="bottom"/>
            <w:shd w:val="clear" w:color="auto" w:fill="CFF0FC"/>
          </w:tcPr>
          <w:p>
            <w:pPr>
              <w:jc w:val="center"/>
              <w:ind w:right="106"/>
              <w:spacing w:after="0" w:line="180" w:lineRule="exact"/>
              <w:rPr>
                <w:sz w:val="20"/>
                <w:szCs w:val="20"/>
                <w:color w:val="auto"/>
              </w:rPr>
            </w:pPr>
            <w:r>
              <w:rPr>
                <w:rFonts w:ascii="Times New Roman" w:cs="Times New Roman" w:eastAsia="Times New Roman" w:hAnsi="Times New Roman"/>
                <w:sz w:val="16"/>
                <w:szCs w:val="16"/>
                <w:color w:val="auto"/>
                <w:w w:val="74"/>
              </w:rPr>
              <w:t>1</w:t>
            </w: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7,542.8</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97.6%</w:t>
            </w:r>
          </w:p>
        </w:tc>
        <w:tc>
          <w:tcPr>
            <w:tcW w:w="640" w:type="dxa"/>
            <w:vAlign w:val="bottom"/>
            <w:gridSpan w:val="2"/>
            <w:shd w:val="clear" w:color="auto" w:fill="CFF0FC"/>
          </w:tcPr>
          <w:p>
            <w:pPr>
              <w:jc w:val="right"/>
              <w:ind w:right="39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7,037.9</w:t>
            </w:r>
          </w:p>
        </w:tc>
        <w:tc>
          <w:tcPr>
            <w:tcW w:w="22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97.1%</w:t>
            </w:r>
          </w:p>
        </w:tc>
      </w:tr>
      <w:tr>
        <w:trPr>
          <w:trHeight w:val="180"/>
        </w:trPr>
        <w:tc>
          <w:tcPr>
            <w:tcW w:w="1880" w:type="dxa"/>
            <w:vAlign w:val="bottom"/>
          </w:tcPr>
          <w:p>
            <w:pPr>
              <w:jc w:val="center"/>
              <w:ind w:right="106"/>
              <w:spacing w:after="0" w:line="180" w:lineRule="exact"/>
              <w:rPr>
                <w:sz w:val="20"/>
                <w:szCs w:val="20"/>
                <w:color w:val="auto"/>
              </w:rPr>
            </w:pPr>
            <w:r>
              <w:rPr>
                <w:rFonts w:ascii="Times New Roman" w:cs="Times New Roman" w:eastAsia="Times New Roman" w:hAnsi="Times New Roman"/>
                <w:sz w:val="16"/>
                <w:szCs w:val="16"/>
                <w:color w:val="auto"/>
                <w:w w:val="74"/>
              </w:rPr>
              <w:t>2</w:t>
            </w:r>
          </w:p>
        </w:tc>
        <w:tc>
          <w:tcPr>
            <w:tcW w:w="260" w:type="dxa"/>
            <w:vAlign w:val="bottom"/>
          </w:tcPr>
          <w:p>
            <w:pPr>
              <w:spacing w:after="0"/>
              <w:rPr>
                <w:sz w:val="15"/>
                <w:szCs w:val="15"/>
                <w:color w:val="auto"/>
              </w:rPr>
            </w:pPr>
          </w:p>
        </w:tc>
        <w:tc>
          <w:tcPr>
            <w:tcW w:w="17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129.7</w:t>
            </w: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143.3</w:t>
            </w:r>
          </w:p>
        </w:tc>
        <w:tc>
          <w:tcPr>
            <w:tcW w:w="18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2.0</w:t>
            </w:r>
          </w:p>
        </w:tc>
      </w:tr>
      <w:tr>
        <w:trPr>
          <w:trHeight w:val="180"/>
        </w:trPr>
        <w:tc>
          <w:tcPr>
            <w:tcW w:w="1880" w:type="dxa"/>
            <w:vAlign w:val="bottom"/>
            <w:shd w:val="clear" w:color="auto" w:fill="CFF0FC"/>
          </w:tcPr>
          <w:p>
            <w:pPr>
              <w:jc w:val="center"/>
              <w:ind w:right="106"/>
              <w:spacing w:after="0" w:line="180" w:lineRule="exact"/>
              <w:rPr>
                <w:sz w:val="20"/>
                <w:szCs w:val="20"/>
                <w:color w:val="auto"/>
              </w:rPr>
            </w:pPr>
            <w:r>
              <w:rPr>
                <w:rFonts w:ascii="Times New Roman" w:cs="Times New Roman" w:eastAsia="Times New Roman" w:hAnsi="Times New Roman"/>
                <w:sz w:val="16"/>
                <w:szCs w:val="16"/>
                <w:color w:val="auto"/>
                <w:w w:val="74"/>
              </w:rPr>
              <w:t>3</w:t>
            </w:r>
          </w:p>
        </w:tc>
        <w:tc>
          <w:tcPr>
            <w:tcW w:w="2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51.6</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63.1</w:t>
            </w:r>
          </w:p>
        </w:tc>
        <w:tc>
          <w:tcPr>
            <w:tcW w:w="22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0.9</w:t>
            </w:r>
          </w:p>
        </w:tc>
      </w:tr>
      <w:tr>
        <w:trPr>
          <w:trHeight w:val="180"/>
        </w:trPr>
        <w:tc>
          <w:tcPr>
            <w:tcW w:w="1880" w:type="dxa"/>
            <w:vAlign w:val="bottom"/>
          </w:tcPr>
          <w:p>
            <w:pPr>
              <w:jc w:val="center"/>
              <w:ind w:right="106"/>
              <w:spacing w:after="0" w:line="180" w:lineRule="exact"/>
              <w:rPr>
                <w:sz w:val="20"/>
                <w:szCs w:val="20"/>
                <w:color w:val="auto"/>
              </w:rPr>
            </w:pPr>
            <w:r>
              <w:rPr>
                <w:rFonts w:ascii="Times New Roman" w:cs="Times New Roman" w:eastAsia="Times New Roman" w:hAnsi="Times New Roman"/>
                <w:sz w:val="16"/>
                <w:szCs w:val="16"/>
                <w:color w:val="auto"/>
                <w:w w:val="74"/>
              </w:rPr>
              <w:t>4</w:t>
            </w:r>
          </w:p>
        </w:tc>
        <w:tc>
          <w:tcPr>
            <w:tcW w:w="260" w:type="dxa"/>
            <w:vAlign w:val="bottom"/>
          </w:tcPr>
          <w:p>
            <w:pPr>
              <w:spacing w:after="0"/>
              <w:rPr>
                <w:sz w:val="15"/>
                <w:szCs w:val="15"/>
                <w:color w:val="auto"/>
              </w:rPr>
            </w:pPr>
          </w:p>
        </w:tc>
        <w:tc>
          <w:tcPr>
            <w:tcW w:w="2180" w:type="dxa"/>
            <w:vAlign w:val="bottom"/>
            <w:gridSpan w:val="3"/>
          </w:tcPr>
          <w:p>
            <w:pPr>
              <w:jc w:val="right"/>
              <w:ind w:right="7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5"/>
                <w:szCs w:val="15"/>
                <w:color w:val="auto"/>
              </w:rPr>
            </w:pPr>
          </w:p>
        </w:tc>
        <w:tc>
          <w:tcPr>
            <w:tcW w:w="6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1880" w:type="dxa"/>
            <w:vAlign w:val="bottom"/>
            <w:shd w:val="clear" w:color="auto" w:fill="CFF0FC"/>
          </w:tcPr>
          <w:p>
            <w:pPr>
              <w:jc w:val="center"/>
              <w:ind w:right="106"/>
              <w:spacing w:after="0" w:line="180" w:lineRule="exact"/>
              <w:rPr>
                <w:sz w:val="20"/>
                <w:szCs w:val="20"/>
                <w:color w:val="auto"/>
              </w:rPr>
            </w:pPr>
            <w:r>
              <w:rPr>
                <w:rFonts w:ascii="Times New Roman" w:cs="Times New Roman" w:eastAsia="Times New Roman" w:hAnsi="Times New Roman"/>
                <w:sz w:val="16"/>
                <w:szCs w:val="16"/>
                <w:color w:val="auto"/>
                <w:w w:val="74"/>
              </w:rPr>
              <w:t>5</w:t>
            </w:r>
          </w:p>
        </w:tc>
        <w:tc>
          <w:tcPr>
            <w:tcW w:w="260" w:type="dxa"/>
            <w:vAlign w:val="bottom"/>
            <w:shd w:val="clear" w:color="auto" w:fill="CFF0FC"/>
          </w:tcPr>
          <w:p>
            <w:pPr>
              <w:spacing w:after="0"/>
              <w:rPr>
                <w:sz w:val="15"/>
                <w:szCs w:val="15"/>
                <w:color w:val="auto"/>
              </w:rPr>
            </w:pPr>
          </w:p>
        </w:tc>
        <w:tc>
          <w:tcPr>
            <w:tcW w:w="2180" w:type="dxa"/>
            <w:vAlign w:val="bottom"/>
            <w:gridSpan w:val="3"/>
            <w:shd w:val="clear" w:color="auto" w:fill="CFF0FC"/>
          </w:tcPr>
          <w:p>
            <w:pPr>
              <w:jc w:val="right"/>
              <w:ind w:right="7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1880" w:type="dxa"/>
            <w:vAlign w:val="bottom"/>
          </w:tcPr>
          <w:p>
            <w:pPr>
              <w:jc w:val="center"/>
              <w:ind w:right="86"/>
              <w:spacing w:after="0" w:line="160" w:lineRule="exact"/>
              <w:rPr>
                <w:sz w:val="20"/>
                <w:szCs w:val="20"/>
                <w:color w:val="auto"/>
              </w:rPr>
            </w:pPr>
            <w:r>
              <w:rPr>
                <w:rFonts w:ascii="Times New Roman" w:cs="Times New Roman" w:eastAsia="Times New Roman" w:hAnsi="Times New Roman"/>
                <w:sz w:val="16"/>
                <w:szCs w:val="16"/>
                <w:color w:val="auto"/>
                <w:w w:val="94"/>
              </w:rPr>
              <w:t>Total</w:t>
            </w:r>
          </w:p>
        </w:tc>
        <w:tc>
          <w:tcPr>
            <w:tcW w:w="260" w:type="dxa"/>
            <w:vAlign w:val="bottom"/>
          </w:tcPr>
          <w:p>
            <w:pPr>
              <w:jc w:val="right"/>
              <w:ind w:right="1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7,724.1</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640" w:type="dxa"/>
            <w:vAlign w:val="bottom"/>
            <w:gridSpan w:val="2"/>
          </w:tcPr>
          <w:p>
            <w:pPr>
              <w:jc w:val="right"/>
              <w:ind w:right="394"/>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7,244.3</w:t>
            </w:r>
          </w:p>
        </w:tc>
        <w:tc>
          <w:tcPr>
            <w:tcW w:w="220" w:type="dxa"/>
            <w:vAlign w:val="bottom"/>
          </w:tcPr>
          <w:p>
            <w:pPr>
              <w:spacing w:after="0"/>
              <w:rPr>
                <w:sz w:val="15"/>
                <w:szCs w:val="15"/>
                <w:color w:val="auto"/>
              </w:rPr>
            </w:pPr>
          </w:p>
        </w:tc>
        <w:tc>
          <w:tcPr>
            <w:tcW w:w="18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20"/>
        </w:trPr>
        <w:tc>
          <w:tcPr>
            <w:tcW w:w="1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results for the three and nine months ended September 30, 2025 and September 30, 2024,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gridSpan w:val="6"/>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7"/>
          </w:tcPr>
          <w:p>
            <w:pPr>
              <w:ind w:left="6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4"/>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70"/>
        </w:trPr>
        <w:tc>
          <w:tcPr>
            <w:tcW w:w="47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investment income</w:t>
            </w:r>
          </w:p>
        </w:tc>
        <w:tc>
          <w:tcPr>
            <w:tcW w:w="860" w:type="dxa"/>
            <w:vAlign w:val="bottom"/>
            <w:gridSpan w:val="2"/>
            <w:shd w:val="clear" w:color="auto" w:fill="CFF0FC"/>
          </w:tcPr>
          <w:p>
            <w:pPr>
              <w:jc w:val="right"/>
              <w:ind w:right="1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right w:val="single" w:sz="8" w:color="CFF0FC"/>
            </w:tcBorders>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235.7</w:t>
            </w:r>
          </w:p>
        </w:tc>
        <w:tc>
          <w:tcPr>
            <w:tcW w:w="2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4"/>
            <w:shd w:val="clear" w:color="auto" w:fill="CFF0FC"/>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178.9</w:t>
            </w:r>
          </w:p>
        </w:tc>
        <w:tc>
          <w:tcPr>
            <w:tcW w:w="860" w:type="dxa"/>
            <w:vAlign w:val="bottom"/>
            <w:tcBorders>
              <w:right w:val="single" w:sz="8" w:color="CFF0FC"/>
            </w:tcBorders>
            <w:gridSpan w:val="2"/>
            <w:shd w:val="clear" w:color="auto" w:fill="CFF0FC"/>
          </w:tcPr>
          <w:p>
            <w:pPr>
              <w:jc w:val="right"/>
              <w:ind w:right="6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w w:val="99"/>
              </w:rPr>
              <w:t>717.3</w:t>
            </w:r>
          </w:p>
        </w:tc>
        <w:tc>
          <w:tcPr>
            <w:tcW w:w="700" w:type="dxa"/>
            <w:vAlign w:val="bottom"/>
            <w:gridSpan w:val="2"/>
            <w:shd w:val="clear" w:color="auto" w:fill="CFF0FC"/>
          </w:tcPr>
          <w:p>
            <w:pPr>
              <w:jc w:val="right"/>
              <w:ind w:right="4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467.9</w:t>
            </w:r>
          </w:p>
        </w:tc>
        <w:tc>
          <w:tcPr>
            <w:tcW w:w="0" w:type="dxa"/>
            <w:vAlign w:val="bottom"/>
          </w:tcPr>
          <w:p>
            <w:pPr>
              <w:spacing w:after="0"/>
              <w:rPr>
                <w:sz w:val="1"/>
                <w:szCs w:val="1"/>
                <w:color w:val="auto"/>
              </w:rPr>
            </w:pPr>
          </w:p>
        </w:tc>
      </w:tr>
      <w:tr>
        <w:trPr>
          <w:trHeight w:val="180"/>
        </w:trPr>
        <w:tc>
          <w:tcPr>
            <w:tcW w:w="47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Less: Net expenses</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93.1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w w:val="92"/>
              </w:rPr>
              <w:t>78.0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w w:val="99"/>
              </w:rPr>
              <w:t>275.2</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205.9</w:t>
            </w: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investment income before income taxes</w:t>
            </w:r>
          </w:p>
        </w:tc>
        <w:tc>
          <w:tcPr>
            <w:tcW w:w="58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142.6</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gridSpan w:val="4"/>
            <w:shd w:val="clear" w:color="auto" w:fill="CFF0FC"/>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100.9</w:t>
            </w:r>
          </w:p>
        </w:tc>
        <w:tc>
          <w:tcPr>
            <w:tcW w:w="8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spacing w:after="0"/>
              <w:rPr>
                <w:sz w:val="15"/>
                <w:szCs w:val="15"/>
                <w:color w:val="auto"/>
              </w:rPr>
            </w:pPr>
          </w:p>
        </w:tc>
        <w:tc>
          <w:tcPr>
            <w:tcW w:w="48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w w:val="99"/>
              </w:rPr>
              <w:t>442.2</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262.0</w:t>
            </w:r>
          </w:p>
        </w:tc>
        <w:tc>
          <w:tcPr>
            <w:tcW w:w="0" w:type="dxa"/>
            <w:vAlign w:val="bottom"/>
          </w:tcPr>
          <w:p>
            <w:pPr>
              <w:spacing w:after="0"/>
              <w:rPr>
                <w:sz w:val="1"/>
                <w:szCs w:val="1"/>
                <w:color w:val="auto"/>
              </w:rPr>
            </w:pPr>
          </w:p>
        </w:tc>
      </w:tr>
      <w:tr>
        <w:trPr>
          <w:trHeight w:val="216"/>
        </w:trPr>
        <w:tc>
          <w:tcPr>
            <w:tcW w:w="47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6"/>
                <w:szCs w:val="16"/>
                <w:color w:val="auto"/>
              </w:rPr>
              <w:t xml:space="preserve">Less: Income taxes, including excise taxes </w:t>
            </w:r>
            <w:r>
              <w:rPr>
                <w:rFonts w:ascii="Times New Roman" w:cs="Times New Roman" w:eastAsia="Times New Roman" w:hAnsi="Times New Roman"/>
                <w:sz w:val="21"/>
                <w:szCs w:val="21"/>
                <w:color w:val="auto"/>
                <w:vertAlign w:val="superscript"/>
              </w:rPr>
              <w:t>(2)</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3"/>
          </w:tcPr>
          <w:p>
            <w:pPr>
              <w:jc w:val="right"/>
              <w:ind w:right="5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58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142.6</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gridSpan w:val="4"/>
            <w:shd w:val="clear" w:color="auto" w:fill="CFF0FC"/>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100.9</w:t>
            </w:r>
          </w:p>
        </w:tc>
        <w:tc>
          <w:tcPr>
            <w:tcW w:w="8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spacing w:after="0"/>
              <w:rPr>
                <w:sz w:val="15"/>
                <w:szCs w:val="15"/>
                <w:color w:val="auto"/>
              </w:rPr>
            </w:pPr>
          </w:p>
        </w:tc>
        <w:tc>
          <w:tcPr>
            <w:tcW w:w="48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w w:val="99"/>
              </w:rPr>
              <w:t>442.2</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259.8</w:t>
            </w:r>
          </w:p>
        </w:tc>
        <w:tc>
          <w:tcPr>
            <w:tcW w:w="0" w:type="dxa"/>
            <w:vAlign w:val="bottom"/>
          </w:tcPr>
          <w:p>
            <w:pPr>
              <w:spacing w:after="0"/>
              <w:rPr>
                <w:sz w:val="1"/>
                <w:szCs w:val="1"/>
                <w:color w:val="auto"/>
              </w:rPr>
            </w:pPr>
          </w:p>
        </w:tc>
      </w:tr>
      <w:tr>
        <w:trPr>
          <w:trHeight w:val="180"/>
        </w:trPr>
        <w:tc>
          <w:tcPr>
            <w:tcW w:w="4720" w:type="dxa"/>
            <w:vAlign w:val="bottom"/>
            <w:gridSpan w:val="2"/>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realized gains (losses) </w:t>
            </w:r>
            <w:r>
              <w:rPr>
                <w:rFonts w:ascii="Times New Roman" w:cs="Times New Roman" w:eastAsia="Times New Roman" w:hAnsi="Times New Roman"/>
                <w:sz w:val="20"/>
                <w:szCs w:val="20"/>
                <w:color w:val="auto"/>
                <w:vertAlign w:val="superscript"/>
              </w:rPr>
              <w:t>(2) (3)</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gridSpan w:val="3"/>
          </w:tcPr>
          <w:p>
            <w:pPr>
              <w:jc w:val="right"/>
              <w:ind w:right="14"/>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change in unrealized gains (losses) </w:t>
            </w:r>
            <w:r>
              <w:rPr>
                <w:rFonts w:ascii="Times New Roman" w:cs="Times New Roman" w:eastAsia="Times New Roman" w:hAnsi="Times New Roman"/>
                <w:sz w:val="20"/>
                <w:szCs w:val="20"/>
                <w:color w:val="auto"/>
                <w:vertAlign w:val="superscript"/>
              </w:rPr>
              <w:t>(3)</w:t>
            </w:r>
          </w:p>
        </w:tc>
        <w:tc>
          <w:tcPr>
            <w:tcW w:w="58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spacing w:after="0"/>
              <w:rPr>
                <w:sz w:val="15"/>
                <w:szCs w:val="15"/>
                <w:color w:val="auto"/>
              </w:rPr>
            </w:pPr>
          </w:p>
        </w:tc>
        <w:tc>
          <w:tcPr>
            <w:tcW w:w="3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w w:val="92"/>
              </w:rPr>
              <w:t>26.1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tcBorders>
              <w:right w:val="single" w:sz="8" w:color="CFF0FC"/>
            </w:tcBorders>
            <w:shd w:val="clear" w:color="auto" w:fill="CFF0FC"/>
          </w:tcPr>
          <w:p>
            <w:pPr>
              <w:spacing w:after="0"/>
              <w:rPr>
                <w:sz w:val="15"/>
                <w:szCs w:val="15"/>
                <w:color w:val="auto"/>
              </w:rPr>
            </w:pPr>
          </w:p>
        </w:tc>
        <w:tc>
          <w:tcPr>
            <w:tcW w:w="480" w:type="dxa"/>
            <w:vAlign w:val="bottom"/>
            <w:gridSpan w:val="3"/>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Net increase (decrease) in net assets resulting from operations</w:t>
            </w:r>
          </w:p>
        </w:tc>
        <w:tc>
          <w:tcPr>
            <w:tcW w:w="860" w:type="dxa"/>
            <w:vAlign w:val="bottom"/>
            <w:gridSpan w:val="2"/>
          </w:tcPr>
          <w:p>
            <w:pPr>
              <w:jc w:val="right"/>
              <w:ind w:right="1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138.4</w:t>
            </w:r>
          </w:p>
        </w:tc>
        <w:tc>
          <w:tcPr>
            <w:tcW w:w="2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4"/>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127.0</w:t>
            </w:r>
          </w:p>
        </w:tc>
        <w:tc>
          <w:tcPr>
            <w:tcW w:w="860" w:type="dxa"/>
            <w:vAlign w:val="bottom"/>
            <w:gridSpan w:val="2"/>
          </w:tcPr>
          <w:p>
            <w:pPr>
              <w:jc w:val="right"/>
              <w:ind w:right="6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w w:val="99"/>
              </w:rPr>
              <w:t>424.4</w:t>
            </w:r>
          </w:p>
        </w:tc>
        <w:tc>
          <w:tcPr>
            <w:tcW w:w="700" w:type="dxa"/>
            <w:vAlign w:val="bottom"/>
            <w:gridSpan w:val="2"/>
          </w:tcPr>
          <w:p>
            <w:pPr>
              <w:jc w:val="right"/>
              <w:ind w:right="4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332.3</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(1)Table may not sum due to rounding.</w:t>
            </w: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7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(2)Amounts round to less than $0.1 million.</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(3)Includes foreign exchange hedging activity.</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Income</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6"/>
          </w:tcPr>
          <w:p>
            <w:pPr>
              <w:jc w:val="right"/>
              <w:ind w:right="485"/>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7"/>
          </w:tcPr>
          <w:p>
            <w:pPr>
              <w:ind w:left="2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4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3"/>
                <w:szCs w:val="13"/>
                <w:color w:val="auto"/>
              </w:rPr>
            </w:pPr>
          </w:p>
        </w:tc>
        <w:tc>
          <w:tcPr>
            <w:tcW w:w="108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0" w:type="dxa"/>
            <w:vAlign w:val="bottom"/>
          </w:tcPr>
          <w:p>
            <w:pPr>
              <w:spacing w:after="0"/>
              <w:rPr>
                <w:sz w:val="14"/>
                <w:szCs w:val="14"/>
                <w:color w:val="auto"/>
              </w:rPr>
            </w:pPr>
          </w:p>
        </w:tc>
        <w:tc>
          <w:tcPr>
            <w:tcW w:w="42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42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from investments</w:t>
            </w:r>
          </w:p>
        </w:tc>
        <w:tc>
          <w:tcPr>
            <w:tcW w:w="860" w:type="dxa"/>
            <w:vAlign w:val="bottom"/>
            <w:gridSpan w:val="2"/>
            <w:shd w:val="clear" w:color="auto" w:fill="CFF0FC"/>
          </w:tcPr>
          <w:p>
            <w:pPr>
              <w:ind w:left="5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197.0</w:t>
            </w:r>
          </w:p>
        </w:tc>
        <w:tc>
          <w:tcPr>
            <w:tcW w:w="10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162.3</w:t>
            </w:r>
          </w:p>
        </w:tc>
        <w:tc>
          <w:tcPr>
            <w:tcW w:w="3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860" w:type="dxa"/>
            <w:vAlign w:val="bottom"/>
            <w:tcBorders>
              <w:right w:val="single" w:sz="8" w:color="CFF0FC"/>
            </w:tcBorders>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629.6</w:t>
            </w:r>
          </w:p>
        </w:tc>
        <w:tc>
          <w:tcPr>
            <w:tcW w:w="380" w:type="dxa"/>
            <w:vAlign w:val="bottom"/>
            <w:gridSpan w:val="2"/>
            <w:shd w:val="clear" w:color="auto" w:fill="CFF0FC"/>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416.4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4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Paid-in-kind interest income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50.3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22.4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42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Dividend income</w:t>
            </w:r>
          </w:p>
        </w:tc>
        <w:tc>
          <w:tcPr>
            <w:tcW w:w="58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3"/>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tcBorders>
              <w:right w:val="single" w:sz="8" w:color="CFF0FC"/>
            </w:tcBorders>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4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income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32.9</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27.8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424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860" w:type="dxa"/>
            <w:vAlign w:val="bottom"/>
            <w:gridSpan w:val="2"/>
            <w:shd w:val="clear" w:color="auto" w:fill="CFF0FC"/>
          </w:tcPr>
          <w:p>
            <w:pPr>
              <w:ind w:left="5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235.7</w:t>
            </w:r>
          </w:p>
        </w:tc>
        <w:tc>
          <w:tcPr>
            <w:tcW w:w="1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178.9</w:t>
            </w:r>
          </w:p>
        </w:tc>
        <w:tc>
          <w:tcPr>
            <w:tcW w:w="3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717.3</w:t>
            </w:r>
          </w:p>
        </w:tc>
        <w:tc>
          <w:tcPr>
            <w:tcW w:w="380" w:type="dxa"/>
            <w:vAlign w:val="bottom"/>
            <w:gridSpan w:val="2"/>
            <w:shd w:val="clear" w:color="auto" w:fill="CFF0FC"/>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467.9</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2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188" w:lineRule="exact"/>
        <w:rPr>
          <w:sz w:val="20"/>
          <w:szCs w:val="20"/>
          <w:color w:val="auto"/>
        </w:rPr>
      </w:pPr>
    </w:p>
    <w:p>
      <w:pPr>
        <w:ind w:right="160" w:firstLine="228"/>
        <w:spacing w:after="0" w:line="239" w:lineRule="auto"/>
        <w:rPr>
          <w:sz w:val="20"/>
          <w:szCs w:val="20"/>
          <w:color w:val="auto"/>
        </w:rPr>
      </w:pPr>
      <w:r>
        <w:rPr>
          <w:rFonts w:ascii="Times New Roman" w:cs="Times New Roman" w:eastAsia="Times New Roman" w:hAnsi="Times New Roman"/>
          <w:sz w:val="16"/>
          <w:szCs w:val="16"/>
          <w:color w:val="auto"/>
        </w:rPr>
        <w:t>Interest from investments, which includes amortization of upfront fees and prepayment fees, increased from $162.3 million for the three months ended September 30, 2024 to $197.0 million for the three months ended September 30, 2025. The increase in interest from investments was primarily the result of growth in our investment portfolio. Paid-in-kind interest income increased from $8.7 million for the three months ended September 30, 2024 to $19.0 million for the three months ended September 30, 2025, primarily due to increased PIK investments. For the three months ended September 30, 2024, we had dividend income of $1.3 million. For the three months ended September 30, 2025, there was no dividend income. Other income increased from $6.6 million for the three months ended September 30, 2024 to $19.7 million for the three months ended September 30, 2025, primarily due to increased miscellaneous fees earned.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5" w:name="page56"/>
    <w:bookmarkEnd w:id="55"/>
    <w:p>
      <w:pPr>
        <w:spacing w:after="0" w:line="113"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Interest from investments, which includes amortization of upfront fees and prepayment fees, increased from $ 416.4 million for the nine months ended September 30, 2024 to $ 629.6 million for the nine months ended September 30, 2025. The increase in interest from investments was primarily the result of growth in our investment portfolio. Paid -in-kind interest income increased from $22.4 million for the nine months ended September 30, 2024 to $50.3 million for the nine months ended September 30, 2025, primarily due to increased PIK investments. Dividend income increased from $1.3 million for the nine months ended September 30, 2024 to $ 4.6 million for the nine months ended September 30, 2025. Other income increased from $27.8 million for the nine months ended September 30, 2024 to $32.9 million for the nine months ended September 30, 2025, primarily due to interest from cash and cash equivalents.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Operating expenses for the three and nine months ended September 30, 2025 and 2024, were as follows:</w:t>
      </w:r>
    </w:p>
    <w:p>
      <w:pPr>
        <w:spacing w:after="0" w:line="296"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6"/>
          </w:tcPr>
          <w:p>
            <w:pPr>
              <w:ind w:left="4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6"/>
        </w:trPr>
        <w:tc>
          <w:tcPr>
            <w:tcW w:w="3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12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0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70"/>
        </w:trPr>
        <w:tc>
          <w:tcPr>
            <w:tcW w:w="3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175.2</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132.1</w:t>
            </w:r>
          </w:p>
        </w:tc>
        <w:tc>
          <w:tcPr>
            <w:tcW w:w="0" w:type="dxa"/>
            <w:vAlign w:val="bottom"/>
          </w:tcPr>
          <w:p>
            <w:pPr>
              <w:spacing w:after="0"/>
              <w:rPr>
                <w:sz w:val="1"/>
                <w:szCs w:val="1"/>
                <w:color w:val="auto"/>
              </w:rPr>
            </w:pPr>
          </w:p>
        </w:tc>
      </w:tr>
      <w:tr>
        <w:trPr>
          <w:trHeight w:val="180"/>
        </w:trPr>
        <w:tc>
          <w:tcPr>
            <w:tcW w:w="3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Management fees (net of waivers)</w:t>
            </w:r>
          </w:p>
        </w:tc>
        <w:tc>
          <w:tcPr>
            <w:tcW w:w="12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Incentive fees on net investment income</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62.6</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Incentive fees on net capital gains (losses)</w:t>
            </w:r>
          </w:p>
        </w:tc>
        <w:tc>
          <w:tcPr>
            <w:tcW w:w="120" w:type="dxa"/>
            <w:vAlign w:val="bottom"/>
          </w:tcPr>
          <w:p>
            <w:pPr>
              <w:spacing w:after="0"/>
              <w:rPr>
                <w:sz w:val="17"/>
                <w:szCs w:val="17"/>
                <w:color w:val="auto"/>
              </w:rPr>
            </w:pP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37"/>
        </w:trPr>
        <w:tc>
          <w:tcPr>
            <w:tcW w:w="3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3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Organizational and offering expense</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80"/>
        </w:trPr>
        <w:tc>
          <w:tcPr>
            <w:tcW w:w="3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Professional fees</w:t>
            </w:r>
          </w:p>
        </w:tc>
        <w:tc>
          <w:tcPr>
            <w:tcW w:w="120" w:type="dxa"/>
            <w:vAlign w:val="bottom"/>
          </w:tcPr>
          <w:p>
            <w:pPr>
              <w:spacing w:after="0"/>
              <w:rPr>
                <w:sz w:val="15"/>
                <w:szCs w:val="15"/>
                <w:color w:val="auto"/>
              </w:rPr>
            </w:pPr>
          </w:p>
        </w:tc>
        <w:tc>
          <w:tcPr>
            <w:tcW w:w="11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5"/>
                <w:szCs w:val="15"/>
                <w:color w:val="auto"/>
              </w:rPr>
            </w:pP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80"/>
        </w:trPr>
        <w:tc>
          <w:tcPr>
            <w:tcW w:w="3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Trustees fees</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180"/>
        </w:trPr>
        <w:tc>
          <w:tcPr>
            <w:tcW w:w="3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general and administrative</w:t>
            </w:r>
          </w:p>
        </w:tc>
        <w:tc>
          <w:tcPr>
            <w:tcW w:w="120" w:type="dxa"/>
            <w:vAlign w:val="bottom"/>
          </w:tcPr>
          <w:p>
            <w:pPr>
              <w:spacing w:after="0"/>
              <w:rPr>
                <w:sz w:val="15"/>
                <w:szCs w:val="15"/>
                <w:color w:val="auto"/>
              </w:rPr>
            </w:pPr>
          </w:p>
        </w:tc>
        <w:tc>
          <w:tcPr>
            <w:tcW w:w="11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5"/>
                <w:szCs w:val="15"/>
                <w:color w:val="auto"/>
              </w:rPr>
            </w:pP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0"/>
        </w:trPr>
        <w:tc>
          <w:tcPr>
            <w:tcW w:w="36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Expenses</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93.1</w:t>
            </w:r>
          </w:p>
        </w:tc>
        <w:tc>
          <w:tcPr>
            <w:tcW w:w="1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78.0</w:t>
            </w:r>
          </w:p>
        </w:tc>
        <w:tc>
          <w:tcPr>
            <w:tcW w:w="8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275.2</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205.9</w:t>
            </w: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Interest</w:t>
      </w:r>
    </w:p>
    <w:p>
      <w:pPr>
        <w:spacing w:after="0" w:line="190"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Interest expense, including other debt financing costs, increased from $50.0 million for the three months ended September 30, 2024 to $60.0 million for the three months ended September 30, 2025. This increase was primarily due to an increase in average debt outstanding from $2.6 billion for the three months ended September 30, 2024 to $3.8 billion for the three months ended September 30, 2025.</w:t>
      </w:r>
    </w:p>
    <w:p>
      <w:pPr>
        <w:spacing w:after="0" w:line="164" w:lineRule="exact"/>
        <w:rPr>
          <w:sz w:val="20"/>
          <w:szCs w:val="20"/>
          <w:color w:val="auto"/>
        </w:rPr>
      </w:pPr>
    </w:p>
    <w:p>
      <w:pPr>
        <w:ind w:right="240" w:firstLine="228"/>
        <w:spacing w:after="0" w:line="247" w:lineRule="auto"/>
        <w:rPr>
          <w:sz w:val="20"/>
          <w:szCs w:val="20"/>
          <w:color w:val="auto"/>
        </w:rPr>
      </w:pPr>
      <w:r>
        <w:rPr>
          <w:rFonts w:ascii="Times New Roman" w:cs="Times New Roman" w:eastAsia="Times New Roman" w:hAnsi="Times New Roman"/>
          <w:sz w:val="16"/>
          <w:szCs w:val="16"/>
          <w:color w:val="auto"/>
        </w:rPr>
        <w:t>Interest expense, including other debt financing expenses, increased from $132.1 million for the nine months ended September 30, 2024 to $ 175.2 million for the nine months ended September 30, 2025. This increase was primarily due to an increase in the average debt outstanding from $2.3 billion for the nine months ended September 30, 2024 to $3.6 billion for the nine months ended September 30, 2025.</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Management Fees</w:t>
      </w:r>
    </w:p>
    <w:p>
      <w:pPr>
        <w:spacing w:after="0" w:line="190"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Management Fees (gross of waivers) increased from $18.9 million for the three months ended September 30, 2024 to $28.1 million for the three months ended September 30, 2025 due to an increase in average assets for the three months ended September 30, 2025 compared to the same period in 2024. Management Fees (net of waivers) increased from $6.5 million for the three months ended September 30, 2024 to $10.2 million for the three months ended September 30, 2025. For the three months ended September 30, 2025 and 2024, the Adviser waived Management Fees of $17.9 million and $12.3 million, respectively.</w:t>
      </w:r>
    </w:p>
    <w:p>
      <w:pPr>
        <w:spacing w:after="0" w:line="167"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Management Fees (gross of waivers) increased from $45.0 million for the nine months ended September 30, 2024 to $79.9 million for the nine months ended September 30, 2025 due to an increase in average assets for the nine months ended September 30, 2025 compared to the same period in 2024. Management Fees (net of waivers) increased from $16.6 million for the nine months ended</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6" w:name="page57"/>
    <w:bookmarkEnd w:id="56"/>
    <w:p>
      <w:pPr>
        <w:spacing w:after="0" w:line="113"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September 30, 2024 to $29.8 million for the nine months ended September 30, 2025. For the nine months ended September 30, 2025 and 2024, the Adviser waived Management Fees of $50.1 million and $28.4 million, respectively.</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190"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Incentive Fees related to pre-incentive net investment income increased from $14.9 million for the three months ended September 30, 2024 to $20.2 million for the three months ended September 30, 2025. This increase resulted from an increase in the portfolio size for the three months ended September 30, 2025. For the three months ended September 30, 2025 and 2024, $(1.0) million and $3.4 million were accrued related to Capital Gains Fees, respectively. As of September 30, 2025, these accrued Incentive Fees are not contractually payable to the Adviser.</w:t>
      </w:r>
    </w:p>
    <w:p>
      <w:pPr>
        <w:spacing w:after="0" w:line="167"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Incentive Fees related to pre-Incentive Fee net investment income increased from $38.4 million for the nine months ended September 30, 2024 to $62.6 million for the nine months ended September 30, 2025. This increase resulted from an increase in the portfolio size for the nine months ended September 30, 2025. For the nine months ended September 30, 2025 and 2024, $(3.8) million and $9.2 million were accrued related to Capital Gains Fees, respectively. As of September 30, 2025, these accrued Incentive Fees are not contractually payable to the Adviser.</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Organizational and Offering Expense</w:t>
      </w:r>
    </w:p>
    <w:p>
      <w:pPr>
        <w:spacing w:after="0" w:line="190"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For the three months ended September 30, 2024, organizational and offering expenses were $0.3 million. For the three months ended September 30, 2025, there were no organizational and offering expenses.</w:t>
      </w:r>
    </w:p>
    <w:p>
      <w:pPr>
        <w:spacing w:after="0" w:line="155"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For the nine months ended September 30, 2024, organizational and offering expenses were $1.2 million. For the nine months ended September 30, 2025, there were no organizational and offering expenses. We will not bear more than an amount equal to 0.10% of the aggregate capital commitments for organizational and offering expenses in connection with the offering of our Common Shares.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Professional Fees and Other General and Administrative Expenses</w:t>
      </w:r>
    </w:p>
    <w:p>
      <w:pPr>
        <w:spacing w:after="0" w:line="188" w:lineRule="exact"/>
        <w:rPr>
          <w:sz w:val="20"/>
          <w:szCs w:val="20"/>
          <w:color w:val="auto"/>
        </w:rPr>
      </w:pPr>
    </w:p>
    <w:p>
      <w:pPr>
        <w:ind w:right="40" w:firstLine="228"/>
        <w:spacing w:after="0" w:line="299" w:lineRule="auto"/>
        <w:rPr>
          <w:sz w:val="20"/>
          <w:szCs w:val="20"/>
          <w:color w:val="auto"/>
        </w:rPr>
      </w:pPr>
      <w:r>
        <w:rPr>
          <w:rFonts w:ascii="Times New Roman" w:cs="Times New Roman" w:eastAsia="Times New Roman" w:hAnsi="Times New Roman"/>
          <w:sz w:val="14"/>
          <w:szCs w:val="14"/>
          <w:color w:val="auto"/>
        </w:rPr>
        <w:t>Professional fees increased from $1.5 million for the three months ended September 30, 2024 to $1.7 million for the three months ended September 30, 2025. Trustees Fees increased from $0.1 million for the three months ended September 30, 2024 to $0.2 million for the three months ended September 30, 2025. Other general and administrative expenses increased from $1.3 million for the three months ended September 30, 2024 to $1.8 million for the three months ended September 30, 2025.</w:t>
      </w:r>
    </w:p>
    <w:p>
      <w:pPr>
        <w:spacing w:after="0" w:line="131"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Professional fees increased from $3.9 million for the nine months ended September 30, 2024 to $5.9 million for the nine months ended September 30, 2025. Trustees Fees increased from $0.4 million for the nine months ended September 30, 2024 to $0.5 for the nine months ended September 30, 2025. Other general and administrative expenses increased from $4.0 million for the nine months ended September 30, 2024 to $5.0 million for the nine months ended September 30, 2025.</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 Including Excise Taxes</w:t>
      </w:r>
    </w:p>
    <w:p>
      <w:pPr>
        <w:spacing w:after="0" w:line="192" w:lineRule="exact"/>
        <w:rPr>
          <w:sz w:val="20"/>
          <w:szCs w:val="20"/>
          <w:color w:val="auto"/>
        </w:rPr>
      </w:pPr>
    </w:p>
    <w:p>
      <w:pPr>
        <w:jc w:val="both"/>
        <w:ind w:right="40" w:firstLine="228"/>
        <w:spacing w:after="0" w:line="243" w:lineRule="auto"/>
        <w:rPr>
          <w:sz w:val="20"/>
          <w:szCs w:val="20"/>
          <w:color w:val="auto"/>
        </w:rPr>
      </w:pPr>
      <w:r>
        <w:rPr>
          <w:rFonts w:ascii="Times New Roman" w:cs="Times New Roman" w:eastAsia="Times New Roman" w:hAnsi="Times New Roman"/>
          <w:sz w:val="16"/>
          <w:szCs w:val="16"/>
          <w:color w:val="auto"/>
        </w:rPr>
        <w:t>We elected to be treated as a RIC under Subchapter M of the Code, and we operate in a manner so as to continue to qualify for the tax treatment applicable to RICs. To qualify as a RIC, we must, among other things, distribute to our shareholders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shareholders, which generally relieve us from corporate-level U.S. federal income taxes.</w:t>
      </w:r>
    </w:p>
    <w:p>
      <w:pPr>
        <w:spacing w:after="0" w:line="167"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67"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For the three and nine months ended September 30, 2025, we recorded no net expense and a net expense of less than $0.1 million, respectively, for U.S. federal excise tax and other taxes. For the three and nine months ended September 30, 2024, we recorded no net expense and a net expense of $2.2 million, respectively, for U.S. federal excise tax and other taxes.</w:t>
      </w:r>
    </w:p>
    <w:p>
      <w:pPr>
        <w:spacing w:after="0" w:line="164"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For both the three and nine months ended September 30, 2025, we recorded no provision pertaining to net unrealized gains from our investments. For both the three and nine months ended September 30, 2025, we recognized a tax provision of $1.1 million</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7" w:name="page58"/>
    <w:bookmarkEnd w:id="57"/>
    <w:p>
      <w:pPr>
        <w:spacing w:after="0" w:line="113" w:lineRule="exact"/>
        <w:rPr>
          <w:sz w:val="20"/>
          <w:szCs w:val="20"/>
          <w:color w:val="auto"/>
        </w:rPr>
      </w:pPr>
    </w:p>
    <w:p>
      <w:pPr>
        <w:ind w:right="700"/>
        <w:spacing w:after="0" w:line="259" w:lineRule="auto"/>
        <w:rPr>
          <w:sz w:val="20"/>
          <w:szCs w:val="20"/>
          <w:color w:val="auto"/>
        </w:rPr>
      </w:pPr>
      <w:r>
        <w:rPr>
          <w:rFonts w:ascii="Times New Roman" w:cs="Times New Roman" w:eastAsia="Times New Roman" w:hAnsi="Times New Roman"/>
          <w:sz w:val="16"/>
          <w:szCs w:val="16"/>
          <w:color w:val="auto"/>
        </w:rPr>
        <w:t>pertaining to net realized gains from one of our investments. For both the three and nine months ended September 30, 2024, we recorded no tax provision and recognized no tax expense.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Realized and Unrealized Gains and Losses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table summarizes our net realized and unrealized gains (losses) for the three and nine months ended September 30, 2025 and September 30, 2024:</w:t>
      </w:r>
    </w:p>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6"/>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5"/>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6"/>
        </w:trPr>
        <w:tc>
          <w:tcPr>
            <w:tcW w:w="50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10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0" w:type="dxa"/>
            <w:vAlign w:val="bottom"/>
          </w:tcPr>
          <w:p>
            <w:pPr>
              <w:spacing w:after="0"/>
              <w:rPr>
                <w:sz w:val="1"/>
                <w:szCs w:val="1"/>
                <w:color w:val="auto"/>
              </w:rPr>
            </w:pPr>
          </w:p>
        </w:tc>
      </w:tr>
      <w:tr>
        <w:trPr>
          <w:trHeight w:val="170"/>
        </w:trPr>
        <w:tc>
          <w:tcPr>
            <w:tcW w:w="5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 on investments</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realized gains (losses) on foreign currency investments </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15"/>
                <w:szCs w:val="15"/>
                <w:color w:val="auto"/>
              </w:rPr>
            </w:pPr>
          </w:p>
        </w:tc>
        <w:tc>
          <w:tcPr>
            <w:tcW w:w="11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80" w:type="dxa"/>
            <w:vAlign w:val="bottom"/>
          </w:tcPr>
          <w:p>
            <w:pPr>
              <w:spacing w:after="0"/>
              <w:rPr>
                <w:sz w:val="15"/>
                <w:szCs w:val="15"/>
                <w:color w:val="auto"/>
              </w:rPr>
            </w:pPr>
          </w:p>
        </w:tc>
        <w:tc>
          <w:tcPr>
            <w:tcW w:w="9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180"/>
        </w:trPr>
        <w:tc>
          <w:tcPr>
            <w:tcW w:w="5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realized gains (losses) on foreign currency transactions </w:t>
            </w:r>
            <w:r>
              <w:rPr>
                <w:rFonts w:ascii="Times New Roman" w:cs="Times New Roman" w:eastAsia="Times New Roman" w:hAnsi="Times New Roman"/>
                <w:sz w:val="20"/>
                <w:szCs w:val="20"/>
                <w:color w:val="auto"/>
                <w:vertAlign w:val="superscript"/>
              </w:rPr>
              <w:t>(2)(3)</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 on foreign currency borrowings</w:t>
            </w:r>
          </w:p>
        </w:tc>
        <w:tc>
          <w:tcPr>
            <w:tcW w:w="1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5"/>
                <w:szCs w:val="15"/>
                <w:color w:val="auto"/>
              </w:rPr>
            </w:pPr>
          </w:p>
        </w:tc>
        <w:tc>
          <w:tcPr>
            <w:tcW w:w="9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80"/>
        </w:trPr>
        <w:tc>
          <w:tcPr>
            <w:tcW w:w="5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Income tax provision on net realized gains (losses)</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0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Net Realized Gains (Losses) </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0.8</w:t>
            </w:r>
          </w:p>
        </w:tc>
        <w:tc>
          <w:tcPr>
            <w:tcW w:w="18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1"/>
                <w:szCs w:val="11"/>
                <w:color w:val="auto"/>
              </w:rPr>
              <w:t>(0.0</w:t>
            </w:r>
            <w:r>
              <w:rPr>
                <w:rFonts w:ascii="Times New Roman" w:cs="Times New Roman" w:eastAsia="Times New Roman" w:hAnsi="Times New Roman"/>
                <w:sz w:val="18"/>
                <w:szCs w:val="18"/>
                <w:color w:val="auto"/>
                <w:vertAlign w:val="subscript"/>
              </w:rPr>
              <w:t>)</w:t>
            </w:r>
          </w:p>
        </w:tc>
        <w:tc>
          <w:tcPr>
            <w:tcW w:w="18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1"/>
                <w:szCs w:val="11"/>
                <w:color w:val="auto"/>
              </w:rPr>
              <w:t>(1.7</w:t>
            </w:r>
            <w:r>
              <w:rPr>
                <w:rFonts w:ascii="Times New Roman" w:cs="Times New Roman" w:eastAsia="Times New Roman" w:hAnsi="Times New Roman"/>
                <w:sz w:val="18"/>
                <w:szCs w:val="18"/>
                <w:color w:val="auto"/>
                <w:vertAlign w:val="subscript"/>
              </w:rPr>
              <w:t>)</w:t>
            </w:r>
          </w:p>
        </w:tc>
        <w:tc>
          <w:tcPr>
            <w:tcW w:w="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spacing w:after="0"/>
              <w:rPr>
                <w:sz w:val="13"/>
                <w:szCs w:val="13"/>
                <w:color w:val="auto"/>
              </w:rPr>
            </w:pPr>
          </w:p>
        </w:tc>
        <w:tc>
          <w:tcPr>
            <w:tcW w:w="1160" w:type="dxa"/>
            <w:vAlign w:val="bottom"/>
            <w:gridSpan w:val="2"/>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Change in unrealized gains on investments</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15"/>
                <w:szCs w:val="15"/>
                <w:color w:val="auto"/>
              </w:rPr>
            </w:pPr>
          </w:p>
        </w:tc>
        <w:tc>
          <w:tcPr>
            <w:tcW w:w="1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62.5</w:t>
            </w:r>
          </w:p>
        </w:tc>
        <w:tc>
          <w:tcPr>
            <w:tcW w:w="140" w:type="dxa"/>
            <w:vAlign w:val="bottom"/>
          </w:tcPr>
          <w:p>
            <w:pPr>
              <w:spacing w:after="0"/>
              <w:rPr>
                <w:sz w:val="15"/>
                <w:szCs w:val="15"/>
                <w:color w:val="auto"/>
              </w:rPr>
            </w:pPr>
          </w:p>
        </w:tc>
        <w:tc>
          <w:tcPr>
            <w:tcW w:w="1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207.1</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101.5</w:t>
            </w:r>
          </w:p>
        </w:tc>
        <w:tc>
          <w:tcPr>
            <w:tcW w:w="0" w:type="dxa"/>
            <w:vAlign w:val="bottom"/>
          </w:tcPr>
          <w:p>
            <w:pPr>
              <w:spacing w:after="0"/>
              <w:rPr>
                <w:sz w:val="1"/>
                <w:szCs w:val="1"/>
                <w:color w:val="auto"/>
              </w:rPr>
            </w:pPr>
          </w:p>
        </w:tc>
      </w:tr>
      <w:tr>
        <w:trPr>
          <w:trHeight w:val="144"/>
        </w:trPr>
        <w:tc>
          <w:tcPr>
            <w:tcW w:w="50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color w:val="auto"/>
              </w:rPr>
              <w:t>Change in unrealized (losses) on investments</w:t>
            </w:r>
          </w:p>
        </w:tc>
        <w:tc>
          <w:tcPr>
            <w:tcW w:w="1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line="144" w:lineRule="exact"/>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(87.5)</w:t>
            </w:r>
          </w:p>
        </w:tc>
        <w:tc>
          <w:tcPr>
            <w:tcW w:w="8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192"/>
        </w:trPr>
        <w:tc>
          <w:tcPr>
            <w:tcW w:w="5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508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Change in Unrealized Gains (Losses) on</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40" w:type="dxa"/>
            <w:vAlign w:val="bottom"/>
          </w:tcPr>
          <w:p>
            <w:pPr>
              <w:spacing w:after="0"/>
              <w:rPr>
                <w:sz w:val="16"/>
                <w:szCs w:val="16"/>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119.6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Unrealized gains (losses) on foreign currency borrowings</w:t>
            </w:r>
          </w:p>
        </w:tc>
        <w:tc>
          <w:tcPr>
            <w:tcW w:w="100" w:type="dxa"/>
            <w:vAlign w:val="bottom"/>
          </w:tcPr>
          <w:p>
            <w:pPr>
              <w:spacing w:after="0"/>
              <w:rPr>
                <w:sz w:val="15"/>
                <w:szCs w:val="15"/>
                <w:color w:val="auto"/>
              </w:rPr>
            </w:pPr>
          </w:p>
        </w:tc>
        <w:tc>
          <w:tcPr>
            <w:tcW w:w="11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(137.4)</w:t>
            </w:r>
          </w:p>
        </w:tc>
        <w:tc>
          <w:tcPr>
            <w:tcW w:w="80" w:type="dxa"/>
            <w:vAlign w:val="bottom"/>
          </w:tcPr>
          <w:p>
            <w:pPr>
              <w:spacing w:after="0"/>
              <w:rPr>
                <w:sz w:val="15"/>
                <w:szCs w:val="15"/>
                <w:color w:val="auto"/>
              </w:rPr>
            </w:pPr>
          </w:p>
        </w:tc>
        <w:tc>
          <w:tcPr>
            <w:tcW w:w="9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180"/>
        </w:trPr>
        <w:tc>
          <w:tcPr>
            <w:tcW w:w="50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Unrealized gains (losses) on foreign currency transactions </w:t>
            </w:r>
            <w:r>
              <w:rPr>
                <w:rFonts w:ascii="Times New Roman" w:cs="Times New Roman" w:eastAsia="Times New Roman" w:hAnsi="Times New Roman"/>
                <w:sz w:val="20"/>
                <w:szCs w:val="20"/>
                <w:color w:val="auto"/>
                <w:vertAlign w:val="superscript"/>
              </w:rPr>
              <w:t>(2)(3)</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80"/>
        </w:trPr>
        <w:tc>
          <w:tcPr>
            <w:tcW w:w="50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provision on unrealized gains (losses)</w:t>
            </w:r>
          </w:p>
        </w:tc>
        <w:tc>
          <w:tcPr>
            <w:tcW w:w="100" w:type="dxa"/>
            <w:vAlign w:val="bottom"/>
          </w:tcPr>
          <w:p>
            <w:pPr>
              <w:spacing w:after="0"/>
              <w:rPr>
                <w:sz w:val="15"/>
                <w:szCs w:val="15"/>
                <w:color w:val="auto"/>
              </w:rPr>
            </w:pPr>
          </w:p>
        </w:tc>
        <w:tc>
          <w:tcPr>
            <w:tcW w:w="11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508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Change in Unrealized Gains (Losses) on Foreign</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Currency Transactions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(30.0)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(135.7)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180"/>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1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08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Net Change in Unrealized Gains (Losses)</w:t>
            </w:r>
          </w:p>
        </w:tc>
        <w:tc>
          <w:tcPr>
            <w:tcW w:w="1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1"/>
                <w:szCs w:val="11"/>
                <w:color w:val="auto"/>
              </w:rPr>
              <w:t>(5.0</w:t>
            </w:r>
            <w:r>
              <w:rPr>
                <w:rFonts w:ascii="Times New Roman" w:cs="Times New Roman" w:eastAsia="Times New Roman" w:hAnsi="Times New Roman"/>
                <w:sz w:val="18"/>
                <w:szCs w:val="18"/>
                <w:color w:val="auto"/>
                <w:vertAlign w:val="subscript"/>
              </w:rPr>
              <w:t>)</w:t>
            </w:r>
          </w:p>
        </w:tc>
        <w:tc>
          <w:tcPr>
            <w:tcW w:w="18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26.1</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1"/>
                <w:szCs w:val="11"/>
                <w:color w:val="auto"/>
              </w:rPr>
              <w:t>(16.1</w:t>
            </w:r>
            <w:r>
              <w:rPr>
                <w:rFonts w:ascii="Times New Roman" w:cs="Times New Roman" w:eastAsia="Times New Roman" w:hAnsi="Times New Roman"/>
                <w:sz w:val="18"/>
                <w:szCs w:val="18"/>
                <w:color w:val="auto"/>
                <w:vertAlign w:val="subscript"/>
              </w:rPr>
              <w:t>)</w:t>
            </w:r>
          </w:p>
        </w:tc>
        <w:tc>
          <w:tcPr>
            <w:tcW w:w="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65.6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(2)Amounts round to less than $0.1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(3)Includes foreign exchange hedging activity.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For the three and nine months ended September 30, 2025, we had net realized gains on investments of $6.2 million and $15.1 million, respectively. For the three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nine months ended September 30, 2024, we had a net realized gains on investments of $0.1 million and $3.7 million, respectively. For both the three and nine months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ended September 30, 2025, we had net realized gains on foreign currency investments of less than $0.1 million. For the three and nine months ended September 30,</w:t>
      </w:r>
    </w:p>
    <w:p>
      <w:pPr>
        <w:spacing w:after="0"/>
        <w:rPr>
          <w:sz w:val="20"/>
          <w:szCs w:val="20"/>
          <w:color w:val="auto"/>
        </w:rPr>
      </w:pPr>
      <w:r>
        <w:rPr>
          <w:rFonts w:ascii="Times New Roman" w:cs="Times New Roman" w:eastAsia="Times New Roman" w:hAnsi="Times New Roman"/>
          <w:sz w:val="14"/>
          <w:szCs w:val="14"/>
          <w:color w:val="auto"/>
        </w:rPr>
        <w:t>2024, we had net realized gains on foreign currency investments of less than $0.1 million and $0.8 million, respectively. For the three and nine months ended September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 2025, we had net realized losses of $4.2 million and $15.0 million, respectively, on foreign currency transactions, primarily as a result of translating foreign currency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related to our non-USD denominated investments. For the three and nine months ended September 30, 2024, we had net realized losses of less than $0.1 million and net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realized gains of $0.2 million, respectively, on foreign currency transactions. For the three and nine months ended September 30, 2025, we had net realized losses of</w:t>
      </w:r>
    </w:p>
    <w:p>
      <w:pPr>
        <w:spacing w:after="0"/>
        <w:rPr>
          <w:sz w:val="20"/>
          <w:szCs w:val="20"/>
          <w:color w:val="auto"/>
        </w:rPr>
      </w:pPr>
      <w:r>
        <w:rPr>
          <w:rFonts w:ascii="Times New Roman" w:cs="Times New Roman" w:eastAsia="Times New Roman" w:hAnsi="Times New Roman"/>
          <w:sz w:val="14"/>
          <w:szCs w:val="14"/>
          <w:color w:val="auto"/>
        </w:rPr>
        <w:t>$0.1 million and $0.8 million, respectively, on foreign currency borrowings. For the three and nine months ended September 30, 2024, we had a net realized losses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$0.1 million and net realized gains of $2.2 million, respectively, on foreign currency borrowings. For both the three and nine months ended September 30, 2025, we had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realized losses of $1.1 million related to tax expense.</w:t>
      </w:r>
    </w:p>
    <w:p>
      <w:pPr>
        <w:spacing w:after="0" w:line="170"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For the three months ended September 30, 2025, we had $25.6 million in unrealized gains on 29 portfolio company investments, which was offset by $44.9 million in unrealized losses on 46 portfolio company investments. Unrealized gains primarily resulted from tightening credit spreads and positive portfolio company specific developments. Unrealized losses primarily resulted from the reversal of prior period unrealized gains due to the realization of investments, fluctuations in GBP exchange rates, widening credit spreads and negative portfolio company specific developments. For the nine months ended September 30, 2025, we had $207.1 million in unrealized gains on 51 portfolio company investments, which was offset by $87.5 million in unrealized losses on 32 portfolio</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8" w:name="page59"/>
    <w:bookmarkEnd w:id="58"/>
    <w:p>
      <w:pPr>
        <w:spacing w:after="0" w:line="113"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6"/>
          <w:szCs w:val="16"/>
          <w:color w:val="auto"/>
        </w:rPr>
        <w:t>company investments. Unrealized gains primarily resulted from fluctuations in GBP, EUR, CAD, and SEK exchange rates, tightening credit spreads and positive portfolio company specific developments. Unrealized losses primarily resulted from the reversal of prior period unrealized gains due to the realization of investments and negative portfolio company specific developments.</w:t>
      </w:r>
    </w:p>
    <w:p>
      <w:pPr>
        <w:spacing w:after="0" w:line="164"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For the three months ended September 30, 2024, we had $62.5 million in unrealized gains on 49 portfolio company investments, which was offset by $6.4 million in unrealized losses on 12 portfolio company investments. Unrealized gains primarily resulted from tightening credit spreads and positive portfolio company specific developments. Unrealized losses primarily resulted from negative portfolio company specific developments. For the nine months ended September 30, 2024, we had $101.5 million in unrealized gains on 54 portfolio company investments, which was offset by $10.9 million in unrealized losses on 8 portfolio company investments. Unrealized gains primarily resulted from tightening credit spreads and positive portfolio company specific developments. Unrealized losses primarily resulted from negative portfolio company specific developments.</w:t>
      </w:r>
    </w:p>
    <w:p>
      <w:pPr>
        <w:spacing w:after="0" w:line="173" w:lineRule="exact"/>
        <w:rPr>
          <w:sz w:val="20"/>
          <w:szCs w:val="20"/>
          <w:color w:val="auto"/>
        </w:rPr>
      </w:pPr>
    </w:p>
    <w:p>
      <w:pPr>
        <w:ind w:right="20" w:firstLine="228"/>
        <w:spacing w:after="0" w:line="280" w:lineRule="auto"/>
        <w:rPr>
          <w:sz w:val="20"/>
          <w:szCs w:val="20"/>
          <w:color w:val="auto"/>
        </w:rPr>
      </w:pPr>
      <w:r>
        <w:rPr>
          <w:rFonts w:ascii="Times New Roman" w:cs="Times New Roman" w:eastAsia="Times New Roman" w:hAnsi="Times New Roman"/>
          <w:sz w:val="14"/>
          <w:szCs w:val="14"/>
          <w:color w:val="auto"/>
        </w:rPr>
        <w:t>For the three and nine months ended September 30, 2025, we had unrealized gains of $6.0 million and unrealized losses of $137.4 million, respectively, on foreign currency borrowings, primarily as a result of fluctuations in the GBP, EUR, and SEK exchange rates. For the three and nine months ended September 30, 2024, we had $30.0 million and $25.0 million, respectively, in unrealized losses on foreign currency borrowings, primarily as a result of fluctuations in GBP, EUR, and SEK exchange rates. For the three and nine months ended September 30, 2025, we had $7.4 million and $1.7 million, respectively, in unrealized gains on foreign currency transactions. For both the three and nine months ended September 30, 2024, we had less than $0.1 million in unrealized losses on foreign currency transactions. For the three and nine months ended September 30, 2025, we had unrealized gains of $0.8 million and no unrealized gains or losses, respectively, related to a deferred tax benefit.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Realized Gross Internal Rate of Return</w:t>
      </w:r>
    </w:p>
    <w:p>
      <w:pPr>
        <w:spacing w:after="0" w:line="192" w:lineRule="exact"/>
        <w:rPr>
          <w:sz w:val="20"/>
          <w:szCs w:val="20"/>
          <w:color w:val="auto"/>
        </w:rPr>
      </w:pPr>
    </w:p>
    <w:p>
      <w:pPr>
        <w:jc w:val="both"/>
        <w:ind w:right="460" w:firstLine="228"/>
        <w:spacing w:after="0" w:line="247" w:lineRule="auto"/>
        <w:rPr>
          <w:sz w:val="20"/>
          <w:szCs w:val="20"/>
          <w:color w:val="auto"/>
        </w:rPr>
      </w:pPr>
      <w:r>
        <w:rPr>
          <w:rFonts w:ascii="Times New Roman" w:cs="Times New Roman" w:eastAsia="Times New Roman" w:hAnsi="Times New Roman"/>
          <w:sz w:val="16"/>
          <w:szCs w:val="16"/>
          <w:color w:val="auto"/>
        </w:rPr>
        <w:t>Since we began investing in 2022 through September 30, 2025, weighted by capital invested, our exited investments have generated an average realized gross internal rate of return to us of 20.0% (based on total capital invested of $1.7 billion and total proceeds from these exited investments of $2.2 billion). One hundred percent of these exited investments resulted in a realized gross internal rate of return to us of 10% or greater.</w:t>
      </w:r>
    </w:p>
    <w:p>
      <w:pPr>
        <w:spacing w:after="0" w:line="164" w:lineRule="exact"/>
        <w:rPr>
          <w:sz w:val="20"/>
          <w:szCs w:val="20"/>
          <w:color w:val="auto"/>
        </w:rPr>
      </w:pPr>
    </w:p>
    <w:p>
      <w:pPr>
        <w:jc w:val="both"/>
        <w:ind w:right="160" w:firstLine="228"/>
        <w:spacing w:after="0" w:line="247" w:lineRule="auto"/>
        <w:rPr>
          <w:sz w:val="20"/>
          <w:szCs w:val="20"/>
          <w:color w:val="auto"/>
        </w:rPr>
      </w:pPr>
      <w:r>
        <w:rPr>
          <w:rFonts w:ascii="Times New Roman" w:cs="Times New Roman" w:eastAsia="Times New Roman" w:hAnsi="Times New Roman"/>
          <w:sz w:val="16"/>
          <w:szCs w:val="16"/>
          <w:color w:val="auto"/>
        </w:rPr>
        <w:t>Gross IRR, with respect to an investment, is calculated based on the dates that we invested capital and dates we received distributions, regardless of when we made distributions to our shareholders. Initial investments are assumed to occur at time zero, and all cash flows are deemed to occur on the fifteenth of each month in which they occur.</w:t>
      </w:r>
    </w:p>
    <w:p>
      <w:pPr>
        <w:spacing w:after="0" w:line="164"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shareholders, and would be lower if it did.</w:t>
      </w:r>
    </w:p>
    <w:p>
      <w:pPr>
        <w:spacing w:after="0" w:line="155"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Average gross IRR is the average of the gross IRR for each of our exited investments (each calculated as described above), weighted by the total capital invested for each of those investments.</w:t>
      </w:r>
    </w:p>
    <w:p>
      <w:pPr>
        <w:spacing w:after="0" w:line="155"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Average gross IRR on our exited investments reflects only invested and realized cash amounts as described above, and does not reflect any unrealized gains or losses in our portfolio.</w:t>
      </w:r>
    </w:p>
    <w:p>
      <w:pPr>
        <w:spacing w:after="0" w:line="155"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4"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64"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and Foreign Currency Hedging</w:t>
      </w:r>
    </w:p>
    <w:p>
      <w:pPr>
        <w:spacing w:after="0" w:line="96"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We use interest rate swaps to hedge our fixed rate debt and certain fixed rate investments. We have designated certain interest rate swaps to be in a hedge accounting relationship. See Note 2 for additional disclosure regarding our accounting for derivative</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9" w:name="page60"/>
    <w:bookmarkEnd w:id="59"/>
    <w:p>
      <w:pPr>
        <w:spacing w:after="0" w:line="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instruments designated in a hedge accounting relationship. See Note 5 for additional disclosure regarding these derivative instruments and the interest payments paid and received. See Note 7 for additional disclosure regarding the carrying value of our debt.</w:t>
      </w:r>
    </w:p>
    <w:p>
      <w:pPr>
        <w:spacing w:after="0" w:line="59" w:lineRule="exact"/>
        <w:rPr>
          <w:sz w:val="20"/>
          <w:szCs w:val="20"/>
          <w:color w:val="auto"/>
        </w:rPr>
      </w:pPr>
    </w:p>
    <w:p>
      <w:pPr>
        <w:ind w:right="40" w:firstLine="267"/>
        <w:spacing w:after="0" w:line="238" w:lineRule="auto"/>
        <w:rPr>
          <w:sz w:val="20"/>
          <w:szCs w:val="20"/>
          <w:color w:val="auto"/>
        </w:rPr>
      </w:pPr>
      <w:r>
        <w:rPr>
          <w:rFonts w:ascii="Times New Roman" w:cs="Times New Roman" w:eastAsia="Times New Roman" w:hAnsi="Times New Roman"/>
          <w:sz w:val="16"/>
          <w:szCs w:val="16"/>
          <w:color w:val="auto"/>
        </w:rPr>
        <w:t>Our current approach to hedging the foreign currency exposure in our non-U.S. dollar denominated investments is primarily to borrow the par amount in local currency under our Credit Facilities to fund these investments. For the three and nine months ended September 30, 2025, we had unrealized gains of $6.0 million and unrealized losses of $137.4 million, respectively, on the translation of our non-U.S. dollar denominated debt into U.S. dollars; such amounts approximate the corresponding unrealized losses on the translation of our non-U.S. dollar denominated investments into U.S. dollars for the three and nine months ended September 30, 2025. For the three and nine months ended September 30, 2024, we had $30.0 million and $25.0 million, respectively, of unrealized losses on the translation of our non-U.S. dollar denominated debt into U.S. dollars; such amounts approximate the corresponding unrealized gains on the translation of our non-U.S. dollar denominated investments into U.S. dollars for the three and nine months ended September 30, 2024. See Note 2 for additional disclosure regarding our accounting for foreign currency. See our Consolidated Schedule of Investments for additional disclosure regarding the foreign currency amounts (in both par and fair value) of our non-U.S. dollar denominated investments.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liquidity and capital resources are derived primarily from proceeds from equity issuances, advances from our Credit Facilities, and cash flows from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primary uses of our cash and cash equivalents are:</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in portfolio companies and other investments and to comply with certain portfolio diversification requirements;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cost of operations (including paying our Adviser);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repayment, and other financing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•cash dividends to the holders of our shares.</w:t>
      </w:r>
    </w:p>
    <w:p>
      <w:pPr>
        <w:spacing w:after="0" w:line="188" w:lineRule="exact"/>
        <w:rPr>
          <w:sz w:val="20"/>
          <w:szCs w:val="20"/>
          <w:color w:val="auto"/>
        </w:rPr>
      </w:pPr>
    </w:p>
    <w:p>
      <w:pPr>
        <w:ind w:right="60" w:firstLine="228"/>
        <w:spacing w:after="0" w:line="238" w:lineRule="auto"/>
        <w:rPr>
          <w:sz w:val="20"/>
          <w:szCs w:val="20"/>
          <w:color w:val="auto"/>
        </w:rPr>
      </w:pPr>
      <w:r>
        <w:rPr>
          <w:rFonts w:ascii="Times New Roman" w:cs="Times New Roman" w:eastAsia="Times New Roman" w:hAnsi="Times New Roman"/>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shares if immediately after the borrowing or issuance our ratio of total assets (less total liabilities other than indebtedness) to total indebtedness plus preferred shares, is at least 150%. For more information, see “</w:t>
      </w:r>
      <w:r>
        <w:rPr>
          <w:rFonts w:ascii="Times New Roman" w:cs="Times New Roman" w:eastAsia="Times New Roman" w:hAnsi="Times New Roman"/>
          <w:sz w:val="16"/>
          <w:szCs w:val="16"/>
          <w:i w:val="1"/>
          <w:iCs w:val="1"/>
          <w:color w:val="auto"/>
        </w:rPr>
        <w:t>Key Components of Our Results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Operations —Leverage</w:t>
      </w:r>
      <w:r>
        <w:rPr>
          <w:rFonts w:ascii="Times New Roman" w:cs="Times New Roman" w:eastAsia="Times New Roman" w:hAnsi="Times New Roman"/>
          <w:sz w:val="16"/>
          <w:szCs w:val="16"/>
          <w:color w:val="auto"/>
        </w:rPr>
        <w:t>” above. As of September 30, 2025 and December 31, 2024, our asset coverage ratio was 192.4% and 193.0%, respectively. We carefully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70" w:lineRule="exact"/>
        <w:rPr>
          <w:sz w:val="20"/>
          <w:szCs w:val="20"/>
          <w:color w:val="auto"/>
        </w:rPr>
      </w:pPr>
    </w:p>
    <w:p>
      <w:pPr>
        <w:ind w:right="140" w:firstLine="228"/>
        <w:spacing w:after="0" w:line="299" w:lineRule="auto"/>
        <w:rPr>
          <w:sz w:val="20"/>
          <w:szCs w:val="20"/>
          <w:color w:val="auto"/>
        </w:rPr>
      </w:pPr>
      <w:r>
        <w:rPr>
          <w:rFonts w:ascii="Times New Roman" w:cs="Times New Roman" w:eastAsia="Times New Roman" w:hAnsi="Times New Roman"/>
          <w:sz w:val="14"/>
          <w:szCs w:val="14"/>
          <w:color w:val="auto"/>
        </w:rPr>
        <w:t>Cash and cash equivalents as of September 30, 2025, taken together with cash available under our Credit Facilities, and cash available from undrawn Capital Commitments, is expected to be sufficient for our investing activities and to conduct our operations in the near term. As of September 30, 2025, we had approximately $439.5 million and $147.4 million of availability on our Subscription Facility and Revolving Credit Facility, respectively, subject to asset coverage limitations.</w:t>
      </w:r>
    </w:p>
    <w:p>
      <w:pPr>
        <w:spacing w:after="0" w:line="131"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As of September 30, 2025, we had $1,284.6 million in cash and cash equivalents, including $106.8 million of restricted cash. For the nine months ended September 30, 2025, cash provided by operating activities was $100.1 million, primarily attributable to repayments and proceeds from investments of $1,802.3 million and an increase in net assets resulting from operations of $424.4 million, which was partially offset by funding portfolio investments of $2,047.7 million and other net operating activities of $78.9 million. Cash used in financing activities was $13.6 million during the period due to paydowns on debt of $2,652.1 million and other financing activities of $178.7 million, which were partially offset by borrowings of $2,817.2 million.</w:t>
      </w:r>
    </w:p>
    <w:p>
      <w:pPr>
        <w:spacing w:after="0" w:line="169"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As of September 30, 2024, we had $514.2 million in cash and cash equivalents, including $41.9 million of restricted cash. For the nine months ended September 30, 2024, cash used in operating activities was $2,686.0 million, primarily attributable to funding portfolio investments of $3,256.1 million and other net operating activities of $324.6 million which was offset by repayments and proceeds from investments of $562.4 million and an increase in net assets resulting from operations of $332.3 million. Cash provided by financing activities was $3,191.4 million during the period due to borrowings of $6,283.8 million and proceeds from the capital calls of $1,049.7 million, which were partially offset by paydowns on debt of $4,026.5 million and other financing activities of $115.6 million.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0" w:name="page61"/>
    <w:bookmarkEnd w:id="60"/>
    <w:p>
      <w:pPr>
        <w:spacing w:after="0" w:line="113"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4"/>
          <w:szCs w:val="14"/>
          <w:color w:val="auto"/>
        </w:rPr>
        <w:t>We have entered into subscription agreements (the “Subscription Agreements”) with investors providing for the private placement of our Common Shares. Under the terms of the Subscription Agreements, investors are required to fund drawdowns to purchase our Common Shares up to the amount of their respective Capital Commitment on an as-needed basis each time we deliver a drawdown notice to our investors. As of September 30, 2025, we had received Capital Commitments totaling $7.4 billion ($3.7 billion remaining undrawn). As of December 31, 2024, we had received Capital Commitments totaling $7.4 billion ($3.7 billion remaining undrawn).</w:t>
      </w:r>
    </w:p>
    <w:p>
      <w:pPr>
        <w:spacing w:after="0" w:line="41"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There were no Common Shares issued and proceeds received related to the Company's capital drawdowns delivered pursuant to the Subscription Agreements for the nine months ended September 30, 2025. The following table summarizes the total Common Shares issued and proceeds received related to the Company’s capital drawdowns delivered for the nine months ended September 30, 2024:</w:t>
      </w:r>
    </w:p>
    <w:p>
      <w:pPr>
        <w:spacing w:after="0" w:line="176" w:lineRule="exact"/>
        <w:rPr>
          <w:sz w:val="20"/>
          <w:szCs w:val="20"/>
          <w:color w:val="auto"/>
        </w:rPr>
      </w:pPr>
    </w:p>
    <w:tbl>
      <w:tblPr>
        <w:tblLayout w:type="fixed"/>
        <w:tblInd w:w="1280" w:type="dxa"/>
        <w:tblCellMar>
          <w:top w:w="0" w:type="dxa"/>
          <w:left w:w="0" w:type="dxa"/>
          <w:bottom w:w="0" w:type="dxa"/>
          <w:right w:w="0" w:type="dxa"/>
        </w:tblCellMar>
      </w:tblPr>
      <w:tr>
        <w:trPr>
          <w:trHeight w:val="156"/>
        </w:trPr>
        <w:tc>
          <w:tcPr>
            <w:tcW w:w="3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Proceeds Received</w:t>
            </w:r>
          </w:p>
        </w:tc>
      </w:tr>
      <w:tr>
        <w:trPr>
          <w:trHeight w:val="170"/>
        </w:trPr>
        <w:tc>
          <w:tcPr>
            <w:tcW w:w="3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Common Share Issuance Date</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Number of Common Shares Issued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 in millions)</w:t>
            </w: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March 6, 2024</w:t>
            </w:r>
          </w:p>
        </w:tc>
        <w:tc>
          <w:tcPr>
            <w:tcW w:w="2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12,174,753</w:t>
            </w:r>
          </w:p>
        </w:tc>
        <w:tc>
          <w:tcPr>
            <w:tcW w:w="420" w:type="dxa"/>
            <w:vAlign w:val="bottom"/>
            <w:gridSpan w:val="2"/>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349.7</w:t>
            </w: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March 26, 2024</w:t>
            </w: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5,174,155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150.0</w:t>
            </w: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June 25, 2024</w:t>
            </w:r>
          </w:p>
        </w:tc>
        <w:tc>
          <w:tcPr>
            <w:tcW w:w="2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10,152,231</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300.0</w:t>
            </w: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September 24, 2024</w:t>
            </w:r>
          </w:p>
        </w:tc>
        <w:tc>
          <w:tcPr>
            <w:tcW w:w="2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8,280,854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250.0</w:t>
            </w:r>
          </w:p>
        </w:tc>
      </w:tr>
      <w:tr>
        <w:trPr>
          <w:trHeight w:val="220"/>
        </w:trPr>
        <w:tc>
          <w:tcPr>
            <w:tcW w:w="394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35,781,993</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1,049.7</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79"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During the nine months ended September 30, 2025, we issued 4,495,015 Common Shares to investors who have not opted out of our dividend reinvestment plan for proceeds of $130.7 million. During the nine months ended September 30, 2024, we issued 2,618,663 Common Shares to investors who have not opted out of our dividend reinvestment plan for proceeds of $74.5 million.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Subscription Facility</w:t>
      </w:r>
    </w:p>
    <w:p>
      <w:pPr>
        <w:spacing w:after="0" w:line="190" w:lineRule="exact"/>
        <w:rPr>
          <w:sz w:val="20"/>
          <w:szCs w:val="20"/>
          <w:color w:val="auto"/>
        </w:rPr>
      </w:pPr>
    </w:p>
    <w:p>
      <w:pPr>
        <w:ind w:right="220" w:firstLine="228"/>
        <w:spacing w:after="0" w:line="331" w:lineRule="auto"/>
        <w:rPr>
          <w:sz w:val="20"/>
          <w:szCs w:val="20"/>
          <w:color w:val="auto"/>
        </w:rPr>
      </w:pPr>
      <w:r>
        <w:rPr>
          <w:rFonts w:ascii="Times New Roman" w:cs="Times New Roman" w:eastAsia="Times New Roman" w:hAnsi="Times New Roman"/>
          <w:sz w:val="14"/>
          <w:szCs w:val="14"/>
          <w:color w:val="auto"/>
        </w:rPr>
        <w:t>On September 1, 2022, we entered into a revolving credit agreement (the “Subscription Facility”) with Wells Fargo Bank, National Association, as administrative agent (the “Administrative Agent”), letter of credit issuer, lead arranger, as a lender and aggregate commitments under the Subscription Facility were $400 million.</w:t>
      </w:r>
    </w:p>
    <w:p>
      <w:pPr>
        <w:spacing w:after="0" w:line="108" w:lineRule="exact"/>
        <w:rPr>
          <w:sz w:val="20"/>
          <w:szCs w:val="20"/>
          <w:color w:val="auto"/>
        </w:rPr>
      </w:pPr>
    </w:p>
    <w:p>
      <w:pPr>
        <w:ind w:right="20" w:firstLine="228"/>
        <w:spacing w:after="0" w:line="277" w:lineRule="auto"/>
        <w:rPr>
          <w:sz w:val="20"/>
          <w:szCs w:val="20"/>
          <w:color w:val="auto"/>
        </w:rPr>
      </w:pPr>
      <w:r>
        <w:rPr>
          <w:rFonts w:ascii="Times New Roman" w:cs="Times New Roman" w:eastAsia="Times New Roman" w:hAnsi="Times New Roman"/>
          <w:sz w:val="14"/>
          <w:szCs w:val="14"/>
          <w:color w:val="auto"/>
        </w:rPr>
        <w:t>Pursuant to an amendment to the Subscription Facility dated as of December 21, 2022 (the “Subscription Facility First Amendment”), the aggregate commitments under the Subscription Facility were upsized to $700 million. Pursuant to lender joinder agreements dated January 18, 2023 and January 27, 2023, the aggregate commitments under the Subscription Facility were upsized to $800 million and $ 850 million, respectively. Pursuant to lender joinder agreements dated March 28, 2023, the aggregate commitments under the Subscription Facility were upsized to $1.3 billion. Pursuant to a lender joinder agreement dated April 27, 2023, the aggregate commitments under the Subscription Facility were upsized to $1.35 billion. Pursuant to a lender joinder agreement dated December 1, 2023, the aggregate commitments under the Subscription Facility were upsized to $1.5 billion (the “Maximum Commitment”). On July 3, 2024, we exercised our option to extend the stated maturity date to August 29, 2025. Pursuant to the second amendment to the Subscription Facility dated as of August 29, 2025 (the “Subscription Facility Second Amendment”), the aggregate commitments under the Subscription Facility were reduced to $500 million and the stated maturity date was extended to August 28, 2026.</w:t>
      </w:r>
    </w:p>
    <w:p>
      <w:pPr>
        <w:spacing w:after="0" w:line="146"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Borrowings under the Subscription Facility bear interest, at our election at the time of drawdown, at a rate per annum equal to (i) in the case of loans denominated in dollars, at our option (a) an adjusted Daily Simple SOFR rate plus 1.80%, (b) an adjusted Term SOFR rate for the applicable interest period plus 1.80% and (c) in the case of reference rate loans, 0.80% plus the greatest of (1) a prime rate, (2) the federal funds rate plus 0.50% and (3) the adjusted Daily Simple SOFR plus 1.00%, (ii) in the case of loans denominated in euros or other alternative currencies (other than sterling), the adjusted Eurocurrency Rate for the applicable interest period plus 1.80% or (iii) in the case of loans denominated in sterling, the adjusted SONIA rate plus 1.80%. SONIA loans are subject to a credit spread adjustment of 0.0326%. Loans denominated in dollars may be converted from one rate applicable to dollar denominated loans to another at any time at our election, subject to certain conditions. we also will pay an unused commitment fee of 0.25% per annum on the unused commitments.</w:t>
      </w:r>
    </w:p>
    <w:p>
      <w:pPr>
        <w:spacing w:after="0" w:line="170"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We may borrow amounts in U.S. dollars or certain other permitted currencies. As of September 30, 2025, we had outstanding debt denominated in British pounds of (GBP) 10.3 million, and Euros (EUR) of 39.7 million on our Subscription Facility, included in the outstanding principal amount in the table below. As of December 31, 2024, we had outstanding debt denominated in British pounds (GBP) of 10.3 million, and Euros (EUR) of 7.3 million on its Subscription Facility, included in the outstanding principal amount in the table below.</w:t>
      </w:r>
    </w:p>
    <w:p>
      <w:pPr>
        <w:spacing w:after="0" w:line="167"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The amount available for borrowing under the Subscription Facility is reduced by any letters of credit issued through the Subscription Facility. As of September 30, 2025 and December 31, 2024, we had no outstanding letters of credit issued through the Subscription Facility.</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1" w:name="page62"/>
    <w:bookmarkEnd w:id="61"/>
    <w:p>
      <w:pPr>
        <w:spacing w:after="0" w:line="113" w:lineRule="exact"/>
        <w:rPr>
          <w:sz w:val="20"/>
          <w:szCs w:val="20"/>
          <w:color w:val="auto"/>
        </w:rPr>
      </w:pPr>
    </w:p>
    <w:p>
      <w:pPr>
        <w:ind w:right="640" w:firstLine="228"/>
        <w:spacing w:after="0" w:line="259" w:lineRule="auto"/>
        <w:rPr>
          <w:sz w:val="20"/>
          <w:szCs w:val="20"/>
          <w:color w:val="auto"/>
        </w:rPr>
      </w:pPr>
      <w:r>
        <w:rPr>
          <w:rFonts w:ascii="Times New Roman" w:cs="Times New Roman" w:eastAsia="Times New Roman" w:hAnsi="Times New Roman"/>
          <w:sz w:val="16"/>
          <w:szCs w:val="16"/>
          <w:color w:val="auto"/>
        </w:rPr>
        <w:t>The Subscription Facility includes customary events of default, as well as customary covenants, including restrictions on certain distributions and financial covenants.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September 30, 2025 and December 31, 2024, we were in compliance with the terms of the Subscription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94" w:lineRule="exact"/>
        <w:rPr>
          <w:sz w:val="20"/>
          <w:szCs w:val="20"/>
          <w:color w:val="auto"/>
        </w:rPr>
      </w:pPr>
    </w:p>
    <w:p>
      <w:pPr>
        <w:jc w:val="both"/>
        <w:ind w:right="400" w:firstLine="228"/>
        <w:spacing w:after="0" w:line="247" w:lineRule="auto"/>
        <w:rPr>
          <w:sz w:val="20"/>
          <w:szCs w:val="20"/>
          <w:color w:val="auto"/>
        </w:rPr>
      </w:pPr>
      <w:r>
        <w:rPr>
          <w:rFonts w:ascii="Times New Roman" w:cs="Times New Roman" w:eastAsia="Times New Roman" w:hAnsi="Times New Roman"/>
          <w:sz w:val="16"/>
          <w:szCs w:val="16"/>
          <w:color w:val="auto"/>
        </w:rPr>
        <w:t>On January 19, 2023, we entered into a senior secured revolving credit agreement (the “Revolving Credit Facility”) with Truist Bank, as administrative agent, JPMorgan Chase Bank, N.A., Royal Bank of Canada, State Street Bank and Trust Company and Wells Fargo Bank, N.A., as joint lead arrangers, and certain other lenders.</w:t>
      </w:r>
    </w:p>
    <w:p>
      <w:pPr>
        <w:spacing w:after="0" w:line="164" w:lineRule="exact"/>
        <w:rPr>
          <w:sz w:val="20"/>
          <w:szCs w:val="20"/>
          <w:color w:val="auto"/>
        </w:rPr>
      </w:pPr>
    </w:p>
    <w:p>
      <w:pPr>
        <w:ind w:right="40" w:firstLine="228"/>
        <w:spacing w:after="0" w:line="236" w:lineRule="auto"/>
        <w:rPr>
          <w:sz w:val="20"/>
          <w:szCs w:val="20"/>
          <w:color w:val="auto"/>
        </w:rPr>
      </w:pPr>
      <w:r>
        <w:rPr>
          <w:rFonts w:ascii="Times New Roman" w:cs="Times New Roman" w:eastAsia="Times New Roman" w:hAnsi="Times New Roman"/>
          <w:sz w:val="16"/>
          <w:szCs w:val="16"/>
          <w:color w:val="auto"/>
        </w:rPr>
        <w:t>The aggregate commitments under the Revolving Credit Facility were $600 million and included an uncommitted accordion feature that allows us, under certain circumstances, to increase the size of the Revolving Credit Facility up to $1 billion. On February 28, 2023, the aggregate commitments under the Revolving Credit Facility were upsized to $700 million. On July 27, 2023, the aggregate commitments under the Revolving Credit Facility were upsized to $725 million. Pursuant to the first amendment to the Revolving Credit Facility dated February 8, 2024, the aggregate commitments under the Revolving Credit Facility were upsized to $1.0 billion and the stated maturity date was extended to February 8, 2029. On April 8, 2024, the aggregate commitments under the Revolving Credit Facility were upsized to $1.2 billion. On May 23, 2024, pursuant to the second amendment, the aggregate commitments under the Revolving Credit Facility were upsized to $1.375 billion, which included a term loan commitment of $100 million, due at the stated maturity. On June 27, 2024, the aggregate commitments under the Revolving Credit Facility were upsized to $1.425 billion. On December 18, 2024, the aggregate commitments under the Revolving Credit Facility were upsized to $1.55 billion, which included a term loan commitment of an additional $50 million, due at the stated maturity. On January 17, 2025, the aggregate commitments under the Revolving Credit Facility were upsized to $1.65 billion due at the stated maturity. On March 4, 2025, pursuant to the third amendment, the aggregate commitments under the Revolving Credit Facility were upsized to $2.28 billion and the stated maturity was extended to March 4, 2030. On August 26, 2025, the aggregate commitments under the Revolving Credit Facility were upsized to $2.425 billion, which included a term loan commitment of an additional $50 million, due at the stated maturity. On September 23, 2025, pursuant to the fourth amendment, the aggregate commitments under the Revolving Credit Facility were upsized to $2.675 billion, due at the stated maturity. The Revolving Credit Facility includes an uncommitted accordion feature that allows us, under certain circumstances, to increase the size of the Revolving Credit Facility to up to $3.42 billion. The Revolving Credit Facility will mature on March 4, 2030.</w:t>
      </w:r>
    </w:p>
    <w:p>
      <w:pPr>
        <w:spacing w:after="0" w:line="179"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Borrowings under the Revolving Credit Facility, including amounts drawn in respect of letters of credit, bear interest at our election at the time of drawdown, at a rate per annum equal to (i) in the case of loans denominated in dollars, at our option (a) adjusted Term SOFR plus 1.525%, 1.65% or 1.775%, based on certain borrowing base conditions and (b) an alternative base rate plus 0.525%, 0.65% or 0.775%, based on certain borrowing base conditions, (ii) in the case of loans denominated in other permitted currencies at the relevant rate specified plus 0.525%, 0.65% or 0.775%, based on certain borrowing base conditions, plus in the case of amounts denominated in certain other permitted currencies, an adjustment. We also will pay an unused commitment fee of 0.325% per annum on the unused commitments.</w:t>
      </w:r>
    </w:p>
    <w:p>
      <w:pPr>
        <w:spacing w:after="0" w:line="173" w:lineRule="exact"/>
        <w:rPr>
          <w:sz w:val="20"/>
          <w:szCs w:val="20"/>
          <w:color w:val="auto"/>
        </w:rPr>
      </w:pPr>
    </w:p>
    <w:p>
      <w:pPr>
        <w:jc w:val="both"/>
        <w:ind w:right="14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is guaranteed by Sixth Street LP Holding II, LLC and SSLP Lending,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64"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We may borrow amounts in U.S. dollars or certain other permitted currencies. As of September 30, 2025, we had outstanding debt denominated in British pounds (GBP) of 301.6 million, Euros (EUR) 946.5 million and Swedish Krona (SEK) 211.3 million on its Revolving Credit Facility, included in the outstanding principal amount in the table below. As of December 31, 2024, we had outstanding debt denominated in British pounds (GBP) of 299.2 million, Euros (EUR) 640.1 million and Swedish Krona (SEK) 80.2 million on our Revolving Credit Facility, included in the outstanding principal amount in the table below.</w:t>
      </w:r>
    </w:p>
    <w:p>
      <w:pPr>
        <w:spacing w:after="0" w:line="167"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The Revolving Credit Facility also provides for the issuance of letters of credit up to an aggregate amount of $100 million. As of September 30, 2025, we had $32.0 million in outstanding letters of credit issued through the Revolving Credit Facility. As of December 31, 2024, we had $5.9 million in outstanding letters of credit issued through the Revolving Credit Facility. The amount available for borrowing under the Revolving Credit Facility is reduced by any letters of credit issued through the Revolving Credit Facility.</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Revolving Credit Facility includes customary events of default (with customary cure and notice provisions).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further details, see Note 7 "Debt - Revolving Credit Facility" to our consolidated financial statements included in this Annual Report.</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62" w:name="page63"/>
    <w:bookmarkEnd w:id="62"/>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2029 Notes</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In March 2024, we issued $600 million aggregate principal amount of unsecured notes that mature on March 11, 2029 (the “2029 Notes”). The principal amount of the 2029 Notes is payable at maturity. The 2029 Notes bear interest at a rate of 6.50% per year, payable semi-annually commencing on September 11, 2024, and may be redeemed in whole or in part at our option at any time at par plus a “make whole” premium. Total proceeds from the issuance of the 2029 Notes, net of underwriting discounts, offering costs and original issue discount, were $586.0 million. We used the net proceeds of the 2029 Notes to repay outstanding indebtedness under the Revolving Credit Facility and Subscription Facility.</w:t>
      </w:r>
    </w:p>
    <w:p>
      <w:pPr>
        <w:spacing w:after="0" w:line="169"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4"/>
          <w:szCs w:val="14"/>
          <w:color w:val="auto"/>
        </w:rPr>
        <w:t>In June 2024, we issued an additional $150 million aggregate principal amount of unsecured notes that mature on March 11, 2029. The additional 2029 Notes are a further issuance of, fungible with, rank equally in right of payment with and have the same terms (other than the issue date and the public offering price) as the initial issuance of the 2029 Notes. Total proceeds from the issuance of the additional 2029 Notes, net of underwriting discounts, offering costs and original issue premium were $147.8 million. We used the net proceeds of the 2029 Notes to repay outstanding indebtedness under the Revolving Credit Facility and Subscription Facility.</w:t>
      </w:r>
    </w:p>
    <w:p>
      <w:pPr>
        <w:spacing w:after="0" w:line="137"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We entered into two interest rate swaps to align the interest rates of its liabilities with our investment portfolio, which consists of predominately floating rate loans. The notional amount of the two interest rates swaps are $600.0 million and $150.0 million, respectively, each of which matures on March 11, 2029, matching the maturity date of the 2029 Notes. As a result of the swap, our effective interest rate on the 2029 Notes is SOFR plus 2.45% (on a weighted average basis). The interest expense related to the 2029 Notes is offset by proceeds received from the interest rate swaps designated as a hedge. The swap adjusted interest expense is included as a component of interest expense on our Consolidated Statements of Operations. As of September 30, 2025 and December 31, 2024, the effective hedge interest rate swaps had a fair value of $16.1 million and $(1.1) million, respectively, which is offset within interest expense by an equal, but opposite, fair value change for the hedged risk on the 2029 Notes.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January 2030 Notes</w:t>
      </w:r>
    </w:p>
    <w:p>
      <w:pPr>
        <w:spacing w:after="0" w:line="190" w:lineRule="exact"/>
        <w:rPr>
          <w:sz w:val="20"/>
          <w:szCs w:val="20"/>
          <w:color w:val="auto"/>
        </w:rPr>
      </w:pPr>
    </w:p>
    <w:p>
      <w:pPr>
        <w:ind w:right="340" w:firstLine="228"/>
        <w:spacing w:after="0" w:line="241" w:lineRule="auto"/>
        <w:rPr>
          <w:sz w:val="20"/>
          <w:szCs w:val="20"/>
          <w:color w:val="auto"/>
        </w:rPr>
      </w:pPr>
      <w:r>
        <w:rPr>
          <w:rFonts w:ascii="Times New Roman" w:cs="Times New Roman" w:eastAsia="Times New Roman" w:hAnsi="Times New Roman"/>
          <w:sz w:val="16"/>
          <w:szCs w:val="16"/>
          <w:color w:val="auto"/>
        </w:rPr>
        <w:t>In September 2024, we issued $600 million aggregate principal amount of unsecured notes that mature on January 15, 2030 (the “January 2030 Notes”). The principal amount of the January 2030 Notes is payable at maturity. The January 2030 Notes bear interest at a rate of 5.75% per year, payable semi-annually commencing on January 15, 2025, and may be redeemed in whole or in part at our option at any time at par plus a “make whole” premium. Total proceeds from the issuance of the January 2030 Notes, net of underwriting discounts, offering costs and original issue discount, were $591.7 million. We used the net proceeds of the January 2030 Notes to repay outstanding indebtedness under the Revolving Credit Facility and Subscription Facility.</w:t>
      </w:r>
    </w:p>
    <w:p>
      <w:pPr>
        <w:spacing w:after="0" w:line="169"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January 2030 Notes, we entered into an interest rate swap to align the interest rate of its liability with our investment portfolio, which consists of predominately floating rate loans. The notional amount of the interest rate swap is $600.0 million which matures on January 15, 2030, matching the maturity date of the January 2030 Notes. As a result of the swap, our effective interest rate on the January 2030 Notes is SOFR plus 2.55%. The interest expense related to the January 2030 Notes is offset by proceeds received from the interest rate swaps designated as a hedge. The swap adjusted interest expense is included as a component of interest expense on our Consolidated Statements of Operations. As of September 30, 2025 and December 31, 2024, the effective hedge interest rate swaps had a fair value of $(4.8) and $(24.1) million, respectively, which is offset within interest expense by an equal, but opposite, fair value change for the hedged risk on the January 2030 Notes.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July 2030 Notes</w:t>
      </w:r>
    </w:p>
    <w:p>
      <w:pPr>
        <w:spacing w:after="0" w:line="190"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 January 2025, we issued $750 million aggregate principal amount of unsecured notes that mature on July 15, 2030 (the “July 2030 Notes”). The principal amount of the July 2030 Notes is payable at maturity. The July 2030 Notes bear interest at a rate of 6.125% per year, payable semi-annually commencing on July 15, 2025, and may be redeemed in whole or in part at our option at any time at par plus a "make whole" premium. Total proceeds from the issuance of the July 2030 Notes, net of underwriting discounts, offering costs and original issue discount, were $737.6 million. We used the net proceeds of the July 2030 Notes to repay outstanding indebtedness under the Revolving Credit Facility and Subscription Facility.</w:t>
      </w:r>
    </w:p>
    <w:p>
      <w:pPr>
        <w:spacing w:after="0" w:line="169"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July 2030 Notes, we entered into an interest rate swap to align the interest rate of its liability with our investment portfolio, which consists of predominately floating rate loans. The notional amount of the interest rate swap is $750.0 million which matures on July 15, 2030, matching the maturity date of the July 2030 Notes. As a result of the swap, our effective interest rate on the July 2030 Notes is SOFR plus 2.01%. The interest expense related to the July 2030 Notes is offset by proceeds received from the interest rate swaps designed as a hedge. The swap adjusted interest expense is included as a component of interest expense on our Consolidated Statements of Operations. As of September 30, 2025, the effective hedge interest rate swaps had a fair value of $23.5 million which is offset within interest expense by an equal, but opposite, fair value change for the hedged risk on the July 2030 Notes.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3" w:name="page64"/>
    <w:bookmarkEnd w:id="63"/>
    <w:p>
      <w:pPr>
        <w:spacing w:after="0" w:line="1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September 30, 2025 and December 31, 2024:</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5"/>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right"/>
              <w:ind w:right="440"/>
              <w:spacing w:after="0" w:line="14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160" w:type="dxa"/>
            <w:vAlign w:val="bottom"/>
          </w:tcPr>
          <w:p>
            <w:pPr>
              <w:spacing w:after="0"/>
              <w:rPr>
                <w:sz w:val="12"/>
                <w:szCs w:val="12"/>
                <w:color w:val="auto"/>
              </w:rPr>
            </w:pPr>
          </w:p>
        </w:tc>
        <w:tc>
          <w:tcPr>
            <w:tcW w:w="1280" w:type="dxa"/>
            <w:vAlign w:val="bottom"/>
            <w:gridSpan w:val="2"/>
          </w:tcPr>
          <w:p>
            <w:pPr>
              <w:jc w:val="right"/>
              <w:ind w:right="48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60" w:type="dxa"/>
            <w:vAlign w:val="bottom"/>
          </w:tcPr>
          <w:p>
            <w:pPr>
              <w:spacing w:after="0"/>
              <w:rPr>
                <w:sz w:val="12"/>
                <w:szCs w:val="12"/>
                <w:color w:val="auto"/>
              </w:rPr>
            </w:pPr>
          </w:p>
        </w:tc>
        <w:tc>
          <w:tcPr>
            <w:tcW w:w="1180" w:type="dxa"/>
            <w:vAlign w:val="bottom"/>
            <w:gridSpan w:val="2"/>
          </w:tcPr>
          <w:p>
            <w:pPr>
              <w:jc w:val="right"/>
              <w:ind w:right="60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2"/>
                <w:szCs w:val="12"/>
                <w:color w:val="auto"/>
              </w:rPr>
            </w:pPr>
          </w:p>
        </w:tc>
        <w:tc>
          <w:tcPr>
            <w:tcW w:w="1080" w:type="dxa"/>
            <w:vAlign w:val="bottom"/>
            <w:gridSpan w:val="2"/>
          </w:tcPr>
          <w:p>
            <w:pPr>
              <w:jc w:val="right"/>
              <w:ind w:right="42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81"/>
        </w:trPr>
        <w:tc>
          <w:tcPr>
            <w:tcW w:w="4000" w:type="dxa"/>
            <w:vAlign w:val="bottom"/>
          </w:tcPr>
          <w:p>
            <w:pPr>
              <w:spacing w:after="0" w:line="181" w:lineRule="exact"/>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140" w:type="dxa"/>
            <w:vAlign w:val="bottom"/>
          </w:tcPr>
          <w:p>
            <w:pPr>
              <w:spacing w:after="0"/>
              <w:rPr>
                <w:sz w:val="15"/>
                <w:szCs w:val="15"/>
                <w:color w:val="auto"/>
              </w:rPr>
            </w:pPr>
          </w:p>
        </w:tc>
        <w:tc>
          <w:tcPr>
            <w:tcW w:w="16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160" w:type="dxa"/>
            <w:vAlign w:val="bottom"/>
          </w:tcPr>
          <w:p>
            <w:pPr>
              <w:spacing w:after="0"/>
              <w:rPr>
                <w:sz w:val="15"/>
                <w:szCs w:val="15"/>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60" w:type="dxa"/>
            <w:vAlign w:val="bottom"/>
          </w:tcPr>
          <w:p>
            <w:pPr>
              <w:spacing w:after="0"/>
              <w:rPr>
                <w:sz w:val="15"/>
                <w:szCs w:val="15"/>
                <w:color w:val="auto"/>
              </w:rPr>
            </w:pPr>
          </w:p>
        </w:tc>
        <w:tc>
          <w:tcPr>
            <w:tcW w:w="1180" w:type="dxa"/>
            <w:vAlign w:val="bottom"/>
            <w:gridSpan w:val="2"/>
          </w:tcPr>
          <w:p>
            <w:pPr>
              <w:jc w:val="right"/>
              <w:ind w:right="500"/>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Available </w:t>
            </w:r>
            <w:r>
              <w:rPr>
                <w:rFonts w:ascii="Times New Roman" w:cs="Times New Roman" w:eastAsia="Times New Roman" w:hAnsi="Times New Roman"/>
                <w:sz w:val="16"/>
                <w:szCs w:val="16"/>
                <w:b w:val="1"/>
                <w:bCs w:val="1"/>
                <w:color w:val="auto"/>
                <w:w w:val="96"/>
                <w:vertAlign w:val="superscript"/>
              </w:rPr>
              <w:t>(2)</w:t>
            </w:r>
          </w:p>
        </w:tc>
        <w:tc>
          <w:tcPr>
            <w:tcW w:w="180" w:type="dxa"/>
            <w:vAlign w:val="bottom"/>
          </w:tcPr>
          <w:p>
            <w:pPr>
              <w:spacing w:after="0"/>
              <w:rPr>
                <w:sz w:val="15"/>
                <w:szCs w:val="15"/>
                <w:color w:val="auto"/>
              </w:rPr>
            </w:pPr>
          </w:p>
        </w:tc>
        <w:tc>
          <w:tcPr>
            <w:tcW w:w="108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(3)(4)</w:t>
            </w:r>
          </w:p>
        </w:tc>
      </w:tr>
      <w:tr>
        <w:trPr>
          <w:trHeight w:val="180"/>
        </w:trPr>
        <w:tc>
          <w:tcPr>
            <w:tcW w:w="4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Subscription Facility</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60.5</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439.5</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FF0FC"/>
          </w:tcPr>
          <w:p>
            <w:pPr>
              <w:spacing w:after="0"/>
              <w:rPr>
                <w:sz w:val="15"/>
                <w:szCs w:val="15"/>
                <w:color w:val="auto"/>
              </w:rPr>
            </w:pPr>
          </w:p>
        </w:tc>
      </w:tr>
      <w:tr>
        <w:trPr>
          <w:trHeight w:val="180"/>
        </w:trPr>
        <w:tc>
          <w:tcPr>
            <w:tcW w:w="4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4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2,675.0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2,495.6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147.4</w:t>
            </w:r>
          </w:p>
        </w:tc>
        <w:tc>
          <w:tcPr>
            <w:tcW w:w="1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2,479.2</w:t>
            </w:r>
          </w:p>
        </w:tc>
        <w:tc>
          <w:tcPr>
            <w:tcW w:w="100" w:type="dxa"/>
            <w:vAlign w:val="bottom"/>
          </w:tcPr>
          <w:p>
            <w:pPr>
              <w:spacing w:after="0"/>
              <w:rPr>
                <w:sz w:val="15"/>
                <w:szCs w:val="15"/>
                <w:color w:val="auto"/>
              </w:rPr>
            </w:pPr>
          </w:p>
        </w:tc>
      </w:tr>
      <w:tr>
        <w:trPr>
          <w:trHeight w:val="180"/>
        </w:trPr>
        <w:tc>
          <w:tcPr>
            <w:tcW w:w="4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2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754.3</w:t>
            </w:r>
          </w:p>
        </w:tc>
      </w:tr>
      <w:tr>
        <w:trPr>
          <w:trHeight w:val="180"/>
        </w:trPr>
        <w:tc>
          <w:tcPr>
            <w:tcW w:w="40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January 2030 Notes</w:t>
            </w:r>
          </w:p>
        </w:tc>
        <w:tc>
          <w:tcPr>
            <w:tcW w:w="140" w:type="dxa"/>
            <w:vAlign w:val="bottom"/>
          </w:tcPr>
          <w:p>
            <w:pPr>
              <w:spacing w:after="0"/>
              <w:rPr>
                <w:sz w:val="15"/>
                <w:szCs w:val="15"/>
                <w:color w:val="auto"/>
              </w:rPr>
            </w:pPr>
          </w:p>
        </w:tc>
        <w:tc>
          <w:tcPr>
            <w:tcW w:w="16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160" w:type="dxa"/>
            <w:vAlign w:val="bottom"/>
          </w:tcPr>
          <w:p>
            <w:pPr>
              <w:spacing w:after="0"/>
              <w:rPr>
                <w:sz w:val="15"/>
                <w:szCs w:val="15"/>
                <w:color w:val="auto"/>
              </w:rPr>
            </w:pPr>
          </w:p>
        </w:tc>
        <w:tc>
          <w:tcPr>
            <w:tcW w:w="12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260" w:type="dxa"/>
            <w:vAlign w:val="bottom"/>
          </w:tcPr>
          <w:p>
            <w:pPr>
              <w:spacing w:after="0"/>
              <w:rPr>
                <w:sz w:val="15"/>
                <w:szCs w:val="15"/>
                <w:color w:val="auto"/>
              </w:rPr>
            </w:pPr>
          </w:p>
        </w:tc>
        <w:tc>
          <w:tcPr>
            <w:tcW w:w="11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588.2</w:t>
            </w:r>
          </w:p>
        </w:tc>
      </w:tr>
      <w:tr>
        <w:trPr>
          <w:trHeight w:val="180"/>
        </w:trPr>
        <w:tc>
          <w:tcPr>
            <w:tcW w:w="40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2030 Notes</w:t>
            </w:r>
          </w:p>
        </w:tc>
        <w:tc>
          <w:tcPr>
            <w:tcW w:w="1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2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760.4</w:t>
            </w:r>
          </w:p>
        </w:tc>
      </w:tr>
      <w:tr>
        <w:trPr>
          <w:trHeight w:val="180"/>
        </w:trPr>
        <w:tc>
          <w:tcPr>
            <w:tcW w:w="40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5,275.0</w:t>
            </w:r>
          </w:p>
        </w:tc>
        <w:tc>
          <w:tcPr>
            <w:tcW w:w="240" w:type="dxa"/>
            <w:vAlign w:val="bottom"/>
          </w:tcPr>
          <w:p>
            <w:pPr>
              <w:spacing w:after="0"/>
              <w:rPr>
                <w:sz w:val="15"/>
                <w:szCs w:val="15"/>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4,656.2</w:t>
            </w:r>
          </w:p>
        </w:tc>
        <w:tc>
          <w:tcPr>
            <w:tcW w:w="220" w:type="dxa"/>
            <w:vAlign w:val="bottom"/>
          </w:tcPr>
          <w:p>
            <w:pPr>
              <w:spacing w:after="0"/>
              <w:rPr>
                <w:sz w:val="15"/>
                <w:szCs w:val="15"/>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586.8</w:t>
            </w: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4,641.5</w:t>
            </w:r>
          </w:p>
        </w:tc>
        <w:tc>
          <w:tcPr>
            <w:tcW w:w="100" w:type="dxa"/>
            <w:vAlign w:val="bottom"/>
          </w:tcPr>
          <w:p>
            <w:pPr>
              <w:spacing w:after="0"/>
              <w:rPr>
                <w:sz w:val="15"/>
                <w:szCs w:val="15"/>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1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(2)The amount available may be subject to limitations related to the borrowing base under the Subscription Facility, the Revolving Credit Facility, outstanding letters of credit issued and asset coverage requirements.</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(3)The carrying values of the Subscription Facility, the Revolving Credit Facility, the 2029 Notes, January 2030 Notes and July 2030 Notes are presented net of deferred financing costs and original issue discounts of $1.2 million, $16.4 million, $11.8 million, $7.0 million and $13.0 million, respectively.</w:t>
      </w:r>
    </w:p>
    <w:p>
      <w:pPr>
        <w:spacing w:after="0" w:line="1" w:lineRule="exact"/>
        <w:rPr>
          <w:sz w:val="20"/>
          <w:szCs w:val="20"/>
          <w:color w:val="auto"/>
        </w:rPr>
      </w:pPr>
    </w:p>
    <w:p>
      <w:pPr>
        <w:jc w:val="both"/>
        <w:ind w:right="320"/>
        <w:spacing w:after="0" w:line="247" w:lineRule="auto"/>
        <w:rPr>
          <w:sz w:val="20"/>
          <w:szCs w:val="20"/>
          <w:color w:val="auto"/>
        </w:rPr>
      </w:pPr>
      <w:r>
        <w:rPr>
          <w:rFonts w:ascii="Times New Roman" w:cs="Times New Roman" w:eastAsia="Times New Roman" w:hAnsi="Times New Roman"/>
          <w:sz w:val="16"/>
          <w:szCs w:val="16"/>
          <w:color w:val="auto"/>
        </w:rPr>
        <w:t>(4)The carrying value of the 2029 Notes, January 2030 Notes and July 2030 Notes are presented inclusive of an incremental $16.1 million, $ (4.8) million and $23.5 million respectively, which represents an adjustment in the carrying value of the 2029 Notes, January 2030 Notes and July 2030 Notes, each resulting from a hedge accounting relationship.</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2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3"/>
          </w:tcPr>
          <w:p>
            <w:pPr>
              <w:jc w:val="right"/>
              <w:ind w:right="619"/>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380"/>
              <w:spacing w:after="0" w:line="14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180" w:type="dxa"/>
            <w:vAlign w:val="bottom"/>
          </w:tcPr>
          <w:p>
            <w:pPr>
              <w:spacing w:after="0"/>
              <w:rPr>
                <w:sz w:val="12"/>
                <w:szCs w:val="12"/>
                <w:color w:val="auto"/>
              </w:rPr>
            </w:pPr>
          </w:p>
        </w:tc>
        <w:tc>
          <w:tcPr>
            <w:tcW w:w="1300" w:type="dxa"/>
            <w:vAlign w:val="bottom"/>
            <w:gridSpan w:val="2"/>
          </w:tcPr>
          <w:p>
            <w:pPr>
              <w:jc w:val="right"/>
              <w:ind w:right="50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960" w:type="dxa"/>
            <w:vAlign w:val="bottom"/>
          </w:tcPr>
          <w:p>
            <w:pPr>
              <w:jc w:val="right"/>
              <w:ind w:right="39"/>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81"/>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180" w:type="dxa"/>
            <w:vAlign w:val="bottom"/>
          </w:tcPr>
          <w:p>
            <w:pPr>
              <w:spacing w:after="0"/>
              <w:rPr>
                <w:sz w:val="15"/>
                <w:szCs w:val="15"/>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960" w:type="dxa"/>
            <w:vAlign w:val="bottom"/>
          </w:tcPr>
          <w:p>
            <w:pPr>
              <w:jc w:val="right"/>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3"/>
                <w:szCs w:val="13"/>
                <w:b w:val="1"/>
                <w:bCs w:val="1"/>
                <w:color w:val="auto"/>
                <w:w w:val="95"/>
              </w:rPr>
              <w:t xml:space="preserve">Value </w:t>
            </w:r>
            <w:r>
              <w:rPr>
                <w:rFonts w:ascii="Times New Roman" w:cs="Times New Roman" w:eastAsia="Times New Roman" w:hAnsi="Times New Roman"/>
                <w:sz w:val="16"/>
                <w:szCs w:val="16"/>
                <w:b w:val="1"/>
                <w:bCs w:val="1"/>
                <w:color w:val="auto"/>
                <w:w w:val="95"/>
                <w:vertAlign w:val="superscript"/>
              </w:rPr>
              <w:t>(2)</w:t>
            </w:r>
          </w:p>
        </w:tc>
        <w:tc>
          <w:tcPr>
            <w:tcW w:w="0" w:type="dxa"/>
            <w:vAlign w:val="bottom"/>
          </w:tcPr>
          <w:p>
            <w:pPr>
              <w:spacing w:after="0"/>
              <w:rPr>
                <w:sz w:val="1"/>
                <w:szCs w:val="1"/>
                <w:color w:val="auto"/>
              </w:rPr>
            </w:pPr>
          </w:p>
        </w:tc>
      </w:tr>
      <w:tr>
        <w:trPr>
          <w:trHeight w:val="180"/>
        </w:trPr>
        <w:tc>
          <w:tcPr>
            <w:tcW w:w="2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Subscription Facility</w:t>
            </w:r>
          </w:p>
        </w:tc>
        <w:tc>
          <w:tcPr>
            <w:tcW w:w="13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1,500.0</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1,496.7</w:t>
            </w: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1,493.7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1,550.0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1,502.0</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2"/>
              </w:rPr>
              <w:t>42.1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1,492.9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1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96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734.7</w:t>
            </w:r>
          </w:p>
        </w:tc>
        <w:tc>
          <w:tcPr>
            <w:tcW w:w="0" w:type="dxa"/>
            <w:vAlign w:val="bottom"/>
          </w:tcPr>
          <w:p>
            <w:pPr>
              <w:spacing w:after="0"/>
              <w:rPr>
                <w:sz w:val="1"/>
                <w:szCs w:val="1"/>
                <w:color w:val="auto"/>
              </w:rPr>
            </w:pPr>
          </w:p>
        </w:tc>
      </w:tr>
      <w:tr>
        <w:trPr>
          <w:trHeight w:val="20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January 2030 Notes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600.0</w:t>
            </w:r>
          </w:p>
        </w:tc>
        <w:tc>
          <w:tcPr>
            <w:tcW w:w="180" w:type="dxa"/>
            <w:vAlign w:val="bottom"/>
          </w:tcPr>
          <w:p>
            <w:pPr>
              <w:spacing w:after="0"/>
              <w:rPr>
                <w:sz w:val="17"/>
                <w:szCs w:val="17"/>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600.0</w:t>
            </w:r>
          </w:p>
        </w:tc>
        <w:tc>
          <w:tcPr>
            <w:tcW w:w="960" w:type="dxa"/>
            <w:vAlign w:val="bottom"/>
          </w:tcPr>
          <w:p>
            <w:pPr>
              <w:spacing w:after="0"/>
              <w:rPr>
                <w:sz w:val="17"/>
                <w:szCs w:val="17"/>
                <w:color w:val="auto"/>
              </w:rPr>
            </w:pPr>
          </w:p>
        </w:tc>
        <w:tc>
          <w:tcPr>
            <w:tcW w:w="5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567.3</w:t>
            </w:r>
          </w:p>
        </w:tc>
        <w:tc>
          <w:tcPr>
            <w:tcW w:w="0" w:type="dxa"/>
            <w:vAlign w:val="bottom"/>
          </w:tcPr>
          <w:p>
            <w:pPr>
              <w:spacing w:after="0"/>
              <w:rPr>
                <w:sz w:val="1"/>
                <w:szCs w:val="1"/>
                <w:color w:val="auto"/>
              </w:rPr>
            </w:pPr>
          </w:p>
        </w:tc>
      </w:tr>
      <w:tr>
        <w:trPr>
          <w:trHeight w:val="121"/>
        </w:trPr>
        <w:tc>
          <w:tcPr>
            <w:tcW w:w="28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800" w:type="dxa"/>
            <w:vAlign w:val="bottom"/>
            <w:shd w:val="clear" w:color="auto" w:fill="CFF0FC"/>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32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4,400.0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4,348.7</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92"/>
              </w:rPr>
              <w:t>45.3</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4,288.6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Subscription Facility, the Revolving Credit Facility and asset coverage requirements.</w:t>
      </w:r>
    </w:p>
    <w:p>
      <w:pPr>
        <w:spacing w:after="0" w:line="1" w:lineRule="exact"/>
        <w:rPr>
          <w:sz w:val="20"/>
          <w:szCs w:val="20"/>
          <w:color w:val="auto"/>
        </w:rPr>
      </w:pPr>
    </w:p>
    <w:p>
      <w:pPr>
        <w:ind w:right="480"/>
        <w:spacing w:after="0" w:line="234" w:lineRule="auto"/>
        <w:rPr>
          <w:sz w:val="20"/>
          <w:szCs w:val="20"/>
          <w:color w:val="auto"/>
        </w:rPr>
      </w:pPr>
      <w:r>
        <w:rPr>
          <w:rFonts w:ascii="Times New Roman" w:cs="Times New Roman" w:eastAsia="Times New Roman" w:hAnsi="Times New Roman"/>
          <w:sz w:val="16"/>
          <w:szCs w:val="16"/>
          <w:color w:val="auto"/>
        </w:rPr>
        <w:t>(2)The carrying values of the Subscription Facility, Revolving Credit Facility, 2029 Notes and January 2030 Notes are presented net deferred financing costs and original issue discounts totaling $3.0 million, $9.1 million, $14.2 million and $8.6 million, respectively.</w:t>
      </w:r>
    </w:p>
    <w:p>
      <w:pPr>
        <w:spacing w:after="0" w:line="1" w:lineRule="exact"/>
        <w:rPr>
          <w:sz w:val="20"/>
          <w:szCs w:val="20"/>
          <w:color w:val="auto"/>
        </w:rPr>
      </w:pPr>
    </w:p>
    <w:p>
      <w:pPr>
        <w:ind w:right="440"/>
        <w:spacing w:after="0" w:line="238" w:lineRule="auto"/>
        <w:rPr>
          <w:sz w:val="20"/>
          <w:szCs w:val="20"/>
          <w:color w:val="auto"/>
        </w:rPr>
      </w:pPr>
      <w:r>
        <w:rPr>
          <w:rFonts w:ascii="Times New Roman" w:cs="Times New Roman" w:eastAsia="Times New Roman" w:hAnsi="Times New Roman"/>
          <w:sz w:val="16"/>
          <w:szCs w:val="16"/>
          <w:color w:val="auto"/>
        </w:rPr>
        <w:t>(3)The carrying value of the 2029 Notes and January 2030 Notes are presented inclusive of an incremental $(1.1) million and $(24.1) million, respectively, which represents an adjustment in the carrying value of the 2029 Notes and January 2030 Notes, each resulting from a hedge accounting relationship.</w:t>
      </w:r>
    </w:p>
    <w:p>
      <w:pPr>
        <w:spacing w:after="0" w:line="169" w:lineRule="exact"/>
        <w:rPr>
          <w:sz w:val="20"/>
          <w:szCs w:val="20"/>
          <w:color w:val="auto"/>
        </w:rPr>
      </w:pPr>
    </w:p>
    <w:p>
      <w:pPr>
        <w:ind w:right="248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includes customary events of default, as well as customary covenants, including restrictions on certain distributions and financial covenants.</w:t>
      </w:r>
    </w:p>
    <w:p>
      <w:pPr>
        <w:spacing w:after="0" w:line="155"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As of September 30, 2025 and December 31, 2024, we were in compliance with the terms of our debt arrangements. We intend to continue to utilize our Credit Facilities to fund investments and for other general corporate purposes.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Company Commitments</w:t>
      </w:r>
    </w:p>
    <w:p>
      <w:pPr>
        <w:spacing w:after="0" w:line="96"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September 30, 2025 and December 31, 2024, we had the following commitments to fund investments in current portfolio companies: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440" w:type="dxa"/>
            <w:vAlign w:val="bottom"/>
          </w:tcPr>
          <w:p>
            <w:pPr>
              <w:spacing w:after="0"/>
              <w:rPr>
                <w:sz w:val="14"/>
                <w:szCs w:val="14"/>
                <w:color w:val="auto"/>
              </w:rPr>
            </w:pPr>
          </w:p>
        </w:tc>
        <w:tc>
          <w:tcPr>
            <w:tcW w:w="1540" w:type="dxa"/>
            <w:vAlign w:val="bottom"/>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320" w:type="dxa"/>
            <w:vAlign w:val="bottom"/>
          </w:tcPr>
          <w:p>
            <w:pPr>
              <w:spacing w:after="0"/>
              <w:rPr>
                <w:sz w:val="14"/>
                <w:szCs w:val="14"/>
                <w:color w:val="auto"/>
              </w:rPr>
            </w:pPr>
          </w:p>
        </w:tc>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Alaska Bidco Oy - Delayed Draw &amp; Revolver</w:t>
            </w:r>
          </w:p>
        </w:tc>
        <w:tc>
          <w:tcPr>
            <w:tcW w:w="14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3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Apellis Pharmaceuticals, Inc.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42.1</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Aptean, Inc.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15.8</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Arrow Buyer, Inc.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20.2</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Arrowhead Pharmaceuticals, Inc. - Delayed Draw</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121.3</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135.2</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Artisan Bidco, Inc.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16.9</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Avalara, Inc. -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AVSC Holding Corp.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26.6</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33.8</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Azurite Intermediate Holdings, Inc. - Revolver &amp; Equity</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29.2</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29.2</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Babylon Finco Limited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16.5</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Banyan Software Holdings, LLC - Delayed Draw</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19.5</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BCTO Bluebill Buyer, Inc.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Ben Nevis Midco Limited - Delayed Draw</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27.3</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Big Wombat Holdings, Inc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BTRS Holdings, Inc.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Cirrus (Bidco) Ltd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Cordance Operations LLC - Delayed Draw</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Coupa Holdings, LLC - Delayed Draw &amp;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20.4</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20.4</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Crewline Buyer, Inc. - Revolver &amp; Equity</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16.3</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16.3</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Disco Parent, Inc.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EDB Parent, LLC - Delayed Draw</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Edge Bidco B.V. - Delayed Draw &amp;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Elysium BidCo Limited -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19.3</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Erling Lux Bidco SARL - Delayed Draw &amp;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Eventus Buyer, LLC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16.2</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Flight Intermediate HoldCo, Inc.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38.8</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44.0</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Fullsteam Operations, LLC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70.3</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Galileo Parent, Inc.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8.1</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12.8</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Greenshoot Bidco B.V. -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Heritage Environmental Services, Inc. - Delayed Draw &amp;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29.7</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28.5</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Hippo XPA Bidco AB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9.6</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HireVue, Inc.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HMP Omnimedia, LLC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64.8</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Ingenovis Health Finance, LLC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Kangaroo Bidco AS - Delayed Draw</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22.5</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Kryptona BidCo US, LLC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14.7</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14.7</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Lynx BidCo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15.7</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25.1</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Merit Software Finance Holdings, LLC - Delayed Draw &amp;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PDI TA Holdings, Inc.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26.5</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QSR Acquisition Co.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Rail Acquisitions LLC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7.1</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RainFocus, LLC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8"/>
              </w:rPr>
              <w:t>Rapid Data GmbH Unternehmensberatung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Raptor US Buyer II Corp.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Sapphire Software Buyer, Inc. -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27.0</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27.0</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Scorpio Bidco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17.2</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Severin Acquisition, LLC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53.6</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72.5</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Shiftmove GmbH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Sky Bidco S.p.A. - Delayed Draw</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33.6</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29.6</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SkyLark UK DebtCo Limited - Delayed Draw</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40.6</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24.1</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SL Buyer Corp. - Delayed Draw</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SMA Technologies Holdings, LLC -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Sport Alliance GmbH -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Tango Management Consulting, LLC #2 - Delayed Draw &amp; Revolver</w:t>
            </w:r>
          </w:p>
        </w:tc>
        <w:tc>
          <w:tcPr>
            <w:tcW w:w="1440" w:type="dxa"/>
            <w:vAlign w:val="bottom"/>
          </w:tcPr>
          <w:p>
            <w:pPr>
              <w:spacing w:after="0"/>
              <w:rPr>
                <w:sz w:val="15"/>
                <w:szCs w:val="15"/>
                <w:color w:val="auto"/>
              </w:rPr>
            </w:pPr>
          </w:p>
        </w:tc>
        <w:tc>
          <w:tcPr>
            <w:tcW w:w="15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320" w:type="dxa"/>
            <w:vAlign w:val="bottom"/>
          </w:tcPr>
          <w:p>
            <w:pPr>
              <w:spacing w:after="0"/>
              <w:rPr>
                <w:sz w:val="15"/>
                <w:szCs w:val="15"/>
                <w:color w:val="auto"/>
              </w:rPr>
            </w:pPr>
          </w:p>
        </w:tc>
        <w:tc>
          <w:tcPr>
            <w:tcW w:w="15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Truck-Lite Co., LLC - Delayed Draw &amp; Revolver</w:t>
            </w:r>
          </w:p>
        </w:tc>
        <w:tc>
          <w:tcPr>
            <w:tcW w:w="144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41.6</w:t>
            </w:r>
          </w:p>
        </w:tc>
        <w:tc>
          <w:tcPr>
            <w:tcW w:w="3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61.2</w:t>
            </w:r>
          </w:p>
        </w:tc>
        <w:tc>
          <w:tcPr>
            <w:tcW w:w="580" w:type="dxa"/>
            <w:vAlign w:val="bottom"/>
          </w:tcPr>
          <w:p>
            <w:pPr>
              <w:spacing w:after="0"/>
              <w:rPr>
                <w:sz w:val="15"/>
                <w:szCs w:val="15"/>
                <w:color w:val="auto"/>
              </w:rPr>
            </w:pPr>
          </w:p>
        </w:tc>
      </w:tr>
      <w:tr>
        <w:trPr>
          <w:trHeight w:val="382"/>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40" w:type="dxa"/>
            <w:vAlign w:val="bottom"/>
          </w:tcPr>
          <w:p>
            <w:pPr>
              <w:jc w:val="right"/>
              <w:ind w:right="1142"/>
              <w:spacing w:after="0"/>
              <w:rPr>
                <w:sz w:val="20"/>
                <w:szCs w:val="20"/>
                <w:color w:val="auto"/>
              </w:rPr>
            </w:pPr>
            <w:r>
              <w:rPr>
                <w:rFonts w:ascii="Times New Roman" w:cs="Times New Roman" w:eastAsia="Times New Roman" w:hAnsi="Times New Roman"/>
                <w:sz w:val="16"/>
                <w:szCs w:val="16"/>
                <w:color w:val="auto"/>
              </w:rPr>
              <w:t>65</w:t>
            </w: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74"/>
        </w:trPr>
        <w:tc>
          <w:tcPr>
            <w:tcW w:w="580" w:type="dxa"/>
            <w:vAlign w:val="bottom"/>
            <w:tcBorders>
              <w:bottom w:val="single" w:sz="8" w:color="EEEEEE"/>
            </w:tcBorders>
          </w:tcPr>
          <w:p>
            <w:pPr>
              <w:spacing w:after="0"/>
              <w:rPr>
                <w:sz w:val="24"/>
                <w:szCs w:val="24"/>
                <w:color w:val="auto"/>
              </w:rPr>
            </w:pPr>
          </w:p>
        </w:tc>
        <w:tc>
          <w:tcPr>
            <w:tcW w:w="456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4" w:right="680" w:bottom="1440" w:gutter="0" w:footer="0" w:header="0"/>
        </w:sectPr>
      </w:pPr>
    </w:p>
    <w:bookmarkStart w:id="65" w:name="page66"/>
    <w:bookmarkEnd w:id="65"/>
    <w:tbl>
      <w:tblPr>
        <w:tblLayout w:type="fixed"/>
        <w:tblInd w:w="580" w:type="dxa"/>
        <w:tblCellMar>
          <w:top w:w="0" w:type="dxa"/>
          <w:left w:w="0" w:type="dxa"/>
          <w:bottom w:w="0" w:type="dxa"/>
          <w:right w:w="0" w:type="dxa"/>
        </w:tblCellMar>
      </w:tblPr>
      <w:tr>
        <w:trPr>
          <w:trHeight w:val="19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USA Debusk, LLC - Delayed Draw &amp; Revolver</w:t>
            </w: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80" w:type="dxa"/>
            <w:vAlign w:val="bottom"/>
          </w:tcPr>
          <w:p>
            <w:pPr>
              <w:spacing w:after="0"/>
              <w:rPr>
                <w:sz w:val="16"/>
                <w:szCs w:val="16"/>
                <w:color w:val="auto"/>
              </w:rPr>
            </w:pPr>
          </w:p>
        </w:tc>
      </w:tr>
      <w:tr>
        <w:trPr>
          <w:trHeight w:val="180"/>
        </w:trPr>
        <w:tc>
          <w:tcPr>
            <w:tcW w:w="5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Varinem German Bidco GmbH - Delayed Draw</w:t>
            </w:r>
          </w:p>
        </w:tc>
        <w:tc>
          <w:tcPr>
            <w:tcW w:w="6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w:t>
            </w:r>
          </w:p>
        </w:tc>
      </w:tr>
      <w:tr>
        <w:trPr>
          <w:trHeight w:val="180"/>
        </w:trPr>
        <w:tc>
          <w:tcPr>
            <w:tcW w:w="5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Velocity Clinical Research, Inc. - Delayed Draw &amp; Revolver</w:t>
            </w:r>
          </w:p>
        </w:tc>
        <w:tc>
          <w:tcPr>
            <w:tcW w:w="64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41.0</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Wrangler Topco, LLC - Delayed Draw &amp; Revolver</w:t>
            </w:r>
          </w:p>
        </w:tc>
        <w:tc>
          <w:tcPr>
            <w:tcW w:w="6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20.1</w:t>
            </w: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32.4</w:t>
            </w:r>
          </w:p>
        </w:tc>
        <w:tc>
          <w:tcPr>
            <w:tcW w:w="80" w:type="dxa"/>
            <w:vAlign w:val="bottom"/>
            <w:shd w:val="clear" w:color="auto" w:fill="CFF0FC"/>
          </w:tcPr>
          <w:p>
            <w:pPr>
              <w:spacing w:after="0"/>
              <w:rPr>
                <w:sz w:val="15"/>
                <w:szCs w:val="15"/>
                <w:color w:val="auto"/>
              </w:rPr>
            </w:pPr>
          </w:p>
        </w:tc>
      </w:tr>
      <w:tr>
        <w:trPr>
          <w:trHeight w:val="180"/>
        </w:trPr>
        <w:tc>
          <w:tcPr>
            <w:tcW w:w="584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Total Portfolio Company Commitments </w:t>
            </w:r>
            <w:r>
              <w:rPr>
                <w:rFonts w:ascii="Times New Roman" w:cs="Times New Roman" w:eastAsia="Times New Roman" w:hAnsi="Times New Roman"/>
                <w:sz w:val="18"/>
                <w:szCs w:val="18"/>
                <w:b w:val="1"/>
                <w:bCs w:val="1"/>
                <w:color w:val="auto"/>
                <w:vertAlign w:val="superscript"/>
              </w:rPr>
              <w:t>(1)(2)</w:t>
            </w:r>
          </w:p>
        </w:tc>
        <w:tc>
          <w:tcPr>
            <w:tcW w:w="640" w:type="dxa"/>
            <w:vAlign w:val="bottom"/>
          </w:tcPr>
          <w:p>
            <w:pPr>
              <w:jc w:val="right"/>
              <w:ind w:right="4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877.9</w:t>
            </w:r>
          </w:p>
        </w:tc>
        <w:tc>
          <w:tcPr>
            <w:tcW w:w="90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1,050.4</w:t>
            </w:r>
          </w:p>
        </w:tc>
        <w:tc>
          <w:tcPr>
            <w:tcW w:w="80" w:type="dxa"/>
            <w:vAlign w:val="bottom"/>
          </w:tcPr>
          <w:p>
            <w:pPr>
              <w:spacing w:after="0"/>
              <w:rPr>
                <w:sz w:val="15"/>
                <w:szCs w:val="15"/>
                <w:color w:val="auto"/>
              </w:rPr>
            </w:pPr>
          </w:p>
        </w:tc>
      </w:tr>
      <w:tr>
        <w:trPr>
          <w:trHeight w:val="20"/>
        </w:trPr>
        <w:tc>
          <w:tcPr>
            <w:tcW w:w="58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4"/>
          <w:szCs w:val="14"/>
          <w:color w:val="auto"/>
        </w:rPr>
        <w:t>(1)Represents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rPr>
          <w:sz w:val="20"/>
          <w:szCs w:val="20"/>
          <w:color w:val="auto"/>
        </w:rPr>
      </w:pPr>
      <w:r>
        <w:rPr>
          <w:rFonts w:ascii="Times New Roman" w:cs="Times New Roman" w:eastAsia="Times New Roman" w:hAnsi="Times New Roman"/>
          <w:sz w:val="16"/>
          <w:szCs w:val="16"/>
          <w:color w:val="auto"/>
        </w:rPr>
        <w:t>(2)Our estimate of the fair value of the current investments in these portfolio companies includes an analysis of the fair value of any unfunded commitments.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 and Contingencies</w:t>
      </w:r>
    </w:p>
    <w:p>
      <w:pPr>
        <w:spacing w:after="0" w:line="192"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As of September 30, 2025 and December 31, 2024, we did not have any unfunded commitments to fund investments to new borrowers that were not current portfolio companies as of such date.</w:t>
      </w:r>
    </w:p>
    <w:p>
      <w:pPr>
        <w:spacing w:after="0" w:line="155" w:lineRule="exact"/>
        <w:rPr>
          <w:sz w:val="20"/>
          <w:szCs w:val="20"/>
          <w:color w:val="auto"/>
        </w:rPr>
      </w:pPr>
    </w:p>
    <w:p>
      <w:pPr>
        <w:ind w:right="40" w:firstLine="228"/>
        <w:spacing w:after="0" w:line="331" w:lineRule="auto"/>
        <w:rPr>
          <w:sz w:val="20"/>
          <w:szCs w:val="20"/>
          <w:color w:val="auto"/>
        </w:rPr>
      </w:pPr>
      <w:r>
        <w:rPr>
          <w:rFonts w:ascii="Times New Roman" w:cs="Times New Roman" w:eastAsia="Times New Roman" w:hAnsi="Times New Roman"/>
          <w:sz w:val="14"/>
          <w:szCs w:val="14"/>
          <w:color w:val="auto"/>
        </w:rPr>
        <w:t>From time to time, we may become a party to certain legal proceedings incidental to the normal course of our business. As of September 30, 2025 and December 31, 2024, management is not aware of any material pending or threatened litigation that would require accounting recognition or financial statement disclosure.</w:t>
      </w:r>
    </w:p>
    <w:p>
      <w:pPr>
        <w:spacing w:after="0" w:line="108"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55"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 summary of our contractual payment obligations as of September 30, 2025 is as follows:</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5"/>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8"/>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200" w:type="dxa"/>
            <w:vAlign w:val="bottom"/>
          </w:tcPr>
          <w:p>
            <w:pPr>
              <w:spacing w:after="0"/>
              <w:rPr>
                <w:sz w:val="24"/>
                <w:szCs w:val="24"/>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1-3 years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3-5 years</w:t>
            </w:r>
          </w:p>
        </w:tc>
        <w:tc>
          <w:tcPr>
            <w:tcW w:w="10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After 5 years</w:t>
            </w:r>
          </w:p>
        </w:tc>
      </w:tr>
      <w:tr>
        <w:trPr>
          <w:trHeight w:val="180"/>
        </w:trPr>
        <w:tc>
          <w:tcPr>
            <w:tcW w:w="4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Subscription Facility</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60.5</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60.5</w:t>
            </w:r>
          </w:p>
        </w:tc>
        <w:tc>
          <w:tcPr>
            <w:tcW w:w="3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ind w:left="7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2,495.6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2,495.6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7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2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ind w:left="7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January 2030 Notes</w:t>
            </w:r>
          </w:p>
        </w:tc>
        <w:tc>
          <w:tcPr>
            <w:tcW w:w="200" w:type="dxa"/>
            <w:vAlign w:val="bottom"/>
          </w:tcPr>
          <w:p>
            <w:pPr>
              <w:spacing w:after="0"/>
              <w:rPr>
                <w:sz w:val="15"/>
                <w:szCs w:val="15"/>
                <w:color w:val="auto"/>
              </w:rPr>
            </w:pPr>
          </w:p>
        </w:tc>
        <w:tc>
          <w:tcPr>
            <w:tcW w:w="8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5"/>
                <w:szCs w:val="15"/>
                <w:color w:val="auto"/>
              </w:rPr>
            </w:pPr>
          </w:p>
        </w:tc>
        <w:tc>
          <w:tcPr>
            <w:tcW w:w="960" w:type="dxa"/>
            <w:vAlign w:val="bottom"/>
            <w:gridSpan w:val="2"/>
          </w:tcPr>
          <w:p>
            <w:pPr>
              <w:ind w:left="7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2030 Notes</w:t>
            </w:r>
          </w:p>
        </w:tc>
        <w:tc>
          <w:tcPr>
            <w:tcW w:w="2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ind w:left="7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9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Total Contractual Obligations</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4,656.2</w:t>
            </w:r>
          </w:p>
        </w:tc>
        <w:tc>
          <w:tcPr>
            <w:tcW w:w="100" w:type="dxa"/>
            <w:vAlign w:val="bottom"/>
          </w:tcPr>
          <w:p>
            <w:pPr>
              <w:spacing w:after="0"/>
              <w:rPr>
                <w:sz w:val="15"/>
                <w:szCs w:val="15"/>
                <w:color w:val="auto"/>
              </w:rPr>
            </w:pPr>
          </w:p>
        </w:tc>
        <w:tc>
          <w:tcPr>
            <w:tcW w:w="2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60.5</w:t>
            </w:r>
          </w:p>
        </w:tc>
        <w:tc>
          <w:tcPr>
            <w:tcW w:w="3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4,595.6</w:t>
            </w:r>
          </w:p>
        </w:tc>
        <w:tc>
          <w:tcPr>
            <w:tcW w:w="20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ind w:left="7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85" w:right="680" w:bottom="1440" w:gutter="0" w:footer="0" w:header="0"/>
        </w:sectPr>
      </w:pPr>
    </w:p>
    <w:bookmarkStart w:id="66" w:name="page67"/>
    <w:bookmarkEnd w:id="66"/>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96" w:lineRule="exact"/>
        <w:rPr>
          <w:sz w:val="20"/>
          <w:szCs w:val="20"/>
          <w:color w:val="auto"/>
        </w:rPr>
      </w:pPr>
    </w:p>
    <w:p>
      <w:pPr>
        <w:ind w:right="540" w:firstLine="228"/>
        <w:spacing w:after="0" w:line="259" w:lineRule="auto"/>
        <w:rPr>
          <w:sz w:val="20"/>
          <w:szCs w:val="20"/>
          <w:color w:val="auto"/>
        </w:rPr>
      </w:pPr>
      <w:r>
        <w:rPr>
          <w:rFonts w:ascii="Times New Roman" w:cs="Times New Roman" w:eastAsia="Times New Roman" w:hAnsi="Times New Roman"/>
          <w:sz w:val="16"/>
          <w:szCs w:val="16"/>
          <w:color w:val="auto"/>
        </w:rPr>
        <w:t>We have elected and qualified to be treated for U.S. federal income tax purposes as a RIC under subchapter M of the Code. To maintain RIC status, we must distribute (or be treated as distributing) in each taxable year dividends for tax purposes equal to at least 90 percent of the sum of our:</w:t>
      </w:r>
    </w:p>
    <w:p>
      <w:pPr>
        <w:spacing w:after="0" w:line="59" w:lineRule="exact"/>
        <w:rPr>
          <w:sz w:val="20"/>
          <w:szCs w:val="20"/>
          <w:color w:val="auto"/>
        </w:rPr>
      </w:pPr>
    </w:p>
    <w:p>
      <w:pPr>
        <w:ind w:left="240" w:right="280"/>
        <w:spacing w:after="0" w:line="259" w:lineRule="auto"/>
        <w:rPr>
          <w:sz w:val="20"/>
          <w:szCs w:val="20"/>
          <w:color w:val="auto"/>
        </w:rPr>
      </w:pPr>
      <w:r>
        <w:rPr>
          <w:rFonts w:ascii="Times New Roman" w:cs="Times New Roman" w:eastAsia="Times New Roman" w:hAnsi="Times New Roman"/>
          <w:sz w:val="16"/>
          <w:szCs w:val="16"/>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•net tax-exempt interest income (which is the excess of our gross tax-exempt interest income over certain disallowed deductions) for such taxable year.</w:t>
      </w:r>
    </w:p>
    <w:p>
      <w:pPr>
        <w:spacing w:after="0" w:line="188"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As a RIC, we (but not our shareholders) generally will not be subject to U.S. federal income tax on investment company taxable income and net capital gains that we distribute to our shareholders.</w:t>
      </w:r>
    </w:p>
    <w:p>
      <w:pPr>
        <w:spacing w:after="0" w:line="155"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We intend to distribute annually all or substantially all of such income. To the extent that we retain our net capital gains or any investment company taxable income, we generally will be subject to corporate -level U.S. federal income tax. We may choose to retain our net capital gains or any investment company taxable income, and pay the U.S. federal excise tax described below.</w:t>
      </w:r>
    </w:p>
    <w:p>
      <w:pPr>
        <w:spacing w:after="0" w:line="164"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•98% of our net ordinary income excluding certain ordinary gains or losses for that calendar year;</w:t>
      </w:r>
    </w:p>
    <w:p>
      <w:pPr>
        <w:spacing w:after="0" w:line="92" w:lineRule="exact"/>
        <w:rPr>
          <w:sz w:val="20"/>
          <w:szCs w:val="20"/>
          <w:color w:val="auto"/>
        </w:rPr>
      </w:pPr>
    </w:p>
    <w:p>
      <w:pPr>
        <w:ind w:left="240" w:right="100"/>
        <w:spacing w:after="0" w:line="259" w:lineRule="auto"/>
        <w:rPr>
          <w:sz w:val="20"/>
          <w:szCs w:val="20"/>
          <w:color w:val="auto"/>
        </w:rPr>
      </w:pPr>
      <w:r>
        <w:rPr>
          <w:rFonts w:ascii="Times New Roman" w:cs="Times New Roman" w:eastAsia="Times New Roman" w:hAnsi="Times New Roman"/>
          <w:sz w:val="16"/>
          <w:szCs w:val="16"/>
          <w:color w:val="auto"/>
        </w:rPr>
        <w:t>•98.2% of our capital gain net income, adjusted for certain ordinary gains and losses, recognized for the twelve-month period ending on October 31 of that calendar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•100% of any income or gains recognized, but not distributed, in preceding years.</w:t>
      </w:r>
    </w:p>
    <w:p>
      <w:pPr>
        <w:spacing w:after="0" w:line="188" w:lineRule="exact"/>
        <w:rPr>
          <w:sz w:val="20"/>
          <w:szCs w:val="20"/>
          <w:color w:val="auto"/>
        </w:rPr>
      </w:pPr>
    </w:p>
    <w:p>
      <w:pPr>
        <w:jc w:val="both"/>
        <w:ind w:right="40" w:firstLine="228"/>
        <w:spacing w:after="0" w:line="247" w:lineRule="auto"/>
        <w:rPr>
          <w:sz w:val="20"/>
          <w:szCs w:val="20"/>
          <w:color w:val="auto"/>
        </w:rPr>
      </w:pPr>
      <w:r>
        <w:rPr>
          <w:rFonts w:ascii="Times New Roman" w:cs="Times New Roman" w:eastAsia="Times New Roman" w:hAnsi="Times New Roman"/>
          <w:sz w:val="16"/>
          <w:szCs w:val="16"/>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64" w:lineRule="exact"/>
        <w:rPr>
          <w:sz w:val="20"/>
          <w:szCs w:val="20"/>
          <w:color w:val="auto"/>
        </w:rPr>
      </w:pPr>
    </w:p>
    <w:p>
      <w:pPr>
        <w:jc w:val="both"/>
        <w:ind w:right="20" w:firstLine="228"/>
        <w:spacing w:after="0" w:line="247" w:lineRule="auto"/>
        <w:rPr>
          <w:sz w:val="20"/>
          <w:szCs w:val="20"/>
          <w:color w:val="auto"/>
        </w:rPr>
      </w:pPr>
      <w:r>
        <w:rPr>
          <w:rFonts w:ascii="Times New Roman" w:cs="Times New Roman" w:eastAsia="Times New Roman" w:hAnsi="Times New Roman"/>
          <w:sz w:val="16"/>
          <w:szCs w:val="16"/>
          <w:color w:val="auto"/>
        </w:rPr>
        <w:t>We intend to pay quarterly dividends to our shareholders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p>
    <w:p>
      <w:pPr>
        <w:spacing w:after="0" w:line="164" w:lineRule="exact"/>
        <w:rPr>
          <w:sz w:val="20"/>
          <w:szCs w:val="20"/>
          <w:color w:val="auto"/>
        </w:rPr>
      </w:pPr>
    </w:p>
    <w:p>
      <w:pPr>
        <w:jc w:val="both"/>
        <w:ind w:right="160" w:firstLine="228"/>
        <w:spacing w:after="0" w:line="243" w:lineRule="auto"/>
        <w:rPr>
          <w:sz w:val="20"/>
          <w:szCs w:val="20"/>
          <w:color w:val="auto"/>
        </w:rPr>
      </w:pPr>
      <w:r>
        <w:rPr>
          <w:rFonts w:ascii="Times New Roman" w:cs="Times New Roman" w:eastAsia="Times New Roman" w:hAnsi="Times New Roman"/>
          <w:sz w:val="16"/>
          <w:szCs w:val="16"/>
          <w:color w:val="auto"/>
        </w:rPr>
        <w:t>To the extent our current taxable earnings for a year fall below the total amount of our distributions for that year, a portion of those distributions may be deemed a return of capital to our shareholders for U.S. federal income tax purposes. Thus, the source of a distribution to our shareholders may be the original capital invested by the shareholder rather than our income or gains. Shareholders should read any written disclosure carefully and should not assume that the source of any distribution is our ordinary income or gains.</w:t>
      </w:r>
    </w:p>
    <w:p>
      <w:pPr>
        <w:spacing w:after="0" w:line="167"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We have adopted an “opt out” dividend reinvestment plan for our common shareholders. As a result, if we declare a cash dividend or other distribution, each shareholder that has not “opted out” of our dividend reinvestment plan will have their dividends or distributions automatically reinvested in additional shares of our Common Shares rather than receiving cash dividends. Shareholders who receive distributions in the form of Common Shares will be subject to the same U.S. federal, state and local tax consequences as if they received cash distributions.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Related-Party Transactions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have entered into a number of business relationships with affiliated or related parties, including the following: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Investment Advisory Agreement;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Administration Agreement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94"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Our critical accounting policies and estimates, including those relating to the valuation of our investment portfolio, are described in our Annual Report on Form 10-K for the fiscal year ended December 31, 2024, filed with the SEC on February 14, 2025, and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7" w:name="page68"/>
    <w:bookmarkEnd w:id="67"/>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elsewhere in our filings with the SEC. The critical accounting policies and estimates should be read in connection with our risk factors discussed in Part I, “Item 1A.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 Factors” in our Annual Report on Form 10-K for the fiscal year ended December 31, 2024.</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are subject to financial market risks, including valuation risk, interest rate risk and currency risk.</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Valuation Risk</w:t>
      </w:r>
    </w:p>
    <w:p>
      <w:pPr>
        <w:spacing w:after="0" w:line="96"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96"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6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We regularly measure our exposure to interest rate risk. We assess interest rate risk and manage our interest rate exposure on an ongoing basis by comparing our interest rate -sensitive assets to our interest rate-sensitive liabilities. Based on that review, we determine whether or not any hedging transactions are necessary to mitigate exposure to changes in interest rates.</w:t>
      </w:r>
    </w:p>
    <w:p>
      <w:pPr>
        <w:spacing w:after="0" w:line="344"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As of September 30, 2025, 96.6% of our debt investments based on fair value in our portfolio bore interest at floating rates, with 100% of these subject to interest rate floors. Our credit facilities also bear interest at floating rates, and in connection with our 2029 Notes, January 2030 Notes and July 2030 Notes, which bear interest at fixed rates, we entered into fixed-to-floating interest rate swaps in order to align the interest rates of our liabilities with our investment portfolio.</w:t>
      </w:r>
    </w:p>
    <w:p>
      <w:pPr>
        <w:spacing w:after="0" w:line="164" w:lineRule="exact"/>
        <w:rPr>
          <w:sz w:val="20"/>
          <w:szCs w:val="20"/>
          <w:color w:val="auto"/>
        </w:rPr>
      </w:pPr>
    </w:p>
    <w:p>
      <w:pPr>
        <w:ind w:right="480" w:firstLine="228"/>
        <w:spacing w:after="0" w:line="247" w:lineRule="auto"/>
        <w:rPr>
          <w:sz w:val="20"/>
          <w:szCs w:val="20"/>
          <w:color w:val="auto"/>
        </w:rPr>
      </w:pPr>
      <w:r>
        <w:rPr>
          <w:rFonts w:ascii="Times New Roman" w:cs="Times New Roman" w:eastAsia="Times New Roman" w:hAnsi="Times New Roman"/>
          <w:sz w:val="16"/>
          <w:szCs w:val="16"/>
          <w:color w:val="auto"/>
        </w:rPr>
        <w:t>Assuming that our Consolidated Balance Sheet as of September 30, 2025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Net Interest</w:t>
            </w:r>
          </w:p>
        </w:tc>
        <w:tc>
          <w:tcPr>
            <w:tcW w:w="0" w:type="dxa"/>
            <w:vAlign w:val="bottom"/>
          </w:tcPr>
          <w:p>
            <w:pPr>
              <w:spacing w:after="0"/>
              <w:rPr>
                <w:sz w:val="1"/>
                <w:szCs w:val="1"/>
                <w:color w:val="auto"/>
              </w:rPr>
            </w:pPr>
          </w:p>
        </w:tc>
      </w:tr>
      <w:tr>
        <w:trPr>
          <w:trHeight w:val="138"/>
        </w:trPr>
        <w:tc>
          <w:tcPr>
            <w:tcW w:w="2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Basis Point Change</w:t>
            </w:r>
          </w:p>
        </w:tc>
        <w:tc>
          <w:tcPr>
            <w:tcW w:w="1320" w:type="dxa"/>
            <w:vAlign w:val="bottom"/>
          </w:tcPr>
          <w:p>
            <w:pPr>
              <w:spacing w:after="0"/>
              <w:rPr>
                <w:sz w:val="14"/>
                <w:szCs w:val="14"/>
                <w:color w:val="auto"/>
              </w:rPr>
            </w:pPr>
          </w:p>
        </w:tc>
        <w:tc>
          <w:tcPr>
            <w:tcW w:w="118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180" w:type="dxa"/>
            <w:vAlign w:val="bottom"/>
          </w:tcPr>
          <w:p>
            <w:pPr>
              <w:spacing w:after="0"/>
              <w:rPr>
                <w:sz w:val="14"/>
                <w:szCs w:val="14"/>
                <w:color w:val="auto"/>
              </w:rPr>
            </w:pPr>
          </w:p>
        </w:tc>
        <w:tc>
          <w:tcPr>
            <w:tcW w:w="126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200" w:type="dxa"/>
            <w:vAlign w:val="bottom"/>
          </w:tcPr>
          <w:p>
            <w:pPr>
              <w:spacing w:after="0"/>
              <w:rPr>
                <w:sz w:val="14"/>
                <w:szCs w:val="14"/>
                <w:color w:val="auto"/>
              </w:rPr>
            </w:pPr>
          </w:p>
        </w:tc>
        <w:tc>
          <w:tcPr>
            <w:tcW w:w="960" w:type="dxa"/>
            <w:vAlign w:val="bottom"/>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0" w:type="dxa"/>
            <w:vAlign w:val="bottom"/>
          </w:tcPr>
          <w:p>
            <w:pPr>
              <w:spacing w:after="0"/>
              <w:rPr>
                <w:sz w:val="1"/>
                <w:szCs w:val="1"/>
                <w:color w:val="auto"/>
              </w:rPr>
            </w:pPr>
          </w:p>
        </w:tc>
      </w:tr>
      <w:tr>
        <w:trPr>
          <w:trHeight w:val="180"/>
        </w:trPr>
        <w:tc>
          <w:tcPr>
            <w:tcW w:w="2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Up 300 basis points</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220.2</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139.7</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80.5</w:t>
            </w:r>
          </w:p>
        </w:tc>
        <w:tc>
          <w:tcPr>
            <w:tcW w:w="0" w:type="dxa"/>
            <w:vAlign w:val="bottom"/>
          </w:tcPr>
          <w:p>
            <w:pPr>
              <w:spacing w:after="0"/>
              <w:rPr>
                <w:sz w:val="1"/>
                <w:szCs w:val="1"/>
                <w:color w:val="auto"/>
              </w:rPr>
            </w:pPr>
          </w:p>
        </w:tc>
      </w:tr>
      <w:tr>
        <w:trPr>
          <w:trHeight w:val="180"/>
        </w:trPr>
        <w:tc>
          <w:tcPr>
            <w:tcW w:w="2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Up 200 basis points</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146.8</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93.1</w:t>
            </w:r>
          </w:p>
        </w:tc>
        <w:tc>
          <w:tcPr>
            <w:tcW w:w="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53.7</w:t>
            </w:r>
          </w:p>
        </w:tc>
        <w:tc>
          <w:tcPr>
            <w:tcW w:w="0" w:type="dxa"/>
            <w:vAlign w:val="bottom"/>
          </w:tcPr>
          <w:p>
            <w:pPr>
              <w:spacing w:after="0"/>
              <w:rPr>
                <w:sz w:val="1"/>
                <w:szCs w:val="1"/>
                <w:color w:val="auto"/>
              </w:rPr>
            </w:pPr>
          </w:p>
        </w:tc>
      </w:tr>
      <w:tr>
        <w:trPr>
          <w:trHeight w:val="180"/>
        </w:trPr>
        <w:tc>
          <w:tcPr>
            <w:tcW w:w="2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Up 100 basis points</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23"/>
              <w:spacing w:after="0" w:line="180" w:lineRule="exact"/>
              <w:rPr>
                <w:sz w:val="20"/>
                <w:szCs w:val="20"/>
                <w:color w:val="auto"/>
              </w:rPr>
            </w:pPr>
            <w:r>
              <w:rPr>
                <w:rFonts w:ascii="Times New Roman" w:cs="Times New Roman" w:eastAsia="Times New Roman" w:hAnsi="Times New Roman"/>
                <w:sz w:val="16"/>
                <w:szCs w:val="16"/>
                <w:color w:val="auto"/>
              </w:rPr>
              <w:t>73.4</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43"/>
              <w:spacing w:after="0" w:line="180" w:lineRule="exact"/>
              <w:rPr>
                <w:sz w:val="20"/>
                <w:szCs w:val="20"/>
                <w:color w:val="auto"/>
              </w:rPr>
            </w:pPr>
            <w:r>
              <w:rPr>
                <w:rFonts w:ascii="Times New Roman" w:cs="Times New Roman" w:eastAsia="Times New Roman" w:hAnsi="Times New Roman"/>
                <w:sz w:val="16"/>
                <w:szCs w:val="16"/>
                <w:color w:val="auto"/>
              </w:rPr>
              <w:t>46.6</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180"/>
        </w:trPr>
        <w:tc>
          <w:tcPr>
            <w:tcW w:w="2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Down 25 basis points</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(18.3)</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80"/>
        </w:trPr>
        <w:tc>
          <w:tcPr>
            <w:tcW w:w="2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Down 50 basis points</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(36.7)</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(23.3)</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180"/>
        </w:trPr>
        <w:tc>
          <w:tcPr>
            <w:tcW w:w="2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Down 75 basis points</w:t>
            </w:r>
          </w:p>
        </w:tc>
        <w:tc>
          <w:tcPr>
            <w:tcW w:w="1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(55.0)</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(34.9)</w:t>
            </w:r>
          </w:p>
        </w:tc>
        <w:tc>
          <w:tcPr>
            <w:tcW w:w="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180"/>
        </w:trPr>
        <w:tc>
          <w:tcPr>
            <w:tcW w:w="2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Down 100 basis points</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(73.4)</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(46.6)</w:t>
            </w:r>
          </w:p>
        </w:tc>
        <w:tc>
          <w:tcPr>
            <w:tcW w:w="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64" w:lineRule="exact"/>
        <w:rPr>
          <w:sz w:val="20"/>
          <w:szCs w:val="20"/>
          <w:color w:val="auto"/>
        </w:rPr>
      </w:pPr>
    </w:p>
    <w:p>
      <w:pPr>
        <w:ind w:right="180" w:firstLine="228"/>
        <w:spacing w:after="0" w:line="299" w:lineRule="auto"/>
        <w:rPr>
          <w:sz w:val="20"/>
          <w:szCs w:val="20"/>
          <w:color w:val="auto"/>
        </w:rPr>
      </w:pPr>
      <w:r>
        <w:rPr>
          <w:rFonts w:ascii="Times New Roman" w:cs="Times New Roman" w:eastAsia="Times New Roman" w:hAnsi="Times New Roman"/>
          <w:sz w:val="14"/>
          <w:szCs w:val="14"/>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8" w:name="page69"/>
    <w:bookmarkEnd w:id="68"/>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Currency Risk</w:t>
      </w:r>
    </w:p>
    <w:p>
      <w:pPr>
        <w:spacing w:after="0" w:line="96" w:lineRule="exact"/>
        <w:rPr>
          <w:sz w:val="20"/>
          <w:szCs w:val="20"/>
          <w:color w:val="auto"/>
        </w:rPr>
      </w:pPr>
    </w:p>
    <w:p>
      <w:pPr>
        <w:ind w:right="140" w:firstLine="228"/>
        <w:spacing w:after="0" w:line="238" w:lineRule="auto"/>
        <w:rPr>
          <w:sz w:val="20"/>
          <w:szCs w:val="20"/>
          <w:color w:val="auto"/>
        </w:rPr>
      </w:pPr>
      <w:r>
        <w:rPr>
          <w:rFonts w:ascii="Times New Roman" w:cs="Times New Roman" w:eastAsia="Times New Roman" w:hAnsi="Times New Roman"/>
          <w:sz w:val="16"/>
          <w:szCs w:val="16"/>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Credit Facilities.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Credit Facilities, we may seek to utilize interest rate derivatives to hedge our exposure to changes in the associated rate.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90" w:lineRule="exact"/>
        <w:rPr>
          <w:sz w:val="20"/>
          <w:szCs w:val="20"/>
          <w:color w:val="auto"/>
        </w:rPr>
      </w:pPr>
    </w:p>
    <w:p>
      <w:pPr>
        <w:ind w:firstLine="228"/>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Evaluation of Disclosure Controls and Procedures. </w:t>
      </w:r>
      <w:r>
        <w:rPr>
          <w:rFonts w:ascii="Times New Roman" w:cs="Times New Roman" w:eastAsia="Times New Roman" w:hAnsi="Times New Roman"/>
          <w:sz w:val="16"/>
          <w:szCs w:val="16"/>
          <w:color w:val="auto"/>
        </w:rPr>
        <w:t>As of the end of the period covered by this report, we carried out an evaluation, under the supervision and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participation of our management, including our Chief Executive Officer and Chief Financial Officer, of the effectiveness of the design and operation of our disclosure controls and procedures (as defined in Rule 13a-15 under the Securities Exchange Act of 1934, as amended (the “Exchange Act”)). Any controls and procedures, no matter how well designed and operated, can provide only reasonable assurance of achieving the desired control objectives.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8" w:lineRule="exact"/>
        <w:rPr>
          <w:sz w:val="20"/>
          <w:szCs w:val="20"/>
          <w:color w:val="auto"/>
        </w:rPr>
      </w:pPr>
    </w:p>
    <w:p>
      <w:pPr>
        <w:ind w:right="100" w:firstLine="22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Changes in Internal Control over Financial Reporting. </w:t>
      </w:r>
      <w:r>
        <w:rPr>
          <w:rFonts w:ascii="Times New Roman" w:cs="Times New Roman" w:eastAsia="Times New Roman" w:hAnsi="Times New Roman"/>
          <w:sz w:val="16"/>
          <w:szCs w:val="16"/>
          <w:color w:val="auto"/>
        </w:rPr>
        <w:t>There have been no changes in our internal control over financial reporting that occurred during our most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recently completed fiscal quarter that have materially affected, or are reasonably likely to materially affect, our internal control over financial reporting.</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9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94" w:lineRule="exact"/>
        <w:rPr>
          <w:sz w:val="20"/>
          <w:szCs w:val="20"/>
          <w:color w:val="auto"/>
        </w:rPr>
      </w:pPr>
    </w:p>
    <w:p>
      <w:pPr>
        <w:jc w:val="both"/>
        <w:ind w:right="40" w:firstLine="228"/>
        <w:spacing w:after="0" w:line="243" w:lineRule="auto"/>
        <w:rPr>
          <w:sz w:val="20"/>
          <w:szCs w:val="20"/>
          <w:color w:val="auto"/>
        </w:rPr>
      </w:pPr>
      <w:r>
        <w:rPr>
          <w:rFonts w:ascii="Times New Roman" w:cs="Times New Roman" w:eastAsia="Times New Roman" w:hAnsi="Times New Roman"/>
          <w:sz w:val="16"/>
          <w:szCs w:val="16"/>
          <w:color w:val="auto"/>
        </w:rPr>
        <w:t>In addition to the other information set forth in this report, you should carefully consider the risk factors discussed in Part I, “Item 1A. Risk Factors” in our Annual Report on Form 10-K for the fiscal year ended December 31, 2024,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3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69" w:name="page70"/>
    <w:bookmarkEnd w:id="69"/>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9640" w:type="dxa"/>
            <w:vAlign w:val="bottom"/>
            <w:gridSpan w:val="7"/>
          </w:tcPr>
          <w:p>
            <w:pPr>
              <w:spacing w:after="0"/>
              <w:rPr>
                <w:rFonts w:ascii="Times New Roman" w:cs="Times New Roman" w:eastAsia="Times New Roman" w:hAnsi="Times New Roman"/>
                <w:sz w:val="16"/>
                <w:szCs w:val="16"/>
                <w:color w:val="0000FF"/>
                <w:w w:val="97"/>
              </w:rPr>
            </w:pPr>
            <w:hyperlink r:id="rId90">
              <w:r>
                <w:rPr>
                  <w:rFonts w:ascii="Times New Roman" w:cs="Times New Roman" w:eastAsia="Times New Roman" w:hAnsi="Times New Roman"/>
                  <w:sz w:val="16"/>
                  <w:szCs w:val="16"/>
                  <w:color w:val="0000FF"/>
                  <w:w w:val="97"/>
                </w:rPr>
                <w:t>Second Amended and Restated Declaration of Trust (incorporated by reference to Exhibit 3.1 to the Company’s Registration Statement on Form 10, filed</w:t>
              </w:r>
            </w:hyperlink>
          </w:p>
        </w:tc>
      </w:tr>
      <w:tr>
        <w:trPr>
          <w:trHeight w:val="160"/>
        </w:trPr>
        <w:tc>
          <w:tcPr>
            <w:tcW w:w="940" w:type="dxa"/>
            <w:vAlign w:val="bottom"/>
          </w:tcPr>
          <w:p>
            <w:pPr>
              <w:spacing w:after="0"/>
              <w:rPr>
                <w:sz w:val="13"/>
                <w:szCs w:val="13"/>
                <w:color w:val="auto"/>
              </w:rPr>
            </w:pPr>
          </w:p>
        </w:tc>
        <w:tc>
          <w:tcPr>
            <w:tcW w:w="9620" w:type="dxa"/>
            <w:vAlign w:val="bottom"/>
            <w:tcBorders>
              <w:top w:val="single" w:sz="8" w:color="0000EE"/>
            </w:tcBorders>
            <w:gridSpan w:val="6"/>
          </w:tcPr>
          <w:p>
            <w:pPr>
              <w:spacing w:after="0" w:line="160"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on August 22, 2022)</w:t>
              </w:r>
            </w:hyperlink>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4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7960" w:type="dxa"/>
            <w:vAlign w:val="bottom"/>
            <w:tcBorders>
              <w:bottom w:val="single" w:sz="8" w:color="0000EE"/>
            </w:tcBorders>
            <w:gridSpan w:val="3"/>
          </w:tcPr>
          <w:p>
            <w:pPr>
              <w:spacing w:after="0"/>
              <w:rPr>
                <w:rFonts w:ascii="Times New Roman" w:cs="Times New Roman" w:eastAsia="Times New Roman" w:hAnsi="Times New Roman"/>
                <w:sz w:val="16"/>
                <w:szCs w:val="16"/>
                <w:color w:val="0000FF"/>
                <w:w w:val="97"/>
              </w:rPr>
            </w:pPr>
            <w:hyperlink r:id="rId91">
              <w:r>
                <w:rPr>
                  <w:rFonts w:ascii="Times New Roman" w:cs="Times New Roman" w:eastAsia="Times New Roman" w:hAnsi="Times New Roman"/>
                  <w:sz w:val="16"/>
                  <w:szCs w:val="16"/>
                  <w:color w:val="0000FF"/>
                  <w:w w:val="97"/>
                </w:rPr>
                <w:t>Bylaws (incorporated by reference to Exhibit 3.2 to the Company’s Registration Statement on Form 10, filed on June 28, 2022)</w:t>
              </w:r>
            </w:hyperlink>
          </w:p>
        </w:tc>
        <w:tc>
          <w:tcPr>
            <w:tcW w:w="1680" w:type="dxa"/>
            <w:vAlign w:val="bottom"/>
            <w:gridSpan w:val="4"/>
          </w:tcPr>
          <w:p>
            <w:pPr>
              <w:spacing w:after="0"/>
              <w:rPr>
                <w:sz w:val="24"/>
                <w:szCs w:val="24"/>
                <w:color w:val="auto"/>
              </w:rPr>
            </w:pPr>
          </w:p>
        </w:tc>
      </w:tr>
      <w:tr>
        <w:trPr>
          <w:trHeight w:val="34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9640" w:type="dxa"/>
            <w:vAlign w:val="bottom"/>
            <w:tcBorders>
              <w:bottom w:val="single" w:sz="8" w:color="0000EE"/>
            </w:tcBorders>
            <w:gridSpan w:val="7"/>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Fourth Amendment to Senior Secured Credit Agreement, dated as of September 23, 2025, among Sixth Street Lending Partners, as Borrower, the Lenders</w:t>
              </w:r>
            </w:hyperlink>
          </w:p>
        </w:tc>
      </w:tr>
      <w:tr>
        <w:trPr>
          <w:trHeight w:val="160"/>
        </w:trPr>
        <w:tc>
          <w:tcPr>
            <w:tcW w:w="940" w:type="dxa"/>
            <w:vAlign w:val="bottom"/>
          </w:tcPr>
          <w:p>
            <w:pPr>
              <w:spacing w:after="0"/>
              <w:rPr>
                <w:sz w:val="13"/>
                <w:szCs w:val="13"/>
                <w:color w:val="auto"/>
              </w:rPr>
            </w:pPr>
          </w:p>
        </w:tc>
        <w:tc>
          <w:tcPr>
            <w:tcW w:w="9640" w:type="dxa"/>
            <w:vAlign w:val="bottom"/>
            <w:gridSpan w:val="7"/>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and Issuing Banks party thereto and Truist Bank, as Administrative Agent</w:t>
              </w:r>
            </w:hyperlink>
          </w:p>
        </w:tc>
      </w:tr>
      <w:tr>
        <w:trPr>
          <w:trHeight w:val="20"/>
        </w:trPr>
        <w:tc>
          <w:tcPr>
            <w:tcW w:w="940" w:type="dxa"/>
            <w:vAlign w:val="bottom"/>
          </w:tcPr>
          <w:p>
            <w:pPr>
              <w:spacing w:after="0" w:line="20" w:lineRule="exact"/>
              <w:rPr>
                <w:sz w:val="1"/>
                <w:szCs w:val="1"/>
                <w:color w:val="auto"/>
              </w:rPr>
            </w:pPr>
          </w:p>
        </w:tc>
        <w:tc>
          <w:tcPr>
            <w:tcW w:w="4620" w:type="dxa"/>
            <w:vAlign w:val="bottom"/>
            <w:gridSpan w:val="2"/>
            <w:shd w:val="clear" w:color="auto" w:fill="0000EE"/>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48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280" w:type="dxa"/>
            <w:vAlign w:val="bottom"/>
            <w:tcBorders>
              <w:bottom w:val="single" w:sz="8" w:color="0000EE"/>
            </w:tcBorders>
            <w:gridSpan w:val="5"/>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Executive Officer Pursuant to 18 U.S.C. Section 1350, as Adopted Pursuant to Section 302 of the Sarbanes-Oxley Act of 2002</w:t>
              </w:r>
            </w:hyperlink>
          </w:p>
        </w:tc>
        <w:tc>
          <w:tcPr>
            <w:tcW w:w="360" w:type="dxa"/>
            <w:vAlign w:val="bottom"/>
            <w:gridSpan w:val="2"/>
          </w:tcPr>
          <w:p>
            <w:pPr>
              <w:spacing w:after="0"/>
              <w:rPr>
                <w:sz w:val="24"/>
                <w:szCs w:val="24"/>
                <w:color w:val="auto"/>
              </w:rPr>
            </w:pPr>
          </w:p>
        </w:tc>
      </w:tr>
      <w:tr>
        <w:trPr>
          <w:trHeight w:val="34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240" w:type="dxa"/>
            <w:vAlign w:val="bottom"/>
            <w:tcBorders>
              <w:bottom w:val="single" w:sz="8" w:color="0000EE"/>
            </w:tcBorders>
            <w:gridSpan w:val="4"/>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Financial Officer Pursuant to 18 U.S.C. Section 1350, as Adopted Pursuant to Section 302 of the Sarbanes-Oxley Act of 2002</w:t>
              </w:r>
            </w:hyperlink>
          </w:p>
        </w:tc>
        <w:tc>
          <w:tcPr>
            <w:tcW w:w="400" w:type="dxa"/>
            <w:vAlign w:val="bottom"/>
            <w:gridSpan w:val="3"/>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6703695</wp:posOffset>
            </wp:positionH>
            <wp:positionV relativeFrom="paragraph">
              <wp:posOffset>-669925</wp:posOffset>
            </wp:positionV>
            <wp:extent cx="762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159" w:lineRule="exact"/>
        <w:rPr>
          <w:sz w:val="20"/>
          <w:szCs w:val="20"/>
          <w:color w:val="auto"/>
        </w:rPr>
      </w:pPr>
    </w:p>
    <w:p>
      <w:pPr>
        <w:ind w:left="940" w:hanging="934"/>
        <w:spacing w:after="0"/>
        <w:tabs>
          <w:tab w:leader="none" w:pos="940" w:val="left"/>
        </w:tabs>
        <w:numPr>
          <w:ilvl w:val="0"/>
          <w:numId w:val="12"/>
        </w:numPr>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CEO and CFO Pursuant to 18 U.S.C. Section 1350, as Adopted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-8890</wp:posOffset>
            </wp:positionV>
            <wp:extent cx="552577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5525770" cy="762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7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7"/>
              </w:rPr>
              <w:t>Inline XBRL Instance Document - the instance document does not appear in the Interactive Data File because XBRL tags are embedded within the Inline</w:t>
            </w:r>
          </w:p>
        </w:tc>
      </w:tr>
      <w:tr>
        <w:trPr>
          <w:trHeight w:val="180"/>
        </w:trPr>
        <w:tc>
          <w:tcPr>
            <w:tcW w:w="760" w:type="dxa"/>
            <w:vAlign w:val="bottom"/>
          </w:tcPr>
          <w:p>
            <w:pPr>
              <w:spacing w:after="0"/>
              <w:rPr>
                <w:sz w:val="15"/>
                <w:szCs w:val="15"/>
                <w:color w:val="auto"/>
              </w:rPr>
            </w:pPr>
          </w:p>
        </w:tc>
        <w:tc>
          <w:tcPr>
            <w:tcW w:w="9760" w:type="dxa"/>
            <w:vAlign w:val="bottom"/>
          </w:tcPr>
          <w:p>
            <w:pPr>
              <w:ind w:left="180"/>
              <w:spacing w:after="0" w:line="180" w:lineRule="exact"/>
              <w:rPr>
                <w:sz w:val="20"/>
                <w:szCs w:val="20"/>
                <w:color w:val="auto"/>
              </w:rPr>
            </w:pPr>
            <w:r>
              <w:rPr>
                <w:rFonts w:ascii="Times New Roman" w:cs="Times New Roman" w:eastAsia="Times New Roman" w:hAnsi="Times New Roman"/>
                <w:sz w:val="16"/>
                <w:szCs w:val="16"/>
                <w:color w:val="auto"/>
              </w:rPr>
              <w:t>XBRL document.</w:t>
            </w:r>
          </w:p>
        </w:tc>
      </w:tr>
      <w:tr>
        <w:trPr>
          <w:trHeight w:val="198"/>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r>
    </w:tbl>
    <w:p>
      <w:pPr>
        <w:ind w:left="5200" w:right="4620" w:hanging="5194"/>
        <w:spacing w:after="0" w:line="638" w:lineRule="auto"/>
        <w:tabs>
          <w:tab w:leader="none" w:pos="93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680085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54" w:lineRule="exact"/>
        <w:rPr>
          <w:sz w:val="20"/>
          <w:szCs w:val="20"/>
          <w:color w:val="auto"/>
        </w:rPr>
      </w:pPr>
    </w:p>
    <w:p>
      <w:pPr>
        <w:ind w:right="620" w:firstLine="22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7180" w:type="dxa"/>
            <w:vAlign w:val="bottom"/>
            <w:gridSpan w:val="2"/>
          </w:tcPr>
          <w:p>
            <w:pPr>
              <w:ind w:left="2860"/>
              <w:spacing w:after="0"/>
              <w:rPr>
                <w:sz w:val="20"/>
                <w:szCs w:val="20"/>
                <w:color w:val="auto"/>
              </w:rPr>
            </w:pPr>
            <w:r>
              <w:rPr>
                <w:rFonts w:ascii="Times New Roman" w:cs="Times New Roman" w:eastAsia="Times New Roman" w:hAnsi="Times New Roman"/>
                <w:sz w:val="16"/>
                <w:szCs w:val="16"/>
                <w:color w:val="auto"/>
              </w:rPr>
              <w:t>Sixth Street Lending Partners</w:t>
            </w:r>
          </w:p>
        </w:tc>
      </w:tr>
      <w:tr>
        <w:trPr>
          <w:trHeight w:val="385"/>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5, 2025</w:t>
            </w:r>
          </w:p>
        </w:tc>
        <w:tc>
          <w:tcPr>
            <w:tcW w:w="32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By:</w:t>
            </w: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 Joshua Easterly</w:t>
            </w:r>
          </w:p>
        </w:tc>
      </w:tr>
      <w:tr>
        <w:trPr>
          <w:trHeight w:val="180"/>
        </w:trPr>
        <w:tc>
          <w:tcPr>
            <w:tcW w:w="33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9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Joshua Easterly</w:t>
            </w:r>
          </w:p>
        </w:tc>
      </w:tr>
      <w:tr>
        <w:trPr>
          <w:trHeight w:val="180"/>
        </w:trPr>
        <w:tc>
          <w:tcPr>
            <w:tcW w:w="33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9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Chief Executive Officer</w:t>
            </w:r>
          </w:p>
        </w:tc>
      </w:tr>
      <w:tr>
        <w:trPr>
          <w:trHeight w:val="203"/>
        </w:trPr>
        <w:tc>
          <w:tcPr>
            <w:tcW w:w="33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385"/>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5, 2025</w:t>
            </w:r>
          </w:p>
        </w:tc>
        <w:tc>
          <w:tcPr>
            <w:tcW w:w="32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By:</w:t>
            </w: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 Ian Simmonds</w:t>
            </w:r>
          </w:p>
        </w:tc>
      </w:tr>
      <w:tr>
        <w:trPr>
          <w:trHeight w:val="180"/>
        </w:trPr>
        <w:tc>
          <w:tcPr>
            <w:tcW w:w="33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9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Ian Simmonds</w:t>
            </w:r>
          </w:p>
        </w:tc>
      </w:tr>
      <w:tr>
        <w:trPr>
          <w:trHeight w:val="180"/>
        </w:trPr>
        <w:tc>
          <w:tcPr>
            <w:tcW w:w="33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96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33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552"/>
        </w:trPr>
        <w:tc>
          <w:tcPr>
            <w:tcW w:w="3380" w:type="dxa"/>
            <w:vAlign w:val="bottom"/>
          </w:tcPr>
          <w:p>
            <w:pPr>
              <w:spacing w:after="0"/>
              <w:rPr>
                <w:sz w:val="24"/>
                <w:szCs w:val="24"/>
                <w:color w:val="auto"/>
              </w:rPr>
            </w:pPr>
          </w:p>
        </w:tc>
        <w:tc>
          <w:tcPr>
            <w:tcW w:w="3220" w:type="dxa"/>
            <w:vAlign w:val="bottom"/>
          </w:tcPr>
          <w:p>
            <w:pPr>
              <w:jc w:val="right"/>
              <w:ind w:right="1162"/>
              <w:spacing w:after="0"/>
              <w:rPr>
                <w:sz w:val="20"/>
                <w:szCs w:val="20"/>
                <w:color w:val="auto"/>
              </w:rPr>
            </w:pPr>
            <w:r>
              <w:rPr>
                <w:rFonts w:ascii="Times New Roman" w:cs="Times New Roman" w:eastAsia="Times New Roman" w:hAnsi="Times New Roman"/>
                <w:sz w:val="16"/>
                <w:szCs w:val="16"/>
                <w:color w:val="auto"/>
              </w:rPr>
              <w:t>71</w:t>
            </w:r>
          </w:p>
        </w:tc>
        <w:tc>
          <w:tcPr>
            <w:tcW w:w="3960" w:type="dxa"/>
            <w:vAlign w:val="bottom"/>
          </w:tcPr>
          <w:p>
            <w:pPr>
              <w:spacing w:after="0"/>
              <w:rPr>
                <w:sz w:val="24"/>
                <w:szCs w:val="24"/>
                <w:color w:val="auto"/>
              </w:rPr>
            </w:pPr>
          </w:p>
        </w:tc>
      </w:tr>
      <w:tr>
        <w:trPr>
          <w:trHeight w:val="674"/>
        </w:trPr>
        <w:tc>
          <w:tcPr>
            <w:tcW w:w="3380" w:type="dxa"/>
            <w:vAlign w:val="bottom"/>
            <w:tcBorders>
              <w:bottom w:val="single" w:sz="8" w:color="EEEEEE"/>
            </w:tcBorders>
          </w:tcPr>
          <w:p>
            <w:pPr>
              <w:spacing w:after="0"/>
              <w:rPr>
                <w:sz w:val="24"/>
                <w:szCs w:val="24"/>
                <w:color w:val="auto"/>
              </w:rPr>
            </w:pPr>
          </w:p>
        </w:tc>
        <w:tc>
          <w:tcPr>
            <w:tcW w:w="3220" w:type="dxa"/>
            <w:vAlign w:val="bottom"/>
            <w:tcBorders>
              <w:bottom w:val="single" w:sz="8" w:color="EEEEEE"/>
            </w:tcBorders>
          </w:tcPr>
          <w:p>
            <w:pPr>
              <w:spacing w:after="0"/>
              <w:rPr>
                <w:sz w:val="24"/>
                <w:szCs w:val="24"/>
                <w:color w:val="auto"/>
              </w:rPr>
            </w:pPr>
          </w:p>
        </w:tc>
        <w:tc>
          <w:tcPr>
            <w:tcW w:w="39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3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9"/>
          <w:szCs w:val="19"/>
          <w:b w:val="1"/>
          <w:bCs w:val="1"/>
          <w:color w:val="auto"/>
        </w:rPr>
        <w:t>EXECUTION COPY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FOURTH AMENDMENT TO SENIOR SECURED REVOLVING CREDIT AGREEMENT</w:t>
      </w:r>
    </w:p>
    <w:p>
      <w:pPr>
        <w:spacing w:after="0" w:line="238" w:lineRule="exact"/>
        <w:rPr>
          <w:sz w:val="20"/>
          <w:szCs w:val="20"/>
          <w:color w:val="auto"/>
        </w:rPr>
      </w:pPr>
    </w:p>
    <w:p>
      <w:pPr>
        <w:ind w:right="140" w:firstLine="696"/>
        <w:spacing w:after="0" w:line="257" w:lineRule="auto"/>
        <w:rPr>
          <w:sz w:val="20"/>
          <w:szCs w:val="20"/>
          <w:color w:val="auto"/>
        </w:rPr>
      </w:pPr>
      <w:r>
        <w:rPr>
          <w:rFonts w:ascii="Times New Roman" w:cs="Times New Roman" w:eastAsia="Times New Roman" w:hAnsi="Times New Roman"/>
          <w:sz w:val="19"/>
          <w:szCs w:val="19"/>
          <w:color w:val="auto"/>
        </w:rPr>
        <w:t>THIS FOURTH AMENDMENT TO SENIOR SECURED REVOLVING CREDIT AGREEMENT, dated as of September 23, 2025 (this “Amendment”), to the Existing Credit Agreement (capitalized terms used herein and not otherwise defined shall have the meanings given to such terms in Article I) is among SIXTH STREET LENDING PARTNERS, a Delaware statutory trust (the “Borrower”), the LENDERS and ISSUING BANKS party hereto, solely with respect to Section 5.8 herein, SSLP LENDING, LLC and SIXTH STREET LP HOLDING II, LLC (the “Subsidiary Guarantors”) and TRUIST BANK, as Administrative Agent (the “Administrative Agent”) and, solely with respect to Section 5.10 herein, as Collateral Agent (in such capacity, the “Collateral Agent”).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 I T N E S S E T H:</w:t>
      </w:r>
    </w:p>
    <w:p>
      <w:pPr>
        <w:spacing w:after="0" w:line="202" w:lineRule="exact"/>
        <w:rPr>
          <w:sz w:val="20"/>
          <w:szCs w:val="20"/>
          <w:color w:val="auto"/>
        </w:rPr>
      </w:pPr>
    </w:p>
    <w:p>
      <w:pPr>
        <w:ind w:firstLine="696"/>
        <w:spacing w:after="0" w:line="256" w:lineRule="auto"/>
        <w:rPr>
          <w:sz w:val="20"/>
          <w:szCs w:val="20"/>
          <w:color w:val="auto"/>
        </w:rPr>
      </w:pPr>
      <w:r>
        <w:rPr>
          <w:rFonts w:ascii="Times New Roman" w:cs="Times New Roman" w:eastAsia="Times New Roman" w:hAnsi="Times New Roman"/>
          <w:sz w:val="19"/>
          <w:szCs w:val="19"/>
          <w:color w:val="auto"/>
        </w:rPr>
        <w:t>WHEREAS, the Borrower, the Lenders party hereto and the Administrative Agent are parties to the Senior Secured Revolving Credit Agreement, dated as of January 19, 2023 (as amended by that certain First Amendment to Senior Secured Revolving Credit Agreement, dated as of February 8, 2024, by that certain Second Amendment to Senior Secured Revolving Credit Agreement, dated as of May 23, 2024, and by that certain Third Amendment to Senior Secured Revolving Credit Agreement and First Amendment to Guarantee and Security Agreement, dated as of March 4, 2025 (the “Existing Credit Agreement”), and as amended by this Amendment and as the same may be further amended, restated, supplemented, amended and restated or otherwise modified from time to time, the “Credit Agreement”);</w:t>
      </w:r>
    </w:p>
    <w:p>
      <w:pPr>
        <w:spacing w:after="0" w:line="157" w:lineRule="exact"/>
        <w:rPr>
          <w:sz w:val="20"/>
          <w:szCs w:val="20"/>
          <w:color w:val="auto"/>
        </w:rPr>
      </w:pPr>
    </w:p>
    <w:p>
      <w:pPr>
        <w:ind w:right="80" w:firstLine="696"/>
        <w:spacing w:after="0" w:line="268" w:lineRule="auto"/>
        <w:rPr>
          <w:sz w:val="20"/>
          <w:szCs w:val="20"/>
          <w:color w:val="auto"/>
        </w:rPr>
      </w:pPr>
      <w:r>
        <w:rPr>
          <w:rFonts w:ascii="Times New Roman" w:cs="Times New Roman" w:eastAsia="Times New Roman" w:hAnsi="Times New Roman"/>
          <w:sz w:val="19"/>
          <w:szCs w:val="19"/>
          <w:color w:val="auto"/>
        </w:rPr>
        <w:t>WHEREAS, the Borrower has requested that the Lenders agree to amend the Existing Credit Agreement, and the Lenders party hereto are willing, on the terms and subject to the conditions hereinafter set forth, to agree to the amendment set forth below and the other terms hereof; and</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NOW, THEREFORE, the parties hereto hereby covenant and agree as follows:</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I</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DEFINITIONS</w:t>
      </w:r>
    </w:p>
    <w:p>
      <w:pPr>
        <w:spacing w:after="0" w:line="202" w:lineRule="exact"/>
        <w:rPr>
          <w:sz w:val="20"/>
          <w:szCs w:val="20"/>
          <w:color w:val="auto"/>
        </w:rPr>
      </w:pPr>
    </w:p>
    <w:p>
      <w:pPr>
        <w:ind w:right="420" w:firstLine="696"/>
        <w:spacing w:after="0" w:line="286" w:lineRule="auto"/>
        <w:rPr>
          <w:sz w:val="20"/>
          <w:szCs w:val="20"/>
          <w:color w:val="auto"/>
        </w:rPr>
      </w:pPr>
      <w:r>
        <w:rPr>
          <w:rFonts w:ascii="Times New Roman" w:cs="Times New Roman" w:eastAsia="Times New Roman" w:hAnsi="Times New Roman"/>
          <w:sz w:val="19"/>
          <w:szCs w:val="19"/>
          <w:color w:val="auto"/>
        </w:rPr>
        <w:t>SECTION 1.1. Certain Definitions. The following terms when used in this Amendment shall have the following meanings (such meanings to be equally applicable to the singular and plural forms thereof):</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“Amendment” is defined in the preamble.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“Borrower” is defined in the preamble.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“Collateral Agent” is defined in the preamble.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“Credit Agreement” is defined in the first recital.</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“Existing Credit Agreement” is defined in the first recital.</w:t>
      </w: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547370</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72" w:name="page73"/>
    <w:bookmarkEnd w:id="72"/>
    <w:p>
      <w:pPr>
        <w:spacing w:after="0" w:line="2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“Fourth Amendment Effective Date” is defined in Article IV.</w:t>
      </w:r>
    </w:p>
    <w:p>
      <w:pPr>
        <w:spacing w:after="0" w:line="202" w:lineRule="exact"/>
        <w:rPr>
          <w:sz w:val="20"/>
          <w:szCs w:val="20"/>
          <w:color w:val="auto"/>
        </w:rPr>
      </w:pPr>
    </w:p>
    <w:p>
      <w:pPr>
        <w:ind w:right="320" w:firstLine="696"/>
        <w:spacing w:after="0" w:line="286" w:lineRule="auto"/>
        <w:rPr>
          <w:sz w:val="20"/>
          <w:szCs w:val="20"/>
          <w:color w:val="auto"/>
        </w:rPr>
      </w:pPr>
      <w:r>
        <w:rPr>
          <w:rFonts w:ascii="Times New Roman" w:cs="Times New Roman" w:eastAsia="Times New Roman" w:hAnsi="Times New Roman"/>
          <w:sz w:val="19"/>
          <w:szCs w:val="19"/>
          <w:color w:val="auto"/>
        </w:rPr>
        <w:t>SECTION 1.2. Other Definitions. Capitalized terms for which meanings are provided in the Existing Credit Agreement are, unless otherwise defined herein or the context otherwise requires, used in this Amendment with such meanings.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II</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JOINDER OF NEW LENDERS</w:t>
      </w:r>
    </w:p>
    <w:p>
      <w:pPr>
        <w:spacing w:after="0" w:line="202" w:lineRule="exact"/>
        <w:rPr>
          <w:sz w:val="20"/>
          <w:szCs w:val="20"/>
          <w:color w:val="auto"/>
        </w:rPr>
      </w:pPr>
    </w:p>
    <w:p>
      <w:pPr>
        <w:ind w:firstLine="696"/>
        <w:spacing w:after="0" w:line="252" w:lineRule="auto"/>
        <w:rPr>
          <w:sz w:val="20"/>
          <w:szCs w:val="20"/>
          <w:color w:val="auto"/>
        </w:rPr>
      </w:pPr>
      <w:r>
        <w:rPr>
          <w:rFonts w:ascii="Times New Roman" w:cs="Times New Roman" w:eastAsia="Times New Roman" w:hAnsi="Times New Roman"/>
          <w:sz w:val="19"/>
          <w:szCs w:val="19"/>
          <w:color w:val="auto"/>
        </w:rPr>
        <w:t>SECTION 2.1. New Lenders. Subject to the occurrence of the Fourth Amendment Effective Date (as hereinafter defined), each of the parties hereto hereby agrees that each of the Lenders (including certain existing Lenders becoming a Lender with a new Class of Commitment) listed on Schedule I hereto (each, a “New Lender” and, collectively, the “New Lenders”) will (and does hereby) become a “Lender”, a “Revolving Lender” and/or a “Term Lender”, as applicable, under and for all purposes of the Credit Agreement with a Commitment in the Class and amount as set forth on Schedule I hereto and each New Lender hereby agrees to be bound by and comply with all of the terms and provisions of the Credit Agreement applicable to it as a “Lender”, a “Revolving Lender” and/or a “Term Lender”, as applicable, thereunder and to perform all of the obligations which by the terms of the Credit Agreement are required to be performed by it as a Lender, a Revolving Lender and/or a Term Lender, as applicable. Each New Lender represents and warrants that it has full power and authority, and has taken all action necessary, to execute this Amendment and to consummate the transactions contemplated hereby and to become a Lender, a Revolving Lender and/or a Term Lender under the Credit Agreement. Each New Lender hereby acknowledges and agrees that (i) no Lender nor the Administrative Agent has made any representations or warranties or assumed any responsibility with respect to (A) any statements, warranties or representations made by any Obligor in or in connection with this Amendment, the Credit Agreement or any other Loan Document or, with respect to any Obligor, the execution, legality, validity, enforceability, genuineness or sufficiency of this Amendment, the Credit Agreement or any other Loan Document or (B) the financial condition of any Obligor or the performance by any Obligor of its obligations hereunder or under the Credit Agreement or any other Loan Document; (ii) it has received such information as it has deemed appropriate to make its own credit analysis and decision to enter into this Amendment; and (iii) it has made and continues to make its own credit decisions in taking or not taking action under the Loan Documents, independently and without reliance upon the Administrative Agent or any other Lender.</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III</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AMENDMENTS TO EXISTING CREDIT AGREEMENT</w:t>
      </w:r>
    </w:p>
    <w:p>
      <w:pPr>
        <w:spacing w:after="0" w:line="202" w:lineRule="exact"/>
        <w:rPr>
          <w:sz w:val="20"/>
          <w:szCs w:val="20"/>
          <w:color w:val="auto"/>
        </w:rPr>
      </w:pPr>
    </w:p>
    <w:p>
      <w:pPr>
        <w:ind w:right="60" w:firstLine="696"/>
        <w:spacing w:after="0" w:line="262" w:lineRule="auto"/>
        <w:rPr>
          <w:sz w:val="20"/>
          <w:szCs w:val="20"/>
          <w:color w:val="auto"/>
        </w:rPr>
      </w:pPr>
      <w:r>
        <w:rPr>
          <w:rFonts w:ascii="Times New Roman" w:cs="Times New Roman" w:eastAsia="Times New Roman" w:hAnsi="Times New Roman"/>
          <w:sz w:val="19"/>
          <w:szCs w:val="19"/>
          <w:color w:val="auto"/>
        </w:rPr>
        <w:t xml:space="preserve">SECTION 3.1. The parties hereto hereby agree that the Existing Credit Agreement (excluding the Exhibits and Schedules thereto) is amended to delete the stricken text (indicated textually in the same manner as the following example: </w:t>
      </w:r>
      <w:r>
        <w:rPr>
          <w:rFonts w:ascii="Times New Roman" w:cs="Times New Roman" w:eastAsia="Times New Roman" w:hAnsi="Times New Roman"/>
          <w:sz w:val="19"/>
          <w:szCs w:val="19"/>
          <w:color w:val="FF0000"/>
          <w:strike w:val="1"/>
        </w:rPr>
        <w:t>stricken text</w:t>
      </w:r>
      <w:r>
        <w:rPr>
          <w:rFonts w:ascii="Times New Roman" w:cs="Times New Roman" w:eastAsia="Times New Roman" w:hAnsi="Times New Roman"/>
          <w:sz w:val="19"/>
          <w:szCs w:val="19"/>
          <w:color w:val="auto"/>
        </w:rPr>
        <w:t xml:space="preserve">) and to add the double-underlined text (indicated textually in the same manner as the following example: </w:t>
      </w:r>
      <w:r>
        <w:rPr>
          <w:rFonts w:ascii="Times New Roman" w:cs="Times New Roman" w:eastAsia="Times New Roman" w:hAnsi="Times New Roman"/>
          <w:sz w:val="18"/>
          <w:szCs w:val="18"/>
          <w:color w:val="0000FF"/>
        </w:rPr>
        <w:t>double-underlined text</w:t>
      </w:r>
      <w:r>
        <w:rPr>
          <w:rFonts w:ascii="Times New Roman" w:cs="Times New Roman" w:eastAsia="Times New Roman" w:hAnsi="Times New Roman"/>
          <w:sz w:val="19"/>
          <w:szCs w:val="19"/>
          <w:color w:val="auto"/>
        </w:rPr>
        <w:t>) as set forth in the pages attached as Exhibit A hereto.</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2</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538480</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3" w:name="page74"/>
    <w:bookmarkEnd w:id="73"/>
    <w:p>
      <w:pPr>
        <w:spacing w:after="0" w:line="200" w:lineRule="exact"/>
        <w:rPr>
          <w:sz w:val="20"/>
          <w:szCs w:val="20"/>
          <w:color w:val="auto"/>
        </w:rPr>
      </w:pPr>
    </w:p>
    <w:p>
      <w:pPr>
        <w:spacing w:after="0" w:line="261" w:lineRule="exact"/>
        <w:rPr>
          <w:sz w:val="20"/>
          <w:szCs w:val="20"/>
          <w:color w:val="auto"/>
        </w:rPr>
      </w:pPr>
    </w:p>
    <w:p>
      <w:pPr>
        <w:ind w:right="80" w:firstLine="696"/>
        <w:spacing w:after="0" w:line="286" w:lineRule="auto"/>
        <w:rPr>
          <w:sz w:val="20"/>
          <w:szCs w:val="20"/>
          <w:color w:val="auto"/>
        </w:rPr>
      </w:pPr>
      <w:r>
        <w:rPr>
          <w:rFonts w:ascii="Times New Roman" w:cs="Times New Roman" w:eastAsia="Times New Roman" w:hAnsi="Times New Roman"/>
          <w:sz w:val="19"/>
          <w:szCs w:val="19"/>
          <w:color w:val="auto"/>
        </w:rPr>
        <w:t>SECTION 3.2. The parties hereto hereby agree that Schedule 1.01(b) of the Existing Credit Agreement is amended and restated in its entirety in the form of Exhibit B attached hereto.</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IV</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CONDITIONS TO EFFECTIVENESS</w:t>
      </w:r>
    </w:p>
    <w:p>
      <w:pPr>
        <w:spacing w:after="0" w:line="202" w:lineRule="exact"/>
        <w:rPr>
          <w:sz w:val="20"/>
          <w:szCs w:val="20"/>
          <w:color w:val="auto"/>
        </w:rPr>
      </w:pPr>
    </w:p>
    <w:p>
      <w:pPr>
        <w:ind w:right="120" w:firstLine="696"/>
        <w:spacing w:after="0" w:line="262" w:lineRule="auto"/>
        <w:rPr>
          <w:sz w:val="20"/>
          <w:szCs w:val="20"/>
          <w:color w:val="auto"/>
        </w:rPr>
      </w:pPr>
      <w:r>
        <w:rPr>
          <w:rFonts w:ascii="Times New Roman" w:cs="Times New Roman" w:eastAsia="Times New Roman" w:hAnsi="Times New Roman"/>
          <w:sz w:val="19"/>
          <w:szCs w:val="19"/>
          <w:color w:val="auto"/>
        </w:rPr>
        <w:t>SECTION 4.1. Effective Date. This Amendment shall become effective on the date (the “Fourth Amendment Effective Date”) when the Administrative Agent shall have received (a) counterparts of this Amendment duly executed and delivered on behalf of the Borrower and each of the Lenders party hereto and (b) for the benefit of Administrative Agent and each of the Lenders party hereto, as applicable, fees and expenses owing by the Borrower in connection with this Amendment as of the date hereof.</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V</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MISCELLANEOUS</w:t>
      </w:r>
    </w:p>
    <w:p>
      <w:pPr>
        <w:spacing w:after="0" w:line="202"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SECTION 5.1. Representations. The Borrower hereby represents and warrants that (i) this Amendment constitutes a legal, valid and binding obligation of it, enforceable against it in accordance with its terms, (ii)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60" w:lineRule="exact"/>
        <w:rPr>
          <w:sz w:val="20"/>
          <w:szCs w:val="20"/>
          <w:color w:val="auto"/>
        </w:rPr>
      </w:pPr>
    </w:p>
    <w:p>
      <w:pPr>
        <w:ind w:right="240" w:firstLine="696"/>
        <w:spacing w:after="0" w:line="286" w:lineRule="auto"/>
        <w:rPr>
          <w:sz w:val="20"/>
          <w:szCs w:val="20"/>
          <w:color w:val="auto"/>
        </w:rPr>
      </w:pPr>
      <w:r>
        <w:rPr>
          <w:rFonts w:ascii="Times New Roman" w:cs="Times New Roman" w:eastAsia="Times New Roman" w:hAnsi="Times New Roman"/>
          <w:sz w:val="19"/>
          <w:szCs w:val="19"/>
          <w:color w:val="auto"/>
        </w:rPr>
        <w:t>SECTION 5.2. Cross -References. References in this Amendment to any Article or Section are, unless otherwise specified, to such Article or Section of this Amendment.</w:t>
      </w:r>
    </w:p>
    <w:p>
      <w:pPr>
        <w:spacing w:after="0" w:line="127" w:lineRule="exact"/>
        <w:rPr>
          <w:sz w:val="20"/>
          <w:szCs w:val="20"/>
          <w:color w:val="auto"/>
        </w:rPr>
      </w:pPr>
    </w:p>
    <w:p>
      <w:pPr>
        <w:ind w:right="300" w:firstLine="696"/>
        <w:spacing w:after="0" w:line="262" w:lineRule="auto"/>
        <w:rPr>
          <w:sz w:val="20"/>
          <w:szCs w:val="20"/>
          <w:color w:val="auto"/>
        </w:rPr>
      </w:pPr>
      <w:r>
        <w:rPr>
          <w:rFonts w:ascii="Times New Roman" w:cs="Times New Roman" w:eastAsia="Times New Roman" w:hAnsi="Times New Roman"/>
          <w:sz w:val="19"/>
          <w:szCs w:val="19"/>
          <w:color w:val="auto"/>
        </w:rPr>
        <w:t>SECTION 5.3. Loan Document Pursuant to Existing Credit Agreement.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50"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SECTION 5.4. Successors and Assigns. The provisions of this Amendment shall be binding upon and inure to the benefit of the parties hereto and their respective successors and assigns.</w:t>
      </w:r>
    </w:p>
    <w:p>
      <w:pPr>
        <w:spacing w:after="0" w:line="127" w:lineRule="exact"/>
        <w:rPr>
          <w:sz w:val="20"/>
          <w:szCs w:val="20"/>
          <w:color w:val="auto"/>
        </w:rPr>
      </w:pPr>
    </w:p>
    <w:p>
      <w:pPr>
        <w:ind w:right="60" w:firstLine="696"/>
        <w:spacing w:after="0" w:line="262" w:lineRule="auto"/>
        <w:rPr>
          <w:sz w:val="20"/>
          <w:szCs w:val="20"/>
          <w:color w:val="auto"/>
        </w:rPr>
      </w:pPr>
      <w:r>
        <w:rPr>
          <w:rFonts w:ascii="Times New Roman" w:cs="Times New Roman" w:eastAsia="Times New Roman" w:hAnsi="Times New Roman"/>
          <w:sz w:val="19"/>
          <w:szCs w:val="19"/>
          <w:color w:val="auto"/>
        </w:rPr>
        <w:t>SECTION 5.5. Counterparts.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538480</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4" w:name="page75"/>
    <w:bookmarkEnd w:id="74"/>
    <w:p>
      <w:pPr>
        <w:spacing w:after="0" w:line="200" w:lineRule="exact"/>
        <w:rPr>
          <w:sz w:val="20"/>
          <w:szCs w:val="20"/>
          <w:color w:val="auto"/>
        </w:rPr>
      </w:pP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SECTION 5.6. Governing Law, Jurisdiction, Etc.</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(d)This Amendment shall be governed by and construed in accordance with the laws of the State of New York.</w:t>
      </w:r>
    </w:p>
    <w:p>
      <w:pPr>
        <w:spacing w:after="0" w:line="202"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(e)The Borrower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this Amendment,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Amendment shall affect any right that the Administrative Agent, any Issuing Bank or any Lender may otherwise have to bring any action or proceeding relating to this Amendment against the Borrower or its properties in the courts of any jurisdiction.</w:t>
      </w:r>
    </w:p>
    <w:p>
      <w:pPr>
        <w:spacing w:after="0" w:line="392" w:lineRule="exact"/>
        <w:rPr>
          <w:sz w:val="20"/>
          <w:szCs w:val="20"/>
          <w:color w:val="auto"/>
        </w:rPr>
      </w:pPr>
    </w:p>
    <w:p>
      <w:pPr>
        <w:ind w:right="140" w:firstLine="1404"/>
        <w:spacing w:after="0" w:line="255" w:lineRule="auto"/>
        <w:rPr>
          <w:sz w:val="20"/>
          <w:szCs w:val="20"/>
          <w:color w:val="auto"/>
        </w:rPr>
      </w:pPr>
      <w:r>
        <w:rPr>
          <w:rFonts w:ascii="Times New Roman" w:cs="Times New Roman" w:eastAsia="Times New Roman" w:hAnsi="Times New Roman"/>
          <w:sz w:val="19"/>
          <w:szCs w:val="19"/>
          <w:color w:val="auto"/>
        </w:rPr>
        <w:t>(f)EACH PARTY HERETO HEREBY WAIVES, TO THE FULLEST EXTENT PERMITTED BY APPLICABLE LAW, ANY RIGHT IT MAY HAVE TO A TRIAL BY JURY IN ANY LEGAL PROCEEDING DIRECTLY OR INDIRECTLY ARISING OUT OF OR RELATING TO THIS AMENDMENT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155" w:lineRule="exact"/>
        <w:rPr>
          <w:sz w:val="20"/>
          <w:szCs w:val="20"/>
          <w:color w:val="auto"/>
        </w:rPr>
      </w:pPr>
    </w:p>
    <w:p>
      <w:pPr>
        <w:ind w:right="40" w:firstLine="696"/>
        <w:spacing w:after="0" w:line="254" w:lineRule="auto"/>
        <w:rPr>
          <w:sz w:val="20"/>
          <w:szCs w:val="20"/>
          <w:color w:val="auto"/>
        </w:rPr>
      </w:pPr>
      <w:r>
        <w:rPr>
          <w:rFonts w:ascii="Times New Roman" w:cs="Times New Roman" w:eastAsia="Times New Roman" w:hAnsi="Times New Roman"/>
          <w:sz w:val="19"/>
          <w:szCs w:val="19"/>
          <w:color w:val="auto"/>
        </w:rPr>
        <w:t>SECTION 5.7. Full Force and Effect; Limited Amendment.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This Amendment does not constitute a novation or termination of the Credit Agreement Obligations (as defined in the Guarantee and Security Agreement) under the Credit Agreement as in effect immediately prior to the effectiveness of this Amendment and which remain outstanding.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538480</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5" w:name="page76"/>
    <w:bookmarkEnd w:id="75"/>
    <w:p>
      <w:pPr>
        <w:spacing w:after="0" w:line="26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9"/>
          <w:szCs w:val="19"/>
          <w:color w:val="auto"/>
        </w:rPr>
        <w:t>Credit Agreement”, “thereunder”, “thereof” or words of like import referring to the Credit Agreement, shall mean and be a reference to the Credit Agreement as modified hereby.</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SECTION 5.8. Reaffirmation.</w:t>
      </w:r>
    </w:p>
    <w:p>
      <w:pPr>
        <w:spacing w:after="0" w:line="202" w:lineRule="exact"/>
        <w:rPr>
          <w:sz w:val="20"/>
          <w:szCs w:val="20"/>
          <w:color w:val="auto"/>
        </w:rPr>
      </w:pPr>
    </w:p>
    <w:p>
      <w:pPr>
        <w:ind w:right="560" w:firstLine="702"/>
        <w:spacing w:after="0" w:line="268" w:lineRule="auto"/>
        <w:tabs>
          <w:tab w:leader="none" w:pos="957"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SSLP Lending, LLC and Sixth Street LP Holding II,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spacing w:after="0" w:line="144" w:lineRule="exact"/>
        <w:rPr>
          <w:rFonts w:ascii="Times New Roman" w:cs="Times New Roman" w:eastAsia="Times New Roman" w:hAnsi="Times New Roman"/>
          <w:sz w:val="19"/>
          <w:szCs w:val="19"/>
          <w:color w:val="auto"/>
        </w:rPr>
      </w:pPr>
    </w:p>
    <w:p>
      <w:pPr>
        <w:ind w:firstLine="702"/>
        <w:spacing w:after="0" w:line="262" w:lineRule="auto"/>
        <w:tabs>
          <w:tab w:leader="none" w:pos="968"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Borrower, SSLP Lending, LLC and Sixth Street LP Holding II, LLC hereby reaffirms, ratifies and confirms that, after giving effect to this Amendment and the transactions contemplated hereby, the Liens and other security interests granted by it pursuant to, and the terms and conditions of, the Guarantee and Security Agreement remain unaltered and in full force and effect and secure the Secured Obligations as amended hereby.</w:t>
      </w:r>
    </w:p>
    <w:p>
      <w:pPr>
        <w:spacing w:after="0" w:line="1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SECTION 5.9. Assignment and Reallocation of Existing Revolving Commitments and Existing Revolving Loans.</w:t>
      </w:r>
    </w:p>
    <w:p>
      <w:pPr>
        <w:spacing w:after="0" w:line="202" w:lineRule="exact"/>
        <w:rPr>
          <w:sz w:val="20"/>
          <w:szCs w:val="20"/>
          <w:color w:val="auto"/>
        </w:rPr>
      </w:pPr>
    </w:p>
    <w:p>
      <w:pPr>
        <w:ind w:left="700" w:right="120" w:firstLine="2"/>
        <w:spacing w:after="0" w:line="262" w:lineRule="auto"/>
        <w:tabs>
          <w:tab w:leader="none" w:pos="961"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Fourth Amendment Effective Date, the Borrower shall (A) prepay the outstanding Revolving Loans and (B) simultaneously borrow new Revolving Loans in an amount equal to such prepayment; provided that with respect to subclauses</w:t>
      </w:r>
    </w:p>
    <w:p>
      <w:pPr>
        <w:spacing w:after="0" w:line="1" w:lineRule="exact"/>
        <w:rPr>
          <w:rFonts w:ascii="Times New Roman" w:cs="Times New Roman" w:eastAsia="Times New Roman" w:hAnsi="Times New Roman"/>
          <w:sz w:val="19"/>
          <w:szCs w:val="19"/>
          <w:color w:val="auto"/>
        </w:rPr>
      </w:pPr>
    </w:p>
    <w:p>
      <w:pPr>
        <w:ind w:left="70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and (B), (x) the prepayment to, and borrowing from, any Revolving Lender shall be effected by book entry to the extent that any portion of the amount prepaid to such Revolving Lender will be subsequently borrowed from such Revolving Lender, (y) the Revolving Lenders shall make and receive payments among themselves, in a manner acceptable to the Administrative Agent, so that, after giving effect thereto, the Revolving Loans of each Class are held ratably by the Revolving Lenders of such Class in accordance with the respective Revolving Commitments of such Class of such Revolving Lenders (after giving effect to this Amendment), which, for the purposes of the Credit Agreement and each other Loan Document, will be as set forth opposite such Person’s name on Schedule 1.01(b) to the Credit Agreement (as amended and restated by this Amendment) and</w:t>
      </w:r>
    </w:p>
    <w:p>
      <w:pPr>
        <w:spacing w:after="0" w:line="3" w:lineRule="exact"/>
        <w:rPr>
          <w:rFonts w:ascii="Times New Roman" w:cs="Times New Roman" w:eastAsia="Times New Roman" w:hAnsi="Times New Roman"/>
          <w:sz w:val="19"/>
          <w:szCs w:val="19"/>
          <w:color w:val="auto"/>
        </w:rPr>
      </w:pPr>
    </w:p>
    <w:p>
      <w:pPr>
        <w:ind w:left="700" w:firstLine="2"/>
        <w:spacing w:after="0" w:line="254" w:lineRule="auto"/>
        <w:tabs>
          <w:tab w:leader="none" w:pos="961"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party hereto hereby agrees that no amounts shall be required to be paid to such Lender under Section 2.15 of the Credit Agreement in connection with the reallocation described in this Section 5.9(a). Concurrently therewith, the Lenders of each Class shall be deemed to have adjusted their participation interests in any outstanding Letters of Credit of such Class so that such interests are held ratably in accordance with their Applicable Percentage of Commitments of such Class.</w:t>
      </w:r>
    </w:p>
    <w:p>
      <w:pPr>
        <w:spacing w:after="0" w:line="157" w:lineRule="exact"/>
        <w:rPr>
          <w:rFonts w:ascii="Times New Roman" w:cs="Times New Roman" w:eastAsia="Times New Roman" w:hAnsi="Times New Roman"/>
          <w:sz w:val="19"/>
          <w:szCs w:val="19"/>
          <w:color w:val="auto"/>
        </w:rPr>
      </w:pPr>
    </w:p>
    <w:p>
      <w:pPr>
        <w:ind w:left="700" w:right="20" w:firstLine="2"/>
        <w:spacing w:after="0" w:line="257" w:lineRule="auto"/>
        <w:tabs>
          <w:tab w:leader="none" w:pos="972"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Lenders hereby acknowledges and agrees that (i) no Lender nor the Administrative Agent has made any representations or warranties or assumed any responsibility with respect to (A) any statements, warranties or representations made by any Obligor in or in connection with this Amendment, the Credit Agreement or any other Loan Document or, with respect to any Obligor, the execution, legality, validity, enforceability, genuineness or sufficiency of this Amendment, the Credit Agreement or any other Loan Document or (B) the financial condition of any Obligor or the performance by any Obligor of its obligations hereunder or under the Credit Agreement or any other</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538480</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6" w:name="page77"/>
    <w:bookmarkEnd w:id="76"/>
    <w:p>
      <w:pPr>
        <w:spacing w:after="0" w:line="200" w:lineRule="exact"/>
        <w:rPr>
          <w:sz w:val="20"/>
          <w:szCs w:val="20"/>
          <w:color w:val="auto"/>
        </w:rPr>
      </w:pPr>
    </w:p>
    <w:p>
      <w:pPr>
        <w:spacing w:after="0" w:line="261" w:lineRule="exact"/>
        <w:rPr>
          <w:sz w:val="20"/>
          <w:szCs w:val="20"/>
          <w:color w:val="auto"/>
        </w:rPr>
      </w:pPr>
    </w:p>
    <w:p>
      <w:pPr>
        <w:jc w:val="both"/>
        <w:ind w:left="700"/>
        <w:spacing w:after="0" w:line="268" w:lineRule="auto"/>
        <w:rPr>
          <w:sz w:val="20"/>
          <w:szCs w:val="20"/>
          <w:color w:val="auto"/>
        </w:rPr>
      </w:pPr>
      <w:r>
        <w:rPr>
          <w:rFonts w:ascii="Times New Roman" w:cs="Times New Roman" w:eastAsia="Times New Roman" w:hAnsi="Times New Roman"/>
          <w:sz w:val="19"/>
          <w:szCs w:val="19"/>
          <w:color w:val="auto"/>
        </w:rPr>
        <w:t>Loan Document; (ii) it has received such information as it has deemed appropriate to make its own credit analysis and decision to enter into this Amendment; and (iii) it has made and continues to make its own credit decisions in taking or not taking action under the Loan Documents, independently and without reliance upon the Administrative Agent or any other Lender.</w:t>
      </w:r>
    </w:p>
    <w:p>
      <w:pPr>
        <w:spacing w:after="0" w:line="144" w:lineRule="exact"/>
        <w:rPr>
          <w:sz w:val="20"/>
          <w:szCs w:val="20"/>
          <w:color w:val="auto"/>
        </w:rPr>
      </w:pPr>
    </w:p>
    <w:p>
      <w:pPr>
        <w:ind w:right="100" w:firstLine="696"/>
        <w:spacing w:after="0" w:line="262" w:lineRule="auto"/>
        <w:rPr>
          <w:sz w:val="20"/>
          <w:szCs w:val="20"/>
          <w:color w:val="auto"/>
        </w:rPr>
      </w:pPr>
      <w:r>
        <w:rPr>
          <w:rFonts w:ascii="Times New Roman" w:cs="Times New Roman" w:eastAsia="Times New Roman" w:hAnsi="Times New Roman"/>
          <w:sz w:val="19"/>
          <w:szCs w:val="19"/>
          <w:color w:val="auto"/>
        </w:rPr>
        <w:t>SECTION 5.10. Collateral Agent. The Collateral Agent, executing this Amendment solely with respect to this Section 5.10, hereby consents, pursuant to Section 9.02(c) of the Existing Credit Agreement, to the spreading of the Liens granted under the Security Documents to secure such additional obligations resulting from the increase in the aggregate Commitments as a result of this Amendment and as set forth in Schedule 1.01(b) of the Credit Agreement as amended and restated hereby.</w:t>
      </w:r>
    </w:p>
    <w:p>
      <w:pPr>
        <w:spacing w:after="0" w:line="1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6</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538480</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77" w:name="page78"/>
    <w:bookmarkEnd w:id="77"/>
    <w:p>
      <w:pPr>
        <w:spacing w:after="0" w:line="26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9"/>
          <w:szCs w:val="19"/>
          <w:color w:val="auto"/>
        </w:rPr>
        <w:t>IN WITNESS WHEREOF, the parties hereto have executed and delivered this Amendment as of the date first above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written.</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ENDING PARTNERS</w:t>
      </w:r>
    </w:p>
    <w:p>
      <w:pPr>
        <w:spacing w:after="0" w:line="200" w:lineRule="exact"/>
        <w:rPr>
          <w:sz w:val="20"/>
          <w:szCs w:val="20"/>
          <w:color w:val="auto"/>
        </w:rPr>
      </w:pPr>
    </w:p>
    <w:p>
      <w:pPr>
        <w:spacing w:after="0" w:line="2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By: /s/Ian Simmonds</w:t>
      </w:r>
    </w:p>
    <w:p>
      <w:pPr>
        <w:spacing w:after="0" w:line="3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Name: Ian Simmonds</w:t>
      </w:r>
    </w:p>
    <w:p>
      <w:pPr>
        <w:spacing w:after="0" w:line="1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568960</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20" w:top="1440" w:right="680" w:bottom="1440" w:gutter="0" w:footer="0" w:header="0"/>
        </w:sectPr>
      </w:pPr>
    </w:p>
    <w:bookmarkStart w:id="78" w:name="page79"/>
    <w:bookmarkEnd w:id="78"/>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UIST BANK</w:t>
      </w:r>
      <w:r>
        <w:rPr>
          <w:rFonts w:ascii="Times New Roman" w:cs="Times New Roman" w:eastAsia="Times New Roman" w:hAnsi="Times New Roman"/>
          <w:sz w:val="19"/>
          <w:szCs w:val="19"/>
          <w:color w:val="auto"/>
        </w:rPr>
        <w:t>,</w:t>
      </w:r>
    </w:p>
    <w:p>
      <w:pPr>
        <w:spacing w:after="0" w:line="3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as Administrative Agent, an Issuing Bank, a Swingline Lender and a Lender</w:t>
      </w: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By: /s/Michael J. Landry</w:t>
      </w:r>
    </w:p>
    <w:p>
      <w:pPr>
        <w:spacing w:after="0" w:line="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Name: Michael J. Landry</w:t>
      </w:r>
    </w:p>
    <w:p>
      <w:pPr>
        <w:spacing w:after="0" w:line="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Title: Director</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568960</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40" w:right="680" w:bottom="1440" w:gutter="0" w:footer="0" w:header="0"/>
        </w:sectPr>
      </w:pPr>
    </w:p>
    <w:bookmarkStart w:id="79" w:name="page80"/>
    <w:bookmarkEnd w:id="79"/>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COLLATERAL AGENT</w:t>
      </w:r>
      <w:r>
        <w:rPr>
          <w:rFonts w:ascii="Times New Roman" w:cs="Times New Roman" w:eastAsia="Times New Roman" w:hAnsi="Times New Roman"/>
          <w:sz w:val="19"/>
          <w:szCs w:val="19"/>
          <w:b w:val="1"/>
          <w:bCs w:val="1"/>
          <w:color w:val="auto"/>
        </w:rPr>
        <w:t>: TRUIST BANK,</w:t>
      </w:r>
    </w:p>
    <w:p>
      <w:pPr>
        <w:spacing w:after="0" w:line="3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Solely with respect to Section 5.10, as Collateral Agent</w:t>
      </w:r>
    </w:p>
    <w:p>
      <w:pPr>
        <w:spacing w:after="0" w:line="200" w:lineRule="exact"/>
        <w:rPr>
          <w:sz w:val="20"/>
          <w:szCs w:val="20"/>
          <w:color w:val="auto"/>
        </w:rPr>
      </w:pPr>
    </w:p>
    <w:p>
      <w:pPr>
        <w:spacing w:after="0" w:line="20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By: /s/Michael J. Landry</w:t>
      </w:r>
    </w:p>
    <w:p>
      <w:pPr>
        <w:spacing w:after="0" w:line="3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Name: Michael J. Landry</w:t>
      </w:r>
    </w:p>
    <w:p>
      <w:pPr>
        <w:spacing w:after="0" w:line="1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568960</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0" w:name="page81"/>
    <w:bookmarkEnd w:id="80"/>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 BANK, N.A.,</w:t>
      </w:r>
    </w:p>
    <w:p>
      <w:pPr>
        <w:spacing w:after="0" w:line="3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as an Issuing Bank, a Swingline Lender and a Lender</w:t>
      </w: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By: /s/Alevtina Dudyreva</w:t>
      </w:r>
    </w:p>
    <w:p>
      <w:pPr>
        <w:spacing w:after="0" w:line="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Name: Alevtina Dudyreva</w:t>
      </w:r>
    </w:p>
    <w:p>
      <w:pPr>
        <w:spacing w:after="0" w:line="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568960</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40" w:right="680" w:bottom="1440" w:gutter="0" w:footer="0" w:header="0"/>
        </w:sectPr>
      </w:pPr>
    </w:p>
    <w:bookmarkStart w:id="81" w:name="page82"/>
    <w:bookmarkEnd w:id="81"/>
    <w:p>
      <w:pPr>
        <w:spacing w:after="0" w:line="267" w:lineRule="exact"/>
        <w:rPr>
          <w:sz w:val="20"/>
          <w:szCs w:val="20"/>
          <w:color w:val="auto"/>
        </w:rPr>
      </w:pPr>
    </w:p>
    <w:p>
      <w:pPr>
        <w:ind w:left="4200" w:right="240"/>
        <w:spacing w:after="0" w:line="288" w:lineRule="auto"/>
        <w:rPr>
          <w:sz w:val="20"/>
          <w:szCs w:val="20"/>
          <w:color w:val="auto"/>
        </w:rPr>
      </w:pPr>
      <w:r>
        <w:rPr>
          <w:rFonts w:ascii="Times New Roman" w:cs="Times New Roman" w:eastAsia="Times New Roman" w:hAnsi="Times New Roman"/>
          <w:sz w:val="19"/>
          <w:szCs w:val="19"/>
          <w:b w:val="1"/>
          <w:bCs w:val="1"/>
          <w:color w:val="auto"/>
        </w:rPr>
        <w:t>ROYAL BANK OF CANADA</w:t>
      </w:r>
      <w:r>
        <w:rPr>
          <w:rFonts w:ascii="Times New Roman" w:cs="Times New Roman" w:eastAsia="Times New Roman" w:hAnsi="Times New Roman"/>
          <w:sz w:val="19"/>
          <w:szCs w:val="19"/>
          <w:color w:val="auto"/>
        </w:rPr>
        <w:t>, as an Issuing Bank, a Swingline Lender and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Lender</w:t>
      </w:r>
    </w:p>
    <w:p>
      <w:pPr>
        <w:spacing w:after="0" w:line="16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/s/Glenn Van Allen</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Glenn Van Allen</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82" w:name="page83"/>
    <w:bookmarkEnd w:id="82"/>
    <w:p>
      <w:pPr>
        <w:spacing w:after="0" w:line="267" w:lineRule="exact"/>
        <w:rPr>
          <w:sz w:val="20"/>
          <w:szCs w:val="20"/>
          <w:color w:val="auto"/>
        </w:rPr>
      </w:pPr>
    </w:p>
    <w:p>
      <w:pPr>
        <w:ind w:left="4200" w:right="280"/>
        <w:spacing w:after="0" w:line="288" w:lineRule="auto"/>
        <w:rPr>
          <w:sz w:val="20"/>
          <w:szCs w:val="20"/>
          <w:color w:val="auto"/>
        </w:rPr>
      </w:pPr>
      <w:r>
        <w:rPr>
          <w:rFonts w:ascii="Times New Roman" w:cs="Times New Roman" w:eastAsia="Times New Roman" w:hAnsi="Times New Roman"/>
          <w:sz w:val="19"/>
          <w:szCs w:val="19"/>
          <w:b w:val="1"/>
          <w:bCs w:val="1"/>
          <w:color w:val="auto"/>
        </w:rPr>
        <w:t>STATE STREET BANK AND TRUST COMPANY</w:t>
      </w:r>
      <w:r>
        <w:rPr>
          <w:rFonts w:ascii="Times New Roman" w:cs="Times New Roman" w:eastAsia="Times New Roman" w:hAnsi="Times New Roman"/>
          <w:sz w:val="19"/>
          <w:szCs w:val="19"/>
          <w:color w:val="auto"/>
        </w:rPr>
        <w:t>, as a Swingline Lender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a Lender</w:t>
      </w:r>
    </w:p>
    <w:p>
      <w:pPr>
        <w:spacing w:after="0" w:line="35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/s/Stephen Lynch</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Stephen Lynch</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83" w:name="page84"/>
    <w:bookmarkEnd w:id="83"/>
    <w:p>
      <w:pPr>
        <w:spacing w:after="0" w:line="267" w:lineRule="exact"/>
        <w:rPr>
          <w:sz w:val="20"/>
          <w:szCs w:val="20"/>
          <w:color w:val="auto"/>
        </w:rPr>
      </w:pPr>
    </w:p>
    <w:p>
      <w:pPr>
        <w:ind w:left="4200" w:right="240"/>
        <w:spacing w:after="0" w:line="288" w:lineRule="auto"/>
        <w:rPr>
          <w:sz w:val="20"/>
          <w:szCs w:val="20"/>
          <w:color w:val="auto"/>
        </w:rPr>
      </w:pPr>
      <w:r>
        <w:rPr>
          <w:rFonts w:ascii="Times New Roman" w:cs="Times New Roman" w:eastAsia="Times New Roman" w:hAnsi="Times New Roman"/>
          <w:sz w:val="19"/>
          <w:szCs w:val="19"/>
          <w:b w:val="1"/>
          <w:bCs w:val="1"/>
          <w:color w:val="auto"/>
        </w:rPr>
        <w:t>WELLS FARGO BANK, N.A.</w:t>
      </w:r>
      <w:r>
        <w:rPr>
          <w:rFonts w:ascii="Times New Roman" w:cs="Times New Roman" w:eastAsia="Times New Roman" w:hAnsi="Times New Roman"/>
          <w:sz w:val="19"/>
          <w:szCs w:val="19"/>
          <w:color w:val="auto"/>
        </w:rPr>
        <w:t>, as an Issuing Bank, a Swingline Lender and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Lender</w:t>
      </w:r>
    </w:p>
    <w:p>
      <w:pPr>
        <w:spacing w:after="0" w:line="35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/s/Michael Kusner</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Michael Kusner</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84" w:name="page85"/>
    <w:bookmarkEnd w:id="84"/>
    <w:p>
      <w:pPr>
        <w:spacing w:after="0" w:line="267" w:lineRule="exact"/>
        <w:rPr>
          <w:sz w:val="20"/>
          <w:szCs w:val="20"/>
          <w:color w:val="auto"/>
        </w:rPr>
      </w:pPr>
    </w:p>
    <w:p>
      <w:pPr>
        <w:ind w:left="4200" w:right="180"/>
        <w:spacing w:after="0" w:line="288" w:lineRule="auto"/>
        <w:rPr>
          <w:sz w:val="20"/>
          <w:szCs w:val="20"/>
          <w:color w:val="auto"/>
        </w:rPr>
      </w:pPr>
      <w:r>
        <w:rPr>
          <w:rFonts w:ascii="Times New Roman" w:cs="Times New Roman" w:eastAsia="Times New Roman" w:hAnsi="Times New Roman"/>
          <w:sz w:val="19"/>
          <w:szCs w:val="19"/>
          <w:b w:val="1"/>
          <w:bCs w:val="1"/>
          <w:color w:val="auto"/>
        </w:rPr>
        <w:t>SUMITOMO MITSUI BANKING CORPORATION</w:t>
      </w:r>
      <w:r>
        <w:rPr>
          <w:rFonts w:ascii="Times New Roman" w:cs="Times New Roman" w:eastAsia="Times New Roman" w:hAnsi="Times New Roman"/>
          <w:sz w:val="19"/>
          <w:szCs w:val="19"/>
          <w:color w:val="auto"/>
        </w:rPr>
        <w:t>, as a Swingline Lender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a Lender</w:t>
      </w:r>
    </w:p>
    <w:p>
      <w:pPr>
        <w:spacing w:after="0" w:line="35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/s/Shane Klein</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Shane Klein</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85" w:name="page86"/>
    <w:bookmarkEnd w:id="85"/>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GOLDMAN SACHS BANK USA</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/s/Priyankush Goswami</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Priyankush Goswami</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86" w:name="page87"/>
    <w:bookmarkEnd w:id="86"/>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MORGAN STANLEY BANK, N.A.</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/s/Gretell Merlo</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Gretell Merlo</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87" w:name="page88"/>
    <w:bookmarkEnd w:id="87"/>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STIFEL BANK &amp; TRUST</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/s/Matthew L. Diehl</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Matthew L. Diehl</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Senior Vice President</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88" w:name="page89"/>
    <w:bookmarkEnd w:id="88"/>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BANK OF AMERICA, N.A.</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/s/Sidhima Daruka</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Sidhima Daruka</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89" w:name="page90"/>
    <w:bookmarkEnd w:id="89"/>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MIZUHO BANK, LTD.</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/s/Donna DeMagistris</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Donna DeMagistris</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90" w:name="page91"/>
    <w:bookmarkEnd w:id="90"/>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BARCLAYS BANK PLC</w:t>
      </w:r>
      <w:r>
        <w:rPr>
          <w:rFonts w:ascii="Times New Roman" w:cs="Times New Roman" w:eastAsia="Times New Roman" w:hAnsi="Times New Roman"/>
          <w:sz w:val="19"/>
          <w:szCs w:val="19"/>
          <w:color w:val="auto"/>
        </w:rPr>
        <w:t>, as a Swingline Lender and a Lender</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/s/Craig Malloy</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Craig Malloy</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91" w:name="page92"/>
    <w:bookmarkEnd w:id="91"/>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HSBC BANK USA, N.A.</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/s/Ryan Gabriele</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Ryan Gabriele</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92" w:name="page93"/>
    <w:bookmarkEnd w:id="92"/>
    <w:p>
      <w:pPr>
        <w:spacing w:after="0" w:line="2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BNP PARIBAS</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/s/Sara Samarasinghe</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Sara Samarasinghe</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40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/s/Christopher Sharp</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Christopher Sharp</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93" w:name="page94"/>
    <w:bookmarkEnd w:id="93"/>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ING CAPITAL LLC</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/s/Grace Fu</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Grace Fu</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0" w:lineRule="exact"/>
        <w:rPr>
          <w:sz w:val="20"/>
          <w:szCs w:val="20"/>
          <w:color w:val="auto"/>
        </w:rPr>
      </w:pPr>
    </w:p>
    <w:p>
      <w:pPr>
        <w:spacing w:after="0" w:line="40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/s/Ruben De Saegher</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Ruben De Saegher</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Director</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94" w:name="page95"/>
    <w:bookmarkEnd w:id="94"/>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MUFG BANK, LTD.</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/s/Rajiv Ranjan</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Rajiv Ranjan</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95" w:name="page96"/>
    <w:bookmarkEnd w:id="95"/>
    <w:p>
      <w:pPr>
        <w:spacing w:after="0" w:line="200" w:lineRule="exact"/>
        <w:rPr>
          <w:sz w:val="20"/>
          <w:szCs w:val="20"/>
          <w:color w:val="auto"/>
        </w:rPr>
      </w:pPr>
    </w:p>
    <w:p>
      <w:pPr>
        <w:spacing w:after="0" w:line="29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9"/>
          <w:szCs w:val="19"/>
          <w:b w:val="1"/>
          <w:bCs w:val="1"/>
          <w:color w:val="auto"/>
        </w:rPr>
        <w:t>SYNOVUS BANK</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/s/Ricardo Escobedo</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Ricardo Escobedo</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Director</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96" w:name="page97"/>
    <w:bookmarkEnd w:id="96"/>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U.S. BANK, NATIONAL ASSOCIATION</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/s/Matthew D. Spies</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Matthew D. Spies</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Senior Vice President</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97" w:name="page98"/>
    <w:bookmarkEnd w:id="97"/>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MANUFACTURERS &amp; TRADERS TRUST COMPANY</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/s/Issac Bailey</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Issac Bailey</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98" w:name="page99"/>
    <w:bookmarkEnd w:id="98"/>
    <w:p>
      <w:pPr>
        <w:spacing w:after="0" w:line="2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b w:val="1"/>
          <w:bCs w:val="1"/>
          <w:color w:val="auto"/>
        </w:rPr>
        <w:t>REGIONS BANK</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/s/Jon McRae</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Jon McRae</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Director</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99" w:name="page100"/>
    <w:bookmarkEnd w:id="99"/>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APPLE BANK</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/s/Christopher Selvaggio</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Christopher Selvaggio</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First Vice President, Lender Finance</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100" w:name="page101"/>
    <w:bookmarkEnd w:id="100"/>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DEUTSCHE BANK AG NEW YORK BRANCH</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/s/Ming K. Chu</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Ming K. Chu</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Director</w:t>
      </w:r>
    </w:p>
    <w:p>
      <w:pPr>
        <w:spacing w:after="0" w:line="18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/s/Marko Lukin</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Marko Lukin</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101" w:name="page102"/>
    <w:bookmarkEnd w:id="101"/>
    <w:p>
      <w:pPr>
        <w:spacing w:after="0" w:line="26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b w:val="1"/>
          <w:bCs w:val="1"/>
          <w:color w:val="auto"/>
        </w:rPr>
        <w:t>CITIBANK, N.A.</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/s/Patrick Marsh</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Patrick Marsh</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102" w:name="page103"/>
    <w:bookmarkEnd w:id="102"/>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THE TORONTO-DOMINION BANK, NEW YORK BRANCH</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/s/Betty Chang</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Betty Chang</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103" w:name="page104"/>
    <w:bookmarkEnd w:id="103"/>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STANDARD CHARTERED BANK</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/s/Brendan Heneghan</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Brendan Heneghan</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Executive Director, Financing Solutions</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104" w:name="page105"/>
    <w:bookmarkEnd w:id="104"/>
    <w:p>
      <w:pPr>
        <w:spacing w:after="0" w:line="26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Agreed and acknowledged solely with respect to Section 5.8 herein.</w:t>
      </w:r>
    </w:p>
    <w:p>
      <w:pPr>
        <w:spacing w:after="0" w:line="20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SSLP LENDING, LLC</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/s/Ian Simmonds</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Ian Simmonds</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b w:val="1"/>
          <w:bCs w:val="1"/>
          <w:color w:val="auto"/>
        </w:rPr>
        <w:t>SIXTH STREET LP HOLDING II, LLC</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By: /s/Ian Simmonds</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Name: Ian Simmonds</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FOURTH AMENDMENT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568960</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105" w:name="page106"/>
    <w:bookmarkEnd w:id="105"/>
    <w:p>
      <w:pPr>
        <w:spacing w:after="0" w:line="26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02" w:lineRule="exact"/>
        <w:rPr>
          <w:sz w:val="20"/>
          <w:szCs w:val="20"/>
          <w:color w:val="auto"/>
        </w:rPr>
      </w:pPr>
    </w:p>
    <w:p>
      <w:pPr>
        <w:jc w:val="right"/>
        <w:ind w:right="4060"/>
        <w:spacing w:after="0"/>
        <w:rPr>
          <w:sz w:val="20"/>
          <w:szCs w:val="20"/>
          <w:color w:val="auto"/>
        </w:rPr>
      </w:pPr>
      <w:r>
        <w:rPr>
          <w:rFonts w:ascii="Times New Roman" w:cs="Times New Roman" w:eastAsia="Times New Roman" w:hAnsi="Times New Roman"/>
          <w:sz w:val="19"/>
          <w:szCs w:val="19"/>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1752028112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593090</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9"/>
          <w:szCs w:val="19"/>
          <w:b w:val="1"/>
          <w:bCs w:val="1"/>
          <w:color w:val="auto"/>
        </w:rPr>
        <w:t xml:space="preserve">Exhibit A to </w:t>
      </w:r>
      <w:r>
        <w:rPr>
          <w:rFonts w:ascii="Times New Roman" w:cs="Times New Roman" w:eastAsia="Times New Roman" w:hAnsi="Times New Roman"/>
          <w:sz w:val="19"/>
          <w:szCs w:val="19"/>
          <w:b w:val="1"/>
          <w:bCs w:val="1"/>
          <w:color w:val="FF0000"/>
          <w:strike w:val="1"/>
        </w:rPr>
        <w:t>Third</w:t>
      </w:r>
      <w:r>
        <w:rPr>
          <w:rFonts w:ascii="Times New Roman" w:cs="Times New Roman" w:eastAsia="Times New Roman" w:hAnsi="Times New Roman"/>
          <w:sz w:val="19"/>
          <w:szCs w:val="19"/>
          <w:b w:val="1"/>
          <w:bCs w:val="1"/>
          <w:color w:val="0000FF"/>
        </w:rPr>
        <w:t>Fourth</w:t>
      </w:r>
      <w:r>
        <w:rPr>
          <w:rFonts w:ascii="Times New Roman" w:cs="Times New Roman" w:eastAsia="Times New Roman" w:hAnsi="Times New Roman"/>
          <w:sz w:val="19"/>
          <w:szCs w:val="19"/>
          <w:b w:val="1"/>
          <w:bCs w:val="1"/>
          <w:color w:val="auto"/>
        </w:rPr>
        <w:t xml:space="preserve"> Amendment, dated as of </w:t>
      </w:r>
      <w:r>
        <w:rPr>
          <w:rFonts w:ascii="Times New Roman" w:cs="Times New Roman" w:eastAsia="Times New Roman" w:hAnsi="Times New Roman"/>
          <w:sz w:val="19"/>
          <w:szCs w:val="19"/>
          <w:b w:val="1"/>
          <w:bCs w:val="1"/>
          <w:color w:val="FF0000"/>
          <w:strike w:val="1"/>
        </w:rPr>
        <w:t>March 4</w:t>
      </w:r>
      <w:r>
        <w:rPr>
          <w:rFonts w:ascii="Times New Roman" w:cs="Times New Roman" w:eastAsia="Times New Roman" w:hAnsi="Times New Roman"/>
          <w:sz w:val="19"/>
          <w:szCs w:val="19"/>
          <w:b w:val="1"/>
          <w:bCs w:val="1"/>
          <w:color w:val="0000FF"/>
        </w:rPr>
        <w:t>September 23</w:t>
      </w:r>
      <w:r>
        <w:rPr>
          <w:rFonts w:ascii="Times New Roman" w:cs="Times New Roman" w:eastAsia="Times New Roman" w:hAnsi="Times New Roman"/>
          <w:sz w:val="19"/>
          <w:szCs w:val="19"/>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236855</wp:posOffset>
            </wp:positionV>
            <wp:extent cx="670750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252095</wp:posOffset>
            </wp:positionV>
            <wp:extent cx="670750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SENIOR SECURED</w:t>
      </w:r>
    </w:p>
    <w:p>
      <w:pPr>
        <w:spacing w:after="0" w:line="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REVOLVING CREDIT AGREEMENT</w:t>
      </w:r>
    </w:p>
    <w:p>
      <w:pPr>
        <w:spacing w:after="0" w:line="1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dated as of</w:t>
      </w:r>
    </w:p>
    <w:p>
      <w:pPr>
        <w:spacing w:after="0" w:line="21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January 19, 2023</w:t>
      </w:r>
    </w:p>
    <w:p>
      <w:pPr>
        <w:spacing w:after="0" w:line="13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and</w:t>
      </w:r>
    </w:p>
    <w:p>
      <w:pPr>
        <w:spacing w:after="0" w:line="13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as amended by the First Amendment to Senior Secured Revolving Credit Agreement, dated as of February 8, 2024, the Second</w:t>
      </w:r>
    </w:p>
    <w:p>
      <w:pPr>
        <w:spacing w:after="0" w:line="32" w:lineRule="exact"/>
        <w:rPr>
          <w:sz w:val="20"/>
          <w:szCs w:val="20"/>
          <w:color w:val="auto"/>
        </w:rPr>
      </w:pPr>
    </w:p>
    <w:p>
      <w:pPr>
        <w:jc w:val="center"/>
        <w:ind w:right="160"/>
        <w:spacing w:after="0" w:line="256" w:lineRule="auto"/>
        <w:rPr>
          <w:sz w:val="20"/>
          <w:szCs w:val="20"/>
          <w:color w:val="auto"/>
        </w:rPr>
      </w:pPr>
      <w:r>
        <w:rPr>
          <w:rFonts w:ascii="Times New Roman" w:cs="Times New Roman" w:eastAsia="Times New Roman" w:hAnsi="Times New Roman"/>
          <w:sz w:val="19"/>
          <w:szCs w:val="19"/>
          <w:color w:val="auto"/>
        </w:rPr>
        <w:t xml:space="preserve">Amendment to Senior Secured Revolving Credit Agreement, dated as of May 23, 2024, </w:t>
      </w:r>
      <w:r>
        <w:rPr>
          <w:rFonts w:ascii="Times New Roman" w:cs="Times New Roman" w:eastAsia="Times New Roman" w:hAnsi="Times New Roman"/>
          <w:sz w:val="19"/>
          <w:szCs w:val="19"/>
          <w:color w:val="FF0000"/>
          <w:strike w:val="1"/>
        </w:rPr>
        <w:t>and</w:t>
      </w:r>
      <w:r>
        <w:rPr>
          <w:rFonts w:ascii="Times New Roman" w:cs="Times New Roman" w:eastAsia="Times New Roman" w:hAnsi="Times New Roman"/>
          <w:sz w:val="19"/>
          <w:szCs w:val="19"/>
          <w:color w:val="auto"/>
        </w:rPr>
        <w:t xml:space="preserve"> the Third Amendment to Senior Secured Revolving Credit Agreement and First Amendment to Guarantee and Security Agreement, dated as of March 4, 2025, </w:t>
      </w:r>
      <w:r>
        <w:rPr>
          <w:rFonts w:ascii="Times New Roman" w:cs="Times New Roman" w:eastAsia="Times New Roman" w:hAnsi="Times New Roman"/>
          <w:sz w:val="19"/>
          <w:szCs w:val="19"/>
          <w:color w:val="0000FF"/>
        </w:rPr>
        <w:t>and the Fourth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Amendment to Senior Secured Revolving Credit Agreement, dated as of September 23, 2025, </w:t>
      </w:r>
      <w:r>
        <w:rPr>
          <w:rFonts w:ascii="Times New Roman" w:cs="Times New Roman" w:eastAsia="Times New Roman" w:hAnsi="Times New Roman"/>
          <w:sz w:val="19"/>
          <w:szCs w:val="19"/>
          <w:color w:val="000000"/>
        </w:rPr>
        <w:t>among</w:t>
      </w:r>
    </w:p>
    <w:p>
      <w:pPr>
        <w:spacing w:after="0" w:line="8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SIXTH STREET LENDING PARTNERS</w:t>
      </w:r>
    </w:p>
    <w:p>
      <w:pPr>
        <w:spacing w:after="0" w:line="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as Borrower</w:t>
      </w:r>
    </w:p>
    <w:p>
      <w:pPr>
        <w:spacing w:after="0" w:line="10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9"/>
          <w:szCs w:val="19"/>
          <w:color w:val="auto"/>
        </w:rPr>
        <w:t>The LENDERS and ISSUING BANKS Party Hereto</w:t>
      </w:r>
    </w:p>
    <w:p>
      <w:pPr>
        <w:spacing w:after="0" w:line="13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and</w:t>
      </w:r>
    </w:p>
    <w:p>
      <w:pPr>
        <w:spacing w:after="0" w:line="13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TRUIST BANK</w:t>
      </w:r>
    </w:p>
    <w:p>
      <w:pPr>
        <w:spacing w:after="0" w:line="3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10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2,280,000,000</w:t>
      </w:r>
      <w:r>
        <w:rPr>
          <w:rFonts w:ascii="Times New Roman" w:cs="Times New Roman" w:eastAsia="Times New Roman" w:hAnsi="Times New Roman"/>
          <w:sz w:val="19"/>
          <w:szCs w:val="19"/>
          <w:color w:val="0000FF"/>
        </w:rPr>
        <w:t>2,675,000,000</w:t>
      </w:r>
    </w:p>
    <w:p>
      <w:pPr>
        <w:spacing w:after="0" w:line="3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__________________</w:t>
      </w:r>
    </w:p>
    <w:p>
      <w:pPr>
        <w:spacing w:after="0" w:line="10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TRUIST SECURITIES, INC.</w:t>
      </w:r>
    </w:p>
    <w:p>
      <w:pPr>
        <w:spacing w:after="0" w:line="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as Joint Lead Arranger and Joint Book Runner</w:t>
      </w:r>
    </w:p>
    <w:p>
      <w:pPr>
        <w:spacing w:after="0" w:line="21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and</w:t>
      </w:r>
    </w:p>
    <w:p>
      <w:pPr>
        <w:spacing w:after="0" w:line="2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as Joint Lead Arranger, Joint Book Runner and Syndication Agent</w:t>
      </w:r>
    </w:p>
    <w:p>
      <w:pPr>
        <w:spacing w:after="0" w:line="21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and</w:t>
      </w:r>
    </w:p>
    <w:p>
      <w:pPr>
        <w:spacing w:after="0" w:line="2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BARCLAYS BANK PLC</w:t>
      </w:r>
    </w:p>
    <w:p>
      <w:pPr>
        <w:spacing w:after="0" w:line="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MIZUHO BANK, LTD.</w:t>
      </w:r>
    </w:p>
    <w:p>
      <w:pPr>
        <w:spacing w:after="0" w:line="1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ROYAL BANK OF CANADA</w:t>
      </w:r>
    </w:p>
    <w:p>
      <w:pPr>
        <w:spacing w:after="0" w:line="1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STATE STREET BANK AND TRUST COMPANY</w:t>
      </w:r>
    </w:p>
    <w:p>
      <w:pPr>
        <w:spacing w:after="0" w:line="1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SUMITOMO MITSUI BANKING CORPORATION</w:t>
      </w:r>
    </w:p>
    <w:p>
      <w:pPr>
        <w:spacing w:after="0" w:line="1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WELLS FARGO BANK, N.A.</w:t>
      </w:r>
    </w:p>
    <w:p>
      <w:pPr>
        <w:spacing w:after="0" w:line="1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ING CAPITAL LLC</w:t>
      </w:r>
    </w:p>
    <w:p>
      <w:pPr>
        <w:spacing w:after="0" w:line="1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MUFG BANK, LTD.</w:t>
      </w:r>
    </w:p>
    <w:p>
      <w:pPr>
        <w:spacing w:after="0" w:line="1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757555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122555</wp:posOffset>
            </wp:positionV>
            <wp:extent cx="670750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137795</wp:posOffset>
            </wp:positionV>
            <wp:extent cx="670750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380"/>
          </w:cols>
          <w:pgMar w:left="840" w:top="1131" w:right="680"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00" w:type="dxa"/>
            <w:vAlign w:val="bottom"/>
          </w:tcPr>
          <w:p>
            <w:pPr>
              <w:spacing w:after="0"/>
              <w:rPr>
                <w:sz w:val="22"/>
                <w:szCs w:val="22"/>
                <w:color w:val="auto"/>
              </w:rPr>
            </w:pPr>
          </w:p>
        </w:tc>
        <w:tc>
          <w:tcPr>
            <w:tcW w:w="2460" w:type="dxa"/>
            <w:vAlign w:val="bottom"/>
            <w:gridSpan w:val="2"/>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636"/>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ARTICLE I DEFINITIONS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1.01. Defined Terms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1.02. Classification of Loans and Borrowings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48</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49</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1.03. Terms Generally</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48</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49</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1.04. Accounting Terms; GAAP</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48</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49</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1.05. Currencies; Currency Equivalents.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49</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50</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1.06. Letter of Credit Amounts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50</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51</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1.07. Rates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50</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51</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ARTICLE II THE CREDITS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51</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52</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2.01. The Commitments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51</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52</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2.02. Loans and Borrowings.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51</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52</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2.03. Requests for Syndicated Borrowings.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52</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53</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2.04. Swingline Loans.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54</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55</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2.05. Letters of Credit.</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56</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57</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2.06. Funding of Borrowings.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62</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63</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2.07. Interest Elections.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62</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63</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2.08. Termination, Reduction or Increase of the Commitments.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64</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65</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2.09. Repayment of Loans; Evidence of Debt.</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67</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68</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2.10. Prepayment of Loans.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68</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69</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2.11. Fees.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72</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73</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2.12. Interest.</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73</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74</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2.13. Inability to Determine Interest Rates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74</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75</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2.14. Increased Costs.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76</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77</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2.15. Break Funding Payments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77</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78</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2.16. Taxes.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78</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79</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2.17. Payments Generally; Pro Rata Treatment: Sharing of Set-offs.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82</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83</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2.18. Mitigation Obligations; Replacement of Lenders.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84</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85</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2.19. Defaulting Lenders.</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85</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86</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2.20. Illegality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89</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90</w:t>
            </w:r>
          </w:p>
        </w:tc>
      </w:tr>
      <w:tr>
        <w:trPr>
          <w:trHeight w:val="324"/>
        </w:trPr>
        <w:tc>
          <w:tcPr>
            <w:tcW w:w="81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2.21. Effect of Benchmark Transition Event</w:t>
            </w:r>
          </w:p>
        </w:tc>
        <w:tc>
          <w:tcPr>
            <w:tcW w:w="22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rPr>
              <w:t>90</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91</w:t>
            </w:r>
          </w:p>
        </w:tc>
      </w:tr>
      <w:tr>
        <w:trPr>
          <w:trHeight w:val="348"/>
        </w:trPr>
        <w:tc>
          <w:tcPr>
            <w:tcW w:w="8100" w:type="dxa"/>
            <w:vAlign w:val="bottom"/>
          </w:tcPr>
          <w:p>
            <w:pPr>
              <w:ind w:left="5200"/>
              <w:spacing w:after="0"/>
              <w:rPr>
                <w:sz w:val="20"/>
                <w:szCs w:val="20"/>
                <w:color w:val="auto"/>
              </w:rPr>
            </w:pPr>
            <w:r>
              <w:rPr>
                <w:rFonts w:ascii="Times New Roman" w:cs="Times New Roman" w:eastAsia="Times New Roman" w:hAnsi="Times New Roman"/>
                <w:sz w:val="19"/>
                <w:szCs w:val="19"/>
                <w:color w:val="auto"/>
              </w:rPr>
              <w:t>-i-</w:t>
            </w:r>
          </w:p>
        </w:tc>
        <w:tc>
          <w:tcPr>
            <w:tcW w:w="22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998"/>
        </w:trPr>
        <w:tc>
          <w:tcPr>
            <w:tcW w:w="8100" w:type="dxa"/>
            <w:vAlign w:val="bottom"/>
            <w:tcBorders>
              <w:bottom w:val="single" w:sz="8" w:color="EEEEEE"/>
            </w:tcBorders>
          </w:tcPr>
          <w:p>
            <w:pPr>
              <w:spacing w:after="0"/>
              <w:rPr>
                <w:sz w:val="24"/>
                <w:szCs w:val="24"/>
                <w:color w:val="auto"/>
              </w:rPr>
            </w:pPr>
          </w:p>
        </w:tc>
        <w:tc>
          <w:tcPr>
            <w:tcW w:w="22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(continued)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900" w:type="dxa"/>
            <w:vAlign w:val="bottom"/>
          </w:tcPr>
          <w:p>
            <w:pPr>
              <w:spacing w:after="0"/>
              <w:rPr>
                <w:sz w:val="22"/>
                <w:szCs w:val="22"/>
                <w:color w:val="auto"/>
              </w:rPr>
            </w:pPr>
          </w:p>
        </w:tc>
        <w:tc>
          <w:tcPr>
            <w:tcW w:w="660" w:type="dxa"/>
            <w:vAlign w:val="bottom"/>
            <w:gridSpan w:val="3"/>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612"/>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ARTICLE III REPRESENTATIONS AND WARRANTIES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93</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94</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3.01. Organization; Powers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93</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94</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3.02. Authorization; Enforceability</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93</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94</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3.03. Governmental Approvals; No Conflicts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94</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95</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3.04. Financial Condition; No Material Adverse Change.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94</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95</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3.05. Litigation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94</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95</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3.06. Compliance with Laws and Agreements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94</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95</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3.07. Taxes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95</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96</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3.08. ERISA</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95</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96</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3.09. Disclosure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95</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96</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3.10. Investment Company Act; Margin Regulations.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95</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96</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3.11. Material Agreements and Liens.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96</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97</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3.12. Subsidiaries and Investments.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96</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97</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3.13. Properties.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97</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98</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3.14. Affiliate Agreements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97</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98</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3.15. Sanctions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97</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98</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3.16. Patriot Act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98</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99</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3.17. Collateral Documents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98</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99</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3.18. EEA Financial Institutions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98</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99</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ARTICLE IV CONDITIONS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98</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99</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4.01. Effective Date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FF0000"/>
                <w:strike w:val="1"/>
              </w:rPr>
              <w:t>98</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83"/>
              </w:rPr>
              <w:t>99</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4.02. Each Credit Event</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0000FF"/>
                <w:w w:val="91"/>
              </w:rPr>
              <w:t>101</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ARTICLE V AFFIRMATIVE COVENANTS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101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0000FF"/>
                <w:w w:val="91"/>
              </w:rPr>
              <w:t>102</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5.01. Financial Statements and Other Information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101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0000FF"/>
                <w:w w:val="91"/>
              </w:rPr>
              <w:t>102</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5.02. Notices of Material Events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103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0000FF"/>
                <w:w w:val="91"/>
              </w:rPr>
              <w:t>104</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5.03. Existence: Conduct of Business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0000FF"/>
                <w:w w:val="91"/>
              </w:rPr>
              <w:t>105</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5.04. Payment of Obligations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0000FF"/>
                <w:w w:val="91"/>
              </w:rPr>
              <w:t>105</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5.05. Maintenance of Properties; Insurance</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0000FF"/>
                <w:w w:val="91"/>
              </w:rPr>
              <w:t>105</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5.06. Books and Records; Inspection and Audit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0000FF"/>
                <w:w w:val="91"/>
              </w:rPr>
              <w:t>105</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5.07. Compliance with Laws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105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0000FF"/>
                <w:w w:val="91"/>
              </w:rPr>
              <w:t>106</w:t>
            </w:r>
          </w:p>
        </w:tc>
      </w:tr>
      <w:tr>
        <w:trPr>
          <w:trHeight w:val="348"/>
        </w:trPr>
        <w:tc>
          <w:tcPr>
            <w:tcW w:w="9900" w:type="dxa"/>
            <w:vAlign w:val="bottom"/>
          </w:tcPr>
          <w:p>
            <w:pPr>
              <w:ind w:left="5180"/>
              <w:spacing w:after="0"/>
              <w:rPr>
                <w:sz w:val="20"/>
                <w:szCs w:val="20"/>
                <w:color w:val="auto"/>
              </w:rPr>
            </w:pPr>
            <w:r>
              <w:rPr>
                <w:rFonts w:ascii="Times New Roman" w:cs="Times New Roman" w:eastAsia="Times New Roman" w:hAnsi="Times New Roman"/>
                <w:sz w:val="19"/>
                <w:szCs w:val="19"/>
                <w:color w:val="auto"/>
              </w:rPr>
              <w:t>-ii-</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998"/>
        </w:trPr>
        <w:tc>
          <w:tcPr>
            <w:tcW w:w="990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(continued)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900" w:type="dxa"/>
            <w:vAlign w:val="bottom"/>
          </w:tcPr>
          <w:p>
            <w:pPr>
              <w:spacing w:after="0"/>
              <w:rPr>
                <w:sz w:val="22"/>
                <w:szCs w:val="22"/>
                <w:color w:val="auto"/>
              </w:rPr>
            </w:pP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936"/>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5.08. Certain Obligations Respecting Subsidiaries; Further Assurances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105</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106</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5.09. Use of Proceeds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106</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107</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5.10. Status of RIC and BDC</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106</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108</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5.11. Investment Policies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107</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108</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5.12. Portfolio Valuation and Diversification Etc.</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107</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108</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5.13. Calculation of Borrowing Base.</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110</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112</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ARTICLE VI NEGATIVE COVENANTS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116</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117</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6.01. Indebtedness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116</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117</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6.02. Liens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117</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119</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6.03. Fundamental Changes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119</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120</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6.04. Investments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120</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121</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6.05. Restricted Payments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121</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122</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6.06. Certain Restrictions on Subsidiaries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122</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123</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6.07. Certain Financial Covenants.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122</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123</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6.08. Transactions with Affiliates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123</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124</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6.09. Lines of Business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123</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124</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6.10. No Further Negative Pledge</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123</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124</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6.11. Modifications of Longer-Term Indebtedness Documents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123</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125</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6.12. Payments of Longer-Term Indebtedness, the 2029 Notes, the 2030A Notes and the 2030B Notes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124</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125</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6.13. Accounting Changes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125</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126</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6.14. SBIC Guarantee</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125</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126</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6.15. Capital Call Facility</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125</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126</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ARTICLE VII EVENTS OF DEFAULT</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125</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127</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ARTICLE VIII THE ADMINISTRATIVE AGENT</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129</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130</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8.01. Appointment of the Administrative Agent</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129</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130</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8.02. Capacity as Lender</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129</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131</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8.03. Limitation of Duties; Exculpation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130</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131</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8.04. Reliance</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130</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131</w:t>
            </w:r>
          </w:p>
        </w:tc>
      </w:tr>
      <w:tr>
        <w:trPr>
          <w:trHeight w:val="348"/>
        </w:trPr>
        <w:tc>
          <w:tcPr>
            <w:tcW w:w="9900" w:type="dxa"/>
            <w:vAlign w:val="bottom"/>
          </w:tcPr>
          <w:p>
            <w:pPr>
              <w:ind w:left="5140"/>
              <w:spacing w:after="0"/>
              <w:rPr>
                <w:sz w:val="20"/>
                <w:szCs w:val="20"/>
                <w:color w:val="auto"/>
              </w:rPr>
            </w:pPr>
            <w:r>
              <w:rPr>
                <w:rFonts w:ascii="Times New Roman" w:cs="Times New Roman" w:eastAsia="Times New Roman" w:hAnsi="Times New Roman"/>
                <w:sz w:val="19"/>
                <w:szCs w:val="19"/>
                <w:color w:val="auto"/>
              </w:rPr>
              <w:t>-iii-</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998"/>
        </w:trPr>
        <w:tc>
          <w:tcPr>
            <w:tcW w:w="990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(continued)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900" w:type="dxa"/>
            <w:vAlign w:val="bottom"/>
          </w:tcPr>
          <w:p>
            <w:pPr>
              <w:spacing w:after="0"/>
              <w:rPr>
                <w:sz w:val="22"/>
                <w:szCs w:val="22"/>
                <w:color w:val="auto"/>
              </w:rPr>
            </w:pPr>
          </w:p>
        </w:tc>
        <w:tc>
          <w:tcPr>
            <w:tcW w:w="660" w:type="dxa"/>
            <w:vAlign w:val="bottom"/>
            <w:gridSpan w:val="2"/>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612"/>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8.05. Sub-Agents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130</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132</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8.06. Resignation; Successor Administrative Agent</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131</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132</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8.07. Reliance by Lenders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131</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133</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8.08. Modifications to Loan Documents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132</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133</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8.09. Erroneous Payments.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133</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134</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ARTICLE IX MISCELLANEOUS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135</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137</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9.01. Notices; Electronic Communications.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135</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137</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9.02. Waivers; Amendments.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138</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139</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9.03. Expenses; Indemnity; Damage Waiver.</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140</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141</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9.04. Successors and Assigns.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142</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144</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9.05. Survival</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147</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149</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9.06. Counterparts; Integration; Effectiveness; Electronic Execution.</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148</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149</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9.07. Severability</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148</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150</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9.08. Right of Setoff</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148</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150</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9.09. Governing Law; Jurisdiction; Etc.</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149</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150</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9.10. WAIVER OF JURY TRIAL</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150</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151</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9.11. Judgment Currency</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150</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151</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9.12. Headings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150</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152</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9.13. Treatment of Certain Information; No Fiduciary Duty; Confidentiality.</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151</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152</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9.14. USA PATRIOT Act</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152</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154</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9.15. Acknowledgement and Consent to Bail-In of Affected Financial Institutions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152</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154</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9.16. Certain ERISA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153</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154</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9.17. Acknowledgement Regarding Any Supported QFCs</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154</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156</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9.18. Interest Rate Limitation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FF0000"/>
                <w:strike w:val="1"/>
                <w:w w:val="98"/>
              </w:rPr>
              <w:t>155</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0000FF"/>
                <w:w w:val="91"/>
              </w:rPr>
              <w:t>157</w:t>
            </w:r>
          </w:p>
        </w:tc>
      </w:tr>
      <w:tr>
        <w:trPr>
          <w:trHeight w:val="324"/>
        </w:trPr>
        <w:tc>
          <w:tcPr>
            <w:tcW w:w="9900" w:type="dxa"/>
            <w:vAlign w:val="bottom"/>
          </w:tcPr>
          <w:p>
            <w:pPr>
              <w:ind w:left="100"/>
              <w:spacing w:after="0"/>
              <w:rPr>
                <w:sz w:val="20"/>
                <w:szCs w:val="20"/>
                <w:color w:val="auto"/>
              </w:rPr>
            </w:pPr>
            <w:r>
              <w:rPr>
                <w:rFonts w:ascii="Times New Roman" w:cs="Times New Roman" w:eastAsia="Times New Roman" w:hAnsi="Times New Roman"/>
                <w:sz w:val="19"/>
                <w:szCs w:val="19"/>
                <w:color w:val="0000FF"/>
              </w:rPr>
              <w:t>SECTION 9.19. German Bank Separation Act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0000FF"/>
              </w:rPr>
              <w:t>157</w:t>
            </w:r>
          </w:p>
        </w:tc>
      </w:tr>
      <w:tr>
        <w:trPr>
          <w:trHeight w:val="348"/>
        </w:trPr>
        <w:tc>
          <w:tcPr>
            <w:tcW w:w="9900" w:type="dxa"/>
            <w:vAlign w:val="bottom"/>
          </w:tcPr>
          <w:p>
            <w:pPr>
              <w:ind w:left="5160"/>
              <w:spacing w:after="0"/>
              <w:rPr>
                <w:sz w:val="20"/>
                <w:szCs w:val="20"/>
                <w:color w:val="auto"/>
              </w:rPr>
            </w:pPr>
            <w:r>
              <w:rPr>
                <w:rFonts w:ascii="Times New Roman" w:cs="Times New Roman" w:eastAsia="Times New Roman" w:hAnsi="Times New Roman"/>
                <w:sz w:val="19"/>
                <w:szCs w:val="19"/>
                <w:color w:val="auto"/>
              </w:rPr>
              <w:t>-iv-</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998"/>
        </w:trPr>
        <w:tc>
          <w:tcPr>
            <w:tcW w:w="990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19" w:right="680"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200"/>
        <w:spacing w:after="0" w:line="262" w:lineRule="auto"/>
        <w:rPr>
          <w:sz w:val="20"/>
          <w:szCs w:val="20"/>
          <w:color w:val="auto"/>
        </w:rPr>
      </w:pPr>
      <w:r>
        <w:rPr>
          <w:rFonts w:ascii="Times New Roman" w:cs="Times New Roman" w:eastAsia="Times New Roman" w:hAnsi="Times New Roman"/>
          <w:sz w:val="19"/>
          <w:szCs w:val="19"/>
          <w:color w:val="auto"/>
        </w:rPr>
        <w:t>SCHEDULE 1.01(a) - Approved Dealers and Approved Pricing Services SCHEDULE 1.01(b) - Commitments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1.01(c) - Industry Classification Group List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2.04 - Swingline Lender Swingline Sublimit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2.05 - Issuing Bank LC Exposures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3.11 - Material Agreements and Liens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3.12(a) - Subsidiaries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3.12(b) - Investments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6.08 - Transactions with Affiliates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A - Form of Assignment and Assumption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B - Form of Borrowing Base Certificate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C - Form of Borrowing Request</w:t>
      </w:r>
    </w:p>
    <w:p>
      <w:pPr>
        <w:spacing w:after="0" w:line="166" w:lineRule="exact"/>
        <w:rPr>
          <w:sz w:val="20"/>
          <w:szCs w:val="20"/>
          <w:color w:val="auto"/>
        </w:rPr>
      </w:pPr>
    </w:p>
    <w:p>
      <w:pPr>
        <w:ind w:left="880" w:hanging="670"/>
        <w:spacing w:after="0"/>
        <w:tabs>
          <w:tab w:leader="none" w:pos="8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112" w:name="page113"/>
    <w:bookmarkEnd w:id="112"/>
    <w:p>
      <w:pPr>
        <w:spacing w:after="0" w:line="269"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 xml:space="preserve">SENIOR SECURED REVOLVING CREDIT AGREEMENT dated as of January 19, 2023, as amended as of February 8, 2024, as of May 23, 2024, </w:t>
      </w:r>
      <w:r>
        <w:rPr>
          <w:rFonts w:ascii="Times New Roman" w:cs="Times New Roman" w:eastAsia="Times New Roman" w:hAnsi="Times New Roman"/>
          <w:sz w:val="19"/>
          <w:szCs w:val="19"/>
          <w:color w:val="FF0000"/>
          <w:strike w:val="1"/>
        </w:rPr>
        <w:t>and</w:t>
      </w:r>
      <w:r>
        <w:rPr>
          <w:rFonts w:ascii="Times New Roman" w:cs="Times New Roman" w:eastAsia="Times New Roman" w:hAnsi="Times New Roman"/>
          <w:sz w:val="19"/>
          <w:szCs w:val="19"/>
          <w:color w:val="auto"/>
        </w:rPr>
        <w:t xml:space="preserve"> as of March 4</w:t>
      </w:r>
      <w:r>
        <w:rPr>
          <w:rFonts w:ascii="Times New Roman" w:cs="Times New Roman" w:eastAsia="Times New Roman" w:hAnsi="Times New Roman"/>
          <w:sz w:val="19"/>
          <w:szCs w:val="19"/>
          <w:color w:val="0000FF"/>
        </w:rPr>
        <w:t>, 2025 and as of September 23</w:t>
      </w:r>
      <w:r>
        <w:rPr>
          <w:rFonts w:ascii="Times New Roman" w:cs="Times New Roman" w:eastAsia="Times New Roman" w:hAnsi="Times New Roman"/>
          <w:sz w:val="19"/>
          <w:szCs w:val="19"/>
          <w:color w:val="auto"/>
        </w:rPr>
        <w:t>, 2025 (this “Agreement”), among SIXTH STREET LENDING PARTNERS, a Delaware statutory trust (the “Borrower”), the LENDERS and ISSUING BANKS party hereto, and TRUIST BANK, as Administrative Agent.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DEFINITIONS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1.01. </w:t>
      </w:r>
      <w:r>
        <w:rPr>
          <w:rFonts w:ascii="Times New Roman" w:cs="Times New Roman" w:eastAsia="Times New Roman" w:hAnsi="Times New Roman"/>
          <w:sz w:val="19"/>
          <w:szCs w:val="19"/>
          <w:color w:val="000000"/>
        </w:rPr>
        <w:t>Defined Terms. As used in this Agreement, the following terms have the meanings specified below:</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“2029 Notes” means the Borrower’s $750.0 million aggregate principal amount notes due March 2029.</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“2030A Notes” means the Borrower’s $600.0 million aggregate principal amount notes due January 2030.</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“2030B Notes” means the Borrower’s $750.0 million aggregate principal amount notes due July 2030.</w:t>
      </w:r>
    </w:p>
    <w:p>
      <w:pPr>
        <w:spacing w:after="0" w:line="202" w:lineRule="exact"/>
        <w:rPr>
          <w:sz w:val="20"/>
          <w:szCs w:val="20"/>
          <w:color w:val="auto"/>
        </w:rPr>
      </w:pPr>
    </w:p>
    <w:p>
      <w:pPr>
        <w:ind w:right="240" w:firstLine="1404"/>
        <w:spacing w:after="0" w:line="286" w:lineRule="auto"/>
        <w:rPr>
          <w:sz w:val="20"/>
          <w:szCs w:val="20"/>
          <w:color w:val="auto"/>
        </w:rPr>
      </w:pPr>
      <w:r>
        <w:rPr>
          <w:rFonts w:ascii="Times New Roman" w:cs="Times New Roman" w:eastAsia="Times New Roman" w:hAnsi="Times New Roman"/>
          <w:sz w:val="19"/>
          <w:szCs w:val="19"/>
          <w:color w:val="auto"/>
        </w:rPr>
        <w:t>“ABR”, when used in reference to any Loan or Borrowing, refers to whether such Loan is, or the Loans constituting such Borrowing are, denominated in Dollars and bearing interest at a rate determined by reference to the Alternate Base Rate.</w:t>
      </w:r>
    </w:p>
    <w:p>
      <w:pPr>
        <w:spacing w:after="0" w:line="127" w:lineRule="exact"/>
        <w:rPr>
          <w:sz w:val="20"/>
          <w:szCs w:val="20"/>
          <w:color w:val="auto"/>
        </w:rPr>
      </w:pPr>
    </w:p>
    <w:p>
      <w:pPr>
        <w:ind w:right="260" w:firstLine="1404"/>
        <w:spacing w:after="0" w:line="268" w:lineRule="auto"/>
        <w:rPr>
          <w:sz w:val="20"/>
          <w:szCs w:val="20"/>
          <w:color w:val="auto"/>
        </w:rPr>
      </w:pPr>
      <w:r>
        <w:rPr>
          <w:rFonts w:ascii="Times New Roman" w:cs="Times New Roman" w:eastAsia="Times New Roman" w:hAnsi="Times New Roman"/>
          <w:sz w:val="19"/>
          <w:szCs w:val="19"/>
          <w:color w:val="auto"/>
        </w:rPr>
        <w:t>“Adjusted Covered Debt Balance” means, on any date, the aggregate Covered Debt Amount on such date minus the aggregate amount of Cash and Cash Equivalents included in the Portfolio Investments held by the Obligors (provided that Cash Collateral for outstanding Letters of Credit shall not be treated as a portion of the Portfolio Investments).</w:t>
      </w:r>
    </w:p>
    <w:p>
      <w:pPr>
        <w:spacing w:after="0" w:line="144" w:lineRule="exact"/>
        <w:rPr>
          <w:sz w:val="20"/>
          <w:szCs w:val="20"/>
          <w:color w:val="auto"/>
        </w:rPr>
      </w:pPr>
    </w:p>
    <w:p>
      <w:pPr>
        <w:ind w:right="40" w:firstLine="1404"/>
        <w:spacing w:after="0" w:line="286" w:lineRule="auto"/>
        <w:rPr>
          <w:sz w:val="20"/>
          <w:szCs w:val="20"/>
          <w:color w:val="auto"/>
        </w:rPr>
      </w:pPr>
      <w:r>
        <w:rPr>
          <w:rFonts w:ascii="Times New Roman" w:cs="Times New Roman" w:eastAsia="Times New Roman" w:hAnsi="Times New Roman"/>
          <w:sz w:val="19"/>
          <w:szCs w:val="19"/>
          <w:color w:val="auto"/>
        </w:rPr>
        <w:t>“Adjusted Term Benchmark Rate” means an interest rate per annum (rounded upwards, if necessary, to the next 1/100 of 1%) equal to the Term Benchmark Rate for such Interest Period for such Currency.</w:t>
      </w:r>
    </w:p>
    <w:p>
      <w:pPr>
        <w:spacing w:after="0" w:line="1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9"/>
          <w:szCs w:val="19"/>
          <w:color w:val="auto"/>
        </w:rPr>
        <w:t>“Administrative Agent” means Truist, in its capacity as administrative agent for the Lenders hereunder.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“Administrative Agent Appraisal Testing Period” has the meaning assigned to such term in Section 5.12(b)(ii)(E)(y).</w:t>
      </w:r>
    </w:p>
    <w:p>
      <w:pPr>
        <w:spacing w:after="0" w:line="202" w:lineRule="exact"/>
        <w:rPr>
          <w:sz w:val="20"/>
          <w:szCs w:val="20"/>
          <w:color w:val="auto"/>
        </w:rPr>
      </w:pPr>
    </w:p>
    <w:p>
      <w:pPr>
        <w:ind w:right="260" w:firstLine="1404"/>
        <w:spacing w:after="0" w:line="286" w:lineRule="auto"/>
        <w:rPr>
          <w:sz w:val="20"/>
          <w:szCs w:val="20"/>
          <w:color w:val="auto"/>
        </w:rPr>
      </w:pPr>
      <w:r>
        <w:rPr>
          <w:rFonts w:ascii="Times New Roman" w:cs="Times New Roman" w:eastAsia="Times New Roman" w:hAnsi="Times New Roman"/>
          <w:sz w:val="19"/>
          <w:szCs w:val="19"/>
          <w:color w:val="auto"/>
        </w:rPr>
        <w:t>“Administrative Agent’s Account” means, for each Currency, an account in respect of such Currency designated by the Administrative Agent in a notice to the Borrower and the Lenders.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“Administrative Questionnaire” means an administrative questionnaire in a form supplied by the Administrative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Agent.</w:t>
      </w:r>
    </w:p>
    <w:p>
      <w:pPr>
        <w:spacing w:after="0" w:line="178" w:lineRule="exact"/>
        <w:rPr>
          <w:sz w:val="20"/>
          <w:szCs w:val="20"/>
          <w:color w:val="auto"/>
        </w:rPr>
      </w:pPr>
    </w:p>
    <w:p>
      <w:pPr>
        <w:ind w:left="880" w:hanging="670"/>
        <w:spacing w:after="0"/>
        <w:tabs>
          <w:tab w:leader="none" w:pos="8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3" w:name="page114"/>
    <w:bookmarkEnd w:id="113"/>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“Advance Rate” has the meaning assigned to such term in Section 5.13.</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“Affected Currency” has the meaning assigned to such term in Section 2.13.</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“Affected Financial Institution” means (a) any EEA Financial Institution or (b) any UK Financial Institution.</w:t>
      </w:r>
    </w:p>
    <w:p>
      <w:pPr>
        <w:spacing w:after="0" w:line="202"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“Affiliate” means, with respect to a specified Person at any time, another Person that directly, or indirectly through one or more intermediaries, Controls or is Controlled by or is under common Control with the Person specified at such time.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spacing w:after="0" w:line="150" w:lineRule="exact"/>
        <w:rPr>
          <w:sz w:val="20"/>
          <w:szCs w:val="20"/>
          <w:color w:val="auto"/>
        </w:rPr>
      </w:pPr>
    </w:p>
    <w:p>
      <w:pPr>
        <w:ind w:right="180" w:firstLine="1404"/>
        <w:spacing w:after="0" w:line="262" w:lineRule="auto"/>
        <w:rPr>
          <w:sz w:val="20"/>
          <w:szCs w:val="20"/>
          <w:color w:val="auto"/>
        </w:rPr>
      </w:pPr>
      <w:r>
        <w:rPr>
          <w:rFonts w:ascii="Times New Roman" w:cs="Times New Roman" w:eastAsia="Times New Roman" w:hAnsi="Times New Roman"/>
          <w:sz w:val="19"/>
          <w:szCs w:val="19"/>
          <w:color w:val="auto"/>
        </w:rPr>
        <w:t>“Affiliate Agreements” means collectively, (a) the Administration Agreement dated as of June 28, 2022, between the Borrower and the External Manager, (b) the Investment Advisory and Management Agreement dated as of June 28, 2022 between the Borrower and the External Manager and (c) the Trademark License Agreement dated as of June 27, 2022, between the Borrower and Austin IP, LLC.</w:t>
      </w:r>
    </w:p>
    <w:p>
      <w:pPr>
        <w:spacing w:after="0" w:line="150" w:lineRule="exact"/>
        <w:rPr>
          <w:sz w:val="20"/>
          <w:szCs w:val="20"/>
          <w:color w:val="auto"/>
        </w:rPr>
      </w:pPr>
    </w:p>
    <w:p>
      <w:pPr>
        <w:ind w:right="40" w:firstLine="1404"/>
        <w:spacing w:after="0" w:line="255" w:lineRule="auto"/>
        <w:rPr>
          <w:sz w:val="20"/>
          <w:szCs w:val="20"/>
          <w:color w:val="auto"/>
        </w:rPr>
      </w:pPr>
      <w:r>
        <w:rPr>
          <w:rFonts w:ascii="Times New Roman" w:cs="Times New Roman" w:eastAsia="Times New Roman" w:hAnsi="Times New Roman"/>
          <w:sz w:val="19"/>
          <w:szCs w:val="19"/>
          <w:color w:val="auto"/>
        </w:rPr>
        <w:t>“Agreed Foreign Currency” means, at any time, (i) any of Canadian Dollars, Sterling, Euros, Japanese Yen, Australian Dollars, Swiss Francs, Swedish Krona and New Zealand Dollars, and (ii) with the agreement of each Multicurrency Lender, any other Foreign Currency, so long as, in respect of any such specified Foreign Currency or other Foreign Currency, at such time (a) such Foreign Currency is freely transferable and convertible into Dollars in the relevant local market, and (b) no central bank or other governmental authorization in the country of issue of such Foreign Currency (including, in the case of the Euro, any authorization by the European Central Bank) is required to permit use of such Foreign Currency by any Multicurrency Lender for making any Revolving Loan hereunder and/or to permit the Borrower to borrow and repay the principal thereof and to pay the interest thereon, unless such authorization has been obtained and is in full force and effect.</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“Agreement” has the meaning assigned to such term in the preamble to this Agreement.</w:t>
      </w:r>
    </w:p>
    <w:p>
      <w:pPr>
        <w:spacing w:after="0" w:line="202" w:lineRule="exact"/>
        <w:rPr>
          <w:sz w:val="20"/>
          <w:szCs w:val="20"/>
          <w:color w:val="auto"/>
        </w:rPr>
      </w:pPr>
    </w:p>
    <w:p>
      <w:pPr>
        <w:ind w:right="80" w:firstLine="1404"/>
        <w:spacing w:after="0" w:line="255" w:lineRule="auto"/>
        <w:rPr>
          <w:sz w:val="20"/>
          <w:szCs w:val="20"/>
          <w:color w:val="auto"/>
        </w:rPr>
      </w:pPr>
      <w:r>
        <w:rPr>
          <w:rFonts w:ascii="Times New Roman" w:cs="Times New Roman" w:eastAsia="Times New Roman" w:hAnsi="Times New Roman"/>
          <w:sz w:val="19"/>
          <w:szCs w:val="19"/>
          <w:color w:val="auto"/>
        </w:rPr>
        <w:t>“Alternate Base Rate” means, for any day, a rate per annum equal to the greater of (a) zero and (b) the highest of (i) the Prime Rate in effect on such day, (ii) the Federal Funds Effective Rate for such day plus 1/2 of 1% and (iii) the rate per annum equal to 1% plus Term SOFR on such day. Any change in the Alternate Base Rate due to a change in the Prime Rate, the Federal Funds Effective Rate or Term SOFR (or successor therefor) as set forth above shall be effective from and including the effective date of such change in the Prime Rate, the Federal Funds Effective Rate or Term SOFR (or successor thereof), respectively. If for any reason the Administrative Agent shall have determined (which determination shall be conclusive absent manifest error) that it is unable to ascertain the Federal Funds Effective Rate for any reason, including the inability or failure of the Administrative Agent to obtain a quotation in accordance with the terms thereof, the Alternate Base Rate shall be determined without regard to clause (b)(ii)</w:t>
      </w:r>
    </w:p>
    <w:p>
      <w:pPr>
        <w:spacing w:after="0" w:line="158" w:lineRule="exact"/>
        <w:rPr>
          <w:sz w:val="20"/>
          <w:szCs w:val="20"/>
          <w:color w:val="auto"/>
        </w:rPr>
      </w:pPr>
    </w:p>
    <w:p>
      <w:pPr>
        <w:ind w:left="880" w:hanging="670"/>
        <w:spacing w:after="0"/>
        <w:tabs>
          <w:tab w:leader="none" w:pos="8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4" w:name="page115"/>
    <w:bookmarkEnd w:id="114"/>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the first sentence of this definition until the circumstances giving rise to such inability no longer exist.</w:t>
      </w:r>
    </w:p>
    <w:p>
      <w:pPr>
        <w:spacing w:after="0" w:line="202" w:lineRule="exact"/>
        <w:rPr>
          <w:sz w:val="20"/>
          <w:szCs w:val="20"/>
          <w:color w:val="auto"/>
        </w:rPr>
      </w:pPr>
    </w:p>
    <w:p>
      <w:pPr>
        <w:ind w:right="380" w:firstLine="1404"/>
        <w:spacing w:after="0" w:line="262" w:lineRule="auto"/>
        <w:rPr>
          <w:sz w:val="20"/>
          <w:szCs w:val="20"/>
          <w:color w:val="auto"/>
        </w:rPr>
      </w:pPr>
      <w:r>
        <w:rPr>
          <w:rFonts w:ascii="Times New Roman" w:cs="Times New Roman" w:eastAsia="Times New Roman" w:hAnsi="Times New Roman"/>
          <w:sz w:val="19"/>
          <w:szCs w:val="19"/>
          <w:color w:val="auto"/>
        </w:rPr>
        <w:t>“Applicable Dollar Percentage”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w:t>
      </w:r>
    </w:p>
    <w:p>
      <w:pPr>
        <w:spacing w:after="0" w:line="150" w:lineRule="exact"/>
        <w:rPr>
          <w:sz w:val="20"/>
          <w:szCs w:val="20"/>
          <w:color w:val="auto"/>
        </w:rPr>
      </w:pPr>
    </w:p>
    <w:p>
      <w:pPr>
        <w:ind w:right="80" w:firstLine="1404"/>
        <w:spacing w:after="0" w:line="259" w:lineRule="auto"/>
        <w:rPr>
          <w:sz w:val="20"/>
          <w:szCs w:val="20"/>
          <w:color w:val="auto"/>
        </w:rPr>
      </w:pPr>
      <w:r>
        <w:rPr>
          <w:rFonts w:ascii="Times New Roman" w:cs="Times New Roman" w:eastAsia="Times New Roman" w:hAnsi="Times New Roman"/>
          <w:sz w:val="19"/>
          <w:szCs w:val="19"/>
          <w:color w:val="auto"/>
        </w:rPr>
        <w:t>“Applicable Financial Statements” means, as at any date, the most-recent audited financial statements of the Borrower delivered to the Lenders; provided that if immediately prior to the delivery to the Lenders of new audited financial statements of the Borrower a Material Adverse Change (the “Pre-existing MAC”)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54"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“Applicable Margin” means (a) if the Borrowing Base (as of the most recently delivered Borrowing Base Certificate) is equal to or greater than 2.00 times the Combined Debt Amount, (i) with respect to any ABR Loan, 0.525% per annum; (ii) with respect to any Term Benchmark Loan, 1.525% per annum; and (iii) with respect to any RFR Loan 1.525% per annum; (b) if the Borrowing Base (as of the most recently delivered Borrowing Base Certificate) is less than 2.00 times the Combined Debt Amount and equal to or greater than 1.60 times the Combined Debt Amount, (i) with respect to any ABR Loan, 0.65% per annum; (ii) with respect to any Term Benchmark Loan, 1.65% per annum; and (iii) with respect to any RFR Loan 1.65% per annum; and (c) if the Borrowing Base (as of the most recently delivered Borrowing Base Certificate) is less than 1.60 times the Combined Debt Amount (i) with respect to any ABR Loan, 0.775% per annum; (ii) with respect to any Term Benchmark Loan, 1.775% per annum; and (iii) with respect to any RFR Loan 1.775% per annum. Any change in the Applicable Margin due to a change in the ratio of the Borrowing Base to the Combined Debt Amount as set forth in any Borrowing Base Certificate shall be effective from and including the day immediately succeeding the date of delivery of such Borrowing Base Certificate; provided that if any Borrowing Base Certificate has not been delivered in accordance with Section 5.01(d), then from and including the day immediately succeeding the date on which such Borrowing Base Certificate was required to be delivered, the Applicable Margin shall be the Applicable Margin set forth in clause (c) above to and including the date on which the required Borrowing Base Certificate is delivered.</w:t>
      </w:r>
    </w:p>
    <w:p>
      <w:pPr>
        <w:spacing w:after="0" w:line="161" w:lineRule="exact"/>
        <w:rPr>
          <w:sz w:val="20"/>
          <w:szCs w:val="20"/>
          <w:color w:val="auto"/>
        </w:rPr>
      </w:pPr>
    </w:p>
    <w:p>
      <w:pPr>
        <w:ind w:right="140" w:firstLine="1452"/>
        <w:spacing w:after="0" w:line="262" w:lineRule="auto"/>
        <w:rPr>
          <w:sz w:val="20"/>
          <w:szCs w:val="20"/>
          <w:color w:val="auto"/>
        </w:rPr>
      </w:pPr>
      <w:r>
        <w:rPr>
          <w:rFonts w:ascii="Times New Roman" w:cs="Times New Roman" w:eastAsia="Times New Roman" w:hAnsi="Times New Roman"/>
          <w:sz w:val="19"/>
          <w:szCs w:val="19"/>
          <w:color w:val="auto"/>
        </w:rPr>
        <w:t>“Applicable Multicurrency Percentage”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w:t>
      </w:r>
    </w:p>
    <w:p>
      <w:pPr>
        <w:spacing w:after="0" w:line="150" w:lineRule="exact"/>
        <w:rPr>
          <w:sz w:val="20"/>
          <w:szCs w:val="20"/>
          <w:color w:val="auto"/>
        </w:rPr>
      </w:pPr>
    </w:p>
    <w:p>
      <w:pPr>
        <w:ind w:right="80" w:firstLine="1404"/>
        <w:spacing w:after="0" w:line="268" w:lineRule="auto"/>
        <w:rPr>
          <w:sz w:val="20"/>
          <w:szCs w:val="20"/>
          <w:color w:val="auto"/>
        </w:rPr>
      </w:pPr>
      <w:r>
        <w:rPr>
          <w:rFonts w:ascii="Times New Roman" w:cs="Times New Roman" w:eastAsia="Times New Roman" w:hAnsi="Times New Roman"/>
          <w:sz w:val="19"/>
          <w:szCs w:val="19"/>
          <w:color w:val="auto"/>
        </w:rPr>
        <w:t>“Applicable Percentage” means, with respect to any Lender, the percentage of the aggregate Term Loans and total Revolving Commitments of such Lender. If the Revolving Commitments have terminated or expired, the Applicable Percentage of such Lender shall be determined based upon such Lender’s existing Credit Exposure.</w:t>
      </w:r>
    </w:p>
    <w:p>
      <w:pPr>
        <w:spacing w:after="0" w:line="142" w:lineRule="exact"/>
        <w:rPr>
          <w:sz w:val="20"/>
          <w:szCs w:val="20"/>
          <w:color w:val="auto"/>
        </w:rPr>
      </w:pPr>
    </w:p>
    <w:p>
      <w:pPr>
        <w:ind w:left="880" w:hanging="670"/>
        <w:spacing w:after="0"/>
        <w:tabs>
          <w:tab w:leader="none" w:pos="8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5" w:name="page116"/>
    <w:bookmarkEnd w:id="115"/>
    <w:p>
      <w:pPr>
        <w:spacing w:after="0" w:line="269" w:lineRule="exact"/>
        <w:rPr>
          <w:sz w:val="20"/>
          <w:szCs w:val="20"/>
          <w:color w:val="auto"/>
        </w:rPr>
      </w:pPr>
    </w:p>
    <w:p>
      <w:pPr>
        <w:jc w:val="both"/>
        <w:ind w:right="700" w:firstLine="1404"/>
        <w:spacing w:after="0" w:line="268" w:lineRule="auto"/>
        <w:rPr>
          <w:sz w:val="20"/>
          <w:szCs w:val="20"/>
          <w:color w:val="auto"/>
        </w:rPr>
      </w:pPr>
      <w:r>
        <w:rPr>
          <w:rFonts w:ascii="Times New Roman" w:cs="Times New Roman" w:eastAsia="Times New Roman" w:hAnsi="Times New Roman"/>
          <w:sz w:val="19"/>
          <w:szCs w:val="19"/>
          <w:color w:val="auto"/>
        </w:rPr>
        <w:t>“Applicable Revolving Percentage” means, with respect to any Revolving Lender, the percentage of the total Revolving Commitments of such Lender. If the Revolving Commitments have terminated or expired, the Applicable Revolving Percentage of such Lender shall be determined based on such Lender’s existing Revolving Credit Exposure.</w:t>
      </w:r>
    </w:p>
    <w:p>
      <w:pPr>
        <w:spacing w:after="0" w:line="144"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“Approved Dealer” means (a) in the case of any Portfolio Investment that is not a U.S. Government Security, a bank or a broker -dealer registered under the Securities Exchange Act of 1934, as amended, of nationally recognized standing or an Affiliate thereof, (b) in the case of a U.S. Government Security, any primary dealer in U.S. Government Securities, and (c) in the case of any foreign Portfolio Investment, any foreign bank or broker-dealer of internationally recognized standing or an Affiliate thereof, in the case of each of clauses (a), (b) and (c) above, as set forth on Schedule 1.01(a) or any other bank or broker-dealer or Affiliate thereof acceptable to the Administrative Agent in its reasonable determination.</w:t>
      </w:r>
    </w:p>
    <w:p>
      <w:pPr>
        <w:spacing w:after="0" w:line="157" w:lineRule="exact"/>
        <w:rPr>
          <w:sz w:val="20"/>
          <w:szCs w:val="20"/>
          <w:color w:val="auto"/>
        </w:rPr>
      </w:pPr>
    </w:p>
    <w:p>
      <w:pPr>
        <w:ind w:right="160" w:firstLine="1404"/>
        <w:spacing w:after="0" w:line="262" w:lineRule="auto"/>
        <w:rPr>
          <w:sz w:val="20"/>
          <w:szCs w:val="20"/>
          <w:color w:val="auto"/>
        </w:rPr>
      </w:pPr>
      <w:r>
        <w:rPr>
          <w:rFonts w:ascii="Times New Roman" w:cs="Times New Roman" w:eastAsia="Times New Roman" w:hAnsi="Times New Roman"/>
          <w:sz w:val="19"/>
          <w:szCs w:val="19"/>
          <w:color w:val="auto"/>
        </w:rPr>
        <w:t>“Approved Pricing Service” means a pricing or quotation service as set forth in Schedule 1.01(a)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50" w:lineRule="exact"/>
        <w:rPr>
          <w:sz w:val="20"/>
          <w:szCs w:val="20"/>
          <w:color w:val="auto"/>
        </w:rPr>
      </w:pPr>
    </w:p>
    <w:p>
      <w:pPr>
        <w:ind w:right="60" w:firstLine="1404"/>
        <w:spacing w:after="0" w:line="255" w:lineRule="auto"/>
        <w:rPr>
          <w:sz w:val="20"/>
          <w:szCs w:val="20"/>
          <w:color w:val="auto"/>
        </w:rPr>
      </w:pPr>
      <w:r>
        <w:rPr>
          <w:rFonts w:ascii="Times New Roman" w:cs="Times New Roman" w:eastAsia="Times New Roman" w:hAnsi="Times New Roman"/>
          <w:sz w:val="19"/>
          <w:szCs w:val="19"/>
          <w:color w:val="auto"/>
        </w:rPr>
        <w:t>“Approved Third-Party Appraiser”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Inc., Duff</w:t>
      </w:r>
    </w:p>
    <w:p>
      <w:pPr>
        <w:spacing w:after="0" w:line="2" w:lineRule="exact"/>
        <w:rPr>
          <w:sz w:val="20"/>
          <w:szCs w:val="20"/>
          <w:color w:val="auto"/>
        </w:rPr>
      </w:pPr>
    </w:p>
    <w:p>
      <w:pPr>
        <w:ind w:right="60" w:firstLine="6"/>
        <w:spacing w:after="0" w:line="253" w:lineRule="auto"/>
        <w:tabs>
          <w:tab w:leader="none" w:pos="197"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Phelps Corporation, Kroll, LLC, Murray, Devine and Company, Citrin Cooperman, Lincoln International LLC (formerly known as Lincoln Partners LLC) and Valuation Research Corporation are acceptable to the Administrative Agent. As used in Section 5.12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59" w:lineRule="exact"/>
        <w:rPr>
          <w:sz w:val="20"/>
          <w:szCs w:val="20"/>
          <w:color w:val="auto"/>
        </w:rPr>
      </w:pPr>
    </w:p>
    <w:p>
      <w:pPr>
        <w:ind w:right="60" w:firstLine="1404"/>
        <w:spacing w:after="0" w:line="259" w:lineRule="auto"/>
        <w:rPr>
          <w:sz w:val="20"/>
          <w:szCs w:val="20"/>
          <w:color w:val="auto"/>
        </w:rPr>
      </w:pPr>
      <w:r>
        <w:rPr>
          <w:rFonts w:ascii="Times New Roman" w:cs="Times New Roman" w:eastAsia="Times New Roman" w:hAnsi="Times New Roman"/>
          <w:sz w:val="19"/>
          <w:szCs w:val="19"/>
          <w:color w:val="auto"/>
        </w:rPr>
        <w:t>“Assignment and Assumption” means an Assignment and Assumption entered into by a Lender and an assignee (with the consent of any party whose consent is required by Section 9.04), and accepted by the Administrative Agent, in the form of Exhibit A (with adjustments thereto to reflect the Classes of Commitments and/or Loans being assigned or outstanding at the time of the respective assignment) or any other form approved by the Administrative Agent and, so long as no Specified Event of Default has occurred and is continuing, the Borrower.</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“Assuming Lender” has the meaning assigned to such term in Section 2.08(e)(i).</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“Australian Dollars” means the lawful currency of The Commonwealth of Australia.</w:t>
      </w:r>
    </w:p>
    <w:p>
      <w:pPr>
        <w:spacing w:after="0" w:line="200" w:lineRule="exact"/>
        <w:rPr>
          <w:sz w:val="20"/>
          <w:szCs w:val="20"/>
          <w:color w:val="auto"/>
        </w:rPr>
      </w:pPr>
    </w:p>
    <w:p>
      <w:pPr>
        <w:ind w:left="880" w:hanging="670"/>
        <w:spacing w:after="0"/>
        <w:tabs>
          <w:tab w:leader="none" w:pos="8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6" w:name="page117"/>
    <w:bookmarkEnd w:id="116"/>
    <w:p>
      <w:pPr>
        <w:spacing w:after="0" w:line="269"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“Availability Period” means, with respect to any Revolving Commitments, the period from and including the Effective Date to but excluding the earlier of (x) the Commitment Termination Date and (y) the date of termination of such Revolving Commitments.</w:t>
      </w:r>
    </w:p>
    <w:p>
      <w:pPr>
        <w:spacing w:after="0" w:line="144" w:lineRule="exact"/>
        <w:rPr>
          <w:sz w:val="20"/>
          <w:szCs w:val="20"/>
          <w:color w:val="auto"/>
        </w:rPr>
      </w:pPr>
    </w:p>
    <w:p>
      <w:pPr>
        <w:ind w:right="280" w:firstLine="1404"/>
        <w:spacing w:after="0" w:line="256" w:lineRule="auto"/>
        <w:rPr>
          <w:sz w:val="20"/>
          <w:szCs w:val="20"/>
          <w:color w:val="auto"/>
        </w:rPr>
      </w:pPr>
      <w:r>
        <w:rPr>
          <w:rFonts w:ascii="Times New Roman" w:cs="Times New Roman" w:eastAsia="Times New Roman" w:hAnsi="Times New Roman"/>
          <w:sz w:val="19"/>
          <w:szCs w:val="19"/>
          <w:color w:val="auto"/>
        </w:rPr>
        <w:t>“Available Tenor” means, as of any date of determination and with respect to the then-current Benchmark for any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2.21(d).</w:t>
      </w:r>
    </w:p>
    <w:p>
      <w:pPr>
        <w:spacing w:after="0" w:line="157" w:lineRule="exact"/>
        <w:rPr>
          <w:sz w:val="20"/>
          <w:szCs w:val="20"/>
          <w:color w:val="auto"/>
        </w:rPr>
      </w:pPr>
    </w:p>
    <w:p>
      <w:pPr>
        <w:ind w:right="680" w:firstLine="1404"/>
        <w:spacing w:after="0" w:line="286" w:lineRule="auto"/>
        <w:rPr>
          <w:sz w:val="20"/>
          <w:szCs w:val="20"/>
          <w:color w:val="auto"/>
        </w:rPr>
      </w:pPr>
      <w:r>
        <w:rPr>
          <w:rFonts w:ascii="Times New Roman" w:cs="Times New Roman" w:eastAsia="Times New Roman" w:hAnsi="Times New Roman"/>
          <w:sz w:val="19"/>
          <w:szCs w:val="19"/>
          <w:color w:val="auto"/>
        </w:rPr>
        <w:t>“Bail-In Action” means the exercise of any Write-Down and Conversion Powers by the applicable Resolution Authority in respect of any liability of an Affected Financial Institution.</w:t>
      </w:r>
    </w:p>
    <w:p>
      <w:pPr>
        <w:spacing w:after="0" w:line="127" w:lineRule="exact"/>
        <w:rPr>
          <w:sz w:val="20"/>
          <w:szCs w:val="20"/>
          <w:color w:val="auto"/>
        </w:rPr>
      </w:pPr>
    </w:p>
    <w:p>
      <w:pPr>
        <w:ind w:right="240" w:firstLine="1404"/>
        <w:spacing w:after="0" w:line="257" w:lineRule="auto"/>
        <w:rPr>
          <w:sz w:val="20"/>
          <w:szCs w:val="20"/>
          <w:color w:val="auto"/>
        </w:rPr>
      </w:pPr>
      <w:r>
        <w:rPr>
          <w:rFonts w:ascii="Times New Roman" w:cs="Times New Roman" w:eastAsia="Times New Roman" w:hAnsi="Times New Roman"/>
          <w:sz w:val="19"/>
          <w:szCs w:val="19"/>
          <w:color w:val="auto"/>
        </w:rPr>
        <w:t>“Bail-In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7" w:lineRule="exact"/>
        <w:rPr>
          <w:sz w:val="20"/>
          <w:szCs w:val="20"/>
          <w:color w:val="auto"/>
        </w:rPr>
      </w:pPr>
    </w:p>
    <w:p>
      <w:pPr>
        <w:ind w:left="1420" w:right="60"/>
        <w:spacing w:after="0" w:line="368" w:lineRule="auto"/>
        <w:rPr>
          <w:sz w:val="20"/>
          <w:szCs w:val="20"/>
          <w:color w:val="auto"/>
        </w:rPr>
      </w:pPr>
      <w:r>
        <w:rPr>
          <w:rFonts w:ascii="Times New Roman" w:cs="Times New Roman" w:eastAsia="Times New Roman" w:hAnsi="Times New Roman"/>
          <w:sz w:val="19"/>
          <w:szCs w:val="19"/>
          <w:color w:val="auto"/>
        </w:rPr>
        <w:t>“Base Rate Term SOFR Determination Day” has the meaning set forth in the definition of “Term SOFR”. “Benchmark” means, initially, with respect to any Loans denominated in (a) Dollars, the Term SOFR Reference Rate,</w:t>
      </w:r>
    </w:p>
    <w:p>
      <w:pPr>
        <w:ind w:right="40" w:firstLine="6"/>
        <w:spacing w:after="0" w:line="252" w:lineRule="auto"/>
        <w:tabs>
          <w:tab w:leader="none" w:pos="272"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Canadian Dollars, the Term CORRA Reference Rate, (c) Sterling or Swiss Francs, the Daily Simple RFR for such Currency, and (d) any other Agreed Foreign Currency, the Adjusted Term Benchmark Rate for such Currency; provided that, if a Benchmark Transition Event or an Other Benchmark Rate Election and its related Benchmark Replacement Date have occurred with respect to the Term SOFR Reference Rate, the Term CORRA Reference Rate, the Daily Simple RFR or the Adjusted Term Benchmark Rate for such Currency, or the then current Benchmark, as applicable, then “Benchmark” shall mean the applicable Benchmark Replacement for such Currency to the extent that such Benchmark Replacement has replaced such prior benchmark rate pursuant to clause (a) of Section 2.21.</w:t>
      </w:r>
    </w:p>
    <w:p>
      <w:pPr>
        <w:spacing w:after="0" w:line="162" w:lineRule="exact"/>
        <w:rPr>
          <w:sz w:val="20"/>
          <w:szCs w:val="20"/>
          <w:color w:val="auto"/>
        </w:rPr>
      </w:pPr>
    </w:p>
    <w:p>
      <w:pPr>
        <w:jc w:val="both"/>
        <w:ind w:right="100" w:firstLine="1452"/>
        <w:spacing w:after="0" w:line="268" w:lineRule="auto"/>
        <w:rPr>
          <w:sz w:val="20"/>
          <w:szCs w:val="20"/>
          <w:color w:val="auto"/>
        </w:rPr>
      </w:pPr>
      <w:r>
        <w:rPr>
          <w:rFonts w:ascii="Times New Roman" w:cs="Times New Roman" w:eastAsia="Times New Roman" w:hAnsi="Times New Roman"/>
          <w:sz w:val="19"/>
          <w:szCs w:val="19"/>
          <w:color w:val="auto"/>
        </w:rPr>
        <w:t>“Benchmark Replacement” means, with respect to any Benchmark Transition Event for any then-current Benchmark or Other Benchmark Rate Election, the first alternative set forth in the order below that can be determined by the Administrative Agent for the applicable Benchmark Replacement Date; provided that, other than in the case of the replacement of the Term</w:t>
      </w:r>
    </w:p>
    <w:p>
      <w:pPr>
        <w:spacing w:after="0" w:line="142" w:lineRule="exact"/>
        <w:rPr>
          <w:sz w:val="20"/>
          <w:szCs w:val="20"/>
          <w:color w:val="auto"/>
        </w:rPr>
      </w:pPr>
    </w:p>
    <w:p>
      <w:pPr>
        <w:ind w:left="880" w:hanging="670"/>
        <w:spacing w:after="0"/>
        <w:tabs>
          <w:tab w:leader="none" w:pos="8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17" w:name="page118"/>
    <w:bookmarkEnd w:id="117"/>
    <w:p>
      <w:pPr>
        <w:spacing w:after="0" w:line="26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auto"/>
        </w:rPr>
        <w:t>SOFR Reference Rate, but including in connection with any Other Benchmark Rate Election, such alternative shall be the alternative set forth in clause (2) below:</w:t>
      </w:r>
    </w:p>
    <w:p>
      <w:pPr>
        <w:spacing w:after="0" w:line="127" w:lineRule="exact"/>
        <w:rPr>
          <w:sz w:val="20"/>
          <w:szCs w:val="20"/>
          <w:color w:val="auto"/>
        </w:rPr>
      </w:pPr>
    </w:p>
    <w:p>
      <w:pPr>
        <w:ind w:left="1680" w:hanging="270"/>
        <w:spacing w:after="0"/>
        <w:tabs>
          <w:tab w:leader="none" w:pos="1680"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(a) Daily Simple SOFR and (b) 0.10%; and</w:t>
      </w:r>
    </w:p>
    <w:p>
      <w:pPr>
        <w:spacing w:after="0" w:line="201" w:lineRule="exact"/>
        <w:rPr>
          <w:rFonts w:ascii="Times New Roman" w:cs="Times New Roman" w:eastAsia="Times New Roman" w:hAnsi="Times New Roman"/>
          <w:sz w:val="19"/>
          <w:szCs w:val="19"/>
          <w:color w:val="auto"/>
        </w:rPr>
      </w:pPr>
    </w:p>
    <w:p>
      <w:pPr>
        <w:ind w:right="80" w:firstLine="1410"/>
        <w:spacing w:after="0" w:line="258" w:lineRule="auto"/>
        <w:tabs>
          <w:tab w:leader="none" w:pos="1676"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(a) the alternate benchmark rate that has been selected by the Administrative Agent and the Borrower as the replacement for the then-current Benchmark for the applicable Currency giving due consideration to (i) any selection or recommendation of a replacement benchmark rate or the mechanism for determining such a rate by the Relevant Governmental Body or</w:t>
      </w:r>
    </w:p>
    <w:p>
      <w:pPr>
        <w:spacing w:after="0" w:line="1" w:lineRule="exact"/>
        <w:rPr>
          <w:rFonts w:ascii="Times New Roman" w:cs="Times New Roman" w:eastAsia="Times New Roman" w:hAnsi="Times New Roman"/>
          <w:sz w:val="19"/>
          <w:szCs w:val="19"/>
          <w:color w:val="auto"/>
        </w:rPr>
      </w:pPr>
    </w:p>
    <w:p>
      <w:pPr>
        <w:ind w:right="300" w:firstLine="6"/>
        <w:spacing w:after="0" w:line="256" w:lineRule="auto"/>
        <w:tabs>
          <w:tab w:leader="none" w:pos="282"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evolving or then-prevailing market convention in the United States for determining a benchmark rate as a replacement for the then-current Benchmark for syndicated credit facilities denominated in the applicable Currency at such time and (b) the related Benchmark Replacement Adjustment.</w:t>
      </w:r>
    </w:p>
    <w:p>
      <w:pPr>
        <w:spacing w:after="0" w:line="155" w:lineRule="exact"/>
        <w:rPr>
          <w:sz w:val="20"/>
          <w:szCs w:val="20"/>
          <w:color w:val="auto"/>
        </w:rPr>
      </w:pPr>
    </w:p>
    <w:p>
      <w:pPr>
        <w:ind w:right="240" w:firstLine="1404"/>
        <w:spacing w:after="0" w:line="286" w:lineRule="auto"/>
        <w:rPr>
          <w:sz w:val="20"/>
          <w:szCs w:val="20"/>
          <w:color w:val="auto"/>
        </w:rPr>
      </w:pPr>
      <w:r>
        <w:rPr>
          <w:rFonts w:ascii="Times New Roman" w:cs="Times New Roman" w:eastAsia="Times New Roman" w:hAnsi="Times New Roman"/>
          <w:sz w:val="19"/>
          <w:szCs w:val="19"/>
          <w:color w:val="auto"/>
        </w:rPr>
        <w:t>If the Benchmark Replacement as determined pursuant to clause (1) or (2) of this definition would be less than the Floor, the Benchmark Replacement will be deemed to be the Floor for the purposes of this Agreement and the other Loan Documents.</w:t>
      </w:r>
    </w:p>
    <w:p>
      <w:pPr>
        <w:spacing w:after="0" w:line="127"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“Benchmark Replacement Adjustment” means, with respect to any replacement of the then-current Benchmark for a Currency with an Unadjusted Benchmark Replacement for any applicable Interest Period and Available Tenor for any such setting of such Unadjusted Benchmark Replacement (excluding, for the avoidance of doubt, Daily Simple SOFR), the spread adjustment, or method for calculating or determining such spread adjustment (which may be a positive or negative value or zero) that has been selected by the Administrative Agent and the Borrower for such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in the U.S. syndicated loan market at such time.</w:t>
      </w:r>
    </w:p>
    <w:p>
      <w:pPr>
        <w:spacing w:after="0" w:line="160" w:lineRule="exact"/>
        <w:rPr>
          <w:sz w:val="20"/>
          <w:szCs w:val="20"/>
          <w:color w:val="auto"/>
        </w:rPr>
      </w:pPr>
    </w:p>
    <w:p>
      <w:pPr>
        <w:ind w:right="140" w:firstLine="1404"/>
        <w:spacing w:after="0" w:line="286" w:lineRule="auto"/>
        <w:rPr>
          <w:sz w:val="20"/>
          <w:szCs w:val="20"/>
          <w:color w:val="auto"/>
        </w:rPr>
      </w:pPr>
      <w:r>
        <w:rPr>
          <w:rFonts w:ascii="Times New Roman" w:cs="Times New Roman" w:eastAsia="Times New Roman" w:hAnsi="Times New Roman"/>
          <w:sz w:val="19"/>
          <w:szCs w:val="19"/>
          <w:color w:val="auto"/>
        </w:rPr>
        <w:t>“Benchmark Replacement Date” means a date and time determined by the Administrative Agent, which date shall be no later than the earliest to occur of the following events with respect to the then-current Benchmark:</w:t>
      </w:r>
    </w:p>
    <w:p>
      <w:pPr>
        <w:spacing w:after="0" w:line="127" w:lineRule="exact"/>
        <w:rPr>
          <w:sz w:val="20"/>
          <w:szCs w:val="20"/>
          <w:color w:val="auto"/>
        </w:rPr>
      </w:pPr>
    </w:p>
    <w:p>
      <w:pPr>
        <w:ind w:left="1680" w:hanging="270"/>
        <w:spacing w:after="0"/>
        <w:tabs>
          <w:tab w:leader="none" w:pos="168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(1) or (2) of the definition of “Benchmark Transition Event,” the later of</w:t>
      </w:r>
    </w:p>
    <w:p>
      <w:pPr>
        <w:spacing w:after="0" w:line="201" w:lineRule="exact"/>
        <w:rPr>
          <w:rFonts w:ascii="Times New Roman" w:cs="Times New Roman" w:eastAsia="Times New Roman" w:hAnsi="Times New Roman"/>
          <w:sz w:val="19"/>
          <w:szCs w:val="19"/>
          <w:color w:val="auto"/>
        </w:rPr>
      </w:pPr>
    </w:p>
    <w:p>
      <w:pPr>
        <w:ind w:left="14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the date of the public statement or publication of information referenced therein; and</w:t>
      </w:r>
    </w:p>
    <w:p>
      <w:pPr>
        <w:spacing w:after="0" w:line="202" w:lineRule="exact"/>
        <w:rPr>
          <w:sz w:val="20"/>
          <w:szCs w:val="20"/>
          <w:color w:val="auto"/>
        </w:rPr>
      </w:pPr>
    </w:p>
    <w:p>
      <w:pPr>
        <w:ind w:right="580" w:firstLine="1410"/>
        <w:spacing w:after="0" w:line="286" w:lineRule="auto"/>
        <w:tabs>
          <w:tab w:leader="none" w:pos="1676"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the administrator of such Benchmark (or the published component used in the calculation thereof) permanently or indefinitely ceases to provide all Available Tenors of such Benchmark (or such component thereof);</w:t>
      </w:r>
    </w:p>
    <w:p>
      <w:pPr>
        <w:spacing w:after="0" w:line="126" w:lineRule="exact"/>
        <w:rPr>
          <w:sz w:val="20"/>
          <w:szCs w:val="20"/>
          <w:color w:val="auto"/>
        </w:rPr>
      </w:pPr>
    </w:p>
    <w:p>
      <w:pPr>
        <w:ind w:left="880" w:hanging="670"/>
        <w:spacing w:after="0"/>
        <w:tabs>
          <w:tab w:leader="none" w:pos="8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18" w:name="page119"/>
    <w:bookmarkEnd w:id="118"/>
    <w:p>
      <w:pPr>
        <w:spacing w:after="0" w:line="269" w:lineRule="exact"/>
        <w:rPr>
          <w:sz w:val="20"/>
          <w:szCs w:val="20"/>
          <w:color w:val="auto"/>
        </w:rPr>
      </w:pPr>
    </w:p>
    <w:p>
      <w:pPr>
        <w:ind w:right="40" w:firstLine="1410"/>
        <w:spacing w:after="0" w:line="257" w:lineRule="auto"/>
        <w:tabs>
          <w:tab w:leader="none" w:pos="1724"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provided that such non-representativeness will be determined by reference to the most recent statement or publication referenced in such clause (3) and even if any Available Tenor of such Benchmark (or such component thereof) continues to be provided on such date; or</w:t>
      </w:r>
    </w:p>
    <w:p>
      <w:pPr>
        <w:spacing w:after="0" w:line="156" w:lineRule="exact"/>
        <w:rPr>
          <w:rFonts w:ascii="Times New Roman" w:cs="Times New Roman" w:eastAsia="Times New Roman" w:hAnsi="Times New Roman"/>
          <w:sz w:val="19"/>
          <w:szCs w:val="19"/>
          <w:color w:val="auto"/>
        </w:rPr>
      </w:pPr>
    </w:p>
    <w:p>
      <w:pPr>
        <w:jc w:val="both"/>
        <w:ind w:right="160" w:firstLine="1410"/>
        <w:spacing w:after="0" w:line="268" w:lineRule="auto"/>
        <w:tabs>
          <w:tab w:leader="none" w:pos="1724"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 Other Benchmark Rate Election, the fifth (5th) Business Day after the date notice of such Other Benchmark Rate Election is provided to the Lenders, so long as the Administrative Agent has not received, by such time, written notice of objection to such Other Benchmark Rate Election, as applicable, from Lenders comprising the Required Lenders.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For the avoidance of doubt, the “Benchmark Replacement Date” will be deemed to have occurred in the case of clause</w:t>
      </w:r>
    </w:p>
    <w:p>
      <w:pPr>
        <w:spacing w:after="0" w:line="32" w:lineRule="exact"/>
        <w:rPr>
          <w:sz w:val="20"/>
          <w:szCs w:val="20"/>
          <w:color w:val="auto"/>
        </w:rPr>
      </w:pPr>
    </w:p>
    <w:p>
      <w:pPr>
        <w:ind w:right="320" w:firstLine="6"/>
        <w:spacing w:after="0" w:line="262" w:lineRule="auto"/>
        <w:tabs>
          <w:tab w:leader="none" w:pos="272"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(2) of this definition with respect to any Benchmark upon the occurrence of the applicable event or events set forth therein with respect to all then-current Available Tenors of such Benchmark (or the published component used in the calculation thereof).</w:t>
      </w:r>
    </w:p>
    <w:p>
      <w:pPr>
        <w:spacing w:after="0" w:line="149" w:lineRule="exact"/>
        <w:rPr>
          <w:sz w:val="20"/>
          <w:szCs w:val="20"/>
          <w:color w:val="auto"/>
        </w:rPr>
      </w:pPr>
    </w:p>
    <w:p>
      <w:pPr>
        <w:ind w:right="120" w:firstLine="1452"/>
        <w:spacing w:after="0" w:line="286" w:lineRule="auto"/>
        <w:rPr>
          <w:sz w:val="20"/>
          <w:szCs w:val="20"/>
          <w:color w:val="auto"/>
        </w:rPr>
      </w:pPr>
      <w:r>
        <w:rPr>
          <w:rFonts w:ascii="Times New Roman" w:cs="Times New Roman" w:eastAsia="Times New Roman" w:hAnsi="Times New Roman"/>
          <w:sz w:val="19"/>
          <w:szCs w:val="19"/>
          <w:color w:val="auto"/>
        </w:rPr>
        <w:t>“Benchmark Transition Event” means, with respect to any then-current Benchmark, the occurrence of one or more of the following events with respect to such Benchmark:</w:t>
      </w:r>
    </w:p>
    <w:p>
      <w:pPr>
        <w:spacing w:after="0" w:line="127" w:lineRule="exact"/>
        <w:rPr>
          <w:sz w:val="20"/>
          <w:szCs w:val="20"/>
          <w:color w:val="auto"/>
        </w:rPr>
      </w:pPr>
    </w:p>
    <w:p>
      <w:pPr>
        <w:ind w:firstLine="1410"/>
        <w:spacing w:after="0" w:line="259" w:lineRule="auto"/>
        <w:tabs>
          <w:tab w:leader="none" w:pos="1676"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53" w:lineRule="exact"/>
        <w:rPr>
          <w:rFonts w:ascii="Times New Roman" w:cs="Times New Roman" w:eastAsia="Times New Roman" w:hAnsi="Times New Roman"/>
          <w:sz w:val="19"/>
          <w:szCs w:val="19"/>
          <w:color w:val="auto"/>
        </w:rPr>
      </w:pPr>
    </w:p>
    <w:p>
      <w:pPr>
        <w:ind w:firstLine="1410"/>
        <w:spacing w:after="0" w:line="255" w:lineRule="auto"/>
        <w:tabs>
          <w:tab w:leader="none" w:pos="1676"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the Board, the Federal Reserve Bank of New York or the Bank of Canada, as applicable, the central bank for the Currency applicable to such Benchmark,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which states that the administrator of such Benchmark (or such component thereof)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55" w:lineRule="exact"/>
        <w:rPr>
          <w:rFonts w:ascii="Times New Roman" w:cs="Times New Roman" w:eastAsia="Times New Roman" w:hAnsi="Times New Roman"/>
          <w:sz w:val="19"/>
          <w:szCs w:val="19"/>
          <w:color w:val="auto"/>
        </w:rPr>
      </w:pPr>
    </w:p>
    <w:p>
      <w:pPr>
        <w:ind w:right="340" w:firstLine="1410"/>
        <w:spacing w:after="0" w:line="268" w:lineRule="auto"/>
        <w:tabs>
          <w:tab w:leader="none" w:pos="1676"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or the regulatory supervisor for the administrator of such Benchmark (or the published component</w:t>
      </w:r>
    </w:p>
    <w:p>
      <w:pPr>
        <w:spacing w:after="0" w:line="142" w:lineRule="exact"/>
        <w:rPr>
          <w:sz w:val="20"/>
          <w:szCs w:val="20"/>
          <w:color w:val="auto"/>
        </w:rPr>
      </w:pPr>
    </w:p>
    <w:p>
      <w:pPr>
        <w:ind w:left="880" w:hanging="670"/>
        <w:spacing w:after="0"/>
        <w:tabs>
          <w:tab w:leader="none" w:pos="8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9" w:name="page120"/>
    <w:bookmarkEnd w:id="119"/>
    <w:p>
      <w:pPr>
        <w:spacing w:after="0" w:line="26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9"/>
          <w:szCs w:val="19"/>
          <w:color w:val="auto"/>
        </w:rPr>
        <w:t>used in the calculation thereof) announcing that all Available Tenors of such Benchmark (or such component thereof) are not, or as of a specified future date will not be, representative.</w:t>
      </w:r>
    </w:p>
    <w:p>
      <w:pPr>
        <w:spacing w:after="0" w:line="127" w:lineRule="exact"/>
        <w:rPr>
          <w:sz w:val="20"/>
          <w:szCs w:val="20"/>
          <w:color w:val="auto"/>
        </w:rPr>
      </w:pPr>
    </w:p>
    <w:p>
      <w:pPr>
        <w:ind w:right="200" w:firstLine="1404"/>
        <w:spacing w:after="0" w:line="268" w:lineRule="auto"/>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4" w:lineRule="exact"/>
        <w:rPr>
          <w:sz w:val="20"/>
          <w:szCs w:val="20"/>
          <w:color w:val="auto"/>
        </w:rPr>
      </w:pPr>
    </w:p>
    <w:p>
      <w:pPr>
        <w:ind w:right="120" w:firstLine="1404"/>
        <w:spacing w:after="0" w:line="259" w:lineRule="auto"/>
        <w:rPr>
          <w:sz w:val="20"/>
          <w:szCs w:val="20"/>
          <w:color w:val="auto"/>
        </w:rPr>
      </w:pPr>
      <w:r>
        <w:rPr>
          <w:rFonts w:ascii="Times New Roman" w:cs="Times New Roman" w:eastAsia="Times New Roman" w:hAnsi="Times New Roman"/>
          <w:sz w:val="19"/>
          <w:szCs w:val="19"/>
          <w:color w:val="auto"/>
        </w:rPr>
        <w:t>“Benchmark Unavailability Period” means, with respect to any then-current Benchmark, the period (if any) (x) beginning at the time that a Benchmark Replacement Date has occurred with respect to such Benchmark if, at such time, no Benchmark Replacement has replaced such then-current Benchmark for all purposes hereunder and under any other Loan Document in accordance with Section 2.21 and (y) ending at the time that a Benchmark Replacement has replaced such then-current Benchmark for all purposes hereunder and under any other Loan Document in accordance with Section 2.21.</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“Benefit Plan” means any of (a) an “employee benefit plan” (as defined in ERISA) that is subject to Title I of ERISA,</w:t>
      </w:r>
    </w:p>
    <w:p>
      <w:pPr>
        <w:spacing w:after="0" w:line="32" w:lineRule="exact"/>
        <w:rPr>
          <w:sz w:val="20"/>
          <w:szCs w:val="20"/>
          <w:color w:val="auto"/>
        </w:rPr>
      </w:pPr>
    </w:p>
    <w:p>
      <w:pPr>
        <w:ind w:firstLine="6"/>
        <w:spacing w:after="0" w:line="256" w:lineRule="auto"/>
        <w:tabs>
          <w:tab w:leader="none" w:pos="272"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5" w:lineRule="exact"/>
        <w:rPr>
          <w:sz w:val="20"/>
          <w:szCs w:val="20"/>
          <w:color w:val="auto"/>
        </w:rPr>
      </w:pPr>
    </w:p>
    <w:p>
      <w:pPr>
        <w:ind w:right="640" w:firstLine="1404"/>
        <w:spacing w:after="0" w:line="286" w:lineRule="auto"/>
        <w:rPr>
          <w:sz w:val="20"/>
          <w:szCs w:val="20"/>
          <w:color w:val="auto"/>
        </w:rPr>
      </w:pPr>
      <w:r>
        <w:rPr>
          <w:rFonts w:ascii="Times New Roman" w:cs="Times New Roman" w:eastAsia="Times New Roman" w:hAnsi="Times New Roman"/>
          <w:sz w:val="19"/>
          <w:szCs w:val="19"/>
          <w:color w:val="auto"/>
        </w:rPr>
        <w:t>“Board” means the Board of Governors of the Federal Reserve System of the United States of America (or any successor thereof).</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“Borrower” has the meaning assigned to such term in the preamble to this Agreement.</w:t>
      </w:r>
    </w:p>
    <w:p>
      <w:pPr>
        <w:spacing w:after="0" w:line="202" w:lineRule="exact"/>
        <w:rPr>
          <w:sz w:val="20"/>
          <w:szCs w:val="20"/>
          <w:color w:val="auto"/>
        </w:rPr>
      </w:pPr>
    </w:p>
    <w:p>
      <w:pPr>
        <w:ind w:right="280" w:firstLine="1404"/>
        <w:spacing w:after="0" w:line="286" w:lineRule="auto"/>
        <w:rPr>
          <w:sz w:val="20"/>
          <w:szCs w:val="20"/>
          <w:color w:val="auto"/>
        </w:rPr>
      </w:pPr>
      <w:r>
        <w:rPr>
          <w:rFonts w:ascii="Times New Roman" w:cs="Times New Roman" w:eastAsia="Times New Roman" w:hAnsi="Times New Roman"/>
          <w:sz w:val="19"/>
          <w:szCs w:val="19"/>
          <w:color w:val="auto"/>
        </w:rPr>
        <w:t>“Borrower Asset Coverage Ratio” means the ratio, determined for the Obligors, without duplication, of (a) (i) Total Assets minus (ii) Total Assets Concentration Limitation to (b) Total Secured Debt.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“Borrowing” means (a) all Syndicated ABR Loans of the same Class made, converted or continued on the same date,</w:t>
      </w:r>
    </w:p>
    <w:p>
      <w:pPr>
        <w:spacing w:after="0" w:line="32" w:lineRule="exact"/>
        <w:rPr>
          <w:sz w:val="20"/>
          <w:szCs w:val="20"/>
          <w:color w:val="auto"/>
        </w:rPr>
      </w:pPr>
    </w:p>
    <w:p>
      <w:pPr>
        <w:ind w:right="460" w:firstLine="6"/>
        <w:spacing w:after="0" w:line="262" w:lineRule="auto"/>
        <w:tabs>
          <w:tab w:leader="none" w:pos="272"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Term Benchmark Loans of the same Class denominated in the same Currency that have the same Interest Period, (c) all RFR Loans of the same Class and Type denominated in the same Currency that have the same Interest Period or (d) a Swingline Loan.</w:t>
      </w:r>
    </w:p>
    <w:p>
      <w:pPr>
        <w:spacing w:after="0" w:line="14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“Borrowing Base” has the meaning assigned to such term in Section 5.13.</w:t>
      </w:r>
    </w:p>
    <w:p>
      <w:pPr>
        <w:spacing w:after="0" w:line="202" w:lineRule="exact"/>
        <w:rPr>
          <w:sz w:val="20"/>
          <w:szCs w:val="20"/>
          <w:color w:val="auto"/>
        </w:rPr>
      </w:pPr>
    </w:p>
    <w:p>
      <w:pPr>
        <w:ind w:right="220" w:firstLine="1404"/>
        <w:spacing w:after="0" w:line="286" w:lineRule="auto"/>
        <w:rPr>
          <w:sz w:val="20"/>
          <w:szCs w:val="20"/>
          <w:color w:val="auto"/>
        </w:rPr>
      </w:pPr>
      <w:r>
        <w:rPr>
          <w:rFonts w:ascii="Times New Roman" w:cs="Times New Roman" w:eastAsia="Times New Roman" w:hAnsi="Times New Roman"/>
          <w:sz w:val="19"/>
          <w:szCs w:val="19"/>
          <w:color w:val="auto"/>
        </w:rPr>
        <w:t>“Borrowing Base Certificate” means a certificate of a Financial Officer of the Borrower, substantially in the form of Exhibit B (or such other form as shall be reasonably satisfactory to the Administrative Agent) and appropriately completed.</w:t>
      </w:r>
    </w:p>
    <w:p>
      <w:pPr>
        <w:spacing w:after="0" w:line="127" w:lineRule="exact"/>
        <w:rPr>
          <w:sz w:val="20"/>
          <w:szCs w:val="20"/>
          <w:color w:val="auto"/>
        </w:rPr>
      </w:pPr>
    </w:p>
    <w:p>
      <w:pPr>
        <w:ind w:right="380" w:firstLine="1404"/>
        <w:spacing w:after="0" w:line="286" w:lineRule="auto"/>
        <w:rPr>
          <w:sz w:val="20"/>
          <w:szCs w:val="20"/>
          <w:color w:val="auto"/>
        </w:rPr>
      </w:pPr>
      <w:r>
        <w:rPr>
          <w:rFonts w:ascii="Times New Roman" w:cs="Times New Roman" w:eastAsia="Times New Roman" w:hAnsi="Times New Roman"/>
          <w:sz w:val="19"/>
          <w:szCs w:val="19"/>
          <w:color w:val="auto"/>
        </w:rPr>
        <w:t>“Borrowing Base Deficiency” means, at any date on which the same is determined, the amount, if any, that (a) the aggregate Covered Debt Amount as of such date exceeds (b) the Borrowing Base as of such date.</w:t>
      </w:r>
    </w:p>
    <w:p>
      <w:pPr>
        <w:spacing w:after="0" w:line="126" w:lineRule="exact"/>
        <w:rPr>
          <w:sz w:val="20"/>
          <w:szCs w:val="20"/>
          <w:color w:val="auto"/>
        </w:rPr>
      </w:pPr>
    </w:p>
    <w:p>
      <w:pPr>
        <w:ind w:left="880" w:hanging="670"/>
        <w:spacing w:after="0"/>
        <w:tabs>
          <w:tab w:leader="none" w:pos="88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0" w:name="page121"/>
    <w:bookmarkEnd w:id="120"/>
    <w:p>
      <w:pPr>
        <w:spacing w:after="0" w:line="269"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“Borrowing Request” means a request by the Borrower for a Syndicated Borrowing in accordance with Section 2.03, which, if in writing, shall be substantially in the form of Exhibit C.</w:t>
      </w:r>
    </w:p>
    <w:p>
      <w:pPr>
        <w:spacing w:after="0" w:line="127"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“Business Day” means any day that is not a Saturday, Sunday or other day on which commercial banks in New York City are authorized or required by law to remain closed, provided that (a) when used in relation to Term Benchmark Loans or any interest rate settings, fundings, disbursements, settlements or payments of any such Term Benchmark Loan, or any other dealings in the applicable Currency of such Term Benchmark Loan, the term “Business Day” shall also exclude any day that is not a Term Benchmark Banking Day for such Currency and (b) when used in relation to RFR Loans or any interest rate settings, fundings, disbursements, settlements or payments of any such RFR Loan, or any other dealings in the applicable Currency of such RFR Loan, the term “Business Day” shall also exclude any day that is not a RFR Business Day for such Currency.</w:t>
      </w:r>
    </w:p>
    <w:p>
      <w:pPr>
        <w:spacing w:after="0" w:line="157" w:lineRule="exact"/>
        <w:rPr>
          <w:sz w:val="20"/>
          <w:szCs w:val="20"/>
          <w:color w:val="auto"/>
        </w:rPr>
      </w:pPr>
    </w:p>
    <w:p>
      <w:pPr>
        <w:ind w:right="40" w:firstLine="1404"/>
        <w:spacing w:after="0" w:line="257" w:lineRule="auto"/>
        <w:rPr>
          <w:sz w:val="20"/>
          <w:szCs w:val="20"/>
          <w:color w:val="auto"/>
        </w:rPr>
      </w:pPr>
      <w:r>
        <w:rPr>
          <w:rFonts w:ascii="Times New Roman" w:cs="Times New Roman" w:eastAsia="Times New Roman" w:hAnsi="Times New Roman"/>
          <w:sz w:val="19"/>
          <w:szCs w:val="19"/>
          <w:color w:val="auto"/>
        </w:rPr>
        <w:t>“Calculation Amount” shall mean, as of the end of any Testing Period, an amount equal to the greater of: (a) (i) 125% of the Adjusted Covered Debt Balance (as of the end of such Testing Period) minus (ii) the aggregate Value of all Quoted Investments included in the Borrowing Base (as of the end of such Testing Period) and (b) 10% of the aggregate Value of all Unquoted Investments included in the Borrowing Base (as of the end of such Testing Period); provided that in no event shall more than 25% (or, if clause (b) applies, 10%, or as near thereto as reasonably practicable) of the aggregate Value of the Unquoted Investments in the Borrowing Base be tested in respect of any applicable Testing Period.</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“Canadian Dollars” means the lawful currency of Canada.</w:t>
      </w:r>
    </w:p>
    <w:p>
      <w:pPr>
        <w:spacing w:after="0" w:line="202" w:lineRule="exact"/>
        <w:rPr>
          <w:sz w:val="20"/>
          <w:szCs w:val="20"/>
          <w:color w:val="auto"/>
        </w:rPr>
      </w:pPr>
    </w:p>
    <w:p>
      <w:pPr>
        <w:ind w:right="100" w:firstLine="1404"/>
        <w:spacing w:after="0" w:line="256" w:lineRule="auto"/>
        <w:rPr>
          <w:sz w:val="20"/>
          <w:szCs w:val="20"/>
          <w:color w:val="auto"/>
        </w:rPr>
      </w:pPr>
      <w:r>
        <w:rPr>
          <w:rFonts w:ascii="Times New Roman" w:cs="Times New Roman" w:eastAsia="Times New Roman" w:hAnsi="Times New Roman"/>
          <w:sz w:val="19"/>
          <w:szCs w:val="19"/>
          <w:color w:val="auto"/>
        </w:rPr>
        <w:t>“Canadian Prime Rate” means, on any day, the rate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rate per annum equal to Term CORRA plus 1%; provided, that if any of the above rates shall be less than 0%, such rate shall be deemed to be 0% for purposes of this Agreement. Any change in the Canadian Prime Rate due to a change in the PRIMCAN Index or Term CORRA shall be effective from and including the effective date of such change in the PRIMCAN Index or Term CORRA, respectively.</w:t>
      </w:r>
    </w:p>
    <w:p>
      <w:pPr>
        <w:spacing w:after="0" w:line="157" w:lineRule="exact"/>
        <w:rPr>
          <w:sz w:val="20"/>
          <w:szCs w:val="20"/>
          <w:color w:val="auto"/>
        </w:rPr>
      </w:pPr>
    </w:p>
    <w:p>
      <w:pPr>
        <w:ind w:right="140" w:firstLine="1404"/>
        <w:spacing w:after="0" w:line="257" w:lineRule="auto"/>
        <w:rPr>
          <w:sz w:val="20"/>
          <w:szCs w:val="20"/>
          <w:color w:val="auto"/>
        </w:rPr>
      </w:pPr>
      <w:r>
        <w:rPr>
          <w:rFonts w:ascii="Times New Roman" w:cs="Times New Roman" w:eastAsia="Times New Roman" w:hAnsi="Times New Roman"/>
          <w:sz w:val="19"/>
          <w:szCs w:val="19"/>
          <w:color w:val="auto"/>
        </w:rPr>
        <w:t>“Capital Call Facility” means any debt facility of the Borrower secured to the extent permitted under Section 6.02(h), including the facility established by the Credit Agreement, dated September 1, 2022, by and among the Borrower, any other borrower becoming party thereto, each guarantor party thereto, each “General Partner” from time to time party thereto, the various financial institutions from time to time party thereto as lenders and Wells Fargo Bank, National Association as the administrative agent for the secured parties, letter of credit issuer and lead arranger (or any amendment, extension, renewal or replacement thereof secured to the extent permitted under Section 6.02(h)).</w:t>
      </w:r>
    </w:p>
    <w:p>
      <w:pPr>
        <w:spacing w:after="0" w:line="155" w:lineRule="exact"/>
        <w:rPr>
          <w:sz w:val="20"/>
          <w:szCs w:val="20"/>
          <w:color w:val="auto"/>
        </w:rPr>
      </w:pPr>
    </w:p>
    <w:p>
      <w:pPr>
        <w:ind w:left="940" w:hanging="730"/>
        <w:spacing w:after="0"/>
        <w:tabs>
          <w:tab w:leader="none" w:pos="94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1" w:name="page122"/>
    <w:bookmarkEnd w:id="121"/>
    <w:p>
      <w:pPr>
        <w:spacing w:after="0" w:line="269" w:lineRule="exact"/>
        <w:rPr>
          <w:sz w:val="20"/>
          <w:szCs w:val="20"/>
          <w:color w:val="auto"/>
        </w:rPr>
      </w:pPr>
    </w:p>
    <w:p>
      <w:pPr>
        <w:ind w:right="160" w:firstLine="1404"/>
        <w:spacing w:after="0" w:line="262" w:lineRule="auto"/>
        <w:rPr>
          <w:sz w:val="20"/>
          <w:szCs w:val="20"/>
          <w:color w:val="auto"/>
        </w:rPr>
      </w:pPr>
      <w:r>
        <w:rPr>
          <w:rFonts w:ascii="Times New Roman" w:cs="Times New Roman" w:eastAsia="Times New Roman" w:hAnsi="Times New Roman"/>
          <w:sz w:val="19"/>
          <w:szCs w:val="19"/>
          <w:color w:val="auto"/>
        </w:rPr>
        <w:t>“Capital Lease Obligations”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50" w:lineRule="exact"/>
        <w:rPr>
          <w:sz w:val="20"/>
          <w:szCs w:val="20"/>
          <w:color w:val="auto"/>
        </w:rPr>
      </w:pPr>
    </w:p>
    <w:p>
      <w:pPr>
        <w:ind w:right="100" w:firstLine="1404"/>
        <w:spacing w:after="0" w:line="286" w:lineRule="auto"/>
        <w:rPr>
          <w:sz w:val="20"/>
          <w:szCs w:val="20"/>
          <w:color w:val="auto"/>
        </w:rPr>
      </w:pPr>
      <w:r>
        <w:rPr>
          <w:rFonts w:ascii="Times New Roman" w:cs="Times New Roman" w:eastAsia="Times New Roman" w:hAnsi="Times New Roman"/>
          <w:sz w:val="19"/>
          <w:szCs w:val="19"/>
          <w:color w:val="auto"/>
        </w:rPr>
        <w:t>“Cash” means any immediately available funds in Dollars or in any currency other than Dollars (measured in terms of the Dollar Equivalent thereof) which is a freely convertible currency.</w:t>
      </w:r>
    </w:p>
    <w:p>
      <w:pPr>
        <w:spacing w:after="0" w:line="127" w:lineRule="exact"/>
        <w:rPr>
          <w:sz w:val="20"/>
          <w:szCs w:val="20"/>
          <w:color w:val="auto"/>
        </w:rPr>
      </w:pPr>
    </w:p>
    <w:p>
      <w:pPr>
        <w:ind w:right="40" w:firstLine="1404"/>
        <w:spacing w:after="0" w:line="262" w:lineRule="auto"/>
        <w:rPr>
          <w:sz w:val="20"/>
          <w:szCs w:val="20"/>
          <w:color w:val="auto"/>
        </w:rPr>
      </w:pPr>
      <w:r>
        <w:rPr>
          <w:rFonts w:ascii="Times New Roman" w:cs="Times New Roman" w:eastAsia="Times New Roman" w:hAnsi="Times New Roman"/>
          <w:sz w:val="19"/>
          <w:szCs w:val="19"/>
          <w:color w:val="auto"/>
        </w:rPr>
        <w:t>“Cash Collateralize” means, in respect of a Letter of Credit or any obligation hereunder, to provide and pledge cash collateral pursuant to Section 2.05(k), at a location and pursuant to documentation in form and substance reasonably satisfactory to Administrative Agent and each Issuing Bank. “Cash Collateral”, “Cash Collateralized” and “Cash Collateralization” shall have meanings correlative to the foregoing and shall include the proceeds of such cash collateral and other credit support.</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“Cash Equivalents” means investments (other than Cash) that are one or more of the following obligations:</w:t>
      </w:r>
    </w:p>
    <w:p>
      <w:pPr>
        <w:spacing w:after="0" w:line="202" w:lineRule="exact"/>
        <w:rPr>
          <w:sz w:val="20"/>
          <w:szCs w:val="20"/>
          <w:color w:val="auto"/>
        </w:rPr>
      </w:pPr>
    </w:p>
    <w:p>
      <w:pPr>
        <w:ind w:left="1680" w:hanging="270"/>
        <w:spacing w:after="0"/>
        <w:tabs>
          <w:tab w:leader="none" w:pos="168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 Government Securities, in each case maturing within one year from the date of acquisition thereof;</w:t>
      </w:r>
    </w:p>
    <w:p>
      <w:pPr>
        <w:spacing w:after="0" w:line="201" w:lineRule="exact"/>
        <w:rPr>
          <w:rFonts w:ascii="Times New Roman" w:cs="Times New Roman" w:eastAsia="Times New Roman" w:hAnsi="Times New Roman"/>
          <w:sz w:val="19"/>
          <w:szCs w:val="19"/>
          <w:color w:val="auto"/>
        </w:rPr>
      </w:pPr>
    </w:p>
    <w:p>
      <w:pPr>
        <w:jc w:val="both"/>
        <w:ind w:right="100" w:firstLine="1410"/>
        <w:spacing w:after="0" w:line="234" w:lineRule="exact"/>
        <w:tabs>
          <w:tab w:leader="none" w:pos="1676"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commercial paper or other short-term corporate obligations maturing within 270 days from the date of acquisition thereof and having, at such date of acquisition, a credit rating of at least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S&amp;P and at least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Moody’s (or if only one of S&amp;P or Moody’s provides such rating, such investment shall also have an equivalent credit rating from any other rating agency);</w:t>
      </w:r>
    </w:p>
    <w:p>
      <w:pPr>
        <w:spacing w:after="0" w:line="172" w:lineRule="exact"/>
        <w:rPr>
          <w:rFonts w:ascii="Times New Roman" w:cs="Times New Roman" w:eastAsia="Times New Roman" w:hAnsi="Times New Roman"/>
          <w:sz w:val="19"/>
          <w:szCs w:val="19"/>
          <w:color w:val="auto"/>
        </w:rPr>
      </w:pPr>
    </w:p>
    <w:p>
      <w:pPr>
        <w:ind w:right="20" w:firstLine="1410"/>
        <w:spacing w:after="0" w:line="231" w:lineRule="exact"/>
        <w:tabs>
          <w:tab w:leader="none" w:pos="1665"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provided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S&amp;P and at least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Moody’s (or if only one of S&amp;P or Moody’s provides such rating, such investment shall also have an equivalent credit rating from any other rating agency);</w:t>
      </w:r>
    </w:p>
    <w:p>
      <w:pPr>
        <w:spacing w:after="0" w:line="174" w:lineRule="exact"/>
        <w:rPr>
          <w:rFonts w:ascii="Times New Roman" w:cs="Times New Roman" w:eastAsia="Times New Roman" w:hAnsi="Times New Roman"/>
          <w:sz w:val="19"/>
          <w:szCs w:val="19"/>
          <w:color w:val="auto"/>
        </w:rPr>
      </w:pPr>
    </w:p>
    <w:p>
      <w:pPr>
        <w:ind w:firstLine="1410"/>
        <w:spacing w:after="0" w:line="236" w:lineRule="exact"/>
        <w:tabs>
          <w:tab w:leader="none" w:pos="1676"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fully collateralized repurchase agreements with a term of not more than 30 days from the date of acquisition thereof for U.S. Government Securities and entered into with (i) a financial institution satisfying the criteria described in clause (c) of this definition or (ii) an Approved Dealer having (or being a member of a consolidated group having) at such date of acquisition, a credit rating of at least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S&amp;P and at least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Moody’s (or if only</w:t>
      </w:r>
    </w:p>
    <w:p>
      <w:pPr>
        <w:spacing w:after="0" w:line="159" w:lineRule="exact"/>
        <w:rPr>
          <w:sz w:val="20"/>
          <w:szCs w:val="20"/>
          <w:color w:val="auto"/>
        </w:rPr>
      </w:pPr>
    </w:p>
    <w:p>
      <w:pPr>
        <w:ind w:left="940" w:hanging="730"/>
        <w:spacing w:after="0"/>
        <w:tabs>
          <w:tab w:leader="none" w:pos="94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2" w:name="page123"/>
    <w:bookmarkEnd w:id="122"/>
    <w:p>
      <w:pPr>
        <w:spacing w:after="0" w:line="26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9"/>
          <w:szCs w:val="19"/>
          <w:color w:val="auto"/>
        </w:rPr>
        <w:t>one of S&amp;P or Moody’s provides such rating, such Approved Dealer shall also have an equivalent credit rating from any other rating agency);</w:t>
      </w:r>
    </w:p>
    <w:p>
      <w:pPr>
        <w:spacing w:after="0" w:line="127" w:lineRule="exact"/>
        <w:rPr>
          <w:sz w:val="20"/>
          <w:szCs w:val="20"/>
          <w:color w:val="auto"/>
        </w:rPr>
      </w:pPr>
    </w:p>
    <w:p>
      <w:pPr>
        <w:jc w:val="both"/>
        <w:ind w:firstLine="1410"/>
        <w:spacing w:after="0" w:line="268" w:lineRule="auto"/>
        <w:tabs>
          <w:tab w:leader="none" w:pos="1665"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money market funds that invest solely, and which are restricted by their respective charters to invest solely, in investments of the type described in the immediately preceding clauses (a) through (d) above (including as to credit quality and maturity);</w:t>
      </w:r>
    </w:p>
    <w:p>
      <w:pPr>
        <w:spacing w:after="0" w:line="144" w:lineRule="exact"/>
        <w:rPr>
          <w:rFonts w:ascii="Times New Roman" w:cs="Times New Roman" w:eastAsia="Times New Roman" w:hAnsi="Times New Roman"/>
          <w:sz w:val="19"/>
          <w:szCs w:val="19"/>
          <w:color w:val="auto"/>
        </w:rPr>
      </w:pPr>
    </w:p>
    <w:p>
      <w:pPr>
        <w:ind w:right="460" w:firstLine="1410"/>
        <w:spacing w:after="0" w:line="286" w:lineRule="auto"/>
        <w:tabs>
          <w:tab w:leader="none" w:pos="1644"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money market funds that have, at all times, credit ratings of “Aaa” and “MR1+” by Moody’s and “AAAm” or “Aam-G” by S&amp;P, respectively; and</w:t>
      </w:r>
    </w:p>
    <w:p>
      <w:pPr>
        <w:spacing w:after="0" w:line="127" w:lineRule="exact"/>
        <w:rPr>
          <w:rFonts w:ascii="Times New Roman" w:cs="Times New Roman" w:eastAsia="Times New Roman" w:hAnsi="Times New Roman"/>
          <w:sz w:val="19"/>
          <w:szCs w:val="19"/>
          <w:color w:val="auto"/>
        </w:rPr>
      </w:pPr>
    </w:p>
    <w:p>
      <w:pPr>
        <w:ind w:right="160" w:firstLine="1410"/>
        <w:spacing w:after="0" w:line="262" w:lineRule="auto"/>
        <w:tabs>
          <w:tab w:leader="none" w:pos="1676"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following offered by State Street Bank and Trust Company (or any successor custodian or other entity acting in a similar capacity with respect to the Borrower) (I) money market deposit accounts, (II) eurodollar time deposits, (III) commercial eurodollar sweep services or (IV) open commercial paper services, in each case having, at such date of acquisition, a credit rating at least A-1 from S&amp;P and at least P-1 from Moody’s and maturing not later than 270 days from the date of acquisition thereof;</w:t>
      </w:r>
    </w:p>
    <w:p>
      <w:pPr>
        <w:spacing w:after="0" w:line="15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auto"/>
        </w:rPr>
        <w:t>provided that (i) in no event shall Cash Equivalents include any obligation that provides for the payment of interest alone (for example, interest- 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repurchase agreements or the money market funds described in clause (e)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57" w:lineRule="exact"/>
        <w:rPr>
          <w:sz w:val="20"/>
          <w:szCs w:val="20"/>
          <w:color w:val="auto"/>
        </w:rPr>
      </w:pPr>
    </w:p>
    <w:p>
      <w:pPr>
        <w:ind w:right="60" w:firstLine="1404"/>
        <w:spacing w:after="0" w:line="254" w:lineRule="auto"/>
        <w:rPr>
          <w:sz w:val="20"/>
          <w:szCs w:val="20"/>
          <w:color w:val="auto"/>
        </w:rPr>
      </w:pPr>
      <w:r>
        <w:rPr>
          <w:rFonts w:ascii="Times New Roman" w:cs="Times New Roman" w:eastAsia="Times New Roman" w:hAnsi="Times New Roman"/>
          <w:sz w:val="19"/>
          <w:szCs w:val="19"/>
          <w:color w:val="auto"/>
        </w:rPr>
        <w:t>“Central Bank Rate” means the greater of (A) the sum of (i) for any Loan denominated in (x) Sterling, the Bank of England (or any successor thereto)’s “Bank Rate” as published by the Bank of England (or any successor thereto) from time to time, (y)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or (z) any other Agreed Foreign Currency, a central bank rate as determined by the Administrative Agent in its reasonable discretion; plus (ii) the applicable Central Bank Rate Adjustment and (B) 0%.</w:t>
      </w:r>
    </w:p>
    <w:p>
      <w:pPr>
        <w:spacing w:after="0" w:line="160" w:lineRule="exact"/>
        <w:rPr>
          <w:sz w:val="20"/>
          <w:szCs w:val="20"/>
          <w:color w:val="auto"/>
        </w:rPr>
      </w:pPr>
    </w:p>
    <w:p>
      <w:pPr>
        <w:ind w:right="200" w:firstLine="1404"/>
        <w:spacing w:after="0" w:line="268" w:lineRule="auto"/>
        <w:rPr>
          <w:sz w:val="20"/>
          <w:szCs w:val="20"/>
          <w:color w:val="auto"/>
        </w:rPr>
      </w:pPr>
      <w:r>
        <w:rPr>
          <w:rFonts w:ascii="Times New Roman" w:cs="Times New Roman" w:eastAsia="Times New Roman" w:hAnsi="Times New Roman"/>
          <w:sz w:val="19"/>
          <w:szCs w:val="19"/>
          <w:color w:val="auto"/>
        </w:rPr>
        <w:t>“Central Bank Rate Adjustment” means, for any date, for any Loan denominated in (A) Sterling, a rate equal to the difference (which may be a positive or negative value or zero) of (i) the average of the Daily Simple RFR for Sterling for the five most recent RFR Business Days preceding such day for which SONIA was available (excluding, from such averaging, the highest</w:t>
      </w:r>
    </w:p>
    <w:p>
      <w:pPr>
        <w:spacing w:after="0" w:line="142" w:lineRule="exact"/>
        <w:rPr>
          <w:sz w:val="20"/>
          <w:szCs w:val="20"/>
          <w:color w:val="auto"/>
        </w:rPr>
      </w:pPr>
    </w:p>
    <w:p>
      <w:pPr>
        <w:ind w:left="940" w:hanging="730"/>
        <w:spacing w:after="0"/>
        <w:tabs>
          <w:tab w:leader="none" w:pos="9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3" w:name="page124"/>
    <w:bookmarkEnd w:id="123"/>
    <w:p>
      <w:pPr>
        <w:spacing w:after="0" w:line="2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and the lowest SONIA applicable during such period of five RFR Business Days) minus (ii) the Central Bank Rate in respect of Sterling in effect on the last RFR Business Day in such period, (B) Euro, a rate equal to the difference (which may be a positive or negative value or zero) of (i) the average of the Adjusted Term Benchmark Rate for Euros for the five most recent Term Benchmark Banking Days for Euro preceding such day for which the EURIBOR Screen Rate was available (excluding, from such averaging, the highest and the lowest EURIBOR Screen Rate applicable during such period of five Term Benchmark Banking Days for Euro) minus (ii) the Central Bank Rate in respect of Euro in effect on the last Term Benchmark Banking Day for Euro in such period and (C) any other Agreed Foreign Currency, a Central Bank Rate Adjustment as determined by the Administrative Agent in its reasonable discretion. For the purposes of this definition, (x) the term “Central Bank Rate” shall be determined disregarding clause (A)(ii) of the definition of such term and (y) the Adjusted Term Benchmark Rate for Euros on any day shall be based on the EURIBOR Screen Rate, on such day at approximately the time referred to in the definition of such term for deposits in Euro for a maturity of one month.</w:t>
      </w:r>
    </w:p>
    <w:p>
      <w:pPr>
        <w:spacing w:after="0" w:line="160"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“Change in Control” means (a) the acquisition of ownership, directly or indirectly, beneficially or of record, by any Person or group (within the meaning of the Securities Exchange Act of 1934 and the rules of the Securities and Exchange Commission thereunder as in effect on the date hereof) other than TSSP Management Holdings, L.P or any of its Affiliates that are in the business of managing and advising clients,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(c) the acquisition of direct or indirect Control of the Borrower by any Person or group other than TSSP Management Holdings, L.P or any of its Affiliates that are in the business of managing and advising clients; or (d) the External Manager ceases to be Controlled by TSSP Management Holdings, L.P. (or any of its Affiliates).</w:t>
      </w:r>
    </w:p>
    <w:p>
      <w:pPr>
        <w:spacing w:after="0" w:line="155" w:lineRule="exact"/>
        <w:rPr>
          <w:sz w:val="20"/>
          <w:szCs w:val="20"/>
          <w:color w:val="auto"/>
        </w:rPr>
      </w:pPr>
    </w:p>
    <w:p>
      <w:pPr>
        <w:ind w:right="20" w:firstLine="1404"/>
        <w:spacing w:after="0" w:line="253" w:lineRule="auto"/>
        <w:rPr>
          <w:sz w:val="20"/>
          <w:szCs w:val="20"/>
          <w:color w:val="auto"/>
        </w:rPr>
      </w:pPr>
      <w:r>
        <w:rPr>
          <w:rFonts w:ascii="Times New Roman" w:cs="Times New Roman" w:eastAsia="Times New Roman" w:hAnsi="Times New Roman"/>
          <w:sz w:val="19"/>
          <w:szCs w:val="19"/>
          <w:color w:val="auto"/>
        </w:rPr>
        <w:t>“Change in Law” means the occurrence, after the date of this Agreement (or with respect to a Person becoming a Lender by assignment or joinder after the date of this Agreement, the effective date thereof),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(or with respect to a Person becoming a Lender by assignment or joinder after the date of this Agreement, the effective date thereof)),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with respect to a Person becoming a Lender by assignment or joinder after the date of this Agreement, the effective date thereof)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(or with respect to a Person becoming a Lender by assignment or joinder after the date of this Agreement, the effective date thereof). For the avoidance of doubt, all requests, rules, guidelines or directives concerning liquidity and capital</w:t>
      </w:r>
    </w:p>
    <w:p>
      <w:pPr>
        <w:spacing w:after="0" w:line="389" w:lineRule="exact"/>
        <w:rPr>
          <w:sz w:val="20"/>
          <w:szCs w:val="20"/>
          <w:color w:val="auto"/>
        </w:rPr>
      </w:pPr>
    </w:p>
    <w:p>
      <w:pPr>
        <w:ind w:left="940" w:hanging="730"/>
        <w:spacing w:after="0"/>
        <w:tabs>
          <w:tab w:leader="none" w:pos="94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4" w:name="page125"/>
    <w:bookmarkEnd w:id="124"/>
    <w:p>
      <w:pPr>
        <w:spacing w:after="0" w:line="269"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9"/>
          <w:szCs w:val="19"/>
          <w:color w:val="auto"/>
        </w:rPr>
        <w:t>adequacy issued (i) by any United States regulatory authority under or in connection with the implementation of the Dodd-Frank Wall Street Reform and Consumer Protection Act and (ii) 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54" w:lineRule="exact"/>
        <w:rPr>
          <w:sz w:val="20"/>
          <w:szCs w:val="20"/>
          <w:color w:val="auto"/>
        </w:rPr>
      </w:pPr>
    </w:p>
    <w:p>
      <w:pPr>
        <w:ind w:right="20" w:firstLine="1404"/>
        <w:spacing w:after="0" w:line="253" w:lineRule="auto"/>
        <w:rPr>
          <w:sz w:val="20"/>
          <w:szCs w:val="20"/>
          <w:color w:val="auto"/>
        </w:rPr>
      </w:pPr>
      <w:r>
        <w:rPr>
          <w:rFonts w:ascii="Times New Roman" w:cs="Times New Roman" w:eastAsia="Times New Roman" w:hAnsi="Times New Roman"/>
          <w:sz w:val="19"/>
          <w:szCs w:val="19"/>
          <w:color w:val="auto"/>
        </w:rPr>
        <w:t>“Class”, when used in reference to any Loan or Borrowing, refers to whether such Loan, or the Loans constituting such Borrowing, are (i) Term Loans or Revolving Loans and, (a) in the case of a Term Loan, whether such Loan is an Initial Term Loan or an Incremental Term Loan (and each Incremental Term Loan funded on a different Commitment Increase Date may be treated as its own Class), as applicable, and (b) in the case of a Revolving Loan, whether such Loan is, or the Loans constituting such Borrowing are, Dollar Loans or Multicurrency Loans and (ii) Syndicated Loans or Swingline Loans as applicable; when used in reference to any Lender, refers to whether such Lender is a Term Lender or a Revolving Lender and, (x) in the case of any Term Lender, whether such Lender is an Initial Term Lender or an Incremental Term Lender (and each Incremental Term Lender funding Incremental Term Loans on a different Commitment Increase Date may be treated as its own Class), and (y) in the case of any Revolving Lender, whether such Lender is a Dollar Lender or a Multicurrency Lender; and, when used in reference to any Commitment, refers to whether such Commitment is a Term Commitment or Revolving Commitment and, (1) in the case of any Term Commitment, whether such Commitment is an Initial Term Commitment or an Incremental Term Commitment (and each Incremental Term Commitment with respect to Incremental Term Loans funded on a different Commitment Increase Date may be treated as its own Class), and (2) in the case of any Revolving Commitment, whether such Commitment is a Dollar Commitment or a Multicurrency Commitment, and when used in reference to LC Exposure, refers to whether such LC Exposure is a Dollar LC Exposure or Multicurrency LC Exposure.</w:t>
      </w:r>
    </w:p>
    <w:p>
      <w:pPr>
        <w:spacing w:after="0" w:line="1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“Code” means the Internal Revenue Code of 1986, as amended from time to time.</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“Collateral” has the meaning assigned to such term in the Guarantee and Security Agreement.</w:t>
      </w:r>
    </w:p>
    <w:p>
      <w:pPr>
        <w:spacing w:after="0" w:line="202" w:lineRule="exact"/>
        <w:rPr>
          <w:sz w:val="20"/>
          <w:szCs w:val="20"/>
          <w:color w:val="auto"/>
        </w:rPr>
      </w:pPr>
    </w:p>
    <w:p>
      <w:pPr>
        <w:ind w:right="220" w:firstLine="1404"/>
        <w:spacing w:after="0" w:line="286" w:lineRule="auto"/>
        <w:rPr>
          <w:sz w:val="20"/>
          <w:szCs w:val="20"/>
          <w:color w:val="auto"/>
        </w:rPr>
      </w:pPr>
      <w:r>
        <w:rPr>
          <w:rFonts w:ascii="Times New Roman" w:cs="Times New Roman" w:eastAsia="Times New Roman" w:hAnsi="Times New Roman"/>
          <w:sz w:val="19"/>
          <w:szCs w:val="19"/>
          <w:color w:val="auto"/>
        </w:rPr>
        <w:t>“Collateral Agent” means Truist in its capacity as Collateral Agent under the Guarantee and Security Agreement and the other Security Documents, and includes any successor Collateral Agent thereunder.</w:t>
      </w:r>
    </w:p>
    <w:p>
      <w:pPr>
        <w:spacing w:after="0" w:line="127"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“Collateral Pool” means, at any time, each Portfolio Investment that has been Delivered (as defined in the Guarantee and Security Agreement) to the Collateral Agent and is subject to the Lien of the Guarantee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Section 6.02 hereof with respect to such Portfolio Investment); provided that in the case of any Portfolio Investment in which the Collateral Agent has a first-priority perfected security interest pursuant to a valid Uniform Commercial Code filing (and for which no other method of perfection</w:t>
      </w:r>
    </w:p>
    <w:p>
      <w:pPr>
        <w:spacing w:after="0" w:line="155" w:lineRule="exact"/>
        <w:rPr>
          <w:sz w:val="20"/>
          <w:szCs w:val="20"/>
          <w:color w:val="auto"/>
        </w:rPr>
      </w:pPr>
    </w:p>
    <w:p>
      <w:pPr>
        <w:ind w:left="940" w:hanging="730"/>
        <w:spacing w:after="0"/>
        <w:tabs>
          <w:tab w:leader="none" w:pos="94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25" w:name="page126"/>
    <w:bookmarkEnd w:id="125"/>
    <w:p>
      <w:pPr>
        <w:spacing w:after="0" w:line="26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9"/>
          <w:szCs w:val="19"/>
          <w:color w:val="auto"/>
        </w:rPr>
        <w:t>with a higher priority is possible), such Portfolio Investment may be included in the Borrowing Base so long as all remaining actions to complete “Delivery” are satisfied in full within seven (7) days of such inclusion.</w:t>
      </w:r>
    </w:p>
    <w:p>
      <w:pPr>
        <w:spacing w:after="0" w:line="127" w:lineRule="exact"/>
        <w:rPr>
          <w:sz w:val="20"/>
          <w:szCs w:val="20"/>
          <w:color w:val="auto"/>
        </w:rPr>
      </w:pPr>
    </w:p>
    <w:p>
      <w:pPr>
        <w:ind w:right="60" w:firstLine="1404"/>
        <w:spacing w:after="0" w:line="259" w:lineRule="auto"/>
        <w:rPr>
          <w:sz w:val="20"/>
          <w:szCs w:val="20"/>
          <w:color w:val="auto"/>
        </w:rPr>
      </w:pPr>
      <w:r>
        <w:rPr>
          <w:rFonts w:ascii="Times New Roman" w:cs="Times New Roman" w:eastAsia="Times New Roman" w:hAnsi="Times New Roman"/>
          <w:sz w:val="19"/>
          <w:szCs w:val="19"/>
          <w:color w:val="auto"/>
        </w:rPr>
        <w:t>“Combined Debt Amount” means, as of any date, (i) the aggregate amount of Revolving Commitments as of such date (or, if greater, the Revolving Credit Exposures of all Lenders as of such date) plus (ii) the aggregate outstanding principal amount of Term Loans as of such date plus (iii)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spacing w:after="0" w:line="15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9"/>
          <w:szCs w:val="19"/>
          <w:color w:val="auto"/>
        </w:rPr>
        <w:t>“Commitment Increase” has the meaning assigned to such term in Section 2.08(e)(i).</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“Commitment Increase Date” has the meaning assigned to such term in Section 2.08(e)(i).</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“Commitment Increase Supplement” has the meaning assigned in Section 2.08(e)(ii).</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“Commitment Termination Date” means March 2, 2029.</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“Commitments” means, collectively, the Term Commitments and the Revolving Commitments.</w:t>
      </w:r>
    </w:p>
    <w:p>
      <w:pPr>
        <w:spacing w:after="0" w:line="202" w:lineRule="exact"/>
        <w:rPr>
          <w:sz w:val="20"/>
          <w:szCs w:val="20"/>
          <w:color w:val="auto"/>
        </w:rPr>
      </w:pPr>
    </w:p>
    <w:p>
      <w:pPr>
        <w:ind w:firstLine="1452"/>
        <w:spacing w:after="0" w:line="253" w:lineRule="auto"/>
        <w:rPr>
          <w:sz w:val="20"/>
          <w:szCs w:val="20"/>
          <w:color w:val="auto"/>
        </w:rPr>
      </w:pPr>
      <w:r>
        <w:rPr>
          <w:rFonts w:ascii="Times New Roman" w:cs="Times New Roman" w:eastAsia="Times New Roman" w:hAnsi="Times New Roman"/>
          <w:sz w:val="19"/>
          <w:szCs w:val="19"/>
          <w:color w:val="auto"/>
        </w:rPr>
        <w:t>“Conforming Changes” means with respect to either the use or administration of Term SOFR or the use, administration, adoption or implementation of any Benchmark Replacement, any technical, administrative or operational changes (including changes to the definition of “Term Benchmark Rate”, the definition of “Alternate Base Rate”, the definition of “Canadian Prime Rate”, the definition of “Business Day”, the definition of “Term Benchmark Banking Day”, the definition of “U.S. Government Securities Business Day”, the definition of “Interest Period”, the definition of “Daily Simple RFR”, the definition of “RFR”, the definition of “RFR Business Day”, the definition of “RFR Interest Day”, the definition of “RFR Reference Day”, the definition of any similar or analogous definition, timing and frequency of determining rates and making payments of interest, timing of borrowing requests or prepayment, conversion or continuation notices, the applicability and length of lookback periods, the applicability of Section 2.15 and other technical, administrative or operational matters) that the Administrative Agent, after consultation with the Borrower, decides in its reasonable discretion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(after consultation with the Borrower) decides is reasonably necessary in connection with the administration of this Agreement and the other Loan Documents).</w:t>
      </w:r>
    </w:p>
    <w:p>
      <w:pPr>
        <w:spacing w:after="0" w:line="387" w:lineRule="exact"/>
        <w:rPr>
          <w:sz w:val="20"/>
          <w:szCs w:val="20"/>
          <w:color w:val="auto"/>
        </w:rPr>
      </w:pPr>
    </w:p>
    <w:p>
      <w:pPr>
        <w:ind w:left="940" w:hanging="730"/>
        <w:spacing w:after="0"/>
        <w:tabs>
          <w:tab w:leader="none" w:pos="94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6" w:name="page127"/>
    <w:bookmarkEnd w:id="126"/>
    <w:p>
      <w:pPr>
        <w:spacing w:after="0" w:line="269" w:lineRule="exact"/>
        <w:rPr>
          <w:sz w:val="20"/>
          <w:szCs w:val="20"/>
          <w:color w:val="auto"/>
        </w:rPr>
      </w:pPr>
    </w:p>
    <w:p>
      <w:pPr>
        <w:ind w:right="100" w:firstLine="1404"/>
        <w:spacing w:after="0" w:line="257" w:lineRule="auto"/>
        <w:rPr>
          <w:sz w:val="20"/>
          <w:szCs w:val="20"/>
          <w:color w:val="auto"/>
        </w:rPr>
      </w:pPr>
      <w:r>
        <w:rPr>
          <w:rFonts w:ascii="Times New Roman" w:cs="Times New Roman" w:eastAsia="Times New Roman" w:hAnsi="Times New Roman"/>
          <w:sz w:val="19"/>
          <w:szCs w:val="19"/>
          <w:color w:val="auto"/>
        </w:rPr>
        <w:t>“Consolidated Asset Coverage Ratio” means the ratio, determined on a consolidated basis for Borrower and its Subsidiaries, without duplication, of (a) the value of total assets of the Borrower and its Subsidiaries, less all liabilities and indebtedness not represented by senior securities to (b) the aggregate amount of senior securities representing indebtedness of Borrower and its Subsidiaries (including this Agreement and any Capital Call Facility),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“Consolidated Group” has the meaning assigned to such term in Section 5.13(a).</w:t>
      </w:r>
    </w:p>
    <w:p>
      <w:pPr>
        <w:spacing w:after="0" w:line="202"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“Control” means the possession, directly or indirectly, of the power to direct or cause the direction of the management or policies of a Person, whether through the ability to exercise voting power, by contract or otherwise. “Controlling” and “Controlled” have meanings correlative thereto. For the avoidance of doubt, “Control” shall not include “negative” control or “blocking” rights that constitute “protective rights” whereby action cannot be taken without the vote or consent of any Person.</w:t>
      </w:r>
    </w:p>
    <w:p>
      <w:pPr>
        <w:spacing w:after="0" w:line="150"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“CORRA” means the Canadian Overnight Repo Rate Average administered and published by the Bank of Canada (or any successor administrator of the Canadian Overnight Repo Rate Average).</w:t>
      </w:r>
    </w:p>
    <w:p>
      <w:pPr>
        <w:spacing w:after="0" w:line="127"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“Covered Debt Amount” means, on any date, the sum of (x) all of the Credit Exposures of all Lenders on such date plus (y) the aggregate amount of Other Covered Indebtedness, the 2029 Notes, the 2030A Notes, the 2030B Notes, Special Unsecured Indebtedness and Unsecured Longer-Term Indebtedness on such date minus (z) the LC Exposures fully Cash Collateralized on such date pursuant to Section 2.05(k) and the last paragraph of Section 2.09(a); provided that the 2029 Notes, the 2030A Notes, the 2030B Notes, Special Unsecured Indebtedness and Unsecured Longer-Term Indebtedness shall be excluded from the calculation of the Covered Debt Amount, in each case, until the date that is nine (9) months prior to the scheduled maturity date of the 2029 Notes, the 2030A Notes, the 2030B Notes, such Special Unsecured Indebtedness or such Unsecured Longer -Term Indebtedness, as applicable (provided that, to the extent, but only to the extent, any portion of the 2029 Notes, the 2030A Notes, the 2030B Notes, such Special Unsecured Indebtedness or such Unsecured Longer-Term Indebtedness is subject to a contractually scheduled amortization payment or other principal payment or mandatory redemption earlier than six (6) months after the Final Maturity Date (in the case of the 2029 Notes, the 2030A Notes, the 2030B Notes and Unsecured Longer -Term Indebtedness) or earlier than the original final maturity date of such Indebtedness (in the case of Special Unsecured Indebtedness), such portion of such Indebtedness, to the extent then outstanding, shall be included in the 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w:t>
      </w:r>
    </w:p>
    <w:p>
      <w:pPr>
        <w:spacing w:after="0" w:line="156" w:lineRule="exact"/>
        <w:rPr>
          <w:sz w:val="20"/>
          <w:szCs w:val="20"/>
          <w:color w:val="auto"/>
        </w:rPr>
      </w:pPr>
    </w:p>
    <w:p>
      <w:pPr>
        <w:ind w:left="940" w:hanging="730"/>
        <w:spacing w:after="0"/>
        <w:tabs>
          <w:tab w:leader="none" w:pos="94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7" w:name="page128"/>
    <w:bookmarkEnd w:id="127"/>
    <w:p>
      <w:pPr>
        <w:spacing w:after="0" w:line="269" w:lineRule="exact"/>
        <w:rPr>
          <w:sz w:val="20"/>
          <w:szCs w:val="20"/>
          <w:color w:val="auto"/>
        </w:rPr>
      </w:pPr>
    </w:p>
    <w:p>
      <w:pPr>
        <w:ind w:right="60" w:firstLine="1404"/>
        <w:spacing w:after="0" w:line="286" w:lineRule="auto"/>
        <w:rPr>
          <w:sz w:val="20"/>
          <w:szCs w:val="20"/>
          <w:color w:val="auto"/>
        </w:rPr>
      </w:pPr>
      <w:r>
        <w:rPr>
          <w:rFonts w:ascii="Times New Roman" w:cs="Times New Roman" w:eastAsia="Times New Roman" w:hAnsi="Times New Roman"/>
          <w:sz w:val="19"/>
          <w:szCs w:val="19"/>
          <w:color w:val="auto"/>
        </w:rPr>
        <w:t>“Credit Exposure” means, with respect to any Lender at any time, the sum of the outstanding principal amount of such Lender’s Term Loans plus such Lender’s Revolving Credit Exposure at such time.</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“Currency” means Dollars or any Foreign Currency.</w:t>
      </w:r>
    </w:p>
    <w:p>
      <w:pPr>
        <w:spacing w:after="0" w:line="202"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auto"/>
        </w:rPr>
        <w:t>“Daily Simple RFR” means, for any day (an “RFR Interest Day”), an interest rate per annum equal to (a) for any RFR Loan denominated in Sterling, the greater of (i) SONIA for the day (the “RFR Reference Day”) that is five (5) RFR Business Days prior to (A) if such RFR Interest Day is an RFR Business Day, such RFR Interest Day or (B) if such RFR Interest Day is not an RFR Business Day, the RFR Business Day immediately preceding such RFR Interest Day, in each case, plus the applicable RFR Applicable Credit Adjustment Spread for the Interest Period in which such RFR Interest Day occurs and (ii) 0.00%; and (b) for any RFR Loan denominated in Swiss Francs, the greater of (i) SARON for the RFR Reference Day that is five (5) Business Days prior to (A) if such RFR Interest Day is an RFR Business Day, such RFR Interest Day or (B) if such RFR Interest Day is not an RFR Business Day, the RFR Business Day immediately preceding such RFR Interest Day, in each case, plus the applicable RFR Applicable Credit Adjustment Spread for the Interest Period in which such RFR Interest Day occurs and (ii) 0.00%. If by 5:00 pm (local time for the applicable RFR), on the second RFR Business Day immediately following any RFR Reference Day, the applicable RFR Rate in respect of such RFR Reference Day has not 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provided that any RFR Rate as determined pursuant to this sentence shall be utilized for purposes of calculating the Daily Simple RFR for no more than three (3) consecutive RFR Interest Days. Any change in Daily Simple RFR due to a change in the applicable RFR Rate shall be effective from and including the effective date of such change in such RFR Rate without notice to the Borrower.</w:t>
      </w:r>
    </w:p>
    <w:p>
      <w:pPr>
        <w:spacing w:after="0" w:line="171" w:lineRule="exact"/>
        <w:rPr>
          <w:sz w:val="20"/>
          <w:szCs w:val="20"/>
          <w:color w:val="auto"/>
        </w:rPr>
      </w:pPr>
    </w:p>
    <w:p>
      <w:pPr>
        <w:ind w:right="140" w:firstLine="1404"/>
        <w:spacing w:after="0" w:line="262" w:lineRule="auto"/>
        <w:rPr>
          <w:sz w:val="20"/>
          <w:szCs w:val="20"/>
          <w:color w:val="auto"/>
        </w:rPr>
      </w:pPr>
      <w:r>
        <w:rPr>
          <w:rFonts w:ascii="Times New Roman" w:cs="Times New Roman" w:eastAsia="Times New Roman" w:hAnsi="Times New Roman"/>
          <w:sz w:val="19"/>
          <w:szCs w:val="19"/>
          <w:color w:val="auto"/>
        </w:rPr>
        <w:t>“Daily Simple SOFR” means, for any day (a “Daily Simple SOFR Interest Day”) the greater of (i) SOFR for the day that is five (5) Business Days prior to (A) if such Daily Simple SOFR Interest Day is a Business Day, such Daily Simple SOFR Interest Day, (B) if such Daily Simple SOFR Interest Day is not a Business Day, the Business Day immediately preceding such Daily Simple SOFR Interest Day and (ii) 0.00%.</w:t>
      </w:r>
    </w:p>
    <w:p>
      <w:pPr>
        <w:spacing w:after="0" w:line="150"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“Default” means any event or condition which constitutes an Event of Default or which upon notice, lapse of time or both would, unless cured or waived, become an Event of Default.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“Defaulting Lender” means, subject to Section 2.19(b), any Lender that, as determined by the Administrative Agent,</w:t>
      </w:r>
    </w:p>
    <w:p>
      <w:pPr>
        <w:spacing w:after="0" w:line="32" w:lineRule="exact"/>
        <w:rPr>
          <w:sz w:val="20"/>
          <w:szCs w:val="20"/>
          <w:color w:val="auto"/>
        </w:rPr>
      </w:pPr>
    </w:p>
    <w:p>
      <w:pPr>
        <w:ind w:right="160" w:firstLine="6"/>
        <w:spacing w:after="0" w:line="254" w:lineRule="auto"/>
        <w:tabs>
          <w:tab w:leader="none" w:pos="261"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has failed to (i) fund all or any portion of its Loans or participations in Letters of Credit or Swingline Loans within two (2)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w:t>
      </w:r>
    </w:p>
    <w:p>
      <w:pPr>
        <w:spacing w:after="0" w:line="156" w:lineRule="exact"/>
        <w:rPr>
          <w:sz w:val="20"/>
          <w:szCs w:val="20"/>
          <w:color w:val="auto"/>
        </w:rPr>
      </w:pPr>
    </w:p>
    <w:p>
      <w:pPr>
        <w:ind w:left="940" w:hanging="730"/>
        <w:spacing w:after="0"/>
        <w:tabs>
          <w:tab w:leader="none" w:pos="94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8" w:name="page129"/>
    <w:bookmarkEnd w:id="128"/>
    <w:p>
      <w:pPr>
        <w:spacing w:after="0" w:line="26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 xml:space="preserve">such writing) has not been satisfied or has not otherwise been waived in accordance with the terms of this Agreement, or (ii) pay to the Administrative Agent, any Issuing Bank, any Swingline Lender or any Lender any other amount required to be paid by it hereunder (including in respect of its participation in Letters of Credit or Swingline Loans) within two (2) Business Days of the date when due, (b) has notified the Borrower, the Administrative Agent, any Issuing Bank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Administrative Agent and Borrower), </w:t>
      </w:r>
      <w:r>
        <w:rPr>
          <w:rFonts w:ascii="Times New Roman" w:cs="Times New Roman" w:eastAsia="Times New Roman" w:hAnsi="Times New Roman"/>
          <w:sz w:val="19"/>
          <w:szCs w:val="19"/>
          <w:color w:val="FF0000"/>
          <w:strike w:val="1"/>
        </w:rPr>
        <w:t>or</w:t>
      </w:r>
      <w:r>
        <w:rPr>
          <w:rFonts w:ascii="Times New Roman" w:cs="Times New Roman" w:eastAsia="Times New Roman" w:hAnsi="Times New Roman"/>
          <w:sz w:val="19"/>
          <w:szCs w:val="19"/>
          <w:color w:val="auto"/>
        </w:rPr>
        <w:t xml:space="preserve">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w:t>
      </w:r>
      <w:r>
        <w:rPr>
          <w:rFonts w:ascii="Times New Roman" w:cs="Times New Roman" w:eastAsia="Times New Roman" w:hAnsi="Times New Roman"/>
          <w:sz w:val="19"/>
          <w:szCs w:val="19"/>
          <w:color w:val="0000FF"/>
        </w:rPr>
        <w:t>, or (e) is a GBSA Lender with respect to which a GBSA Initial Notice has been given</w:t>
      </w:r>
      <w:r>
        <w:rPr>
          <w:rFonts w:ascii="Times New Roman" w:cs="Times New Roman" w:eastAsia="Times New Roman" w:hAnsi="Times New Roman"/>
          <w:sz w:val="19"/>
          <w:szCs w:val="19"/>
          <w:color w:val="auto"/>
        </w:rPr>
        <w:t>; provided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2.19(b)) upon such determination (and the Administrative Agent shall deliver written notice of such determination to the Borrower, each Issuing Bank and each Lender and each Swingline Lender).</w:t>
      </w:r>
    </w:p>
    <w:p>
      <w:pPr>
        <w:spacing w:after="0" w:line="200" w:lineRule="exact"/>
        <w:rPr>
          <w:sz w:val="20"/>
          <w:szCs w:val="20"/>
          <w:color w:val="auto"/>
        </w:rPr>
      </w:pPr>
    </w:p>
    <w:p>
      <w:pPr>
        <w:spacing w:after="0" w:line="209"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“Disposition” or “Dispose”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provided that the term “Disposition” or “Dispose” shall not include the disposition of Investments originated by the Borrower and immediately transferred to a Financing Subsidiary pursuant to a transaction not prohibited hereunder.</w:t>
      </w:r>
    </w:p>
    <w:p>
      <w:pPr>
        <w:spacing w:after="0" w:line="152" w:lineRule="exact"/>
        <w:rPr>
          <w:sz w:val="20"/>
          <w:szCs w:val="20"/>
          <w:color w:val="auto"/>
        </w:rPr>
      </w:pPr>
    </w:p>
    <w:p>
      <w:pPr>
        <w:ind w:left="940" w:hanging="730"/>
        <w:spacing w:after="0"/>
        <w:tabs>
          <w:tab w:leader="none" w:pos="94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29" w:name="page130"/>
    <w:bookmarkEnd w:id="129"/>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“Disqualified Equity Interest” means any Equity Interest of the Borrower that is not a Permitted Equity Interest.</w:t>
      </w:r>
    </w:p>
    <w:p>
      <w:pPr>
        <w:spacing w:after="0" w:line="202"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 xml:space="preserve">“Dollar Commitment” means, with respect to each Dollar Lender, the commitment of such Dollar Lender to make Revolving Loans, and to acquire participations in Letters of Credit and Swingline Loans, denominated in Dollars hereunder, expressed as an amount representing the maximum aggregate amount of such Lender’s Revolving Dollar Credit Exposure hereunder, as such commitment may be (a) reduced or increased from time to time pursuant to Section 2.08 and (b) reduced or increased from time to time pursuant to assignments by or to such Lender pursuant to Section 9.04. The initial amount of each Lender’s Dollar Commitment as of the </w:t>
      </w:r>
      <w:r>
        <w:rPr>
          <w:rFonts w:ascii="Times New Roman" w:cs="Times New Roman" w:eastAsia="Times New Roman" w:hAnsi="Times New Roman"/>
          <w:sz w:val="19"/>
          <w:szCs w:val="19"/>
          <w:color w:val="FF0000"/>
          <w:strike w:val="1"/>
        </w:rPr>
        <w:t>Third</w:t>
      </w:r>
      <w:r>
        <w:rPr>
          <w:rFonts w:ascii="Times New Roman" w:cs="Times New Roman" w:eastAsia="Times New Roman" w:hAnsi="Times New Roman"/>
          <w:sz w:val="19"/>
          <w:szCs w:val="19"/>
          <w:color w:val="0000FF"/>
        </w:rPr>
        <w:t>Fourth</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Amendment Effective Date is set forth on Schedule 1.01(b), or in the Commitment Increase Supplement or Assignment and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Assumption pursuant to which such Lender shall have assumed its Dollar Commitment, as applicable. The aggregate amount of the Lenders’ Dollar Commitments as of the </w:t>
      </w:r>
      <w:r>
        <w:rPr>
          <w:rFonts w:ascii="Times New Roman" w:cs="Times New Roman" w:eastAsia="Times New Roman" w:hAnsi="Times New Roman"/>
          <w:sz w:val="19"/>
          <w:szCs w:val="19"/>
          <w:color w:val="FF0000"/>
          <w:strike w:val="1"/>
        </w:rPr>
        <w:t>Third</w:t>
      </w:r>
      <w:r>
        <w:rPr>
          <w:rFonts w:ascii="Times New Roman" w:cs="Times New Roman" w:eastAsia="Times New Roman" w:hAnsi="Times New Roman"/>
          <w:sz w:val="19"/>
          <w:szCs w:val="19"/>
          <w:color w:val="0000FF"/>
        </w:rPr>
        <w:t>Fourth</w:t>
      </w:r>
      <w:r>
        <w:rPr>
          <w:rFonts w:ascii="Times New Roman" w:cs="Times New Roman" w:eastAsia="Times New Roman" w:hAnsi="Times New Roman"/>
          <w:sz w:val="19"/>
          <w:szCs w:val="19"/>
          <w:color w:val="000000"/>
        </w:rPr>
        <w:t xml:space="preserve"> Amendment Effective Date is $</w:t>
      </w:r>
      <w:r>
        <w:rPr>
          <w:rFonts w:ascii="Times New Roman" w:cs="Times New Roman" w:eastAsia="Times New Roman" w:hAnsi="Times New Roman"/>
          <w:sz w:val="19"/>
          <w:szCs w:val="19"/>
          <w:color w:val="FF0000"/>
          <w:strike w:val="1"/>
        </w:rPr>
        <w:t>230,000,000</w:t>
      </w:r>
      <w:r>
        <w:rPr>
          <w:rFonts w:ascii="Times New Roman" w:cs="Times New Roman" w:eastAsia="Times New Roman" w:hAnsi="Times New Roman"/>
          <w:sz w:val="19"/>
          <w:szCs w:val="19"/>
          <w:color w:val="0000FF"/>
        </w:rPr>
        <w:t>280,000,000</w:t>
      </w:r>
      <w:r>
        <w:rPr>
          <w:rFonts w:ascii="Times New Roman" w:cs="Times New Roman" w:eastAsia="Times New Roman" w:hAnsi="Times New Roman"/>
          <w:sz w:val="19"/>
          <w:szCs w:val="19"/>
          <w:color w:val="000000"/>
        </w:rPr>
        <w:t>.</w:t>
      </w:r>
    </w:p>
    <w:p>
      <w:pPr>
        <w:spacing w:after="0" w:line="160" w:lineRule="exact"/>
        <w:rPr>
          <w:sz w:val="20"/>
          <w:szCs w:val="20"/>
          <w:color w:val="auto"/>
        </w:rPr>
      </w:pPr>
    </w:p>
    <w:p>
      <w:pPr>
        <w:ind w:right="120" w:firstLine="1404"/>
        <w:spacing w:after="0" w:line="259" w:lineRule="auto"/>
        <w:rPr>
          <w:sz w:val="20"/>
          <w:szCs w:val="20"/>
          <w:color w:val="auto"/>
        </w:rPr>
      </w:pPr>
      <w:r>
        <w:rPr>
          <w:rFonts w:ascii="Times New Roman" w:cs="Times New Roman" w:eastAsia="Times New Roman" w:hAnsi="Times New Roman"/>
          <w:sz w:val="19"/>
          <w:szCs w:val="19"/>
          <w:color w:val="auto"/>
        </w:rPr>
        <w:t>“Dollar Equivalent” means, on any date of determination, with respect to an amount denominated in any Foreign Currency, the amount of Dollars that would be required to purchase such amount of such Foreign Currency on the date two (2) Business Days prior to such date, based upon the spot selling rate at which the Administrative Agent offers to sell such Foreign Currency for Dollars in the Principal Financial Center for such Foreign Currency at approximately 11:00 a.m., local time in such Principal Financial Center, for delivery two (2) Business Days later.</w:t>
      </w:r>
    </w:p>
    <w:p>
      <w:pPr>
        <w:spacing w:after="0" w:line="154" w:lineRule="exact"/>
        <w:rPr>
          <w:sz w:val="20"/>
          <w:szCs w:val="20"/>
          <w:color w:val="auto"/>
        </w:rPr>
      </w:pPr>
    </w:p>
    <w:p>
      <w:pPr>
        <w:ind w:right="20" w:firstLine="1404"/>
        <w:spacing w:after="0" w:line="262" w:lineRule="auto"/>
        <w:rPr>
          <w:sz w:val="20"/>
          <w:szCs w:val="20"/>
          <w:color w:val="auto"/>
        </w:rPr>
      </w:pPr>
      <w:r>
        <w:rPr>
          <w:rFonts w:ascii="Times New Roman" w:cs="Times New Roman" w:eastAsia="Times New Roman" w:hAnsi="Times New Roman"/>
          <w:sz w:val="19"/>
          <w:szCs w:val="19"/>
          <w:color w:val="auto"/>
        </w:rPr>
        <w:t>“Dollar LC Exposure” means, at any time, the sum of (a) the aggregate undrawn amount of all outstanding Dollar Letters of Credit at such time plus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50" w:lineRule="exact"/>
        <w:rPr>
          <w:sz w:val="20"/>
          <w:szCs w:val="20"/>
          <w:color w:val="auto"/>
        </w:rPr>
      </w:pPr>
    </w:p>
    <w:p>
      <w:pPr>
        <w:ind w:right="40" w:firstLine="1404"/>
        <w:spacing w:after="0" w:line="262" w:lineRule="auto"/>
        <w:rPr>
          <w:sz w:val="20"/>
          <w:szCs w:val="20"/>
          <w:color w:val="auto"/>
        </w:rPr>
      </w:pPr>
      <w:r>
        <w:rPr>
          <w:rFonts w:ascii="Times New Roman" w:cs="Times New Roman" w:eastAsia="Times New Roman" w:hAnsi="Times New Roman"/>
          <w:sz w:val="19"/>
          <w:szCs w:val="19"/>
          <w:color w:val="auto"/>
        </w:rPr>
        <w:t>“Dollar Lender” means the Persons listed on Schedule 1.01(b) as having Dollar Commitments and any other Person that shall have become a party hereto pursuant to a Commitment Increase Supplement or Assignment and Assumption that provides for it to assume a Dollar Commitment or to acquire Revolving Dollar Credit Exposure, other than any such Person that ceases to be a party hereto pursuant to an Assignment and Assumption.</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“Dollar Letters of Credit” means Letters of Credit that utilize the Dollar Commitments.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“Dollar Loan” means a Revolving Loan denominated in Dollars.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“Dollars” or “$” refers to lawful money of the United States of America.</w:t>
      </w:r>
    </w:p>
    <w:p>
      <w:pPr>
        <w:spacing w:after="0" w:line="202" w:lineRule="exact"/>
        <w:rPr>
          <w:sz w:val="20"/>
          <w:szCs w:val="20"/>
          <w:color w:val="auto"/>
        </w:rPr>
      </w:pPr>
    </w:p>
    <w:p>
      <w:pPr>
        <w:ind w:right="100" w:firstLine="1404"/>
        <w:spacing w:after="0" w:line="259" w:lineRule="auto"/>
        <w:rPr>
          <w:sz w:val="20"/>
          <w:szCs w:val="20"/>
          <w:color w:val="auto"/>
        </w:rPr>
      </w:pPr>
      <w:r>
        <w:rPr>
          <w:rFonts w:ascii="Times New Roman" w:cs="Times New Roman" w:eastAsia="Times New Roman" w:hAnsi="Times New Roman"/>
          <w:sz w:val="19"/>
          <w:szCs w:val="19"/>
          <w:color w:val="auto"/>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2" w:lineRule="exact"/>
        <w:rPr>
          <w:sz w:val="20"/>
          <w:szCs w:val="20"/>
          <w:color w:val="auto"/>
        </w:rPr>
      </w:pPr>
    </w:p>
    <w:p>
      <w:pPr>
        <w:ind w:left="940" w:hanging="730"/>
        <w:spacing w:after="0"/>
        <w:tabs>
          <w:tab w:leader="none" w:pos="94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30" w:name="page131"/>
    <w:bookmarkEnd w:id="130"/>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“EEA Member Country” means any of the member states of the European Union, Iceland, Liechtenstein and Norway.</w:t>
      </w:r>
    </w:p>
    <w:p>
      <w:pPr>
        <w:spacing w:after="0" w:line="202" w:lineRule="exact"/>
        <w:rPr>
          <w:sz w:val="20"/>
          <w:szCs w:val="20"/>
          <w:color w:val="auto"/>
        </w:rPr>
      </w:pPr>
    </w:p>
    <w:p>
      <w:pPr>
        <w:ind w:right="580" w:firstLine="1404"/>
        <w:spacing w:after="0" w:line="268" w:lineRule="auto"/>
        <w:rPr>
          <w:sz w:val="20"/>
          <w:szCs w:val="20"/>
          <w:color w:val="auto"/>
        </w:rPr>
      </w:pPr>
      <w:r>
        <w:rPr>
          <w:rFonts w:ascii="Times New Roman" w:cs="Times New Roman" w:eastAsia="Times New Roman" w:hAnsi="Times New Roman"/>
          <w:sz w:val="19"/>
          <w:szCs w:val="19"/>
          <w:color w:val="auto"/>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44" w:lineRule="exact"/>
        <w:rPr>
          <w:sz w:val="20"/>
          <w:szCs w:val="20"/>
          <w:color w:val="auto"/>
        </w:rPr>
      </w:pPr>
    </w:p>
    <w:p>
      <w:pPr>
        <w:ind w:right="840" w:firstLine="1404"/>
        <w:spacing w:after="0" w:line="286" w:lineRule="auto"/>
        <w:rPr>
          <w:sz w:val="20"/>
          <w:szCs w:val="20"/>
          <w:color w:val="auto"/>
        </w:rPr>
      </w:pPr>
      <w:r>
        <w:rPr>
          <w:rFonts w:ascii="Times New Roman" w:cs="Times New Roman" w:eastAsia="Times New Roman" w:hAnsi="Times New Roman"/>
          <w:sz w:val="19"/>
          <w:szCs w:val="19"/>
          <w:color w:val="auto"/>
        </w:rPr>
        <w:t>“Effective Date” means the date on which the conditions specified in Section 4.01 are satisfied (or waived in accordance with Section 9.02), which date is January 19, 2023.</w:t>
      </w:r>
    </w:p>
    <w:p>
      <w:pPr>
        <w:spacing w:after="0" w:line="127"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“Equity Interests”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“ERISA” means the Employee Retirement Income Security Act of 1974, as amended from time to time.</w:t>
      </w:r>
    </w:p>
    <w:p>
      <w:pPr>
        <w:spacing w:after="0" w:line="202" w:lineRule="exact"/>
        <w:rPr>
          <w:sz w:val="20"/>
          <w:szCs w:val="20"/>
          <w:color w:val="auto"/>
        </w:rPr>
      </w:pPr>
    </w:p>
    <w:p>
      <w:pPr>
        <w:ind w:right="80" w:firstLine="1404"/>
        <w:spacing w:after="0" w:line="268" w:lineRule="auto"/>
        <w:rPr>
          <w:sz w:val="20"/>
          <w:szCs w:val="20"/>
          <w:color w:val="auto"/>
        </w:rPr>
      </w:pPr>
      <w:r>
        <w:rPr>
          <w:rFonts w:ascii="Times New Roman" w:cs="Times New Roman" w:eastAsia="Times New Roman" w:hAnsi="Times New Roman"/>
          <w:sz w:val="19"/>
          <w:szCs w:val="19"/>
          <w:color w:val="auto"/>
        </w:rPr>
        <w:t>“ERISA Affiliate”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44"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“ERISA Event”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“Erroneous Payment” has the meaning assigned to it in Section 8.09(a).</w:t>
      </w:r>
    </w:p>
    <w:p>
      <w:pPr>
        <w:spacing w:after="0" w:line="17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“Erroneous Payment Deficiency Assignment” has the meaning assigned to it in Section 8.09(d).</w:t>
      </w:r>
    </w:p>
    <w:p>
      <w:pPr>
        <w:spacing w:after="0" w:line="17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“Erroneous Payment Impacted Class” has the meaning assigned to it in Section 8.09(d).</w:t>
      </w:r>
    </w:p>
    <w:p>
      <w:pPr>
        <w:spacing w:after="0" w:line="176" w:lineRule="exact"/>
        <w:rPr>
          <w:sz w:val="20"/>
          <w:szCs w:val="20"/>
          <w:color w:val="auto"/>
        </w:rPr>
      </w:pPr>
    </w:p>
    <w:p>
      <w:pPr>
        <w:ind w:left="940" w:hanging="730"/>
        <w:spacing w:after="0"/>
        <w:tabs>
          <w:tab w:leader="none" w:pos="9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31" w:name="page132"/>
    <w:bookmarkEnd w:id="131"/>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“Erroneous Payment Return Deficiency” has the meaning assigned to it in Section 8.09(d).</w:t>
      </w:r>
    </w:p>
    <w:p>
      <w:pPr>
        <w:spacing w:after="0" w:line="17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“Erroneous Payment Subrogation Rights” has the meaning assigned to it in Section 8.09(d).</w:t>
      </w:r>
    </w:p>
    <w:p>
      <w:pPr>
        <w:spacing w:after="0" w:line="202" w:lineRule="exact"/>
        <w:rPr>
          <w:sz w:val="20"/>
          <w:szCs w:val="20"/>
          <w:color w:val="auto"/>
        </w:rPr>
      </w:pPr>
    </w:p>
    <w:p>
      <w:pPr>
        <w:ind w:right="780" w:firstLine="1404"/>
        <w:spacing w:after="0" w:line="286" w:lineRule="auto"/>
        <w:rPr>
          <w:sz w:val="20"/>
          <w:szCs w:val="20"/>
          <w:color w:val="auto"/>
        </w:rPr>
      </w:pPr>
      <w:r>
        <w:rPr>
          <w:rFonts w:ascii="Times New Roman" w:cs="Times New Roman" w:eastAsia="Times New Roman" w:hAnsi="Times New Roman"/>
          <w:sz w:val="19"/>
          <w:szCs w:val="19"/>
          <w:color w:val="auto"/>
        </w:rPr>
        <w:t>“EU Bail-In Legislation Schedule” means the EU Bail-In Legislation Schedule published by the Loan Market Association (or any successor person), as in effect from time to time.</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“EURIBOR Screen Rate” has the meaning set forth in the definition of “Term Benchmark Rate”.</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“Euro” means a single currency of the Participating Member States.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“Event of Default” has the meaning assigned to such term in Article VII.</w:t>
      </w:r>
    </w:p>
    <w:p>
      <w:pPr>
        <w:spacing w:after="0" w:line="202" w:lineRule="exact"/>
        <w:rPr>
          <w:sz w:val="20"/>
          <w:szCs w:val="20"/>
          <w:color w:val="auto"/>
        </w:rPr>
      </w:pPr>
    </w:p>
    <w:p>
      <w:pPr>
        <w:ind w:right="60" w:firstLine="1404"/>
        <w:spacing w:after="0" w:line="253" w:lineRule="auto"/>
        <w:rPr>
          <w:sz w:val="20"/>
          <w:szCs w:val="20"/>
          <w:color w:val="auto"/>
        </w:rPr>
      </w:pPr>
      <w:r>
        <w:rPr>
          <w:rFonts w:ascii="Times New Roman" w:cs="Times New Roman" w:eastAsia="Times New Roman" w:hAnsi="Times New Roman"/>
          <w:sz w:val="19"/>
          <w:szCs w:val="19"/>
          <w:color w:val="auto"/>
        </w:rPr>
        <w:t>“Excluded Taxes” means, with respect to the Administrative Agent, any Lender, any Issuing Bank or any other recipient of any payment to be made by or on account of any obligation of the Borrower hereunder, (a) Taxes imposed on (or measured by) its net income (however denominated), net profits, franchise Taxes and branch profits or any similar Taxes, in each case, (i) imposed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or (ii) any Taxes imposed by any jurisdiction by reason of the recipient having any present or former connection with such jurisdiction (other than a connection arising solely from entering into, receiving any payment under or enforcing its rights under this Agreement or any other Loan Document or selling or assigning an interest in any Loan or Loan Document), (b) in the case of a Lender, any Taxes that are U.S. withholding taxes imposed on amounts payable to such Lender (i) at the time such Lender (other than an assignee pursuant to a request by the Borrower under Section 2.18(b)) becomes a party to this Agreement or designates a new lending office, except to the extent that such Lender’s assignor or such Lender was entitled to receive additional amounts from the Borrower with respect to such withholding tax pursuant to Section 2.16, at the time of such assignment or designation, or (ii) that is attributable to such Lender’s failure or inability to comply with Section 2.16(f), (c) any U.S. federal, state or local backup withholding Taxes imposed on payments made under any Loan Document, and (d) any Taxes that are imposed under FATCA.</w:t>
      </w:r>
    </w:p>
    <w:p>
      <w:pPr>
        <w:spacing w:after="0" w:line="1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“External Manager” means Sixth Street Lending Partners Advisers, LLC.</w:t>
      </w:r>
    </w:p>
    <w:p>
      <w:pPr>
        <w:spacing w:after="0" w:line="202"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“Extraordinary Receipts”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provided that Extraordinary Receipts shall not include</w:t>
      </w:r>
    </w:p>
    <w:p>
      <w:pPr>
        <w:spacing w:after="0" w:line="155" w:lineRule="exact"/>
        <w:rPr>
          <w:sz w:val="20"/>
          <w:szCs w:val="20"/>
          <w:color w:val="auto"/>
        </w:rPr>
      </w:pPr>
    </w:p>
    <w:p>
      <w:pPr>
        <w:ind w:left="940" w:hanging="730"/>
        <w:spacing w:after="0"/>
        <w:tabs>
          <w:tab w:leader="none" w:pos="94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32" w:name="page133"/>
    <w:bookmarkEnd w:id="132"/>
    <w:p>
      <w:pPr>
        <w:spacing w:after="0" w:line="26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any (x) amounts that the Borrower receives from the Administrative Agent or any Lender pursuant to Section 2.16(f),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54" w:lineRule="exact"/>
        <w:rPr>
          <w:sz w:val="20"/>
          <w:szCs w:val="20"/>
          <w:color w:val="auto"/>
        </w:rPr>
      </w:pPr>
    </w:p>
    <w:p>
      <w:pPr>
        <w:ind w:right="320" w:firstLine="1404"/>
        <w:spacing w:after="0" w:line="262" w:lineRule="auto"/>
        <w:rPr>
          <w:sz w:val="20"/>
          <w:szCs w:val="20"/>
          <w:color w:val="auto"/>
        </w:rPr>
      </w:pPr>
      <w:r>
        <w:rPr>
          <w:rFonts w:ascii="Times New Roman" w:cs="Times New Roman" w:eastAsia="Times New Roman" w:hAnsi="Times New Roman"/>
          <w:sz w:val="19"/>
          <w:szCs w:val="19"/>
          <w:color w:val="auto"/>
        </w:rPr>
        <w:t>“FATCA” means Sections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spacing w:after="0" w:line="150" w:lineRule="exact"/>
        <w:rPr>
          <w:sz w:val="20"/>
          <w:szCs w:val="20"/>
          <w:color w:val="auto"/>
        </w:rPr>
      </w:pPr>
    </w:p>
    <w:p>
      <w:pPr>
        <w:ind w:right="80" w:firstLine="1404"/>
        <w:spacing w:after="0" w:line="259" w:lineRule="auto"/>
        <w:rPr>
          <w:sz w:val="20"/>
          <w:szCs w:val="20"/>
          <w:color w:val="auto"/>
        </w:rPr>
      </w:pPr>
      <w:r>
        <w:rPr>
          <w:rFonts w:ascii="Times New Roman" w:cs="Times New Roman" w:eastAsia="Times New Roman" w:hAnsi="Times New Roman"/>
          <w:sz w:val="19"/>
          <w:szCs w:val="19"/>
          <w:color w:val="auto"/>
        </w:rPr>
        <w:t>“Federal Funds Effective Rate”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5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9"/>
          <w:szCs w:val="19"/>
          <w:color w:val="auto"/>
        </w:rPr>
        <w:t>“Final Maturity Date” means March 4, 2030.</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“Financial Officer” means the chief financial officer, principal accounting officer, treasurer or controller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Borrower.</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“Financing Subsidiary” means an SPE Subsidiary or an SBIC Subsidiary.</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“Floor” means a rate of interest equal to zero percent (0.00%)</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“Foreign Currency” means at any time any Currency other than Dollars.</w:t>
      </w:r>
    </w:p>
    <w:p>
      <w:pPr>
        <w:spacing w:after="0" w:line="202"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“Foreign Currency Equivalent”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“Foreign Lender” means any Lender that is not a “United States person” as defined under Section 7701(a)(30)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Code.</w:t>
      </w:r>
    </w:p>
    <w:p>
      <w:pPr>
        <w:spacing w:after="0" w:line="180" w:lineRule="exact"/>
        <w:rPr>
          <w:sz w:val="20"/>
          <w:szCs w:val="20"/>
          <w:color w:val="auto"/>
        </w:rPr>
      </w:pPr>
    </w:p>
    <w:p>
      <w:pPr>
        <w:jc w:val="both"/>
        <w:ind w:right="120" w:firstLine="1404"/>
        <w:spacing w:after="0" w:line="262" w:lineRule="auto"/>
        <w:rPr>
          <w:sz w:val="20"/>
          <w:szCs w:val="20"/>
          <w:color w:val="auto"/>
        </w:rPr>
      </w:pPr>
      <w:r>
        <w:rPr>
          <w:rFonts w:ascii="Times New Roman" w:cs="Times New Roman" w:eastAsia="Times New Roman" w:hAnsi="Times New Roman"/>
          <w:sz w:val="19"/>
          <w:szCs w:val="19"/>
          <w:color w:val="auto"/>
        </w:rPr>
        <w:t>“Foreign Subsidiary” 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w:t>
      </w:r>
    </w:p>
    <w:p>
      <w:pPr>
        <w:spacing w:after="0" w:line="148" w:lineRule="exact"/>
        <w:rPr>
          <w:sz w:val="20"/>
          <w:szCs w:val="20"/>
          <w:color w:val="auto"/>
        </w:rPr>
      </w:pPr>
    </w:p>
    <w:p>
      <w:pPr>
        <w:ind w:left="940" w:hanging="730"/>
        <w:spacing w:after="0"/>
        <w:tabs>
          <w:tab w:leader="none" w:pos="9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3" w:name="page134"/>
    <w:bookmarkEnd w:id="133"/>
    <w:p>
      <w:pPr>
        <w:spacing w:after="0" w:line="26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separate from its owner for United States federal income tax purposes and substantially all of its assets consist of the Capital Stock of one or more direct or indirect Foreign Subsidiaries.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“Fourth Amendment Effective Date” means September 23, 2025.</w:t>
      </w:r>
    </w:p>
    <w:p>
      <w:pPr>
        <w:spacing w:after="0" w:line="202" w:lineRule="exact"/>
        <w:rPr>
          <w:sz w:val="20"/>
          <w:szCs w:val="20"/>
          <w:color w:val="auto"/>
        </w:rPr>
      </w:pPr>
    </w:p>
    <w:p>
      <w:pPr>
        <w:ind w:right="260" w:firstLine="1404"/>
        <w:spacing w:after="0" w:line="259" w:lineRule="auto"/>
        <w:rPr>
          <w:sz w:val="20"/>
          <w:szCs w:val="20"/>
          <w:color w:val="auto"/>
        </w:rPr>
      </w:pPr>
      <w:r>
        <w:rPr>
          <w:rFonts w:ascii="Times New Roman" w:cs="Times New Roman" w:eastAsia="Times New Roman" w:hAnsi="Times New Roman"/>
          <w:sz w:val="19"/>
          <w:szCs w:val="19"/>
          <w:color w:val="auto"/>
        </w:rPr>
        <w:t>“Fronting Exposure” 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“GAAP” means generally accepted accounting principles in the United States of America.</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“GBSA” has the meaning assigned to such term in Section 9.19.</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“GBSA Consultation Notice” has the meaning assigned to such term in Section 9.19.</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“GBSA Consultation Period” has the meaning assigned to such term in Section 9.19.</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“GBSA Final Notice” has the meaning assigned to such term in Section 9.19.</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“GBSA Initial Notice” has the meaning assigned to such term in Section 9.19.</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“GBSA Lender” has the meaning assigned to such term in Section 9.19.</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“GBSA Obligations” has the meaning assigned to such term in Section 9.19.</w:t>
      </w:r>
    </w:p>
    <w:p>
      <w:pPr>
        <w:spacing w:after="0" w:line="202" w:lineRule="exact"/>
        <w:rPr>
          <w:sz w:val="20"/>
          <w:szCs w:val="20"/>
          <w:color w:val="auto"/>
        </w:rPr>
      </w:pPr>
    </w:p>
    <w:p>
      <w:pPr>
        <w:ind w:right="100" w:firstLine="1404"/>
        <w:spacing w:after="0" w:line="262" w:lineRule="auto"/>
        <w:rPr>
          <w:sz w:val="20"/>
          <w:szCs w:val="20"/>
          <w:color w:val="auto"/>
        </w:rPr>
      </w:pPr>
      <w:r>
        <w:rPr>
          <w:rFonts w:ascii="Times New Roman" w:cs="Times New Roman" w:eastAsia="Times New Roman" w:hAnsi="Times New Roman"/>
          <w:sz w:val="19"/>
          <w:szCs w:val="19"/>
          <w:color w:val="auto"/>
        </w:rPr>
        <w:t>“Governmental Authority” means the government of the United States of America, 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spacing w:after="0" w:line="150"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“Guarantee” of, or “Guaranteed” by, any Person (the “guarantor”) means any obligation, contingent or otherwise, of the guarantor guaranteeing or having the economic effect of guaranteeing any Indebtedness or other obligation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w:t>
      </w:r>
    </w:p>
    <w:p>
      <w:pPr>
        <w:spacing w:after="0" w:line="155" w:lineRule="exact"/>
        <w:rPr>
          <w:sz w:val="20"/>
          <w:szCs w:val="20"/>
          <w:color w:val="auto"/>
        </w:rPr>
      </w:pPr>
    </w:p>
    <w:p>
      <w:pPr>
        <w:ind w:left="940" w:hanging="730"/>
        <w:spacing w:after="0"/>
        <w:tabs>
          <w:tab w:leader="none" w:pos="94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4" w:name="page135"/>
    <w:bookmarkEnd w:id="134"/>
    <w:p>
      <w:pPr>
        <w:spacing w:after="0" w:line="26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9"/>
          <w:szCs w:val="19"/>
          <w:color w:val="auto"/>
        </w:rPr>
        <w:t>Indebtedness or other obligation or (d) as an account party in respect of any letter of credit or letter of guaranty issued to support such Indebtedness or obligation; provided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54" w:lineRule="exact"/>
        <w:rPr>
          <w:sz w:val="20"/>
          <w:szCs w:val="20"/>
          <w:color w:val="auto"/>
        </w:rPr>
      </w:pPr>
    </w:p>
    <w:p>
      <w:pPr>
        <w:ind w:right="80" w:firstLine="1404"/>
        <w:spacing w:after="0" w:line="262" w:lineRule="auto"/>
        <w:rPr>
          <w:sz w:val="20"/>
          <w:szCs w:val="20"/>
          <w:color w:val="auto"/>
        </w:rPr>
      </w:pPr>
      <w:r>
        <w:rPr>
          <w:rFonts w:ascii="Times New Roman" w:cs="Times New Roman" w:eastAsia="Times New Roman" w:hAnsi="Times New Roman"/>
          <w:sz w:val="19"/>
          <w:szCs w:val="19"/>
          <w:color w:val="auto"/>
        </w:rPr>
        <w:t>“Guarantee and Security Agreement” means that certain Guarantee and Security Agreement dated as of January 19, 2023 among the Borrower, the Administrative Agent, each Subsidiary of the Borrower from time to time party thereto, each holder (or a representative or trustee therefor) from time to time of any Secured Longer -Term Indebtedness or Secured Shorter-Term Indebtedness, and the Collateral Agent, as the same shall be amended, restated, modified and supplemented and in effect from time to time.</w:t>
      </w:r>
    </w:p>
    <w:p>
      <w:pPr>
        <w:spacing w:after="0" w:line="150" w:lineRule="exact"/>
        <w:rPr>
          <w:sz w:val="20"/>
          <w:szCs w:val="20"/>
          <w:color w:val="auto"/>
        </w:rPr>
      </w:pPr>
    </w:p>
    <w:p>
      <w:pPr>
        <w:ind w:right="20" w:firstLine="1404"/>
        <w:spacing w:after="0" w:line="262" w:lineRule="auto"/>
        <w:rPr>
          <w:sz w:val="20"/>
          <w:szCs w:val="20"/>
          <w:color w:val="auto"/>
        </w:rPr>
      </w:pPr>
      <w:r>
        <w:rPr>
          <w:rFonts w:ascii="Times New Roman" w:cs="Times New Roman" w:eastAsia="Times New Roman" w:hAnsi="Times New Roman"/>
          <w:sz w:val="19"/>
          <w:szCs w:val="19"/>
          <w:color w:val="auto"/>
        </w:rPr>
        <w:t>“Guarantee Assumption Agreement” means a Guarantee Assumption Agreement substantially in the form of Exhibit B to the Guarantee and Security Agreement between the Collateral Agent and an entity that pursuant to Section 5.08 is required to become a “Subsidiary Guarantor” under the Guarantee and Security Agreement (with such changes as the Administrative Agent shall request consistent with the requirements of Section 5.08).</w:t>
      </w:r>
    </w:p>
    <w:p>
      <w:pPr>
        <w:spacing w:after="0" w:line="150" w:lineRule="exact"/>
        <w:rPr>
          <w:sz w:val="20"/>
          <w:szCs w:val="20"/>
          <w:color w:val="auto"/>
        </w:rPr>
      </w:pPr>
    </w:p>
    <w:p>
      <w:pPr>
        <w:ind w:right="80" w:firstLine="1404"/>
        <w:spacing w:after="0" w:line="286" w:lineRule="auto"/>
        <w:rPr>
          <w:sz w:val="20"/>
          <w:szCs w:val="20"/>
          <w:color w:val="auto"/>
        </w:rPr>
      </w:pPr>
      <w:r>
        <w:rPr>
          <w:rFonts w:ascii="Times New Roman" w:cs="Times New Roman" w:eastAsia="Times New Roman" w:hAnsi="Times New Roman"/>
          <w:sz w:val="19"/>
          <w:szCs w:val="19"/>
          <w:color w:val="auto"/>
        </w:rPr>
        <w:t>“Hedging Agreement” means any interest rate protection agreement, foreign currency exchange protection agreement, commodity price protection agreement or other interest or currency exchange rate or commodity price hedging arrangement.</w:t>
      </w:r>
    </w:p>
    <w:p>
      <w:pPr>
        <w:spacing w:after="0" w:line="127"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“Immaterial Subsidiaries” means those Subsidiaries of the Borrower that are “designated” as Immaterial Subsidiaries by the Borrower from time to time (it being understood that the Borrower may at any time change any such designation); provided that such designated Immaterial Subsidiaries shall collectively meet all of the following criteria as of the date of the most recent balance sheet required to be delivered pursuant to Section 5.01: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“Increasing Lender” has the meaning assigned to such term in Section 2.08(e)(i).</w:t>
      </w:r>
    </w:p>
    <w:p>
      <w:pPr>
        <w:spacing w:after="0" w:line="202" w:lineRule="exact"/>
        <w:rPr>
          <w:sz w:val="20"/>
          <w:szCs w:val="20"/>
          <w:color w:val="auto"/>
        </w:rPr>
      </w:pPr>
    </w:p>
    <w:p>
      <w:pPr>
        <w:ind w:right="120" w:firstLine="1404"/>
        <w:spacing w:after="0" w:line="262" w:lineRule="auto"/>
        <w:rPr>
          <w:sz w:val="20"/>
          <w:szCs w:val="20"/>
          <w:color w:val="auto"/>
        </w:rPr>
      </w:pPr>
      <w:r>
        <w:rPr>
          <w:rFonts w:ascii="Times New Roman" w:cs="Times New Roman" w:eastAsia="Times New Roman" w:hAnsi="Times New Roman"/>
          <w:sz w:val="19"/>
          <w:szCs w:val="19"/>
          <w:color w:val="auto"/>
        </w:rPr>
        <w:t>“Incremental Term Commitment” means as to each Incremental Term Lender, the obligation of such Lender to make, on and subject to the terms and conditions hereof, an Incremental Term Loan to the Borrower in Dollars pursuant to Section 2.08(e)(ii)</w:t>
      </w:r>
    </w:p>
    <w:p>
      <w:pPr>
        <w:spacing w:after="0" w:line="1" w:lineRule="exact"/>
        <w:rPr>
          <w:sz w:val="20"/>
          <w:szCs w:val="20"/>
          <w:color w:val="auto"/>
        </w:rPr>
      </w:pPr>
    </w:p>
    <w:p>
      <w:pPr>
        <w:ind w:right="240" w:firstLine="6"/>
        <w:spacing w:after="0" w:line="256" w:lineRule="auto"/>
        <w:tabs>
          <w:tab w:leader="none" w:pos="264"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an aggregate principal amount up to but not exceeding the amount set forth in the applicable Commitment Increase Supplement. The initial amount of each Lender’s Incremental Term Commitment shall be set forth in the applicable Commitment Increase Supplement.</w:t>
      </w:r>
    </w:p>
    <w:p>
      <w:pPr>
        <w:spacing w:after="0" w:line="155"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“Incremental Term Lender” means each Lender having an Incremental Term Commitment or, as the case may be, an outstanding Incremental Term Loan.</w:t>
      </w:r>
    </w:p>
    <w:p>
      <w:pPr>
        <w:spacing w:after="0" w:line="126" w:lineRule="exact"/>
        <w:rPr>
          <w:sz w:val="20"/>
          <w:szCs w:val="20"/>
          <w:color w:val="auto"/>
        </w:rPr>
      </w:pPr>
    </w:p>
    <w:p>
      <w:pPr>
        <w:ind w:left="940" w:hanging="730"/>
        <w:spacing w:after="0"/>
        <w:tabs>
          <w:tab w:leader="none" w:pos="9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5" w:name="page136"/>
    <w:bookmarkEnd w:id="135"/>
    <w:p>
      <w:pPr>
        <w:spacing w:after="0" w:line="269"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 xml:space="preserve">“Incremental Term Loans” means any term loans made by Incremental Term Lenders to the Borrower pursuant to Section 2.08(e)(ii)(z). </w:t>
      </w:r>
      <w:r>
        <w:rPr>
          <w:rFonts w:ascii="Times New Roman" w:cs="Times New Roman" w:eastAsia="Times New Roman" w:hAnsi="Times New Roman"/>
          <w:sz w:val="19"/>
          <w:szCs w:val="19"/>
          <w:color w:val="0000FF"/>
        </w:rPr>
        <w:t>The outstanding principal amount of each Lender’s Incremental Term Loan as of the Fourth Amendment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Effective Date is set forth on Schedule 1.01(b) hereto. The aggregate outstanding principal amount of the Incremental Term Loans as of the Fourth Amendment Effective Date is $100,000,000.</w:t>
      </w:r>
    </w:p>
    <w:p>
      <w:pPr>
        <w:spacing w:after="0" w:line="150" w:lineRule="exact"/>
        <w:rPr>
          <w:sz w:val="20"/>
          <w:szCs w:val="20"/>
          <w:color w:val="auto"/>
        </w:rPr>
      </w:pPr>
    </w:p>
    <w:p>
      <w:pPr>
        <w:ind w:right="40" w:firstLine="1404"/>
        <w:spacing w:after="0" w:line="252" w:lineRule="auto"/>
        <w:rPr>
          <w:sz w:val="20"/>
          <w:szCs w:val="20"/>
          <w:color w:val="auto"/>
        </w:rPr>
      </w:pPr>
      <w:r>
        <w:rPr>
          <w:rFonts w:ascii="Times New Roman" w:cs="Times New Roman" w:eastAsia="Times New Roman" w:hAnsi="Times New Roman"/>
          <w:sz w:val="19"/>
          <w:szCs w:val="19"/>
          <w:color w:val="auto"/>
        </w:rPr>
        <w:t>“Indebtedness” of any Person means, without duplication, (a) all obligations of such Person for borrowed money or with respect to deposits or advances of any kind, (b) all obligations of such Person evidenced by bonds, debentures, notes or similar instruments representing extensions of credit, (c) all obligations of such Person under conditional sale or other title retention agreements relating to property acquired by such Person (excluding accounts payable and accrued expenses incurred in the ordinary course of business),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Indebtedness being the lower of the outstanding amount of such Indebtedness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and (j) all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escrows or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spacing w:after="0" w:line="169" w:lineRule="exact"/>
        <w:rPr>
          <w:sz w:val="20"/>
          <w:szCs w:val="20"/>
          <w:color w:val="auto"/>
        </w:rPr>
      </w:pPr>
    </w:p>
    <w:p>
      <w:pPr>
        <w:ind w:firstLine="1404"/>
        <w:spacing w:after="0" w:line="286" w:lineRule="auto"/>
        <w:rPr>
          <w:sz w:val="20"/>
          <w:szCs w:val="20"/>
          <w:color w:val="auto"/>
        </w:rPr>
      </w:pPr>
      <w:r>
        <w:rPr>
          <w:rFonts w:ascii="Times New Roman" w:cs="Times New Roman" w:eastAsia="Times New Roman" w:hAnsi="Times New Roman"/>
          <w:sz w:val="19"/>
          <w:szCs w:val="19"/>
          <w:color w:val="auto"/>
        </w:rPr>
        <w:t>“Indemnified Taxes” means Taxes, other than Excluded Taxes, imposed on or with respect to any payment made by or on account of any obligation of the Borrower under this Agreement.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“Indemnitee” has the meaning assigned to such term in Section 9.03(b).</w:t>
      </w:r>
    </w:p>
    <w:p>
      <w:pPr>
        <w:spacing w:after="0" w:line="202" w:lineRule="exact"/>
        <w:rPr>
          <w:sz w:val="20"/>
          <w:szCs w:val="20"/>
          <w:color w:val="auto"/>
        </w:rPr>
      </w:pPr>
    </w:p>
    <w:p>
      <w:pPr>
        <w:ind w:right="160" w:firstLine="1404"/>
        <w:spacing w:after="0" w:line="259" w:lineRule="auto"/>
        <w:rPr>
          <w:sz w:val="20"/>
          <w:szCs w:val="20"/>
          <w:color w:val="auto"/>
        </w:rPr>
      </w:pPr>
      <w:r>
        <w:rPr>
          <w:rFonts w:ascii="Times New Roman" w:cs="Times New Roman" w:eastAsia="Times New Roman" w:hAnsi="Times New Roman"/>
          <w:sz w:val="19"/>
          <w:szCs w:val="19"/>
          <w:color w:val="auto"/>
        </w:rPr>
        <w:t>“Independent”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54" w:lineRule="exact"/>
        <w:rPr>
          <w:sz w:val="20"/>
          <w:szCs w:val="20"/>
          <w:color w:val="auto"/>
        </w:rPr>
      </w:pPr>
    </w:p>
    <w:p>
      <w:pPr>
        <w:ind w:right="640" w:firstLine="1404"/>
        <w:spacing w:after="0" w:line="286" w:lineRule="auto"/>
        <w:rPr>
          <w:sz w:val="20"/>
          <w:szCs w:val="20"/>
          <w:color w:val="auto"/>
        </w:rPr>
      </w:pPr>
      <w:r>
        <w:rPr>
          <w:rFonts w:ascii="Times New Roman" w:cs="Times New Roman" w:eastAsia="Times New Roman" w:hAnsi="Times New Roman"/>
          <w:sz w:val="19"/>
          <w:szCs w:val="19"/>
          <w:color w:val="auto"/>
        </w:rPr>
        <w:t>“Industry Classification Group” means (a) any of the classification groups set forth in Schedule 1.01(c) hereto, together with any such classification groups that may be subsequently</w:t>
      </w:r>
    </w:p>
    <w:p>
      <w:pPr>
        <w:spacing w:after="0" w:line="126" w:lineRule="exact"/>
        <w:rPr>
          <w:sz w:val="20"/>
          <w:szCs w:val="20"/>
          <w:color w:val="auto"/>
        </w:rPr>
      </w:pPr>
    </w:p>
    <w:p>
      <w:pPr>
        <w:ind w:left="940" w:hanging="730"/>
        <w:spacing w:after="0"/>
        <w:tabs>
          <w:tab w:leader="none" w:pos="9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36" w:name="page137"/>
    <w:bookmarkEnd w:id="136"/>
    <w:p>
      <w:pPr>
        <w:spacing w:after="0" w:line="26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9"/>
          <w:szCs w:val="19"/>
          <w:color w:val="auto"/>
        </w:rPr>
        <w:t>established by Moody’s and provided by the Borrower to the Lenders, and (b) up to three additional industry group classifications established by the Borrower pursuant to Section 5.12.</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“Initial GBSA Termination Date” has the meaning assigned to such term in Section 9.19.</w:t>
      </w:r>
    </w:p>
    <w:p>
      <w:pPr>
        <w:spacing w:after="0" w:line="202" w:lineRule="exact"/>
        <w:rPr>
          <w:sz w:val="20"/>
          <w:szCs w:val="20"/>
          <w:color w:val="auto"/>
        </w:rPr>
      </w:pPr>
    </w:p>
    <w:p>
      <w:pPr>
        <w:ind w:right="60" w:firstLine="1404"/>
        <w:spacing w:after="0" w:line="259" w:lineRule="auto"/>
        <w:rPr>
          <w:sz w:val="20"/>
          <w:szCs w:val="20"/>
          <w:color w:val="auto"/>
        </w:rPr>
      </w:pPr>
      <w:r>
        <w:rPr>
          <w:rFonts w:ascii="Times New Roman" w:cs="Times New Roman" w:eastAsia="Times New Roman" w:hAnsi="Times New Roman"/>
          <w:sz w:val="19"/>
          <w:szCs w:val="19"/>
          <w:color w:val="auto"/>
        </w:rPr>
        <w:t xml:space="preserve">“Initial Term Commitment” means as to each Term Lender, the obligation of such Lender to make, on and subject to the terms and conditions hereof, a Term Loan to the Borrower in Dollars pursuant to Section 2.01(c) </w:t>
      </w:r>
      <w:r>
        <w:rPr>
          <w:rFonts w:ascii="Times New Roman" w:cs="Times New Roman" w:eastAsia="Times New Roman" w:hAnsi="Times New Roman"/>
          <w:sz w:val="19"/>
          <w:szCs w:val="19"/>
          <w:color w:val="FF0000"/>
        </w:rPr>
        <w:t>in an aggregate principal amount up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to but not exceeding the amount set forth opposite the name of such Lender on Schedule 1.01(b). The amount of each Lender’s Initial Term Commitment as of the Second Amendment Effective Date is set forth on Schedule 1.01(b)</w:t>
      </w:r>
      <w:r>
        <w:rPr>
          <w:rFonts w:ascii="Times New Roman" w:cs="Times New Roman" w:eastAsia="Times New Roman" w:hAnsi="Times New Roman"/>
          <w:sz w:val="19"/>
          <w:szCs w:val="19"/>
          <w:color w:val="000000"/>
          <w:strike w:val="1"/>
        </w:rPr>
        <w:t>. The aggregate amount of the Lenders’</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00"/>
          <w:strike w:val="1"/>
        </w:rPr>
        <w:t xml:space="preserve">Initial Term Commitments as of the </w:t>
      </w:r>
      <w:r>
        <w:rPr>
          <w:rFonts w:ascii="Times New Roman" w:cs="Times New Roman" w:eastAsia="Times New Roman" w:hAnsi="Times New Roman"/>
          <w:sz w:val="19"/>
          <w:szCs w:val="19"/>
          <w:color w:val="FF0000"/>
          <w:strike w:val="1"/>
        </w:rPr>
        <w:t>Second</w:t>
      </w:r>
      <w:r>
        <w:rPr>
          <w:rFonts w:ascii="Times New Roman" w:cs="Times New Roman" w:eastAsia="Times New Roman" w:hAnsi="Times New Roman"/>
          <w:sz w:val="19"/>
          <w:szCs w:val="19"/>
          <w:color w:val="0000FF"/>
          <w:strike w:val="1"/>
        </w:rPr>
        <w:t>Fourth</w:t>
      </w:r>
      <w:r>
        <w:rPr>
          <w:rFonts w:ascii="Times New Roman" w:cs="Times New Roman" w:eastAsia="Times New Roman" w:hAnsi="Times New Roman"/>
          <w:sz w:val="19"/>
          <w:szCs w:val="19"/>
          <w:color w:val="000000"/>
          <w:strike w:val="1"/>
        </w:rPr>
        <w:t xml:space="preserve"> Amendment Effective Date is $</w:t>
      </w:r>
      <w:r>
        <w:rPr>
          <w:rFonts w:ascii="Times New Roman" w:cs="Times New Roman" w:eastAsia="Times New Roman" w:hAnsi="Times New Roman"/>
          <w:sz w:val="19"/>
          <w:szCs w:val="19"/>
          <w:color w:val="FF0000"/>
          <w:strike w:val="1"/>
        </w:rPr>
        <w:t>100,000,000</w:t>
      </w:r>
      <w:r>
        <w:rPr>
          <w:rFonts w:ascii="Times New Roman" w:cs="Times New Roman" w:eastAsia="Times New Roman" w:hAnsi="Times New Roman"/>
          <w:sz w:val="19"/>
          <w:szCs w:val="19"/>
          <w:color w:val="0000FF"/>
          <w:strike w:val="1"/>
        </w:rPr>
        <w:t>0</w:t>
      </w:r>
      <w:r>
        <w:rPr>
          <w:rFonts w:ascii="Times New Roman" w:cs="Times New Roman" w:eastAsia="Times New Roman" w:hAnsi="Times New Roman"/>
          <w:sz w:val="19"/>
          <w:szCs w:val="19"/>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-518795</wp:posOffset>
            </wp:positionV>
            <wp:extent cx="178371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134"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“Initial Term Lender” means each Lender having an Initial Term Commitment or, as the case may be, an outstanding Initial Term Loan.</w:t>
      </w:r>
    </w:p>
    <w:p>
      <w:pPr>
        <w:spacing w:after="0" w:line="127" w:lineRule="exact"/>
        <w:rPr>
          <w:sz w:val="20"/>
          <w:szCs w:val="20"/>
          <w:color w:val="auto"/>
        </w:rPr>
      </w:pPr>
    </w:p>
    <w:p>
      <w:pPr>
        <w:jc w:val="both"/>
        <w:ind w:right="300" w:firstLine="1404"/>
        <w:spacing w:after="0" w:line="262" w:lineRule="auto"/>
        <w:rPr>
          <w:sz w:val="20"/>
          <w:szCs w:val="20"/>
          <w:color w:val="auto"/>
        </w:rPr>
      </w:pPr>
      <w:r>
        <w:rPr>
          <w:rFonts w:ascii="Times New Roman" w:cs="Times New Roman" w:eastAsia="Times New Roman" w:hAnsi="Times New Roman"/>
          <w:sz w:val="19"/>
          <w:szCs w:val="19"/>
          <w:color w:val="auto"/>
        </w:rPr>
        <w:t xml:space="preserve">“Initial Term Loans” means the term loans made by the Lenders to the Borrower pursuant to Section 2.01(c). </w:t>
      </w:r>
      <w:r>
        <w:rPr>
          <w:rFonts w:ascii="Times New Roman" w:cs="Times New Roman" w:eastAsia="Times New Roman" w:hAnsi="Times New Roman"/>
          <w:sz w:val="19"/>
          <w:szCs w:val="19"/>
          <w:color w:val="0000FF"/>
        </w:rPr>
        <w:t>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outstanding principal amount of each Lender’s Initial Term Loan as of the Fourth Amendment Effective Date is set forth on Schedule 1.01(b) hereto. The aggregate outstanding principal amount of the Initial Term Loans as of the Fourth Amendment Effective Date is $100,000,000.</w:t>
      </w:r>
    </w:p>
    <w:p>
      <w:pPr>
        <w:spacing w:after="0" w:line="150" w:lineRule="exact"/>
        <w:rPr>
          <w:sz w:val="20"/>
          <w:szCs w:val="20"/>
          <w:color w:val="auto"/>
        </w:rPr>
      </w:pPr>
    </w:p>
    <w:p>
      <w:pPr>
        <w:ind w:right="640" w:firstLine="1404"/>
        <w:spacing w:after="0" w:line="286" w:lineRule="auto"/>
        <w:rPr>
          <w:sz w:val="20"/>
          <w:szCs w:val="20"/>
          <w:color w:val="auto"/>
        </w:rPr>
      </w:pPr>
      <w:r>
        <w:rPr>
          <w:rFonts w:ascii="Times New Roman" w:cs="Times New Roman" w:eastAsia="Times New Roman" w:hAnsi="Times New Roman"/>
          <w:sz w:val="19"/>
          <w:szCs w:val="19"/>
          <w:color w:val="auto"/>
        </w:rPr>
        <w:t>“Interest Election Request” means a request by the Borrower to convert or continue a Syndicated Borrowing in accordance with Section 2.07.</w:t>
      </w:r>
    </w:p>
    <w:p>
      <w:pPr>
        <w:spacing w:after="0" w:line="127"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“Interest Payment Date” means (a) with respect to any Syndicated ABR Loan, each Quarterly Date, (b) with respect to any Term Benchmark Loan or RFR Loan, in each case, in respect of which the Borrower has selected a one- or three-month Interest Period, the last day of such Interest Period therefor and, in the case of any Term Benchmark Loan with an Interest Period of more than three months’ duration, each day prior to the last day of such Interest Period that occurs at three- month intervals after the first day of such Interest Period and (c) with respect to any Swingline Loan, the day that such Loan is required to be repaid.</w:t>
      </w:r>
    </w:p>
    <w:p>
      <w:pPr>
        <w:spacing w:after="0" w:line="154" w:lineRule="exact"/>
        <w:rPr>
          <w:sz w:val="20"/>
          <w:szCs w:val="20"/>
          <w:color w:val="auto"/>
        </w:rPr>
      </w:pPr>
    </w:p>
    <w:p>
      <w:pPr>
        <w:ind w:right="40" w:firstLine="1404"/>
        <w:spacing w:after="0" w:line="254" w:lineRule="auto"/>
        <w:rPr>
          <w:sz w:val="20"/>
          <w:szCs w:val="20"/>
          <w:color w:val="auto"/>
        </w:rPr>
      </w:pPr>
      <w:r>
        <w:rPr>
          <w:rFonts w:ascii="Times New Roman" w:cs="Times New Roman" w:eastAsia="Times New Roman" w:hAnsi="Times New Roman"/>
          <w:sz w:val="19"/>
          <w:szCs w:val="19"/>
          <w:color w:val="auto"/>
        </w:rPr>
        <w:t>“Interest Period” means, for any Term Benchmark Loan or Borrowing or any RFR Loan or Borrowing, the period commencing on the date of such Loan or Borrowing and ending on the numerically corresponding day in the calendar month that is one month, three months or, except with respect to Term Benchmark Loans denominated in Canadian Dollars and RFR Loans, six months thereafter or, with respect to such portion of any Term Benchmark Loan or Borrowing or any RFR Loan or Borrowing denominated in a Foreign Currency that is scheduled to be repaid on the Final Maturity Date, a period of less than one month’s duration commencing on the date of such Loan or Borrowing and ending on the Final Maturity Date, as specified in the applicable Borrowing Request or Interest Election Request;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(other than an Interest Period pertaining to a Term Benchmark Borrowing denominated in</w:t>
      </w:r>
    </w:p>
    <w:p>
      <w:pPr>
        <w:spacing w:after="0" w:line="159" w:lineRule="exact"/>
        <w:rPr>
          <w:sz w:val="20"/>
          <w:szCs w:val="20"/>
          <w:color w:val="auto"/>
        </w:rPr>
      </w:pPr>
    </w:p>
    <w:p>
      <w:pPr>
        <w:ind w:left="940" w:hanging="730"/>
        <w:spacing w:after="0"/>
        <w:tabs>
          <w:tab w:leader="none" w:pos="94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7" w:name="page138"/>
    <w:bookmarkEnd w:id="137"/>
    <w:p>
      <w:pPr>
        <w:spacing w:after="0" w:line="26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a Foreign Currency or RFR Borrowing that ends on the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2.21(d) shall be available for specification in such Borrowing Request or notice of conversion or continuation unless or until it is reinstated pursuant to Section 2.21(d).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60"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“Investment”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“Investment Company Act” means the Investment Company Act of 1940, as amended from time to time.</w:t>
      </w:r>
    </w:p>
    <w:p>
      <w:pPr>
        <w:spacing w:after="0" w:line="202" w:lineRule="exact"/>
        <w:rPr>
          <w:sz w:val="20"/>
          <w:szCs w:val="20"/>
          <w:color w:val="auto"/>
        </w:rPr>
      </w:pPr>
    </w:p>
    <w:p>
      <w:pPr>
        <w:ind w:right="140" w:firstLine="1404"/>
        <w:spacing w:after="0" w:line="268" w:lineRule="auto"/>
        <w:rPr>
          <w:sz w:val="20"/>
          <w:szCs w:val="20"/>
          <w:color w:val="auto"/>
        </w:rPr>
      </w:pPr>
      <w:r>
        <w:rPr>
          <w:rFonts w:ascii="Times New Roman" w:cs="Times New Roman" w:eastAsia="Times New Roman" w:hAnsi="Times New Roman"/>
          <w:sz w:val="19"/>
          <w:szCs w:val="19"/>
          <w:color w:val="auto"/>
        </w:rPr>
        <w:t>“Investment Policies” means the investment objectives, policies, restrictions and limitations set forth in the “BUSINESS” section of its Registration Statement, and as the same may be changed, altered, expanded, amended, modified, terminated or restated from time to time.</w:t>
      </w:r>
    </w:p>
    <w:p>
      <w:pPr>
        <w:spacing w:after="0" w:line="144" w:lineRule="exact"/>
        <w:rPr>
          <w:sz w:val="20"/>
          <w:szCs w:val="20"/>
          <w:color w:val="auto"/>
        </w:rPr>
      </w:pPr>
    </w:p>
    <w:p>
      <w:pPr>
        <w:ind w:right="140" w:firstLine="1404"/>
        <w:spacing w:after="0" w:line="259" w:lineRule="auto"/>
        <w:rPr>
          <w:sz w:val="20"/>
          <w:szCs w:val="20"/>
          <w:color w:val="auto"/>
        </w:rPr>
      </w:pPr>
      <w:r>
        <w:rPr>
          <w:rFonts w:ascii="Times New Roman" w:cs="Times New Roman" w:eastAsia="Times New Roman" w:hAnsi="Times New Roman"/>
          <w:sz w:val="19"/>
          <w:szCs w:val="19"/>
          <w:color w:val="auto"/>
        </w:rPr>
        <w:t>“Issuing Bank” means Truist, JPMorgan Chase Bank, N.A., Royal Bank of Canada, Wells Fargo Bank, N.A., and any other Issuing Bank designated pursuant to Section 2.05(l), in their capacity as the issuers of Letters of Credit hereunder, and their respective successors in such capacity as provided in Section 2.05(j). In the case of any Letter of Credit to be issued in an Agreed Foreign Currency, Truist and JPMorgan Chase Bank, N.A., respectively, may designate any of their respective affiliates as the “Issuing Bank” for purposes of such Letter of Credit.</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“Japanese Yen” means the lawful currency of Japan.</w:t>
      </w:r>
    </w:p>
    <w:p>
      <w:pPr>
        <w:spacing w:after="0" w:line="202" w:lineRule="exact"/>
        <w:rPr>
          <w:sz w:val="20"/>
          <w:szCs w:val="20"/>
          <w:color w:val="auto"/>
        </w:rPr>
      </w:pPr>
    </w:p>
    <w:p>
      <w:pPr>
        <w:ind w:right="320" w:firstLine="1404"/>
        <w:spacing w:after="0" w:line="268" w:lineRule="auto"/>
        <w:rPr>
          <w:sz w:val="20"/>
          <w:szCs w:val="20"/>
          <w:color w:val="auto"/>
        </w:rPr>
      </w:pPr>
      <w:r>
        <w:rPr>
          <w:rFonts w:ascii="Times New Roman" w:cs="Times New Roman" w:eastAsia="Times New Roman" w:hAnsi="Times New Roman"/>
          <w:sz w:val="19"/>
          <w:szCs w:val="19"/>
          <w:color w:val="auto"/>
        </w:rPr>
        <w:t>“Joint Lead Arrangers” means Truist Securities, Inc., JPMorgan Chase Bank, N.A., Barclays Bank PLC, Mizuho Bank, Ltd., Royal Bank of Canada, Sumitomo Mitsui Banking Corporation, State Street Bank and Trust Company, ING Capital LLC, MUFG Bank, Ltd. and Wells Fargo Bank, N.A.</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“LC Disbursement” means a payment made by any Issuing Bank pursuant to a Letter of Credit.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“LC Exposure” means, at any time, the sum of the Dollar LC Exposure and the Multicurrency LC Exposure.</w:t>
      </w:r>
    </w:p>
    <w:p>
      <w:pPr>
        <w:spacing w:after="0" w:line="200" w:lineRule="exact"/>
        <w:rPr>
          <w:sz w:val="20"/>
          <w:szCs w:val="20"/>
          <w:color w:val="auto"/>
        </w:rPr>
      </w:pPr>
    </w:p>
    <w:p>
      <w:pPr>
        <w:ind w:left="940" w:hanging="730"/>
        <w:spacing w:after="0"/>
        <w:tabs>
          <w:tab w:leader="none" w:pos="94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38" w:name="page139"/>
    <w:bookmarkEnd w:id="138"/>
    <w:p>
      <w:pPr>
        <w:spacing w:after="0" w:line="269" w:lineRule="exact"/>
        <w:rPr>
          <w:sz w:val="20"/>
          <w:szCs w:val="20"/>
          <w:color w:val="auto"/>
        </w:rPr>
      </w:pPr>
    </w:p>
    <w:p>
      <w:pPr>
        <w:ind w:right="440" w:firstLine="1404"/>
        <w:spacing w:after="0" w:line="286" w:lineRule="auto"/>
        <w:rPr>
          <w:sz w:val="20"/>
          <w:szCs w:val="20"/>
          <w:color w:val="auto"/>
        </w:rPr>
      </w:pPr>
      <w:r>
        <w:rPr>
          <w:rFonts w:ascii="Times New Roman" w:cs="Times New Roman" w:eastAsia="Times New Roman" w:hAnsi="Times New Roman"/>
          <w:sz w:val="19"/>
          <w:szCs w:val="19"/>
          <w:color w:val="auto"/>
        </w:rPr>
        <w:t>“Lenders” means, collectively, the Term Lenders, the Dollar Lenders and the Multicurrency Lenders. Unless the context otherwise requires, the term “Lenders” includes each Swingline Lender.</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“Letter of Credit” means any letter of credit issued pursuant to this Agreement.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“Letter of Credit Collateral Account” has the meaning assigned to such term in Section 2.05(k).</w:t>
      </w:r>
    </w:p>
    <w:p>
      <w:pPr>
        <w:spacing w:after="0" w:line="202" w:lineRule="exact"/>
        <w:rPr>
          <w:sz w:val="20"/>
          <w:szCs w:val="20"/>
          <w:color w:val="auto"/>
        </w:rPr>
      </w:pPr>
    </w:p>
    <w:p>
      <w:pPr>
        <w:ind w:firstLine="1404"/>
        <w:spacing w:after="0" w:line="258" w:lineRule="auto"/>
        <w:rPr>
          <w:sz w:val="20"/>
          <w:szCs w:val="20"/>
          <w:color w:val="auto"/>
        </w:rPr>
      </w:pPr>
      <w:r>
        <w:rPr>
          <w:rFonts w:ascii="Times New Roman" w:cs="Times New Roman" w:eastAsia="Times New Roman" w:hAnsi="Times New Roman"/>
          <w:sz w:val="19"/>
          <w:szCs w:val="19"/>
          <w:color w:val="auto"/>
        </w:rPr>
        <w:t>“Letter of Credit Documents”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w:t>
      </w:r>
    </w:p>
    <w:p>
      <w:pPr>
        <w:spacing w:after="0" w:line="2" w:lineRule="exact"/>
        <w:rPr>
          <w:sz w:val="20"/>
          <w:szCs w:val="20"/>
          <w:color w:val="auto"/>
        </w:rPr>
      </w:pPr>
    </w:p>
    <w:p>
      <w:pPr>
        <w:ind w:right="280" w:firstLine="6"/>
        <w:spacing w:after="0" w:line="262" w:lineRule="auto"/>
        <w:tabs>
          <w:tab w:leader="none" w:pos="272"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collateral security for any of such obligations, each as the same may be modified and supplemented and in effect from time to time.</w:t>
      </w:r>
    </w:p>
    <w:p>
      <w:pPr>
        <w:spacing w:after="0" w:line="149" w:lineRule="exact"/>
        <w:rPr>
          <w:sz w:val="20"/>
          <w:szCs w:val="20"/>
          <w:color w:val="auto"/>
        </w:rPr>
      </w:pPr>
    </w:p>
    <w:p>
      <w:pPr>
        <w:ind w:right="120" w:firstLine="1404"/>
        <w:spacing w:after="0" w:line="257" w:lineRule="auto"/>
        <w:rPr>
          <w:sz w:val="20"/>
          <w:szCs w:val="20"/>
          <w:color w:val="auto"/>
        </w:rPr>
      </w:pPr>
      <w:r>
        <w:rPr>
          <w:rFonts w:ascii="Times New Roman" w:cs="Times New Roman" w:eastAsia="Times New Roman" w:hAnsi="Times New Roman"/>
          <w:sz w:val="19"/>
          <w:szCs w:val="19"/>
          <w:color w:val="auto"/>
        </w:rPr>
        <w:t>“Lien”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“Loan Documents” means, collectively, this Agreement, the Letter of Credit Documents and the Security Documents.</w:t>
      </w:r>
    </w:p>
    <w:p>
      <w:pPr>
        <w:spacing w:after="0" w:line="202" w:lineRule="exact"/>
        <w:rPr>
          <w:sz w:val="20"/>
          <w:szCs w:val="20"/>
          <w:color w:val="auto"/>
        </w:rPr>
      </w:pPr>
    </w:p>
    <w:p>
      <w:pPr>
        <w:ind w:right="160" w:firstLine="1404"/>
        <w:spacing w:after="0" w:line="286" w:lineRule="auto"/>
        <w:rPr>
          <w:sz w:val="20"/>
          <w:szCs w:val="20"/>
          <w:color w:val="auto"/>
        </w:rPr>
      </w:pPr>
      <w:r>
        <w:rPr>
          <w:rFonts w:ascii="Times New Roman" w:cs="Times New Roman" w:eastAsia="Times New Roman" w:hAnsi="Times New Roman"/>
          <w:sz w:val="19"/>
          <w:szCs w:val="19"/>
          <w:color w:val="auto"/>
        </w:rPr>
        <w:t>“Loans” means the loans made by the Lenders to the Borrower pursuant to this Agreement, including the Syndicated Loans and the Swingline Loans.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“Margin Stock” means “margin stock” within the meaning of Regulations T, U and X.</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“Material Adverse Change” has the meaning assigned to such term in Section 3.04(b).</w:t>
      </w:r>
    </w:p>
    <w:p>
      <w:pPr>
        <w:spacing w:after="0" w:line="202" w:lineRule="exact"/>
        <w:rPr>
          <w:sz w:val="20"/>
          <w:szCs w:val="20"/>
          <w:color w:val="auto"/>
        </w:rPr>
      </w:pPr>
    </w:p>
    <w:p>
      <w:pPr>
        <w:ind w:right="100" w:firstLine="1404"/>
        <w:spacing w:after="0" w:line="259" w:lineRule="auto"/>
        <w:rPr>
          <w:sz w:val="20"/>
          <w:szCs w:val="20"/>
          <w:color w:val="auto"/>
        </w:rPr>
      </w:pPr>
      <w:r>
        <w:rPr>
          <w:rFonts w:ascii="Times New Roman" w:cs="Times New Roman" w:eastAsia="Times New Roman" w:hAnsi="Times New Roman"/>
          <w:sz w:val="19"/>
          <w:szCs w:val="19"/>
          <w:color w:val="auto"/>
        </w:rPr>
        <w:t>“Material Adverse Effect”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Collateral Agent, the Administrative Agent and the Lenders thereunder.</w:t>
      </w:r>
    </w:p>
    <w:p>
      <w:pPr>
        <w:spacing w:after="0" w:line="154"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auto"/>
        </w:rPr>
        <w:t>“Material Indebtedness” means (a) Indebtedness (other than the Loans, Letters of Credit and Hedging Agreements), of any one or more of the Borrower and its Subsidiaries in an aggregate principal amount exceeding $50,000,000 and (b) obligations in respect of one or more</w:t>
      </w:r>
    </w:p>
    <w:p>
      <w:pPr>
        <w:spacing w:after="0" w:line="142" w:lineRule="exact"/>
        <w:rPr>
          <w:sz w:val="20"/>
          <w:szCs w:val="20"/>
          <w:color w:val="auto"/>
        </w:rPr>
      </w:pPr>
    </w:p>
    <w:p>
      <w:pPr>
        <w:ind w:left="940" w:hanging="730"/>
        <w:spacing w:after="0"/>
        <w:tabs>
          <w:tab w:leader="none" w:pos="94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39" w:name="page140"/>
    <w:bookmarkEnd w:id="139"/>
    <w:p>
      <w:pPr>
        <w:spacing w:after="0" w:line="26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9"/>
          <w:szCs w:val="19"/>
          <w:color w:val="auto"/>
        </w:rPr>
        <w:t>Hedging Agreements under which the maximum aggregate amount (giving effect to any netting agreements) that the Borrower and its Subsidiaries would be required to pay if such Hedging Agreement(s) were terminated at such time would exceed $50,000,000.</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“Maximum Rate” has the meaning assigned to such term in Section 9.18.</w:t>
      </w:r>
    </w:p>
    <w:p>
      <w:pPr>
        <w:spacing w:after="0" w:line="202" w:lineRule="exact"/>
        <w:rPr>
          <w:sz w:val="20"/>
          <w:szCs w:val="20"/>
          <w:color w:val="auto"/>
        </w:rPr>
      </w:pPr>
    </w:p>
    <w:p>
      <w:pPr>
        <w:ind w:right="200" w:firstLine="1404"/>
        <w:spacing w:after="0" w:line="268" w:lineRule="auto"/>
        <w:rPr>
          <w:sz w:val="20"/>
          <w:szCs w:val="20"/>
          <w:color w:val="auto"/>
        </w:rPr>
      </w:pPr>
      <w:r>
        <w:rPr>
          <w:rFonts w:ascii="Times New Roman" w:cs="Times New Roman" w:eastAsia="Times New Roman" w:hAnsi="Times New Roman"/>
          <w:sz w:val="19"/>
          <w:szCs w:val="19"/>
          <w:color w:val="auto"/>
        </w:rPr>
        <w:t>“Minimum Collateral Amount” means, at any time, with respect to Cash Collateral consisting of Cash or deposit account balances, an amount equal to 100% of the Fronting Exposure of each Issuing Bank with respect to Letters of Credit issued and outstanding at such time.</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“Moody’s” means Moody’s Investors Service, Inc. or any successor thereto.</w:t>
      </w:r>
    </w:p>
    <w:p>
      <w:pPr>
        <w:spacing w:after="0" w:line="202"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 xml:space="preserve">“Multicurrency Commitment” means, with respect to each Multicurrency Lender, the commitment of such Multicurrency Lender to make Revolving Loans, and to acquire participations in Letters of Credit and Swingline Loans, denominated in Dollars and in Agreed Foreign Currencies hereunder, expressed as an amount representing the maximum aggregate amount of such Lender’s Revolving Multicurrency Credit Exposure hereunder, as such commitment may be (a) reduced or increased from time to time pursuant to Section 2.08 and (b) reduced or increased from time to time pursuant to assignments by or to such Lender pursuant to Section 9.04. The initial amount of each Lender’s Multicurrency Commitment as of the </w:t>
      </w:r>
      <w:r>
        <w:rPr>
          <w:rFonts w:ascii="Times New Roman" w:cs="Times New Roman" w:eastAsia="Times New Roman" w:hAnsi="Times New Roman"/>
          <w:sz w:val="19"/>
          <w:szCs w:val="19"/>
          <w:color w:val="FF0000"/>
          <w:strike w:val="1"/>
        </w:rPr>
        <w:t>Third</w:t>
      </w:r>
      <w:r>
        <w:rPr>
          <w:rFonts w:ascii="Times New Roman" w:cs="Times New Roman" w:eastAsia="Times New Roman" w:hAnsi="Times New Roman"/>
          <w:sz w:val="19"/>
          <w:szCs w:val="19"/>
          <w:color w:val="0000FF"/>
        </w:rPr>
        <w:t>Fourth</w:t>
      </w:r>
      <w:r>
        <w:rPr>
          <w:rFonts w:ascii="Times New Roman" w:cs="Times New Roman" w:eastAsia="Times New Roman" w:hAnsi="Times New Roman"/>
          <w:sz w:val="19"/>
          <w:szCs w:val="19"/>
          <w:color w:val="auto"/>
        </w:rPr>
        <w:t xml:space="preserve"> Amendment Effective Date is set forth on Schedule 1.01(b), or in the Commitment Increase Supplement or Assignment and Assumption pursuant to which such Lender shall have assumed its Multicurrency Commitment, as applicable. The aggregate amount of the Lenders’ Multicurrency Commitments as of the </w:t>
      </w:r>
      <w:r>
        <w:rPr>
          <w:rFonts w:ascii="Times New Roman" w:cs="Times New Roman" w:eastAsia="Times New Roman" w:hAnsi="Times New Roman"/>
          <w:sz w:val="19"/>
          <w:szCs w:val="19"/>
          <w:color w:val="FF0000"/>
          <w:strike w:val="1"/>
        </w:rPr>
        <w:t>Third</w:t>
      </w:r>
      <w:r>
        <w:rPr>
          <w:rFonts w:ascii="Times New Roman" w:cs="Times New Roman" w:eastAsia="Times New Roman" w:hAnsi="Times New Roman"/>
          <w:sz w:val="19"/>
          <w:szCs w:val="19"/>
          <w:color w:val="0000FF"/>
        </w:rPr>
        <w:t>Fourth</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Amendment Effective Date is $</w:t>
      </w:r>
      <w:r>
        <w:rPr>
          <w:rFonts w:ascii="Times New Roman" w:cs="Times New Roman" w:eastAsia="Times New Roman" w:hAnsi="Times New Roman"/>
          <w:sz w:val="19"/>
          <w:szCs w:val="19"/>
          <w:color w:val="FF0000"/>
          <w:strike w:val="1"/>
        </w:rPr>
        <w:t>1,900,000,000</w:t>
      </w:r>
      <w:r>
        <w:rPr>
          <w:rFonts w:ascii="Times New Roman" w:cs="Times New Roman" w:eastAsia="Times New Roman" w:hAnsi="Times New Roman"/>
          <w:sz w:val="19"/>
          <w:szCs w:val="19"/>
          <w:color w:val="0000FF"/>
        </w:rPr>
        <w:t>2,195,000,000</w:t>
      </w:r>
      <w:r>
        <w:rPr>
          <w:rFonts w:ascii="Times New Roman" w:cs="Times New Roman" w:eastAsia="Times New Roman" w:hAnsi="Times New Roman"/>
          <w:sz w:val="19"/>
          <w:szCs w:val="19"/>
          <w:color w:val="000000"/>
        </w:rPr>
        <w:t>.</w:t>
      </w:r>
    </w:p>
    <w:p>
      <w:pPr>
        <w:spacing w:after="0" w:line="155" w:lineRule="exact"/>
        <w:rPr>
          <w:sz w:val="20"/>
          <w:szCs w:val="20"/>
          <w:color w:val="auto"/>
        </w:rPr>
      </w:pPr>
    </w:p>
    <w:p>
      <w:pPr>
        <w:ind w:right="180" w:firstLine="1404"/>
        <w:spacing w:after="0" w:line="262" w:lineRule="auto"/>
        <w:rPr>
          <w:sz w:val="20"/>
          <w:szCs w:val="20"/>
          <w:color w:val="auto"/>
        </w:rPr>
      </w:pPr>
      <w:r>
        <w:rPr>
          <w:rFonts w:ascii="Times New Roman" w:cs="Times New Roman" w:eastAsia="Times New Roman" w:hAnsi="Times New Roman"/>
          <w:sz w:val="19"/>
          <w:szCs w:val="19"/>
          <w:color w:val="auto"/>
        </w:rPr>
        <w:t>“Multicurrency LC Exposure” means, at any time, the sum of (a) the aggregate undrawn amount of all outstanding Multicurrency Letters of Credit at such time plus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50"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“Multicurrency Lender” means the Persons listed on Schedule 1.01(b) as having Multicurrency Commitments and any other Person that shall have become a party hereto pursuant to a Commitment Increase Supplement or Assignment and Assumption that provides for it to assume a Multicurrency Commitment or to acquire Revolving Multicurrency Credit Exposure, other than any such Person that ceases to be a party hereto pursuant to an Assignment and Assumption.</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“Multicurrency Letters of Credit” means Letters of Credit that utilize the Multicurrency Commitments.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“Multicurrency Loan” means a Revolving Loan denominated in Dollars or an Agreed Foreign Currency.</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“Multiemployer Plan” means a multiemployer plan as defined in Section 4001(a)(3) of ERISA.</w:t>
      </w:r>
    </w:p>
    <w:p>
      <w:pPr>
        <w:spacing w:after="0" w:line="200" w:lineRule="exact"/>
        <w:rPr>
          <w:sz w:val="20"/>
          <w:szCs w:val="20"/>
          <w:color w:val="auto"/>
        </w:rPr>
      </w:pPr>
    </w:p>
    <w:p>
      <w:pPr>
        <w:ind w:left="940" w:hanging="730"/>
        <w:spacing w:after="0"/>
        <w:tabs>
          <w:tab w:leader="none" w:pos="94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0" w:name="page141"/>
    <w:bookmarkEnd w:id="140"/>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“National Currency” means the currency, other than the Euro, of a Participating Member State.</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“Net Cash Proceeds” means:</w:t>
      </w:r>
    </w:p>
    <w:p>
      <w:pPr>
        <w:spacing w:after="0" w:line="202" w:lineRule="exact"/>
        <w:rPr>
          <w:sz w:val="20"/>
          <w:szCs w:val="20"/>
          <w:color w:val="auto"/>
        </w:rPr>
      </w:pPr>
    </w:p>
    <w:p>
      <w:pPr>
        <w:ind w:firstLine="1410"/>
        <w:spacing w:after="0" w:line="253" w:lineRule="auto"/>
        <w:tabs>
          <w:tab w:leader="none" w:pos="1665"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Section 2.10(d)), an amount equal to (a) the sum of cash and Cash Equivalents received in connection with such transaction (including any cash or Cash Equivalents received by way of deferred payment pursuant to, or by monetization of, a note receivable or otherwise, but only as and when so received) minus (b)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provided that, if the amount of any estimated taxes pursuant to clause (iii) 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spacing w:after="0" w:line="393" w:lineRule="exact"/>
        <w:rPr>
          <w:rFonts w:ascii="Times New Roman" w:cs="Times New Roman" w:eastAsia="Times New Roman" w:hAnsi="Times New Roman"/>
          <w:sz w:val="19"/>
          <w:szCs w:val="19"/>
          <w:color w:val="auto"/>
        </w:rPr>
      </w:pPr>
    </w:p>
    <w:p>
      <w:pPr>
        <w:ind w:right="20" w:firstLine="1410"/>
        <w:spacing w:after="0" w:line="254" w:lineRule="auto"/>
        <w:tabs>
          <w:tab w:leader="none" w:pos="1676"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Section 2.10(d)), an amount equal to (i) the sum of the cash and Cash Equivalents received in connection with such transaction minus (ii) the sum of (1) reasonable out-of-pocket fees, costs and expenses, incurred by the Borrower or such Subsidiary in connection therewith plus (2) any reasonable costs, fees, commissions, premiums, expenses, or underwriting discounts or commissions incurred by the Borrower or any of its Subsidiaries in connection with such sale or issuance.</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“New Zealand Dollars” means the lawful currency of New Zealand.</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“Non-Defaulting Lender” means, at any time, a Lender that is not a Defaulting Lender at such time.</w:t>
      </w:r>
    </w:p>
    <w:p>
      <w:pPr>
        <w:spacing w:after="0" w:line="202"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“Non-Public Information” means material non-public information (within the meaning of United States federal, state or other applicable securities laws) with respect to Borrower or its Affiliates or their Securities.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“Obligor” means, collectively, the Borrower and the Subsidiary Guarantors.</w:t>
      </w:r>
    </w:p>
    <w:p>
      <w:pPr>
        <w:spacing w:after="0" w:line="200" w:lineRule="exact"/>
        <w:rPr>
          <w:sz w:val="20"/>
          <w:szCs w:val="20"/>
          <w:color w:val="auto"/>
        </w:rPr>
      </w:pPr>
    </w:p>
    <w:p>
      <w:pPr>
        <w:ind w:left="940" w:hanging="730"/>
        <w:spacing w:after="0"/>
        <w:tabs>
          <w:tab w:leader="none" w:pos="94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1" w:name="page142"/>
    <w:bookmarkEnd w:id="141"/>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“Original Currency” has the meaning assigned to such term in Section 2.17.</w:t>
      </w:r>
    </w:p>
    <w:p>
      <w:pPr>
        <w:spacing w:after="0" w:line="202" w:lineRule="exact"/>
        <w:rPr>
          <w:sz w:val="20"/>
          <w:szCs w:val="20"/>
          <w:color w:val="auto"/>
        </w:rPr>
      </w:pPr>
    </w:p>
    <w:p>
      <w:pPr>
        <w:ind w:right="220" w:firstLine="1404"/>
        <w:spacing w:after="0" w:line="262" w:lineRule="auto"/>
        <w:rPr>
          <w:sz w:val="20"/>
          <w:szCs w:val="20"/>
          <w:color w:val="auto"/>
        </w:rPr>
      </w:pPr>
      <w:r>
        <w:rPr>
          <w:rFonts w:ascii="Times New Roman" w:cs="Times New Roman" w:eastAsia="Times New Roman" w:hAnsi="Times New Roman"/>
          <w:sz w:val="19"/>
          <w:szCs w:val="19"/>
          <w:color w:val="auto"/>
        </w:rPr>
        <w:t>“Other Benchmark Rate Election” means, with respect to any Loan denominated in Dollars, if a Benchmark Replacement for the Term SOFR Reference Rate has been determined in accordance with clause (1) of the definition of “Benchmark Replacement”, that the Administrative Agent, in its sole discretion, and the Borrower have jointly elected to trigger a fallback from the then-current Benchmark and the Administrative Agent has provided written notice of such election to the Borrower and the Lenders.</w:t>
      </w:r>
    </w:p>
    <w:p>
      <w:pPr>
        <w:spacing w:after="0" w:line="150"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auto"/>
        </w:rPr>
        <w:t>“Other Covered Indebtedness” means, collectively, Secured Longer-Term Indebtedness, Secured Shorter- Term Indebtedness and Unsecured Shorter-Term Indebtedness; provided that “Other Covered Indebtedness” shall not include any Indebtedness secured by a Lien on Portfolio Investments permitted under Section 6.02(e) or any Indebtedness under a Capital Call Facility.</w:t>
      </w:r>
    </w:p>
    <w:p>
      <w:pPr>
        <w:spacing w:after="0" w:line="144"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“Other Permitted Indebtedness”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securities transactions,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clause (l) of Article VII.</w:t>
      </w:r>
    </w:p>
    <w:p>
      <w:pPr>
        <w:spacing w:after="0" w:line="155"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“Other Taxes” 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(i) any such Taxes, charges or similar levies resulting from an assignment by any Lender in accordance with Section 9.04 hereof (unless such assignment is made pursuant to Section 2.18(b)) or (ii) 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“Outbound Investment Rules” means the regulations codified at 31 C.F.R. § 850.101 et seq.</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“Participant” has the meaning assigned to such term in Section 9.04(f).</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“Participant Register” has the meaning assigned to such term in Section 9.04(f).</w:t>
      </w:r>
    </w:p>
    <w:p>
      <w:pPr>
        <w:spacing w:after="0" w:line="202" w:lineRule="exact"/>
        <w:rPr>
          <w:sz w:val="20"/>
          <w:szCs w:val="20"/>
          <w:color w:val="auto"/>
        </w:rPr>
      </w:pPr>
    </w:p>
    <w:p>
      <w:pPr>
        <w:ind w:right="380" w:firstLine="1404"/>
        <w:spacing w:after="0" w:line="286" w:lineRule="auto"/>
        <w:rPr>
          <w:sz w:val="20"/>
          <w:szCs w:val="20"/>
          <w:color w:val="auto"/>
        </w:rPr>
      </w:pPr>
      <w:r>
        <w:rPr>
          <w:rFonts w:ascii="Times New Roman" w:cs="Times New Roman" w:eastAsia="Times New Roman" w:hAnsi="Times New Roman"/>
          <w:sz w:val="19"/>
          <w:szCs w:val="19"/>
          <w:color w:val="auto"/>
        </w:rPr>
        <w:t>“Participating Member State” means any member state of the European Community that adopts or has adopted the Euro as its lawful currency in accordance with the legislation of the European Union relating to the European Monetary Union.</w:t>
      </w:r>
    </w:p>
    <w:p>
      <w:pPr>
        <w:spacing w:after="0" w:line="126" w:lineRule="exact"/>
        <w:rPr>
          <w:sz w:val="20"/>
          <w:szCs w:val="20"/>
          <w:color w:val="auto"/>
        </w:rPr>
      </w:pPr>
    </w:p>
    <w:p>
      <w:pPr>
        <w:ind w:left="940" w:hanging="730"/>
        <w:spacing w:after="0"/>
        <w:tabs>
          <w:tab w:leader="none" w:pos="9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2" w:name="page143"/>
    <w:bookmarkEnd w:id="142"/>
    <w:p>
      <w:pPr>
        <w:spacing w:after="0" w:line="269"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“PBGC” means the Pension Benefit Guaranty Corporation referred to and defined in ERISA and any successor entity performing similar functions.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“Periodic Term CORRA Determination Day” has the meaning specified in the definition of “Term CORRA”.</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“Periodic Term SOFR Determination Day” has the meaning set forth in the definition of “Term SOFR”.</w:t>
      </w:r>
    </w:p>
    <w:p>
      <w:pPr>
        <w:spacing w:after="0" w:line="202" w:lineRule="exact"/>
        <w:rPr>
          <w:sz w:val="20"/>
          <w:szCs w:val="20"/>
          <w:color w:val="auto"/>
        </w:rPr>
      </w:pPr>
    </w:p>
    <w:p>
      <w:pPr>
        <w:ind w:right="500" w:firstLine="1404"/>
        <w:spacing w:after="0" w:line="268" w:lineRule="auto"/>
        <w:rPr>
          <w:sz w:val="20"/>
          <w:szCs w:val="20"/>
          <w:color w:val="auto"/>
        </w:rPr>
      </w:pPr>
      <w:r>
        <w:rPr>
          <w:rFonts w:ascii="Times New Roman" w:cs="Times New Roman" w:eastAsia="Times New Roman" w:hAnsi="Times New Roman"/>
          <w:sz w:val="19"/>
          <w:szCs w:val="19"/>
          <w:color w:val="auto"/>
        </w:rPr>
        <w:t>“Permitted Equity Interests”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44"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auto"/>
        </w:rPr>
        <w:t>“Permitted Liens”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liens in respect of employee benefit plans arising under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clause (l) of Article VII;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(i) deposits of money securing leases to which Borrower is a party as lessee made in the ordinary course of business; (j) easements, rights of way, zoning restrictions and similar encumbrances on real property and minor irregularities in the title thereto that do not (i) secure obligations for the payment of money or (ii) materially impair the</w:t>
      </w:r>
    </w:p>
    <w:p>
      <w:pPr>
        <w:spacing w:after="0" w:line="158" w:lineRule="exact"/>
        <w:rPr>
          <w:sz w:val="20"/>
          <w:szCs w:val="20"/>
          <w:color w:val="auto"/>
        </w:rPr>
      </w:pPr>
    </w:p>
    <w:p>
      <w:pPr>
        <w:ind w:left="940" w:hanging="730"/>
        <w:spacing w:after="0"/>
        <w:tabs>
          <w:tab w:leader="none" w:pos="94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3" w:name="page144"/>
    <w:bookmarkEnd w:id="143"/>
    <w:p>
      <w:pPr>
        <w:spacing w:after="0" w:line="26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value of such property or its use by any Obligor or any of its Subsidiaries in the normal conduct of such Person’s business; and (k)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p>
    <w:p>
      <w:pPr>
        <w:spacing w:after="0" w:line="150" w:lineRule="exact"/>
        <w:rPr>
          <w:sz w:val="20"/>
          <w:szCs w:val="20"/>
          <w:color w:val="auto"/>
        </w:rPr>
      </w:pPr>
    </w:p>
    <w:p>
      <w:pPr>
        <w:ind w:right="20" w:firstLine="1404"/>
        <w:spacing w:after="0" w:line="257" w:lineRule="auto"/>
        <w:rPr>
          <w:sz w:val="20"/>
          <w:szCs w:val="20"/>
          <w:color w:val="auto"/>
        </w:rPr>
      </w:pPr>
      <w:r>
        <w:rPr>
          <w:rFonts w:ascii="Times New Roman" w:cs="Times New Roman" w:eastAsia="Times New Roman" w:hAnsi="Times New Roman"/>
          <w:sz w:val="19"/>
          <w:szCs w:val="19"/>
          <w:color w:val="auto"/>
        </w:rPr>
        <w:t>“Permitted Policy Amendment”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“materially adverse” if investment size proportionately increases as the size of the Borrower’s capital base changes).</w:t>
      </w:r>
    </w:p>
    <w:p>
      <w:pPr>
        <w:spacing w:after="0" w:line="157" w:lineRule="exact"/>
        <w:rPr>
          <w:sz w:val="20"/>
          <w:szCs w:val="20"/>
          <w:color w:val="auto"/>
        </w:rPr>
      </w:pPr>
    </w:p>
    <w:p>
      <w:pPr>
        <w:jc w:val="both"/>
        <w:ind w:firstLine="1404"/>
        <w:spacing w:after="0" w:line="262" w:lineRule="auto"/>
        <w:rPr>
          <w:sz w:val="20"/>
          <w:szCs w:val="20"/>
          <w:color w:val="auto"/>
        </w:rPr>
      </w:pPr>
      <w:r>
        <w:rPr>
          <w:rFonts w:ascii="Times New Roman" w:cs="Times New Roman" w:eastAsia="Times New Roman" w:hAnsi="Times New Roman"/>
          <w:sz w:val="19"/>
          <w:szCs w:val="19"/>
          <w:color w:val="auto"/>
        </w:rPr>
        <w:t>“Permitted SBIC Guarantee”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clause (s) of Article VII, it shall be an Event of Default hereunder if any such event or condition giving rise to such recourse occurs).</w:t>
      </w:r>
    </w:p>
    <w:p>
      <w:pPr>
        <w:spacing w:after="0" w:line="150"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“Person” means any natural person, corporation, limited liability company, trust, joint venture, association, company, partnership, Governmental Authority or other entity.</w:t>
      </w:r>
    </w:p>
    <w:p>
      <w:pPr>
        <w:spacing w:after="0" w:line="127"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“Plan”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“Platform” has the meaning set forth in Section 5.01(i).</w:t>
      </w:r>
    </w:p>
    <w:p>
      <w:pPr>
        <w:spacing w:after="0" w:line="202" w:lineRule="exact"/>
        <w:rPr>
          <w:sz w:val="20"/>
          <w:szCs w:val="20"/>
          <w:color w:val="auto"/>
        </w:rPr>
      </w:pPr>
    </w:p>
    <w:p>
      <w:pPr>
        <w:ind w:right="80" w:firstLine="1404"/>
        <w:spacing w:after="0" w:line="254" w:lineRule="auto"/>
        <w:rPr>
          <w:sz w:val="20"/>
          <w:szCs w:val="20"/>
          <w:color w:val="auto"/>
        </w:rPr>
      </w:pPr>
      <w:r>
        <w:rPr>
          <w:rFonts w:ascii="Times New Roman" w:cs="Times New Roman" w:eastAsia="Times New Roman" w:hAnsi="Times New Roman"/>
          <w:sz w:val="19"/>
          <w:szCs w:val="19"/>
          <w:color w:val="auto"/>
        </w:rPr>
        <w:t>“Portfolio Investment” means any Investment (including any Participation Interest)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(c) any Investment, which if debt, is an obligation (other than a revolving loan or delayed draw term loan) pursuant to which any future advances or payments to the underlying obligor of such debt may be required to be made by the applicable Obligor; (d) any Investment which is made to a bankrupt entity (other than a debtor-in-possession financing and current pay obligations); (e) any Investment, Cash or account</w:t>
      </w:r>
    </w:p>
    <w:p>
      <w:pPr>
        <w:spacing w:after="0" w:line="159" w:lineRule="exact"/>
        <w:rPr>
          <w:sz w:val="20"/>
          <w:szCs w:val="20"/>
          <w:color w:val="auto"/>
        </w:rPr>
      </w:pPr>
    </w:p>
    <w:p>
      <w:pPr>
        <w:ind w:left="940" w:hanging="730"/>
        <w:spacing w:after="0"/>
        <w:tabs>
          <w:tab w:leader="none" w:pos="9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4" w:name="page145"/>
    <w:bookmarkEnd w:id="144"/>
    <w:p>
      <w:pPr>
        <w:spacing w:after="0" w:line="26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9"/>
          <w:szCs w:val="19"/>
          <w:color w:val="auto"/>
        </w:rPr>
        <w:t>in which a Financing Subsidiary has an interest or the secured parties under a Capital Call Facility have a lien; and (f) to the extent of such participation, any Investment in which any Obligor has sold a participation therein to a Person that is not an Obligor.</w:t>
      </w:r>
    </w:p>
    <w:p>
      <w:pPr>
        <w:spacing w:after="0" w:line="1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 xml:space="preserve">“Prime Rate” means the rate which is quoted as the “prime rate” in the print edition of </w:t>
      </w:r>
      <w:r>
        <w:rPr>
          <w:rFonts w:ascii="Times New Roman" w:cs="Times New Roman" w:eastAsia="Times New Roman" w:hAnsi="Times New Roman"/>
          <w:sz w:val="19"/>
          <w:szCs w:val="19"/>
          <w:i w:val="1"/>
          <w:iCs w:val="1"/>
          <w:color w:val="auto"/>
        </w:rPr>
        <w:t>The Wall Street Journal</w:t>
      </w:r>
      <w:r>
        <w:rPr>
          <w:rFonts w:ascii="Times New Roman" w:cs="Times New Roman" w:eastAsia="Times New Roman" w:hAnsi="Times New Roman"/>
          <w:sz w:val="19"/>
          <w:szCs w:val="19"/>
          <w:color w:val="auto"/>
        </w:rPr>
        <w:t>, Money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Rates Section.</w:t>
      </w:r>
    </w:p>
    <w:p>
      <w:pPr>
        <w:spacing w:after="0" w:line="180"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“Principal Financial Center” means, in the case of any Currency, the principal financial center where such Currency is cleared and settled, as determined by the Administrative Agent.</w:t>
      </w:r>
    </w:p>
    <w:p>
      <w:pPr>
        <w:spacing w:after="0" w:line="127" w:lineRule="exact"/>
        <w:rPr>
          <w:sz w:val="20"/>
          <w:szCs w:val="20"/>
          <w:color w:val="auto"/>
        </w:rPr>
      </w:pPr>
    </w:p>
    <w:p>
      <w:pPr>
        <w:ind w:right="60" w:firstLine="1404"/>
        <w:spacing w:after="0" w:line="286" w:lineRule="auto"/>
        <w:rPr>
          <w:sz w:val="20"/>
          <w:szCs w:val="20"/>
          <w:color w:val="auto"/>
        </w:rPr>
      </w:pPr>
      <w:r>
        <w:rPr>
          <w:rFonts w:ascii="Times New Roman" w:cs="Times New Roman" w:eastAsia="Times New Roman" w:hAnsi="Times New Roman"/>
          <w:sz w:val="19"/>
          <w:szCs w:val="19"/>
          <w:color w:val="auto"/>
        </w:rPr>
        <w:t>“PTE” means a prohibited transaction class exemption issued by the U.S. Department of Labor, as any such exemption may be amended from time to time.</w:t>
      </w:r>
    </w:p>
    <w:p>
      <w:pPr>
        <w:spacing w:after="0" w:line="127" w:lineRule="exact"/>
        <w:rPr>
          <w:sz w:val="20"/>
          <w:szCs w:val="20"/>
          <w:color w:val="auto"/>
        </w:rPr>
      </w:pPr>
    </w:p>
    <w:p>
      <w:pPr>
        <w:ind w:right="300" w:firstLine="1404"/>
        <w:spacing w:after="0" w:line="286" w:lineRule="auto"/>
        <w:rPr>
          <w:sz w:val="20"/>
          <w:szCs w:val="20"/>
          <w:color w:val="auto"/>
        </w:rPr>
      </w:pPr>
      <w:r>
        <w:rPr>
          <w:rFonts w:ascii="Times New Roman" w:cs="Times New Roman" w:eastAsia="Times New Roman" w:hAnsi="Times New Roman"/>
          <w:sz w:val="19"/>
          <w:szCs w:val="19"/>
          <w:color w:val="auto"/>
        </w:rPr>
        <w:t>“Public Lender” means Lenders that do not wish to receive Non-Public Information with respect to the Borrower or any of its Subsidiaries or their Securities.</w:t>
      </w:r>
    </w:p>
    <w:p>
      <w:pPr>
        <w:spacing w:after="0" w:line="127" w:lineRule="exact"/>
        <w:rPr>
          <w:sz w:val="20"/>
          <w:szCs w:val="20"/>
          <w:color w:val="auto"/>
        </w:rPr>
      </w:pPr>
    </w:p>
    <w:p>
      <w:pPr>
        <w:ind w:right="220" w:firstLine="1404"/>
        <w:spacing w:after="0" w:line="286" w:lineRule="auto"/>
        <w:rPr>
          <w:sz w:val="20"/>
          <w:szCs w:val="20"/>
          <w:color w:val="auto"/>
        </w:rPr>
      </w:pPr>
      <w:r>
        <w:rPr>
          <w:rFonts w:ascii="Times New Roman" w:cs="Times New Roman" w:eastAsia="Times New Roman" w:hAnsi="Times New Roman"/>
          <w:sz w:val="19"/>
          <w:szCs w:val="19"/>
          <w:color w:val="auto"/>
        </w:rPr>
        <w:t>“Quarterly Dates” means the last Business Day of March, June, September and December in each year, commencing on March 31, 2023.</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“Quoted Investments” means a Portfolio Investment with a value assigned by the Borrower pursuant to Section 5.12(b)</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(ii)(A).</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“Register” has the meaning set forth in Section 9.04(c).</w:t>
      </w:r>
    </w:p>
    <w:p>
      <w:pPr>
        <w:spacing w:after="0" w:line="202" w:lineRule="exact"/>
        <w:rPr>
          <w:sz w:val="20"/>
          <w:szCs w:val="20"/>
          <w:color w:val="auto"/>
        </w:rPr>
      </w:pPr>
    </w:p>
    <w:p>
      <w:pPr>
        <w:ind w:right="340" w:firstLine="1404"/>
        <w:spacing w:after="0" w:line="286" w:lineRule="auto"/>
        <w:rPr>
          <w:sz w:val="20"/>
          <w:szCs w:val="20"/>
          <w:color w:val="auto"/>
        </w:rPr>
      </w:pPr>
      <w:r>
        <w:rPr>
          <w:rFonts w:ascii="Times New Roman" w:cs="Times New Roman" w:eastAsia="Times New Roman" w:hAnsi="Times New Roman"/>
          <w:sz w:val="19"/>
          <w:szCs w:val="19"/>
          <w:color w:val="auto"/>
        </w:rPr>
        <w:t>“Registration Statement” means the Registration Statement filed by the Borrower with the Securities and Exchange Commission on June 28, 2022.</w:t>
      </w:r>
    </w:p>
    <w:p>
      <w:pPr>
        <w:spacing w:after="0" w:line="127" w:lineRule="exact"/>
        <w:rPr>
          <w:sz w:val="20"/>
          <w:szCs w:val="20"/>
          <w:color w:val="auto"/>
        </w:rPr>
      </w:pPr>
    </w:p>
    <w:p>
      <w:pPr>
        <w:ind w:right="640" w:firstLine="1404"/>
        <w:spacing w:after="0" w:line="286" w:lineRule="auto"/>
        <w:rPr>
          <w:sz w:val="20"/>
          <w:szCs w:val="20"/>
          <w:color w:val="auto"/>
        </w:rPr>
      </w:pPr>
      <w:r>
        <w:rPr>
          <w:rFonts w:ascii="Times New Roman" w:cs="Times New Roman" w:eastAsia="Times New Roman" w:hAnsi="Times New Roman"/>
          <w:sz w:val="19"/>
          <w:szCs w:val="19"/>
          <w:color w:val="auto"/>
        </w:rPr>
        <w:t>“Regulations D, T, U and X” means, respectively, Regulations D, T, U and X of the Board, as the same may be modified and supplemented and in effect from time to time.</w:t>
      </w:r>
    </w:p>
    <w:p>
      <w:pPr>
        <w:spacing w:after="0" w:line="127" w:lineRule="exact"/>
        <w:rPr>
          <w:sz w:val="20"/>
          <w:szCs w:val="20"/>
          <w:color w:val="auto"/>
        </w:rPr>
      </w:pPr>
    </w:p>
    <w:p>
      <w:pPr>
        <w:ind w:right="400" w:firstLine="1404"/>
        <w:spacing w:after="0" w:line="286" w:lineRule="auto"/>
        <w:rPr>
          <w:sz w:val="20"/>
          <w:szCs w:val="20"/>
          <w:color w:val="auto"/>
        </w:rPr>
      </w:pPr>
      <w:r>
        <w:rPr>
          <w:rFonts w:ascii="Times New Roman" w:cs="Times New Roman" w:eastAsia="Times New Roman" w:hAnsi="Times New Roman"/>
          <w:sz w:val="19"/>
          <w:szCs w:val="19"/>
          <w:color w:val="auto"/>
        </w:rPr>
        <w:t>“Related Parties” means, with respect to any specified Person, such Person’s Affiliates and the respective partners, directors, officers, employees, agents and advisors of such Person and such Person’s Affiliates.</w:t>
      </w:r>
    </w:p>
    <w:p>
      <w:pPr>
        <w:spacing w:after="0" w:line="127"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“Relevant Governmental Body” means (a) with respect to a Benchmark Replacement in respect of obligations, interest, fees, commissions or other amounts denominated in, or calculated with respect to Dollars, the Board and/or the Federal Reserve Bank of New York, or a committee officially endorsed or convened by the Board and/or the Federal Reserve Bank of New York or, in each case, any successor thereto, (b) with respect to a Benchmark Replacement in respect of obligations, interest, fees, commissions or other amounts denominated in, or calculated with respect to, Canadian Dollars, the Bank of Canada, or a committee officially endorsed or convened by the Bank of Canada or, in each case, any successor thereto, (c) with respect to a Benchmark Replacement in respect of obligations, interest, fees, commissions or other amounts owing hereunder denominated in, or calculated with respect to, Sterling, the Bank of England, or a committee officially endorsed or convened by the Bank of England or, in each case, any successor thereto, (d) with respect to a Benchmark Replacement in respect of obligations, interest, fees, commissions or other amounts denominated in, or calculated with respect to, Euro,</w:t>
      </w:r>
    </w:p>
    <w:p>
      <w:pPr>
        <w:spacing w:after="0" w:line="390" w:lineRule="exact"/>
        <w:rPr>
          <w:sz w:val="20"/>
          <w:szCs w:val="20"/>
          <w:color w:val="auto"/>
        </w:rPr>
      </w:pPr>
    </w:p>
    <w:p>
      <w:pPr>
        <w:ind w:left="940" w:hanging="730"/>
        <w:spacing w:after="0"/>
        <w:tabs>
          <w:tab w:leader="none" w:pos="94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45" w:name="page146"/>
    <w:bookmarkEnd w:id="145"/>
    <w:p>
      <w:pPr>
        <w:spacing w:after="0" w:line="2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the European Central Bank, or a committee officially endorsed or convened by the European Central Bank or, in each case, any successor thereto, and (e) with respect to a Benchmark Replacement in respect of obligations, interest, fees, commissions or other amounts denominated in, or calculated with respect to, any Currency (other than Dollars, Canadian Dollars, Sterling or Euro), (1) the central bank for the Currency in which such obligations, interest, fees, commissions or other amounts are denominated, or calculated with respect thereto,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60" w:lineRule="exact"/>
        <w:rPr>
          <w:sz w:val="20"/>
          <w:szCs w:val="20"/>
          <w:color w:val="auto"/>
        </w:rPr>
      </w:pPr>
    </w:p>
    <w:p>
      <w:pPr>
        <w:ind w:right="40" w:firstLine="1404"/>
        <w:spacing w:after="0" w:line="254" w:lineRule="auto"/>
        <w:rPr>
          <w:sz w:val="20"/>
          <w:szCs w:val="20"/>
          <w:color w:val="auto"/>
        </w:rPr>
      </w:pPr>
      <w:r>
        <w:rPr>
          <w:rFonts w:ascii="Times New Roman" w:cs="Times New Roman" w:eastAsia="Times New Roman" w:hAnsi="Times New Roman"/>
          <w:sz w:val="19"/>
          <w:szCs w:val="19"/>
          <w:color w:val="auto"/>
        </w:rPr>
        <w:t>“Required Lenders” means, at any time, Lenders having Credit Exposures and unused Commitments representing more than 50% of the sum of the total Credit Exposures and unused Commitments at such time; provided that the Credit Exposures and unused Commitments of any Defaulting Lender shall be disregarded in the determination of Required Lenders. The Required Lenders of a Class (which shall include the terms “Required Dollar Lenders” and “Required Multicurrency Lenders”) means Lenders having Credit Exposures and unused Commitments of such Class representing more than 50% of the sum of the total Credit Exposures and unused Commitments of such Class at such time. Notwithstanding the foregoing, the Credit Exposure and unused Commitments of any Defaulting Lender shall be disregarded in the determination of Required Lenders or Required Lenders of a Class. For purposes of this definition, the Swingline Exposure of any Lender that is a Swingline Lender shall be deemed to exclude that portion of its Swingline Exposure that exceeds its Applicable Dollar Percentage or Applicable Multicurrency Percentage, as applicable, of all outstanding Swingline Loans under its Class of Commitments, and the unused Commitments of any such Lender shall be determined without regard to any such excess amount.</w:t>
      </w:r>
    </w:p>
    <w:p>
      <w:pPr>
        <w:spacing w:after="0" w:line="157" w:lineRule="exact"/>
        <w:rPr>
          <w:sz w:val="20"/>
          <w:szCs w:val="20"/>
          <w:color w:val="auto"/>
        </w:rPr>
      </w:pPr>
    </w:p>
    <w:p>
      <w:pPr>
        <w:ind w:right="100" w:firstLine="1404"/>
        <w:spacing w:after="0" w:line="262" w:lineRule="auto"/>
        <w:rPr>
          <w:sz w:val="20"/>
          <w:szCs w:val="20"/>
          <w:color w:val="auto"/>
        </w:rPr>
      </w:pPr>
      <w:r>
        <w:rPr>
          <w:rFonts w:ascii="Times New Roman" w:cs="Times New Roman" w:eastAsia="Times New Roman" w:hAnsi="Times New Roman"/>
          <w:sz w:val="19"/>
          <w:szCs w:val="19"/>
          <w:color w:val="auto"/>
        </w:rPr>
        <w:t>“Required Revolving Lenders” means, at any time, Lenders having Revolving Credit Exposures and unused Revolving Commitments representing more than 50% of the sum of the total Revolving Credit Exposures and unused Revolving Commitments at such time. Notwithstanding the foregoing, the Revolving Credit Exposure and unused Revolving Commitments of any Defaulting Lender shall be disregarded in the determination of Required Revolving Lenders.</w:t>
      </w:r>
    </w:p>
    <w:p>
      <w:pPr>
        <w:spacing w:after="0" w:line="150" w:lineRule="exact"/>
        <w:rPr>
          <w:sz w:val="20"/>
          <w:szCs w:val="20"/>
          <w:color w:val="auto"/>
        </w:rPr>
      </w:pPr>
    </w:p>
    <w:p>
      <w:pPr>
        <w:ind w:right="320" w:firstLine="1404"/>
        <w:spacing w:after="0" w:line="286" w:lineRule="auto"/>
        <w:rPr>
          <w:sz w:val="20"/>
          <w:szCs w:val="20"/>
          <w:color w:val="auto"/>
        </w:rPr>
      </w:pPr>
      <w:r>
        <w:rPr>
          <w:rFonts w:ascii="Times New Roman" w:cs="Times New Roman" w:eastAsia="Times New Roman" w:hAnsi="Times New Roman"/>
          <w:sz w:val="19"/>
          <w:szCs w:val="19"/>
          <w:color w:val="auto"/>
        </w:rPr>
        <w:t>“Resolution Authority” means an EEA Resolution Authority or, with respect to any UK Financial Institution, a UK Resolution Authority.</w:t>
      </w:r>
    </w:p>
    <w:p>
      <w:pPr>
        <w:spacing w:after="0" w:line="127" w:lineRule="exact"/>
        <w:rPr>
          <w:sz w:val="20"/>
          <w:szCs w:val="20"/>
          <w:color w:val="auto"/>
        </w:rPr>
      </w:pPr>
    </w:p>
    <w:p>
      <w:pPr>
        <w:ind w:right="80" w:firstLine="1404"/>
        <w:spacing w:after="0" w:line="286" w:lineRule="auto"/>
        <w:rPr>
          <w:sz w:val="20"/>
          <w:szCs w:val="20"/>
          <w:color w:val="auto"/>
        </w:rPr>
      </w:pPr>
      <w:r>
        <w:rPr>
          <w:rFonts w:ascii="Times New Roman" w:cs="Times New Roman" w:eastAsia="Times New Roman" w:hAnsi="Times New Roman"/>
          <w:sz w:val="19"/>
          <w:szCs w:val="19"/>
          <w:color w:val="auto"/>
        </w:rPr>
        <w:t>“Responsible Officer” means the chief executive officer, president, chief financial officer, treasurer, assistant treasurer or controller of an Obligor.</w:t>
      </w:r>
    </w:p>
    <w:p>
      <w:pPr>
        <w:spacing w:after="0" w:line="127" w:lineRule="exact"/>
        <w:rPr>
          <w:sz w:val="20"/>
          <w:szCs w:val="20"/>
          <w:color w:val="auto"/>
        </w:rPr>
      </w:pPr>
    </w:p>
    <w:p>
      <w:pPr>
        <w:ind w:right="140" w:firstLine="1404"/>
        <w:spacing w:after="0" w:line="268" w:lineRule="auto"/>
        <w:rPr>
          <w:sz w:val="20"/>
          <w:szCs w:val="20"/>
          <w:color w:val="auto"/>
        </w:rPr>
      </w:pPr>
      <w:r>
        <w:rPr>
          <w:rFonts w:ascii="Times New Roman" w:cs="Times New Roman" w:eastAsia="Times New Roman" w:hAnsi="Times New Roman"/>
          <w:sz w:val="19"/>
          <w:szCs w:val="19"/>
          <w:color w:val="auto"/>
        </w:rPr>
        <w:t>“Restricted Payment”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w:t>
      </w:r>
    </w:p>
    <w:p>
      <w:pPr>
        <w:spacing w:after="0" w:line="142" w:lineRule="exact"/>
        <w:rPr>
          <w:sz w:val="20"/>
          <w:szCs w:val="20"/>
          <w:color w:val="auto"/>
        </w:rPr>
      </w:pPr>
    </w:p>
    <w:p>
      <w:pPr>
        <w:ind w:left="940" w:hanging="730"/>
        <w:spacing w:after="0"/>
        <w:tabs>
          <w:tab w:leader="none" w:pos="9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6" w:name="page147"/>
    <w:bookmarkEnd w:id="146"/>
    <w:p>
      <w:pPr>
        <w:spacing w:after="0" w:line="2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acquisition, cancellation or termination of any such shares of capital stock of the Borrower or any option, warrant or other right to acquire any such shares of capital stock of the Borrower (it being understood that none of: (w) the conversion features under convertible notes;</w:t>
      </w:r>
    </w:p>
    <w:p>
      <w:pPr>
        <w:spacing w:after="0" w:line="1" w:lineRule="exact"/>
        <w:rPr>
          <w:sz w:val="20"/>
          <w:szCs w:val="20"/>
          <w:color w:val="auto"/>
        </w:rPr>
      </w:pPr>
    </w:p>
    <w:p>
      <w:pPr>
        <w:ind w:right="820" w:firstLine="6"/>
        <w:spacing w:after="0" w:line="262" w:lineRule="auto"/>
        <w:tabs>
          <w:tab w:leader="none" w:pos="272"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triggering and/or settlement thereof; or (y) any cash payment made by the Borrower in respect thereof, shall constitute a Restricted Payment hereunder).</w:t>
      </w:r>
    </w:p>
    <w:p>
      <w:pPr>
        <w:spacing w:after="0" w:line="149" w:lineRule="exact"/>
        <w:rPr>
          <w:sz w:val="20"/>
          <w:szCs w:val="20"/>
          <w:color w:val="auto"/>
        </w:rPr>
      </w:pPr>
    </w:p>
    <w:p>
      <w:pPr>
        <w:ind w:right="40" w:firstLine="1404"/>
        <w:spacing w:after="0" w:line="255" w:lineRule="auto"/>
        <w:rPr>
          <w:sz w:val="20"/>
          <w:szCs w:val="20"/>
          <w:color w:val="auto"/>
        </w:rPr>
      </w:pPr>
      <w:r>
        <w:rPr>
          <w:rFonts w:ascii="Times New Roman" w:cs="Times New Roman" w:eastAsia="Times New Roman" w:hAnsi="Times New Roman"/>
          <w:sz w:val="19"/>
          <w:szCs w:val="19"/>
          <w:color w:val="auto"/>
        </w:rPr>
        <w:t>“Return of Capital” means (a) any net cash amount received by any Obligor in respect of the outstanding principal of any Portfolio Investment (whether at stated maturity, by acceleration or otherwise), (b) without duplication of amounts received under clause (a),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clauses (a), (b), (c) and (d), net of any fees, costs, expenses and taxes payable with respect thereto).</w:t>
      </w:r>
    </w:p>
    <w:p>
      <w:pPr>
        <w:spacing w:after="0" w:line="15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“Revolving Commitments” means, collectively, the Dollar Commitments and the Multicurrency Commitments.</w:t>
      </w:r>
    </w:p>
    <w:p>
      <w:pPr>
        <w:spacing w:after="0" w:line="202" w:lineRule="exact"/>
        <w:rPr>
          <w:sz w:val="20"/>
          <w:szCs w:val="20"/>
          <w:color w:val="auto"/>
        </w:rPr>
      </w:pPr>
    </w:p>
    <w:p>
      <w:pPr>
        <w:ind w:right="480" w:firstLine="1404"/>
        <w:spacing w:after="0" w:line="286" w:lineRule="auto"/>
        <w:rPr>
          <w:sz w:val="20"/>
          <w:szCs w:val="20"/>
          <w:color w:val="auto"/>
        </w:rPr>
      </w:pPr>
      <w:r>
        <w:rPr>
          <w:rFonts w:ascii="Times New Roman" w:cs="Times New Roman" w:eastAsia="Times New Roman" w:hAnsi="Times New Roman"/>
          <w:sz w:val="19"/>
          <w:szCs w:val="19"/>
          <w:color w:val="auto"/>
        </w:rPr>
        <w:t>“Revolving Credit Exposure” means, with respect to any Lender at any time, the sum of the outstanding principal amount of such Lender’s Revolving Dollar Credit Exposure and Revolving Multicurrency Credit Exposure at such time.</w:t>
      </w:r>
    </w:p>
    <w:p>
      <w:pPr>
        <w:spacing w:after="0" w:line="127" w:lineRule="exact"/>
        <w:rPr>
          <w:sz w:val="20"/>
          <w:szCs w:val="20"/>
          <w:color w:val="auto"/>
        </w:rPr>
      </w:pPr>
    </w:p>
    <w:p>
      <w:pPr>
        <w:ind w:right="120" w:firstLine="1404"/>
        <w:spacing w:after="0" w:line="268" w:lineRule="auto"/>
        <w:rPr>
          <w:sz w:val="20"/>
          <w:szCs w:val="20"/>
          <w:color w:val="auto"/>
        </w:rPr>
      </w:pPr>
      <w:r>
        <w:rPr>
          <w:rFonts w:ascii="Times New Roman" w:cs="Times New Roman" w:eastAsia="Times New Roman" w:hAnsi="Times New Roman"/>
          <w:sz w:val="19"/>
          <w:szCs w:val="19"/>
          <w:color w:val="auto"/>
        </w:rPr>
        <w:t>“Revolving Dollar Credit Exposure” means, with respect to any Lender at any time, the sum of the outstanding principal amount of such Lender’s Revolving Loans, and its LC Exposure and Swingline Exposure, at such time made or incurred under the Dollar Commitments.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“Revolving Lenders” means the Dollar Lenders and the Multicurrency Lenders.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“Revolving Loans” means the revolving loans made by the Lenders to the Borrower pursuant to Section 2.01(a) or (b).</w:t>
      </w:r>
    </w:p>
    <w:p>
      <w:pPr>
        <w:spacing w:after="0" w:line="202" w:lineRule="exact"/>
        <w:rPr>
          <w:sz w:val="20"/>
          <w:szCs w:val="20"/>
          <w:color w:val="auto"/>
        </w:rPr>
      </w:pPr>
    </w:p>
    <w:p>
      <w:pPr>
        <w:jc w:val="both"/>
        <w:ind w:right="60" w:firstLine="1404"/>
        <w:spacing w:after="0" w:line="268" w:lineRule="auto"/>
        <w:rPr>
          <w:sz w:val="20"/>
          <w:szCs w:val="20"/>
          <w:color w:val="auto"/>
        </w:rPr>
      </w:pPr>
      <w:r>
        <w:rPr>
          <w:rFonts w:ascii="Times New Roman" w:cs="Times New Roman" w:eastAsia="Times New Roman" w:hAnsi="Times New Roman"/>
          <w:sz w:val="19"/>
          <w:szCs w:val="19"/>
          <w:color w:val="auto"/>
        </w:rPr>
        <w:t>“Revolving Multicurrency Credit Exposure” means, with respect to any Lender at any time, the sum of the outstanding principal amount of such Lender’s Revolving Loans, and its LC Exposure and Swingline Exposure, at such time made or incurred under the Multicurrency Commitments.</w:t>
      </w:r>
    </w:p>
    <w:p>
      <w:pPr>
        <w:spacing w:after="0" w:line="144" w:lineRule="exact"/>
        <w:rPr>
          <w:sz w:val="20"/>
          <w:szCs w:val="20"/>
          <w:color w:val="auto"/>
        </w:rPr>
      </w:pPr>
    </w:p>
    <w:p>
      <w:pPr>
        <w:jc w:val="both"/>
        <w:ind w:right="40" w:firstLine="1404"/>
        <w:spacing w:after="0" w:line="286" w:lineRule="auto"/>
        <w:rPr>
          <w:sz w:val="20"/>
          <w:szCs w:val="20"/>
          <w:color w:val="auto"/>
        </w:rPr>
      </w:pPr>
      <w:r>
        <w:rPr>
          <w:rFonts w:ascii="Times New Roman" w:cs="Times New Roman" w:eastAsia="Times New Roman" w:hAnsi="Times New Roman"/>
          <w:sz w:val="19"/>
          <w:szCs w:val="19"/>
          <w:color w:val="auto"/>
        </w:rPr>
        <w:t>“Revolving Percentage” means, as of any date of determination, the result, expressed as a percentage, of the Revolving Credit Exposure on such date divided by the aggregate outstanding Covered Debt Amount on such date.</w:t>
      </w:r>
    </w:p>
    <w:p>
      <w:pPr>
        <w:spacing w:after="0" w:line="127" w:lineRule="exact"/>
        <w:rPr>
          <w:sz w:val="20"/>
          <w:szCs w:val="20"/>
          <w:color w:val="auto"/>
        </w:rPr>
      </w:pPr>
    </w:p>
    <w:p>
      <w:pPr>
        <w:ind w:right="320" w:firstLine="1404"/>
        <w:spacing w:after="0" w:line="286" w:lineRule="auto"/>
        <w:rPr>
          <w:sz w:val="20"/>
          <w:szCs w:val="20"/>
          <w:color w:val="auto"/>
        </w:rPr>
      </w:pPr>
      <w:r>
        <w:rPr>
          <w:rFonts w:ascii="Times New Roman" w:cs="Times New Roman" w:eastAsia="Times New Roman" w:hAnsi="Times New Roman"/>
          <w:sz w:val="19"/>
          <w:szCs w:val="19"/>
          <w:color w:val="auto"/>
        </w:rPr>
        <w:t>“RFR”, when used in reference to any Loan or Borrowing, refers to whether such Loan is, or the Loans constituting such Borrowing are, bearing interest at a rate determined by reference to the Daily Simple RFR for the applicable Currency.</w:t>
      </w:r>
    </w:p>
    <w:p>
      <w:pPr>
        <w:spacing w:after="0" w:line="126" w:lineRule="exact"/>
        <w:rPr>
          <w:sz w:val="20"/>
          <w:szCs w:val="20"/>
          <w:color w:val="auto"/>
        </w:rPr>
      </w:pPr>
    </w:p>
    <w:p>
      <w:pPr>
        <w:ind w:left="940" w:hanging="730"/>
        <w:spacing w:after="0"/>
        <w:tabs>
          <w:tab w:leader="none" w:pos="94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47" w:name="page148"/>
    <w:bookmarkEnd w:id="147"/>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“RFR Administrator” means the SONIA Administrator or the SARON Administrator, as applicable.</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“RFR Administrator’s Website” means the SONIA Administrator’s Website or the SARON Administrator’s Website,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applicable.</w:t>
      </w:r>
    </w:p>
    <w:p>
      <w:pPr>
        <w:spacing w:after="0" w:line="180" w:lineRule="exact"/>
        <w:rPr>
          <w:sz w:val="20"/>
          <w:szCs w:val="20"/>
          <w:color w:val="auto"/>
        </w:rPr>
      </w:pPr>
    </w:p>
    <w:p>
      <w:pPr>
        <w:ind w:right="140" w:firstLine="1404"/>
        <w:spacing w:after="0" w:line="262" w:lineRule="auto"/>
        <w:rPr>
          <w:sz w:val="20"/>
          <w:szCs w:val="20"/>
          <w:color w:val="auto"/>
        </w:rPr>
      </w:pPr>
      <w:r>
        <w:rPr>
          <w:rFonts w:ascii="Times New Roman" w:cs="Times New Roman" w:eastAsia="Times New Roman" w:hAnsi="Times New Roman"/>
          <w:sz w:val="19"/>
          <w:szCs w:val="19"/>
          <w:color w:val="auto"/>
        </w:rPr>
        <w:t>“RFR Applicable Credit Adjustment Spread” means, (a) with respect to RFR Loans denominated in Sterling, (i) with an Interest Period of three months, 0.1193% and (ii) with an Interest Period of one month, 0.0326%, and (b) with respect to RFR Loans denominated in Swiss Francs (i) with an Interest Period of three months, 0.0031% and (ii) with an Interest Period of one month, - 0.0571%.</w:t>
      </w:r>
    </w:p>
    <w:p>
      <w:pPr>
        <w:spacing w:after="0" w:line="150"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“RFR Business Day” means, for any Loans, Borrowings, interest, fees, commissions or other amounts denominated in, or calculated with respect to, (a) Sterling, any day except for (i) a Saturday, (ii) a Sunday or (iii) a day on which banks are closed for general business in London, and (b) Swiss Francs, any day except for (i) a Saturday, (ii) a Sunday or (iii) a day on which banks are closed for the settlement of payments and foreign exchange transactions in Zurich.</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“RFR Interest Day” has the meaning specified in the definition of “Daily Simple RFR”.</w:t>
      </w:r>
    </w:p>
    <w:p>
      <w:pPr>
        <w:spacing w:after="0" w:line="202" w:lineRule="exact"/>
        <w:rPr>
          <w:sz w:val="20"/>
          <w:szCs w:val="20"/>
          <w:color w:val="auto"/>
        </w:rPr>
      </w:pPr>
    </w:p>
    <w:p>
      <w:pPr>
        <w:ind w:right="480" w:firstLine="1404"/>
        <w:spacing w:after="0" w:line="286" w:lineRule="auto"/>
        <w:rPr>
          <w:sz w:val="20"/>
          <w:szCs w:val="20"/>
          <w:color w:val="auto"/>
        </w:rPr>
      </w:pPr>
      <w:r>
        <w:rPr>
          <w:rFonts w:ascii="Times New Roman" w:cs="Times New Roman" w:eastAsia="Times New Roman" w:hAnsi="Times New Roman"/>
          <w:sz w:val="19"/>
          <w:szCs w:val="19"/>
          <w:color w:val="auto"/>
        </w:rPr>
        <w:t>“RFR Rate” means, for any Loans, Borrowings, interest, fees, commissions or other amounts denominated in, or calculated with respect to (a) Sterling, SONIA, and (b) Swiss Francs, SARON.</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“RFR Reference Day” has the meaning specified in the definition of “Daily Simple RFR”.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“RIC” means a person qualifying for treatment as a “regulated investment company” under the Code.</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“S&amp;P” means S&amp;P Global Ratings or any successor thereto.</w:t>
      </w:r>
    </w:p>
    <w:p>
      <w:pPr>
        <w:spacing w:after="0" w:line="202" w:lineRule="exact"/>
        <w:rPr>
          <w:sz w:val="20"/>
          <w:szCs w:val="20"/>
          <w:color w:val="auto"/>
        </w:rPr>
      </w:pPr>
    </w:p>
    <w:p>
      <w:pPr>
        <w:ind w:right="20" w:firstLine="1404"/>
        <w:spacing w:after="0" w:line="262" w:lineRule="auto"/>
        <w:rPr>
          <w:sz w:val="20"/>
          <w:szCs w:val="20"/>
          <w:color w:val="auto"/>
        </w:rPr>
      </w:pPr>
      <w:r>
        <w:rPr>
          <w:rFonts w:ascii="Times New Roman" w:cs="Times New Roman" w:eastAsia="Times New Roman" w:hAnsi="Times New Roman"/>
          <w:sz w:val="19"/>
          <w:szCs w:val="19"/>
          <w:color w:val="auto"/>
        </w:rPr>
        <w:t>“Sanctioned Country” means, at any time, a country, territory or region that is the subject or the target of country-wide or territory-wide Sanctions broadly prohibiting dealings with such country, territory or region (currently Cuba, Iran, North Korea and Syria, the Crimea Region of Ukraine, the so-called Donetsk People’s Republic, the so-called Luhansk People’s Republic and non-government-controlled areas of the Zaporizhzhia and Kherson Regions of Ukraine).</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“Sanctions” has the meaning assigned to such term in Section 3.15(a).</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“SARON” means a rate equal to the Swiss Average Rate Overnight as administered by the SARON Administrator.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“SARON Administrator” means the SIX Swiss Exchange AG (or any successor administrator of the Swiss Average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Rate Overnight).</w:t>
      </w:r>
    </w:p>
    <w:p>
      <w:pPr>
        <w:spacing w:after="0" w:line="178" w:lineRule="exact"/>
        <w:rPr>
          <w:sz w:val="20"/>
          <w:szCs w:val="20"/>
          <w:color w:val="auto"/>
        </w:rPr>
      </w:pPr>
    </w:p>
    <w:p>
      <w:pPr>
        <w:ind w:left="940" w:hanging="730"/>
        <w:spacing w:after="0"/>
        <w:tabs>
          <w:tab w:leader="none" w:pos="94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48" w:name="page149"/>
    <w:bookmarkEnd w:id="148"/>
    <w:p>
      <w:pPr>
        <w:spacing w:after="0" w:line="269" w:lineRule="exact"/>
        <w:rPr>
          <w:sz w:val="20"/>
          <w:szCs w:val="20"/>
          <w:color w:val="auto"/>
        </w:rPr>
      </w:pPr>
    </w:p>
    <w:p>
      <w:pPr>
        <w:ind w:right="120" w:firstLine="1404"/>
        <w:spacing w:after="0" w:line="268" w:lineRule="auto"/>
        <w:rPr>
          <w:sz w:val="20"/>
          <w:szCs w:val="20"/>
          <w:color w:val="auto"/>
        </w:rPr>
      </w:pPr>
      <w:r>
        <w:rPr>
          <w:rFonts w:ascii="Times New Roman" w:cs="Times New Roman" w:eastAsia="Times New Roman" w:hAnsi="Times New Roman"/>
          <w:sz w:val="19"/>
          <w:szCs w:val="19"/>
          <w:color w:val="auto"/>
        </w:rPr>
        <w:t>“SARON Administrator’s Website” means SIX Swiss Exchange AG’s website, currently at https://www.six-group.com, or any successor source for the Swiss Average Rate Overnight identified as such by the SARON Administrator from time to time.</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“SBA” means the United States Small Business Administration.</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“SBIC Equity Commitment” means a commitment by the Borrower to make one or more capital contributions to 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SBIC Subsidiary.</w:t>
      </w:r>
    </w:p>
    <w:p>
      <w:pPr>
        <w:spacing w:after="0" w:line="180" w:lineRule="exact"/>
        <w:rPr>
          <w:sz w:val="20"/>
          <w:szCs w:val="20"/>
          <w:color w:val="auto"/>
        </w:rPr>
      </w:pPr>
    </w:p>
    <w:p>
      <w:pPr>
        <w:ind w:right="60" w:firstLine="1404"/>
        <w:spacing w:after="0" w:line="253" w:lineRule="auto"/>
        <w:rPr>
          <w:sz w:val="20"/>
          <w:szCs w:val="20"/>
          <w:color w:val="auto"/>
        </w:rPr>
      </w:pPr>
      <w:r>
        <w:rPr>
          <w:rFonts w:ascii="Times New Roman" w:cs="Times New Roman" w:eastAsia="Times New Roman" w:hAnsi="Times New Roman"/>
          <w:sz w:val="19"/>
          <w:szCs w:val="19"/>
          <w:color w:val="auto"/>
        </w:rPr>
        <w:t>“SBIC Subsidiary”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6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“Second Amendment Effective Date” means May 23, 2024</w:t>
      </w:r>
    </w:p>
    <w:p>
      <w:pPr>
        <w:spacing w:after="0" w:line="202"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“Secured Longer-Term Indebtedness” means, as at any date, Indebtedness (other than Indebtedness hereunder) of an Obligor (which may be Guaranteed by Subsidiary Guarantors) that (a) has no scheduled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Section 6.01(i) and 6.01(o)) prior to, and a final maturity date not earlier than, six months after the Final Maturity Date (it being understood that none of: (w) the conversion features into Permitted Equity Interests under convertible notes; (x) the triggering and/or settlement thereof; or (y) any cash payment made in respect thereof , shall constitute “amortization” for purposes of this clause (a)),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w:t>
      </w:r>
    </w:p>
    <w:p>
      <w:pPr>
        <w:spacing w:after="0" w:line="391" w:lineRule="exact"/>
        <w:rPr>
          <w:sz w:val="20"/>
          <w:szCs w:val="20"/>
          <w:color w:val="auto"/>
        </w:rPr>
      </w:pPr>
    </w:p>
    <w:p>
      <w:pPr>
        <w:ind w:left="940" w:hanging="730"/>
        <w:spacing w:after="0"/>
        <w:tabs>
          <w:tab w:leader="none" w:pos="94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9" w:name="page150"/>
    <w:bookmarkEnd w:id="149"/>
    <w:p>
      <w:pPr>
        <w:spacing w:after="0" w:line="26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agent, representative or trustee of such holders) of such Secured Longer-Term Indebtedness shall have become a party to the Guarantee and Security Agreement and assumed the obligations of a Financing Agent or Designated Indebtedness Holder (in each case, as defined in the Guarantee and Security Agreement). Secured Longer-Term Indebtedness shall not include any Indebtedness under any Capital Call Facility.</w:t>
      </w:r>
    </w:p>
    <w:p>
      <w:pPr>
        <w:spacing w:after="0" w:line="150" w:lineRule="exact"/>
        <w:rPr>
          <w:sz w:val="20"/>
          <w:szCs w:val="20"/>
          <w:color w:val="auto"/>
        </w:rPr>
      </w:pPr>
    </w:p>
    <w:p>
      <w:pPr>
        <w:ind w:right="100" w:firstLine="1404"/>
        <w:spacing w:after="0" w:line="254" w:lineRule="auto"/>
        <w:rPr>
          <w:sz w:val="20"/>
          <w:szCs w:val="20"/>
          <w:color w:val="auto"/>
        </w:rPr>
      </w:pPr>
      <w:r>
        <w:rPr>
          <w:rFonts w:ascii="Times New Roman" w:cs="Times New Roman" w:eastAsia="Times New Roman" w:hAnsi="Times New Roman"/>
          <w:sz w:val="19"/>
          <w:szCs w:val="19"/>
          <w:color w:val="auto"/>
        </w:rPr>
        <w:t>“Secured Shorter -Term Indebtedness” 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Section 6.11(a). Secured Shorter-Term Indebtedness shall not include any Indebtedness under any Capital Call Facility.</w:t>
      </w:r>
    </w:p>
    <w:p>
      <w:pPr>
        <w:spacing w:after="0" w:line="160"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“Security Documents”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54" w:lineRule="exact"/>
        <w:rPr>
          <w:sz w:val="20"/>
          <w:szCs w:val="20"/>
          <w:color w:val="auto"/>
        </w:rPr>
      </w:pPr>
    </w:p>
    <w:p>
      <w:pPr>
        <w:ind w:right="280" w:firstLine="1404"/>
        <w:spacing w:after="0" w:line="286" w:lineRule="auto"/>
        <w:rPr>
          <w:sz w:val="20"/>
          <w:szCs w:val="20"/>
          <w:color w:val="auto"/>
        </w:rPr>
      </w:pPr>
      <w:r>
        <w:rPr>
          <w:rFonts w:ascii="Times New Roman" w:cs="Times New Roman" w:eastAsia="Times New Roman" w:hAnsi="Times New Roman"/>
          <w:sz w:val="19"/>
          <w:szCs w:val="19"/>
          <w:color w:val="auto"/>
        </w:rPr>
        <w:t>“Shareholders’ Equity” means, at any date, the amount determined on a consolidated basis, without duplication, in accordance with GAAP, of shareholders equity for the Borrower and its Subsidiaries at such date.</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“SOFR” means a rate per annum equal to the secured overnight financing rate as administered by the SOFR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Administrator.</w:t>
      </w:r>
    </w:p>
    <w:p>
      <w:pPr>
        <w:spacing w:after="0" w:line="180" w:lineRule="exact"/>
        <w:rPr>
          <w:sz w:val="20"/>
          <w:szCs w:val="20"/>
          <w:color w:val="auto"/>
        </w:rPr>
      </w:pPr>
    </w:p>
    <w:p>
      <w:pPr>
        <w:ind w:right="280" w:firstLine="1404"/>
        <w:spacing w:after="0" w:line="286" w:lineRule="auto"/>
        <w:rPr>
          <w:sz w:val="20"/>
          <w:szCs w:val="20"/>
          <w:color w:val="auto"/>
        </w:rPr>
      </w:pPr>
      <w:r>
        <w:rPr>
          <w:rFonts w:ascii="Times New Roman" w:cs="Times New Roman" w:eastAsia="Times New Roman" w:hAnsi="Times New Roman"/>
          <w:sz w:val="19"/>
          <w:szCs w:val="19"/>
          <w:color w:val="auto"/>
        </w:rPr>
        <w:t>“SOFR Administrator” means the Federal Reserve Bank of New York (or a successor administrator of the secured overnight financing rate).</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“SONIA” means a rate equal to the Sterling Overnight Index Average as administered by the SONIA Administrator.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“SONIA Administrator” means the Bank of England (or any successor administrator of the Sterling Overnight Index</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Average).</w:t>
      </w:r>
    </w:p>
    <w:p>
      <w:pPr>
        <w:spacing w:after="0" w:line="180" w:lineRule="exact"/>
        <w:rPr>
          <w:sz w:val="20"/>
          <w:szCs w:val="20"/>
          <w:color w:val="auto"/>
        </w:rPr>
      </w:pPr>
    </w:p>
    <w:p>
      <w:pPr>
        <w:ind w:right="260" w:firstLine="1404"/>
        <w:spacing w:after="0" w:line="268" w:lineRule="auto"/>
        <w:rPr>
          <w:sz w:val="20"/>
          <w:szCs w:val="20"/>
          <w:color w:val="auto"/>
        </w:rPr>
      </w:pPr>
      <w:r>
        <w:rPr>
          <w:rFonts w:ascii="Times New Roman" w:cs="Times New Roman" w:eastAsia="Times New Roman" w:hAnsi="Times New Roman"/>
          <w:sz w:val="19"/>
          <w:szCs w:val="19"/>
          <w:color w:val="auto"/>
        </w:rPr>
        <w:t>“SONIA Administrator’s Website” means the Bank of England’s website, currently at http://www.bankofengland.co.uk, or any successor source for the Sterling Overnight Index Average identified as such by the SONIA Administrator from time to time.</w:t>
      </w:r>
    </w:p>
    <w:p>
      <w:pPr>
        <w:spacing w:after="0" w:line="142" w:lineRule="exact"/>
        <w:rPr>
          <w:sz w:val="20"/>
          <w:szCs w:val="20"/>
          <w:color w:val="auto"/>
        </w:rPr>
      </w:pPr>
    </w:p>
    <w:p>
      <w:pPr>
        <w:ind w:left="940" w:hanging="730"/>
        <w:spacing w:after="0"/>
        <w:tabs>
          <w:tab w:leader="none" w:pos="94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150" w:name="page151"/>
    <w:bookmarkEnd w:id="150"/>
    <w:p>
      <w:pPr>
        <w:spacing w:after="0" w:line="269" w:lineRule="exact"/>
        <w:rPr>
          <w:sz w:val="20"/>
          <w:szCs w:val="20"/>
          <w:color w:val="auto"/>
        </w:rPr>
      </w:pPr>
    </w:p>
    <w:p>
      <w:pPr>
        <w:ind w:right="420" w:firstLine="1404"/>
        <w:spacing w:after="0" w:line="262" w:lineRule="auto"/>
        <w:rPr>
          <w:sz w:val="20"/>
          <w:szCs w:val="20"/>
          <w:color w:val="auto"/>
        </w:rPr>
      </w:pPr>
      <w:r>
        <w:rPr>
          <w:rFonts w:ascii="Times New Roman" w:cs="Times New Roman" w:eastAsia="Times New Roman" w:hAnsi="Times New Roman"/>
          <w:sz w:val="19"/>
          <w:szCs w:val="19"/>
          <w:color w:val="auto"/>
        </w:rPr>
        <w:t>“SPE Subsidiary” 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spacing w:after="0" w:line="150" w:lineRule="exact"/>
        <w:rPr>
          <w:sz w:val="20"/>
          <w:szCs w:val="20"/>
          <w:color w:val="auto"/>
        </w:rPr>
      </w:pPr>
    </w:p>
    <w:p>
      <w:pPr>
        <w:ind w:right="80" w:firstLine="1410"/>
        <w:spacing w:after="0" w:line="259" w:lineRule="auto"/>
        <w:tabs>
          <w:tab w:leader="none" w:pos="1665"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53" w:lineRule="exact"/>
        <w:rPr>
          <w:rFonts w:ascii="Times New Roman" w:cs="Times New Roman" w:eastAsia="Times New Roman" w:hAnsi="Times New Roman"/>
          <w:sz w:val="19"/>
          <w:szCs w:val="19"/>
          <w:color w:val="auto"/>
        </w:rPr>
      </w:pPr>
    </w:p>
    <w:p>
      <w:pPr>
        <w:jc w:val="both"/>
        <w:ind w:right="300" w:firstLine="1410"/>
        <w:spacing w:after="0" w:line="268" w:lineRule="auto"/>
        <w:tabs>
          <w:tab w:leader="none" w:pos="1676"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spacing w:after="0" w:line="144" w:lineRule="exact"/>
        <w:rPr>
          <w:rFonts w:ascii="Times New Roman" w:cs="Times New Roman" w:eastAsia="Times New Roman" w:hAnsi="Times New Roman"/>
          <w:sz w:val="19"/>
          <w:szCs w:val="19"/>
          <w:color w:val="auto"/>
        </w:rPr>
      </w:pPr>
    </w:p>
    <w:p>
      <w:pPr>
        <w:ind w:firstLine="1410"/>
        <w:spacing w:after="0" w:line="286" w:lineRule="auto"/>
        <w:tabs>
          <w:tab w:leader="none" w:pos="1665"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which no Obligor has any obligation to maintain or preserve such entity’s financial condition or cause such entity to achieve certain levels of operating results.</w:t>
      </w:r>
    </w:p>
    <w:p>
      <w:pPr>
        <w:spacing w:after="0" w:line="127"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50" w:lineRule="exact"/>
        <w:rPr>
          <w:sz w:val="20"/>
          <w:szCs w:val="20"/>
          <w:color w:val="auto"/>
        </w:rPr>
      </w:pPr>
    </w:p>
    <w:p>
      <w:pPr>
        <w:ind w:right="40" w:firstLine="1404"/>
        <w:spacing w:after="0" w:line="257" w:lineRule="auto"/>
        <w:rPr>
          <w:sz w:val="20"/>
          <w:szCs w:val="20"/>
          <w:color w:val="auto"/>
        </w:rPr>
      </w:pPr>
      <w:r>
        <w:rPr>
          <w:rFonts w:ascii="Times New Roman" w:cs="Times New Roman" w:eastAsia="Times New Roman" w:hAnsi="Times New Roman"/>
          <w:sz w:val="19"/>
          <w:szCs w:val="19"/>
          <w:color w:val="auto"/>
        </w:rPr>
        <w:t>“Special Equity Interest” means any Equity Interest that is subject to a Lien in favor of creditors of the issuer of such Equity Interest provided that (a) such Lien was created to secure Indebtedness owing by such issuer to such creditors, (b) such Indebtedness was (i) in existence and already secured by such Lien at the time the Obligors acquired such Equity Interest, (ii) incurred or assumed by such issuer and secured by such Lien substantially contemporaneously with such acquisition or (iii) a refinancing of the Indebtedness described in the foregoing clause (i) or clause (ii) and (c) unless such Equity Interest is not intended to be included in the Collateral, the documentation creating or governing such Lien does not prohibit the inclusion of such Equity Interest in the Collateral.</w:t>
      </w:r>
    </w:p>
    <w:p>
      <w:pPr>
        <w:spacing w:after="0" w:line="157" w:lineRule="exact"/>
        <w:rPr>
          <w:sz w:val="20"/>
          <w:szCs w:val="20"/>
          <w:color w:val="auto"/>
        </w:rPr>
      </w:pPr>
    </w:p>
    <w:p>
      <w:pPr>
        <w:ind w:right="20" w:firstLine="1404"/>
        <w:spacing w:after="0" w:line="255" w:lineRule="auto"/>
        <w:rPr>
          <w:sz w:val="20"/>
          <w:szCs w:val="20"/>
          <w:color w:val="auto"/>
        </w:rPr>
      </w:pPr>
      <w:r>
        <w:rPr>
          <w:rFonts w:ascii="Times New Roman" w:cs="Times New Roman" w:eastAsia="Times New Roman" w:hAnsi="Times New Roman"/>
          <w:sz w:val="19"/>
          <w:szCs w:val="19"/>
          <w:color w:val="auto"/>
        </w:rPr>
        <w:t>“Special Unsecured Indebtedness” means Indebtedness of an Obligor issued after the Effective Date (which may be Guaranteed by Subsidiary Guarantors) that (a) has no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Section 6.01(m) and Section 6.01(o)) prior to, and a final maturity date not earlier than, five years from the date such Indebtedness is issued (it being understood that</w:t>
      </w:r>
    </w:p>
    <w:p>
      <w:pPr>
        <w:spacing w:after="0" w:line="2" w:lineRule="exact"/>
        <w:rPr>
          <w:sz w:val="20"/>
          <w:szCs w:val="20"/>
          <w:color w:val="auto"/>
        </w:rPr>
      </w:pPr>
    </w:p>
    <w:p>
      <w:pPr>
        <w:ind w:right="440" w:firstLine="6"/>
        <w:spacing w:after="0" w:line="262" w:lineRule="auto"/>
        <w:tabs>
          <w:tab w:leader="none" w:pos="315"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(w) the conversion features into Permitted Equity Interests under convertible notes; (x) the triggering and/or settlement thereof or (y) any cash payment made in respect thereof, shall</w:t>
      </w:r>
    </w:p>
    <w:p>
      <w:pPr>
        <w:spacing w:after="0" w:line="147" w:lineRule="exact"/>
        <w:rPr>
          <w:sz w:val="20"/>
          <w:szCs w:val="20"/>
          <w:color w:val="auto"/>
        </w:rPr>
      </w:pPr>
    </w:p>
    <w:p>
      <w:pPr>
        <w:ind w:left="940" w:hanging="730"/>
        <w:spacing w:after="0"/>
        <w:tabs>
          <w:tab w:leader="none" w:pos="94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51" w:name="page152"/>
    <w:bookmarkEnd w:id="151"/>
    <w:p>
      <w:pPr>
        <w:spacing w:after="0" w:line="26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constitute “amortization” for purposes of this clause (a); and (B) any mandatory amortization that is contingent upon the happening of an event that is not certain to occur (including a change of control or bankruptcy) shall not in and of itself be deemed to disqualify such Indebtedness under this clause (a)), (b) is incurred pursuant to documentation containing (i) covenants and events of default that are not materially more burdensome on the Borrower than those set forth in the Loan Documents or (ii) terms substantially comparable to market terms for substantially similar debt of other similarly situated borrowers as determined by the Borrower in its reasonable judgment and (c) is not secured by any assets of any Obligor; provided that Special Unsecured Indebtedness shall not include any Indebtedness permitted pursuant to Section 6.01(l).</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“Specified Event of Default” means an Event of Default under Section 7.01(a), (b), (i), (j) and (k).</w:t>
      </w:r>
    </w:p>
    <w:p>
      <w:pPr>
        <w:spacing w:after="0" w:line="202" w:lineRule="exact"/>
        <w:rPr>
          <w:sz w:val="20"/>
          <w:szCs w:val="20"/>
          <w:color w:val="auto"/>
        </w:rPr>
      </w:pPr>
    </w:p>
    <w:p>
      <w:pPr>
        <w:ind w:firstLine="1452"/>
        <w:spacing w:after="0" w:line="259" w:lineRule="auto"/>
        <w:rPr>
          <w:sz w:val="20"/>
          <w:szCs w:val="20"/>
          <w:color w:val="auto"/>
        </w:rPr>
      </w:pPr>
      <w:r>
        <w:rPr>
          <w:rFonts w:ascii="Times New Roman" w:cs="Times New Roman" w:eastAsia="Times New Roman" w:hAnsi="Times New Roman"/>
          <w:sz w:val="19"/>
          <w:szCs w:val="19"/>
          <w:color w:val="auto"/>
        </w:rPr>
        <w:t>“Standard Securitization Undertakings”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“Sterling” means the lawful currency of the United Kingdom.</w:t>
      </w:r>
    </w:p>
    <w:p>
      <w:pPr>
        <w:spacing w:after="0" w:line="202" w:lineRule="exact"/>
        <w:rPr>
          <w:sz w:val="20"/>
          <w:szCs w:val="20"/>
          <w:color w:val="auto"/>
        </w:rPr>
      </w:pPr>
    </w:p>
    <w:p>
      <w:pPr>
        <w:ind w:right="40" w:firstLine="1404"/>
        <w:spacing w:after="0" w:line="254" w:lineRule="auto"/>
        <w:rPr>
          <w:sz w:val="20"/>
          <w:szCs w:val="20"/>
          <w:color w:val="auto"/>
        </w:rPr>
      </w:pPr>
      <w:r>
        <w:rPr>
          <w:rFonts w:ascii="Times New Roman" w:cs="Times New Roman" w:eastAsia="Times New Roman" w:hAnsi="Times New Roman"/>
          <w:sz w:val="19"/>
          <w:szCs w:val="19"/>
          <w:color w:val="auto"/>
        </w:rPr>
        <w:t>“Subsidiary”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60" w:lineRule="exact"/>
        <w:rPr>
          <w:sz w:val="20"/>
          <w:szCs w:val="20"/>
          <w:color w:val="auto"/>
        </w:rPr>
      </w:pPr>
    </w:p>
    <w:p>
      <w:pPr>
        <w:jc w:val="both"/>
        <w:ind w:right="120" w:firstLine="1404"/>
        <w:spacing w:after="0" w:line="268" w:lineRule="auto"/>
        <w:rPr>
          <w:sz w:val="20"/>
          <w:szCs w:val="20"/>
          <w:color w:val="auto"/>
        </w:rPr>
      </w:pPr>
      <w:r>
        <w:rPr>
          <w:rFonts w:ascii="Times New Roman" w:cs="Times New Roman" w:eastAsia="Times New Roman" w:hAnsi="Times New Roman"/>
          <w:sz w:val="19"/>
          <w:szCs w:val="19"/>
          <w:color w:val="auto"/>
        </w:rPr>
        <w:t>“Subsidiary Guarantor” means any Subsidiary that is a Guarantor under the Guarantee and Security Agreement. It is understood and agreed that no Financing Subsidiary, Immaterial Subsidiary, Foreign Subsidiary or a Subsidiary of a Foreign Subsidiary shall be a Subsidiary Guarantor.</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“Swedish Krona” means the lawful currency of Sweden.</w:t>
      </w:r>
    </w:p>
    <w:p>
      <w:pPr>
        <w:spacing w:after="0" w:line="202" w:lineRule="exact"/>
        <w:rPr>
          <w:sz w:val="20"/>
          <w:szCs w:val="20"/>
          <w:color w:val="auto"/>
        </w:rPr>
      </w:pPr>
    </w:p>
    <w:p>
      <w:pPr>
        <w:ind w:right="140" w:firstLine="1404"/>
        <w:spacing w:after="0" w:line="286" w:lineRule="auto"/>
        <w:rPr>
          <w:sz w:val="20"/>
          <w:szCs w:val="20"/>
          <w:color w:val="auto"/>
        </w:rPr>
      </w:pPr>
      <w:r>
        <w:rPr>
          <w:rFonts w:ascii="Times New Roman" w:cs="Times New Roman" w:eastAsia="Times New Roman" w:hAnsi="Times New Roman"/>
          <w:sz w:val="19"/>
          <w:szCs w:val="19"/>
          <w:color w:val="auto"/>
        </w:rPr>
        <w:t>“Swingline Exposure” means, at any time, the aggregate principal amount of all Swingline Loans outstanding at such time. The Swingline Exposure of any Lender at any time</w:t>
      </w:r>
    </w:p>
    <w:p>
      <w:pPr>
        <w:spacing w:after="0" w:line="126" w:lineRule="exact"/>
        <w:rPr>
          <w:sz w:val="20"/>
          <w:szCs w:val="20"/>
          <w:color w:val="auto"/>
        </w:rPr>
      </w:pPr>
    </w:p>
    <w:p>
      <w:pPr>
        <w:ind w:left="940" w:hanging="730"/>
        <w:spacing w:after="0"/>
        <w:tabs>
          <w:tab w:leader="none" w:pos="94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2" w:name="page153"/>
    <w:bookmarkEnd w:id="152"/>
    <w:p>
      <w:pPr>
        <w:spacing w:after="0" w:line="2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auto"/>
        </w:rPr>
        <w:t>shall be the sum of (a)(i) in the case of any Dollar Lender, its Applicable Dollar Percentage of the total Swingline Exposure at such time incurred under the Dollar Commitments and (ii) in the case of any Multicurrency Lender, its Applicable Multicurrency Percentage of the total Swingline Exposure at such time incurred under the Multicurrency Commitments (excluding, for purpose of this clause (a), in the case of any Lender that is a Swingline Lender, Swingline Loans made by it that are outstanding at such time to the extent that the other Lenders under such Lender’s Class of Commitments shall not have funded their participations in such Swingline Loans), adjusted, in each case, to give effect to any reallocation under Section 2.19 of the Swingline Exposure of Defaulting Lenders in effect at such time, plus (b) in the case of any Lender that is a Swingline Lender, the aggregate principal amount of all Swingline Loans made by such Lender outstanding at such time, less the amount of participations funded by the other Lenders under such Lender’s Class of Commitments in such Swingline Loans.</w:t>
      </w:r>
    </w:p>
    <w:p>
      <w:pPr>
        <w:spacing w:after="0" w:line="155"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“Swingline Lender” means any of Truist, JPMorgan Chase Bank, N.A., Barclays Bank PLC, Royal Bank of Canada, State Street Bank and Trust Company, Sumitomo Mitsui Banking Corporation and Wells Fargo Bank, N.A., each in its capacity as lender of Swingline Loans hereunder, and its successors in such capacity as provided in Section 2.04(d).</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“Swingline Loan” means a Loan made pursuant to Section 2.04.</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“Swiss Franc” means the lawful currency of Switzerland.</w:t>
      </w:r>
    </w:p>
    <w:p>
      <w:pPr>
        <w:spacing w:after="0" w:line="202" w:lineRule="exact"/>
        <w:rPr>
          <w:sz w:val="20"/>
          <w:szCs w:val="20"/>
          <w:color w:val="auto"/>
        </w:rPr>
      </w:pPr>
    </w:p>
    <w:p>
      <w:pPr>
        <w:ind w:right="740" w:firstLine="1404"/>
        <w:spacing w:after="0" w:line="286" w:lineRule="auto"/>
        <w:rPr>
          <w:sz w:val="20"/>
          <w:szCs w:val="20"/>
          <w:color w:val="auto"/>
        </w:rPr>
      </w:pPr>
      <w:r>
        <w:rPr>
          <w:rFonts w:ascii="Times New Roman" w:cs="Times New Roman" w:eastAsia="Times New Roman" w:hAnsi="Times New Roman"/>
          <w:sz w:val="19"/>
          <w:szCs w:val="19"/>
          <w:color w:val="auto"/>
        </w:rPr>
        <w:t>“Syndicated”, when used in reference to any Loan or Borrowing, refers to whether such Loan is, or the Loans constituting such Borrowing are, made pursuant to Section 2.01.</w:t>
      </w:r>
    </w:p>
    <w:p>
      <w:pPr>
        <w:spacing w:after="0" w:line="127" w:lineRule="exact"/>
        <w:rPr>
          <w:sz w:val="20"/>
          <w:szCs w:val="20"/>
          <w:color w:val="auto"/>
        </w:rPr>
      </w:pPr>
    </w:p>
    <w:p>
      <w:pPr>
        <w:ind w:right="100" w:firstLine="1404"/>
        <w:spacing w:after="0" w:line="286" w:lineRule="auto"/>
        <w:rPr>
          <w:sz w:val="20"/>
          <w:szCs w:val="20"/>
          <w:color w:val="auto"/>
        </w:rPr>
      </w:pPr>
      <w:r>
        <w:rPr>
          <w:rFonts w:ascii="Times New Roman" w:cs="Times New Roman" w:eastAsia="Times New Roman" w:hAnsi="Times New Roman"/>
          <w:sz w:val="19"/>
          <w:szCs w:val="19"/>
          <w:color w:val="auto"/>
        </w:rPr>
        <w:t>“T2” means the real time gross settlement system operated by the Eurosystem, or any successor system as determined by the Administrative Agent to be a suitable replacement.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“TARGET Day” means any day on which the T2 is open for the settlement of payments in Euros.</w:t>
      </w:r>
    </w:p>
    <w:p>
      <w:pPr>
        <w:spacing w:after="0" w:line="202" w:lineRule="exact"/>
        <w:rPr>
          <w:sz w:val="20"/>
          <w:szCs w:val="20"/>
          <w:color w:val="auto"/>
        </w:rPr>
      </w:pPr>
    </w:p>
    <w:p>
      <w:pPr>
        <w:ind w:right="360" w:firstLine="1404"/>
        <w:spacing w:after="0" w:line="268" w:lineRule="auto"/>
        <w:rPr>
          <w:sz w:val="20"/>
          <w:szCs w:val="20"/>
          <w:color w:val="auto"/>
        </w:rPr>
      </w:pPr>
      <w:r>
        <w:rPr>
          <w:rFonts w:ascii="Times New Roman" w:cs="Times New Roman" w:eastAsia="Times New Roman" w:hAnsi="Times New Roman"/>
          <w:sz w:val="19"/>
          <w:szCs w:val="19"/>
          <w:color w:val="auto"/>
        </w:rPr>
        <w:t>“Taxes”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44" w:lineRule="exact"/>
        <w:rPr>
          <w:sz w:val="20"/>
          <w:szCs w:val="20"/>
          <w:color w:val="auto"/>
        </w:rPr>
      </w:pPr>
    </w:p>
    <w:p>
      <w:pPr>
        <w:ind w:right="240" w:firstLine="1404"/>
        <w:spacing w:after="0" w:line="286" w:lineRule="auto"/>
        <w:rPr>
          <w:sz w:val="20"/>
          <w:szCs w:val="20"/>
          <w:color w:val="auto"/>
        </w:rPr>
      </w:pPr>
      <w:r>
        <w:rPr>
          <w:rFonts w:ascii="Times New Roman" w:cs="Times New Roman" w:eastAsia="Times New Roman" w:hAnsi="Times New Roman"/>
          <w:sz w:val="19"/>
          <w:szCs w:val="19"/>
          <w:color w:val="auto"/>
        </w:rPr>
        <w:t>“Term Benchmark”, when used in reference to any Loan or Borrowing, refers to whether such Loan is, or the Loans constituting such Borrowing are, bearing interest at a rate determined by reference to the Adjusted Term Benchmark Rate.</w:t>
      </w:r>
    </w:p>
    <w:p>
      <w:pPr>
        <w:spacing w:after="0" w:line="127" w:lineRule="exact"/>
        <w:rPr>
          <w:sz w:val="20"/>
          <w:szCs w:val="20"/>
          <w:color w:val="auto"/>
        </w:rPr>
      </w:pPr>
    </w:p>
    <w:p>
      <w:pPr>
        <w:ind w:right="340" w:firstLine="1404"/>
        <w:spacing w:after="0" w:line="286" w:lineRule="auto"/>
        <w:rPr>
          <w:sz w:val="20"/>
          <w:szCs w:val="20"/>
          <w:color w:val="auto"/>
        </w:rPr>
      </w:pPr>
      <w:r>
        <w:rPr>
          <w:rFonts w:ascii="Times New Roman" w:cs="Times New Roman" w:eastAsia="Times New Roman" w:hAnsi="Times New Roman"/>
          <w:sz w:val="19"/>
          <w:szCs w:val="19"/>
          <w:color w:val="auto"/>
        </w:rPr>
        <w:t>“Term Benchmark Banking Day” means for Term Benchmark Loans, Term Benchmark Borrowings, interest, fees, commissions or other amounts denominated in, or calculated with respect to:</w:t>
      </w:r>
    </w:p>
    <w:p>
      <w:pPr>
        <w:spacing w:after="0" w:line="127" w:lineRule="exact"/>
        <w:rPr>
          <w:sz w:val="20"/>
          <w:szCs w:val="20"/>
          <w:color w:val="auto"/>
        </w:rPr>
      </w:pPr>
    </w:p>
    <w:p>
      <w:pPr>
        <w:ind w:left="1680" w:hanging="270"/>
        <w:spacing w:after="0"/>
        <w:tabs>
          <w:tab w:leader="none" w:pos="168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Dollars, a U.S. Government Securities Business Day;</w:t>
      </w:r>
    </w:p>
    <w:p>
      <w:pPr>
        <w:spacing w:after="0" w:line="201"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Euros, a TARGET Day;</w:t>
      </w:r>
    </w:p>
    <w:p>
      <w:pPr>
        <w:spacing w:after="0" w:line="200" w:lineRule="exact"/>
        <w:rPr>
          <w:sz w:val="20"/>
          <w:szCs w:val="20"/>
          <w:color w:val="auto"/>
        </w:rPr>
      </w:pPr>
    </w:p>
    <w:p>
      <w:pPr>
        <w:ind w:left="940" w:hanging="730"/>
        <w:spacing w:after="0"/>
        <w:tabs>
          <w:tab w:leader="none" w:pos="94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3" w:name="page154"/>
    <w:bookmarkEnd w:id="153"/>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 Canadian Dollars, any day (other than a Saturday or Sunday) on which banks are open for business in Toronto,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Canada;</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(d) Australian Dollars, any day (other than a Saturday or Sunday) on which banks are open for business in Melbourne,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Australia;</w:t>
      </w:r>
    </w:p>
    <w:p>
      <w:pPr>
        <w:spacing w:after="0" w:line="180" w:lineRule="exact"/>
        <w:rPr>
          <w:sz w:val="20"/>
          <w:szCs w:val="20"/>
          <w:color w:val="auto"/>
        </w:rPr>
      </w:pPr>
    </w:p>
    <w:p>
      <w:pPr>
        <w:ind w:right="720" w:firstLine="1410"/>
        <w:spacing w:after="0" w:line="286" w:lineRule="auto"/>
        <w:tabs>
          <w:tab w:leader="none" w:pos="1665"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Zealand Dollars, any day (other than a Saturday or Sunday) on which banks are open for business in Auckland, New Zealand;</w:t>
      </w:r>
    </w:p>
    <w:p>
      <w:pPr>
        <w:spacing w:after="0" w:line="127" w:lineRule="exact"/>
        <w:rPr>
          <w:rFonts w:ascii="Times New Roman" w:cs="Times New Roman" w:eastAsia="Times New Roman" w:hAnsi="Times New Roman"/>
          <w:sz w:val="19"/>
          <w:szCs w:val="19"/>
          <w:color w:val="auto"/>
        </w:rPr>
      </w:pPr>
    </w:p>
    <w:p>
      <w:pPr>
        <w:ind w:left="1660" w:hanging="250"/>
        <w:spacing w:after="0"/>
        <w:tabs>
          <w:tab w:leader="none" w:pos="166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Swedish Krona, any day (other than a Saturday or Sunday) on which banks are open for business in Stockholm,</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Sweden; or</w:t>
      </w:r>
    </w:p>
    <w:p>
      <w:pPr>
        <w:spacing w:after="0" w:line="179" w:lineRule="exact"/>
        <w:rPr>
          <w:rFonts w:ascii="Times New Roman" w:cs="Times New Roman" w:eastAsia="Times New Roman" w:hAnsi="Times New Roman"/>
          <w:sz w:val="19"/>
          <w:szCs w:val="19"/>
          <w:color w:val="auto"/>
        </w:rPr>
      </w:pPr>
    </w:p>
    <w:p>
      <w:pPr>
        <w:ind w:left="1440" w:right="180" w:hanging="30"/>
        <w:spacing w:after="0" w:line="461" w:lineRule="auto"/>
        <w:tabs>
          <w:tab w:leader="none" w:pos="1676"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Japanese Yen, any day (other than a Saturday or Sunday) on which banks are open for business in Tokyo, Japan. “Term Benchmark Rate” means, for any Interest Period:</w:t>
      </w:r>
    </w:p>
    <w:p>
      <w:pPr>
        <w:ind w:left="14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in the case of Term Benchmark Borrowings denominated in Dollars, Term SOFR for such Interest Period;</w:t>
      </w:r>
    </w:p>
    <w:p>
      <w:pPr>
        <w:spacing w:after="0" w:line="202" w:lineRule="exact"/>
        <w:rPr>
          <w:sz w:val="20"/>
          <w:szCs w:val="20"/>
          <w:color w:val="auto"/>
        </w:rPr>
      </w:pPr>
    </w:p>
    <w:p>
      <w:pPr>
        <w:ind w:right="40" w:firstLine="1410"/>
        <w:spacing w:after="0" w:line="257" w:lineRule="auto"/>
        <w:tabs>
          <w:tab w:leader="none" w:pos="1676"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Euros, the rate per annum equal to the Euro Interbank Offered Rate as administered by the European Money Markets Institute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(Brussels time) two (2) Term Benchmark Banking Days for Euros prior to the first day of such Interest Period (the “EURIBOR Screen Rate”);</w:t>
      </w:r>
    </w:p>
    <w:p>
      <w:pPr>
        <w:spacing w:after="0" w:line="156" w:lineRule="exact"/>
        <w:rPr>
          <w:rFonts w:ascii="Times New Roman" w:cs="Times New Roman" w:eastAsia="Times New Roman" w:hAnsi="Times New Roman"/>
          <w:sz w:val="19"/>
          <w:szCs w:val="19"/>
          <w:color w:val="auto"/>
        </w:rPr>
      </w:pPr>
    </w:p>
    <w:p>
      <w:pPr>
        <w:ind w:left="1680" w:hanging="270"/>
        <w:spacing w:after="0"/>
        <w:tabs>
          <w:tab w:leader="none" w:pos="168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Canadian Dollars, Term CORRA for such Interest</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Period;</w:t>
      </w:r>
    </w:p>
    <w:p>
      <w:pPr>
        <w:spacing w:after="0" w:line="179" w:lineRule="exact"/>
        <w:rPr>
          <w:rFonts w:ascii="Times New Roman" w:cs="Times New Roman" w:eastAsia="Times New Roman" w:hAnsi="Times New Roman"/>
          <w:sz w:val="19"/>
          <w:szCs w:val="19"/>
          <w:color w:val="auto"/>
        </w:rPr>
      </w:pPr>
    </w:p>
    <w:p>
      <w:pPr>
        <w:ind w:right="80" w:firstLine="1410"/>
        <w:spacing w:after="0" w:line="256" w:lineRule="auto"/>
        <w:tabs>
          <w:tab w:leader="none" w:pos="1676"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Australian Dollars, the rate per annum equal to the Bank Bill Swap Reference Bid rate or a successor thereto approved by the Administrative Agent (“BBSY”) as published by Reuters (or such other page or commercially available source providing BBSY (Bid) quotations as may be designated by the Administrative Agent from time to time) at or about 10:30 a.m. (Melbourne, Australia time) on the day that is two (2) Term Benchmark Banking Days for Australian Dollars prior to the first day of the Interest Period (or if such day is not an Term Benchmark Banking Day for Australian Dollars, then on the immediately preceding Term Benchmark Banking Day for Australian Dollars) with a term equivalent to such Interest Period;</w:t>
      </w:r>
    </w:p>
    <w:p>
      <w:pPr>
        <w:spacing w:after="0" w:line="157" w:lineRule="exact"/>
        <w:rPr>
          <w:rFonts w:ascii="Times New Roman" w:cs="Times New Roman" w:eastAsia="Times New Roman" w:hAnsi="Times New Roman"/>
          <w:sz w:val="19"/>
          <w:szCs w:val="19"/>
          <w:color w:val="auto"/>
        </w:rPr>
      </w:pPr>
    </w:p>
    <w:p>
      <w:pPr>
        <w:ind w:right="40" w:firstLine="1410"/>
        <w:spacing w:after="0" w:line="259" w:lineRule="auto"/>
        <w:tabs>
          <w:tab w:leader="none" w:pos="1665"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New Zealand Dollars, the rate per annum equal to the Bank Bill Reference Bid Rate or a successor thereto approved by the Administrative Agent (“BKBM”) as published by Reuters (or such other page or commercially available source providing BKBM (Bid) quotations as may be designated by the Administrative Agent from time to time) at or about 10:45 a.m. (Auckland, New Zealand time) on the day that is two (2) Term Benchmark Banking Days for New Zealand Dollars prior to the</w:t>
      </w:r>
    </w:p>
    <w:p>
      <w:pPr>
        <w:spacing w:after="0" w:line="152" w:lineRule="exact"/>
        <w:rPr>
          <w:sz w:val="20"/>
          <w:szCs w:val="20"/>
          <w:color w:val="auto"/>
        </w:rPr>
      </w:pPr>
    </w:p>
    <w:p>
      <w:pPr>
        <w:ind w:left="940" w:hanging="730"/>
        <w:spacing w:after="0"/>
        <w:tabs>
          <w:tab w:leader="none" w:pos="94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54" w:name="page155"/>
    <w:bookmarkEnd w:id="154"/>
    <w:p>
      <w:pPr>
        <w:spacing w:after="0" w:line="26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9"/>
          <w:szCs w:val="19"/>
          <w:color w:val="auto"/>
        </w:rPr>
        <w:t>first day of the Interest Period (or if such day is not an Term Benchmark Banking Day for New Zealand Dollars, then on the immediately preceding Term Benchmark Banking Day for New Zealand Dollars) with a term equivalent to such Interest Period;</w:t>
      </w:r>
    </w:p>
    <w:p>
      <w:pPr>
        <w:spacing w:after="0" w:line="127" w:lineRule="exact"/>
        <w:rPr>
          <w:sz w:val="20"/>
          <w:szCs w:val="20"/>
          <w:color w:val="auto"/>
        </w:rPr>
      </w:pPr>
    </w:p>
    <w:p>
      <w:pPr>
        <w:ind w:right="40" w:firstLine="1410"/>
        <w:spacing w:after="0" w:line="257" w:lineRule="auto"/>
        <w:tabs>
          <w:tab w:leader="none" w:pos="1644"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Swedish Krona, the rate per annum equal to the Stockholm Interbank Offered Rate or a successor thereto approved by the Administrative Agent (“STIBOR”) as published by Reuters (or such other page or commercially available source providing STIBOR quotations as may be designated by the Administrative Agent from time to time) at or about 11:00 a.m. (Stockholm, Sweden time) on the day that is two (2) Term Benchmark Banking Days for Swedish Krona prior to the first day of the Interest Period (or if such day is not an Term Benchmark Banking Day for Swedish Krona, then on the immediately preceding Term Benchmark Banking Day for Swedish Krona) with a term equivalent to such Interest Period; and</w:t>
      </w:r>
    </w:p>
    <w:p>
      <w:pPr>
        <w:spacing w:after="0" w:line="156" w:lineRule="exact"/>
        <w:rPr>
          <w:rFonts w:ascii="Times New Roman" w:cs="Times New Roman" w:eastAsia="Times New Roman" w:hAnsi="Times New Roman"/>
          <w:sz w:val="19"/>
          <w:szCs w:val="19"/>
          <w:color w:val="auto"/>
        </w:rPr>
      </w:pPr>
    </w:p>
    <w:p>
      <w:pPr>
        <w:ind w:firstLine="1410"/>
        <w:spacing w:after="0" w:line="257" w:lineRule="auto"/>
        <w:tabs>
          <w:tab w:leader="none" w:pos="1676"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Term Benchmark Borrowings denominated in Japanese Yen, the rate per annum equal to the Tokyo Interbank Offered Rate as administered by the Ippan Shadan Hojin JBA TIBOR Administration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(Tokyo time) two (2) Term Benchmark Banking Days for Japanese Yen prior to the first day of such Interest Period;</w:t>
      </w:r>
    </w:p>
    <w:p>
      <w:pPr>
        <w:spacing w:after="0" w:line="157" w:lineRule="exact"/>
        <w:rPr>
          <w:sz w:val="20"/>
          <w:szCs w:val="20"/>
          <w:color w:val="auto"/>
        </w:rPr>
      </w:pPr>
    </w:p>
    <w:p>
      <w:pPr>
        <w:ind w:right="740" w:firstLine="1404"/>
        <w:spacing w:after="0" w:line="286" w:lineRule="auto"/>
        <w:rPr>
          <w:sz w:val="20"/>
          <w:szCs w:val="20"/>
          <w:color w:val="auto"/>
        </w:rPr>
      </w:pPr>
      <w:r>
        <w:rPr>
          <w:rFonts w:ascii="Times New Roman" w:cs="Times New Roman" w:eastAsia="Times New Roman" w:hAnsi="Times New Roman"/>
          <w:sz w:val="19"/>
          <w:szCs w:val="19"/>
          <w:color w:val="auto"/>
        </w:rPr>
        <w:t>provided, in each case, if such rate for any Currency is less than zero, such rate shall be deemed to be zero for purposes of this Agreement.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“Term Commitments” means each Lender’s Initial Term Commitments and Incremental Term Commitments.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“Term CORRA” means,</w:t>
      </w:r>
    </w:p>
    <w:p>
      <w:pPr>
        <w:spacing w:after="0" w:line="202" w:lineRule="exact"/>
        <w:rPr>
          <w:sz w:val="20"/>
          <w:szCs w:val="20"/>
          <w:color w:val="auto"/>
        </w:rPr>
      </w:pPr>
    </w:p>
    <w:p>
      <w:pPr>
        <w:ind w:right="40" w:firstLine="1410"/>
        <w:spacing w:after="0" w:line="253" w:lineRule="auto"/>
        <w:tabs>
          <w:tab w:leader="none" w:pos="1665"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Term Benchmark Loan denominated in Canadian Dollars for any Interest Period, the sum of (i) the applicable Term CORRA Credit Adjustment Spread for such Interest Period and (ii) the Term CORRA Reference Rate for a tenor comparable to the applicable Interest Period on the day (such day, the “Periodic Term CORRA Determination Day”) that is two (2) Term Benchmark Banking Days prior to the first day of such Interest Period, as such rate is published by the Term CORRA Administrator and is displayed on a screen or other information service, as identified or selected by the Administrative Agent;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clause (a)(ii) of this definition will be the Term CORRA Reference Rate for such tenor as published by the Term CORRA Administrator on the first preceding Term Benchmark Banking Day for which such Term CORRA Reference Rate for such tenor was published by the Term CORRA Administrator so long as such first preceding Term Benchmark Banking Day is not more than three (3) Business Days prior to such Periodic Term CORRA Determination Day; and</w:t>
      </w:r>
    </w:p>
    <w:p>
      <w:pPr>
        <w:spacing w:after="0" w:line="393" w:lineRule="exact"/>
        <w:rPr>
          <w:sz w:val="20"/>
          <w:szCs w:val="20"/>
          <w:color w:val="auto"/>
        </w:rPr>
      </w:pPr>
    </w:p>
    <w:p>
      <w:pPr>
        <w:ind w:left="940" w:hanging="730"/>
        <w:spacing w:after="0"/>
        <w:tabs>
          <w:tab w:leader="none" w:pos="94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55" w:name="page156"/>
    <w:bookmarkEnd w:id="155"/>
    <w:p>
      <w:pPr>
        <w:spacing w:after="0" w:line="269" w:lineRule="exact"/>
        <w:rPr>
          <w:sz w:val="20"/>
          <w:szCs w:val="20"/>
          <w:color w:val="auto"/>
        </w:rPr>
      </w:pPr>
    </w:p>
    <w:p>
      <w:pPr>
        <w:ind w:firstLine="1410"/>
        <w:spacing w:after="0" w:line="254" w:lineRule="auto"/>
        <w:tabs>
          <w:tab w:leader="none" w:pos="1676"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the Canadian Prime Rate for any day, the sum of (i) the Term CORRA Credit Adjustment Spread for Term Benchmark Loans for an Interest Period of one month and (ii) the Term CORRA Reference Rate for a tenor of one month on the day (such day, the “Canadian Prime Rate Term CORRA Determination Day”) that is two (2) Term Benchmark Banking Days prior to such day, as such rate is published by the Term CORRA Administrator and is displayed on a screen or other information service, as identified or selected by the Administrative Agent; provided, however, that if as of 1:00 p.m. (Toronto time) on any Canadian Prime Rate Term CORRA Determination Day the Term CORRA Reference Rate for the applicable tenor has not been published by the Term CORRA Administrator and a Benchmark Replacement Date with respect to the Term CORRA Reference Rate has not occurred, then clause (b)(ii) of this definition will be the Term CORRA Reference Rate for such tenor as published by the Term CORRA Administrator on the first preceding Term Benchmark Banking Day for which such Term CORRA Reference Rate for such tenor was published by the Term CORRA Administrator so long as such first preceding Term Benchmark Banking Day is not more than three (3) Business Days prior to such Canadian Prime Rate Term CORRA Determination Day.</w:t>
      </w:r>
    </w:p>
    <w:p>
      <w:pPr>
        <w:spacing w:after="0" w:line="157"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“Term CORRA Administrator” means Candeal Benchmark Administration Services Inc., TSX Inc., or any successor administrator of the Term CORRA Reference Rate selected by the Administrative Agent in its reasonable discretion.</w:t>
      </w:r>
    </w:p>
    <w:p>
      <w:pPr>
        <w:spacing w:after="0" w:line="127"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“Term CORRA Credit Adjustment Spread” means, with respect to Term Benchmark Loans denominated in Canadian Dollars, (a) with an Interest Period of one month, 0.29547% and (b) with an Interest Period of three months, 0.32138%.</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“Term CORRA Reference Rate” means the forward-looking term rate based on CORRA.</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“Term Lender” means each Lender having a Term Commitment or, as the case may be, an outstanding Term Loan.</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“Term Loans” means the Initial Term Loan and the Incremental Term Loans.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“Term SOFR” means,</w:t>
      </w:r>
    </w:p>
    <w:p>
      <w:pPr>
        <w:spacing w:after="0" w:line="202" w:lineRule="exact"/>
        <w:rPr>
          <w:sz w:val="20"/>
          <w:szCs w:val="20"/>
          <w:color w:val="auto"/>
        </w:rPr>
      </w:pPr>
    </w:p>
    <w:p>
      <w:pPr>
        <w:ind w:right="100" w:firstLine="1410"/>
        <w:spacing w:after="0" w:line="254" w:lineRule="auto"/>
        <w:tabs>
          <w:tab w:leader="none" w:pos="1665"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Term Benchmark Loan denominated in Dollars for any Interest Period, the sum of (i) the Term SOFR Credit Adjustment Spread and (ii)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clause (a)(ii) of this definition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w:t>
      </w:r>
    </w:p>
    <w:p>
      <w:pPr>
        <w:spacing w:after="0" w:line="159" w:lineRule="exact"/>
        <w:rPr>
          <w:sz w:val="20"/>
          <w:szCs w:val="20"/>
          <w:color w:val="auto"/>
        </w:rPr>
      </w:pPr>
    </w:p>
    <w:p>
      <w:pPr>
        <w:ind w:left="940" w:hanging="730"/>
        <w:spacing w:after="0"/>
        <w:tabs>
          <w:tab w:leader="none" w:pos="94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6" w:name="page157"/>
    <w:bookmarkEnd w:id="156"/>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U.S. Government Securities Business Days prior to such Periodic Term SOFR Determination Day, and</w:t>
      </w:r>
    </w:p>
    <w:p>
      <w:pPr>
        <w:spacing w:after="0" w:line="202" w:lineRule="exact"/>
        <w:rPr>
          <w:sz w:val="20"/>
          <w:szCs w:val="20"/>
          <w:color w:val="auto"/>
        </w:rPr>
      </w:pPr>
    </w:p>
    <w:p>
      <w:pPr>
        <w:ind w:firstLine="1410"/>
        <w:spacing w:after="0" w:line="254" w:lineRule="auto"/>
        <w:tabs>
          <w:tab w:leader="none" w:pos="1676"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an ABR Loan on any day, the sum of (i) the Term SOFR Credit Adjustment Spread and (ii) the Term SOFR Reference Rate for a tenor of one month on the day (such day, the “Base Rate Term SOFR Determination Day”) that is two (2) U.S. Government Securities Business Days prior to such day, as such rate is published by the Term SOFR Administrator; provided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clause (b)(ii) of this definition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60" w:lineRule="exact"/>
        <w:rPr>
          <w:sz w:val="20"/>
          <w:szCs w:val="20"/>
          <w:color w:val="auto"/>
        </w:rPr>
      </w:pPr>
    </w:p>
    <w:p>
      <w:pPr>
        <w:ind w:right="540" w:firstLine="1404"/>
        <w:spacing w:after="0" w:line="286" w:lineRule="auto"/>
        <w:rPr>
          <w:sz w:val="20"/>
          <w:szCs w:val="20"/>
          <w:color w:val="auto"/>
        </w:rPr>
      </w:pPr>
      <w:r>
        <w:rPr>
          <w:rFonts w:ascii="Times New Roman" w:cs="Times New Roman" w:eastAsia="Times New Roman" w:hAnsi="Times New Roman"/>
          <w:sz w:val="19"/>
          <w:szCs w:val="19"/>
          <w:color w:val="auto"/>
        </w:rPr>
        <w:t>“Term SOFR Administrator” means the CME Group Benchmark Administration Limited (CBA) (or a successor administrator of the Term SOFR Reference Rate selected by the Administrative Agent in its reasonable discretion).</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“Term SOFR Credit Adjustment Spread” means 0.10%.</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“Term SOFR Reference Rate” means the forward-looking term rate based on SOFR.</w:t>
      </w:r>
    </w:p>
    <w:p>
      <w:pPr>
        <w:spacing w:after="0" w:line="202" w:lineRule="exact"/>
        <w:rPr>
          <w:sz w:val="20"/>
          <w:szCs w:val="20"/>
          <w:color w:val="auto"/>
        </w:rPr>
      </w:pPr>
    </w:p>
    <w:p>
      <w:pPr>
        <w:jc w:val="both"/>
        <w:ind w:right="340" w:firstLine="1404"/>
        <w:spacing w:after="0" w:line="286" w:lineRule="auto"/>
        <w:rPr>
          <w:sz w:val="20"/>
          <w:szCs w:val="20"/>
          <w:color w:val="auto"/>
        </w:rPr>
      </w:pPr>
      <w:r>
        <w:rPr>
          <w:rFonts w:ascii="Times New Roman" w:cs="Times New Roman" w:eastAsia="Times New Roman" w:hAnsi="Times New Roman"/>
          <w:sz w:val="19"/>
          <w:szCs w:val="19"/>
          <w:color w:val="auto"/>
        </w:rPr>
        <w:t>“Termination Date” means the earliest to occur of (i) the Final Maturity Date, (ii) the date of the termination of the Commitments in full pursuant to Section 2.08(c), or (iii) the date on which the Commitments are terminated pursuant to Article VII.</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“Testing Period” has the meaning assigned to such term in Section 5.12(b)(ii)(E)(x).</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“Testing Quarter” has the meaning assigned to such term in Section 5.12(b)(ii)(B).</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“Third Amendment Effective Date” means March 4, 2025.</w:t>
      </w:r>
    </w:p>
    <w:p>
      <w:pPr>
        <w:spacing w:after="0" w:line="202" w:lineRule="exact"/>
        <w:rPr>
          <w:sz w:val="20"/>
          <w:szCs w:val="20"/>
          <w:color w:val="auto"/>
        </w:rPr>
      </w:pPr>
    </w:p>
    <w:p>
      <w:pPr>
        <w:ind w:right="260" w:firstLine="1404"/>
        <w:spacing w:after="0" w:line="286" w:lineRule="auto"/>
        <w:rPr>
          <w:sz w:val="20"/>
          <w:szCs w:val="20"/>
          <w:color w:val="auto"/>
        </w:rPr>
      </w:pPr>
      <w:r>
        <w:rPr>
          <w:rFonts w:ascii="Times New Roman" w:cs="Times New Roman" w:eastAsia="Times New Roman" w:hAnsi="Times New Roman"/>
          <w:sz w:val="19"/>
          <w:szCs w:val="19"/>
          <w:color w:val="auto"/>
        </w:rPr>
        <w:t>“Total Assets” means, as of any date of determination, the value of the total assets of the Obligors, less all liabilities and indebtedness not represented by senior securities, in each case, as of such date of determination.</w:t>
      </w:r>
    </w:p>
    <w:p>
      <w:pPr>
        <w:spacing w:after="0" w:line="127"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“Total Assets Concentration Limitation” means, as of any date of determination, the amount by which the aggregate value of Equity Interests in Financing Subsidiaries held by the Obligors as of such date of determination exceeds 15% of the Total Assets as of such date of determination.</w:t>
      </w:r>
    </w:p>
    <w:p>
      <w:pPr>
        <w:spacing w:after="0" w:line="144" w:lineRule="exact"/>
        <w:rPr>
          <w:sz w:val="20"/>
          <w:szCs w:val="20"/>
          <w:color w:val="auto"/>
        </w:rPr>
      </w:pPr>
    </w:p>
    <w:p>
      <w:pPr>
        <w:ind w:right="240" w:firstLine="1404"/>
        <w:spacing w:after="0" w:line="286" w:lineRule="auto"/>
        <w:rPr>
          <w:sz w:val="20"/>
          <w:szCs w:val="20"/>
          <w:color w:val="auto"/>
        </w:rPr>
      </w:pPr>
      <w:r>
        <w:rPr>
          <w:rFonts w:ascii="Times New Roman" w:cs="Times New Roman" w:eastAsia="Times New Roman" w:hAnsi="Times New Roman"/>
          <w:sz w:val="19"/>
          <w:szCs w:val="19"/>
          <w:color w:val="auto"/>
        </w:rPr>
        <w:t>“Total Secured Debt” means, as of any date of determination, the aggregate amount of senior securities representing secured indebtedness of the Obligors as of such date of</w:t>
      </w:r>
    </w:p>
    <w:p>
      <w:pPr>
        <w:spacing w:after="0" w:line="126" w:lineRule="exact"/>
        <w:rPr>
          <w:sz w:val="20"/>
          <w:szCs w:val="20"/>
          <w:color w:val="auto"/>
        </w:rPr>
      </w:pPr>
    </w:p>
    <w:p>
      <w:pPr>
        <w:ind w:left="940" w:hanging="730"/>
        <w:spacing w:after="0"/>
        <w:tabs>
          <w:tab w:leader="none" w:pos="94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57" w:name="page158"/>
    <w:bookmarkEnd w:id="157"/>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determination, which, for the avoidance of doubt, shall not include any indebtedness under any Capital Call Facility.</w:t>
      </w:r>
    </w:p>
    <w:p>
      <w:pPr>
        <w:spacing w:after="0" w:line="202"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“Transactions” means the execution, delivery and performance by the Borrower of this Agreement and the other Loan Documents, the borrowing of Loans, the use of the proceeds thereof and the issuance of Letters of Credit hereunder.</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“Truist” means Truist Bank.</w:t>
      </w:r>
    </w:p>
    <w:p>
      <w:pPr>
        <w:spacing w:after="0" w:line="202"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“Type”, when used in reference to any Loan or Borrowing, refers to whether the rate of interest on such Loan, or on the Loans constituting such Borrowing, is determined by reference to the Adjusted Term Benchmark Rate, the Daily Simple RFR or the Alternate Base Rate.</w:t>
      </w:r>
    </w:p>
    <w:p>
      <w:pPr>
        <w:spacing w:after="0" w:line="144" w:lineRule="exact"/>
        <w:rPr>
          <w:sz w:val="20"/>
          <w:szCs w:val="20"/>
          <w:color w:val="auto"/>
        </w:rPr>
      </w:pPr>
    </w:p>
    <w:p>
      <w:pPr>
        <w:ind w:right="120" w:firstLine="1404"/>
        <w:spacing w:after="0" w:line="262" w:lineRule="auto"/>
        <w:rPr>
          <w:sz w:val="20"/>
          <w:szCs w:val="20"/>
          <w:color w:val="auto"/>
        </w:rPr>
      </w:pPr>
      <w:r>
        <w:rPr>
          <w:rFonts w:ascii="Times New Roman" w:cs="Times New Roman" w:eastAsia="Times New Roman" w:hAnsi="Times New Roman"/>
          <w:sz w:val="19"/>
          <w:szCs w:val="19"/>
          <w:color w:val="auto"/>
        </w:rPr>
        <w:t>“UK Financial Institution”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0" w:lineRule="exact"/>
        <w:rPr>
          <w:sz w:val="20"/>
          <w:szCs w:val="20"/>
          <w:color w:val="auto"/>
        </w:rPr>
      </w:pPr>
    </w:p>
    <w:p>
      <w:pPr>
        <w:ind w:right="940" w:firstLine="1404"/>
        <w:spacing w:after="0" w:line="286" w:lineRule="auto"/>
        <w:rPr>
          <w:sz w:val="20"/>
          <w:szCs w:val="20"/>
          <w:color w:val="auto"/>
        </w:rPr>
      </w:pPr>
      <w:r>
        <w:rPr>
          <w:rFonts w:ascii="Times New Roman" w:cs="Times New Roman" w:eastAsia="Times New Roman" w:hAnsi="Times New Roman"/>
          <w:sz w:val="19"/>
          <w:szCs w:val="19"/>
          <w:color w:val="auto"/>
        </w:rPr>
        <w:t>“UK Resolution Authority” means the Bank of England or any other public administrative authority having responsibility for the resolution of any UK Financial Institution.</w:t>
      </w:r>
    </w:p>
    <w:p>
      <w:pPr>
        <w:spacing w:after="0" w:line="127" w:lineRule="exact"/>
        <w:rPr>
          <w:sz w:val="20"/>
          <w:szCs w:val="20"/>
          <w:color w:val="auto"/>
        </w:rPr>
      </w:pPr>
    </w:p>
    <w:p>
      <w:pPr>
        <w:ind w:right="860" w:firstLine="1404"/>
        <w:spacing w:after="0" w:line="286" w:lineRule="auto"/>
        <w:rPr>
          <w:sz w:val="20"/>
          <w:szCs w:val="20"/>
          <w:color w:val="auto"/>
        </w:rPr>
      </w:pPr>
      <w:r>
        <w:rPr>
          <w:rFonts w:ascii="Times New Roman" w:cs="Times New Roman" w:eastAsia="Times New Roman" w:hAnsi="Times New Roman"/>
          <w:sz w:val="19"/>
          <w:szCs w:val="19"/>
          <w:color w:val="auto"/>
        </w:rPr>
        <w:t>“Unadjusted Benchmark Replacement” means the applicable Benchmark Replacement excluding the related Benchmark Replacement Adjustment.</w:t>
      </w:r>
    </w:p>
    <w:p>
      <w:pPr>
        <w:spacing w:after="0" w:line="127" w:lineRule="exact"/>
        <w:rPr>
          <w:sz w:val="20"/>
          <w:szCs w:val="20"/>
          <w:color w:val="auto"/>
        </w:rPr>
      </w:pPr>
    </w:p>
    <w:p>
      <w:pPr>
        <w:ind w:right="120" w:firstLine="1404"/>
        <w:spacing w:after="0" w:line="268" w:lineRule="auto"/>
        <w:rPr>
          <w:sz w:val="20"/>
          <w:szCs w:val="20"/>
          <w:color w:val="auto"/>
        </w:rPr>
      </w:pPr>
      <w:r>
        <w:rPr>
          <w:rFonts w:ascii="Times New Roman" w:cs="Times New Roman" w:eastAsia="Times New Roman" w:hAnsi="Times New Roman"/>
          <w:sz w:val="19"/>
          <w:szCs w:val="19"/>
          <w:color w:val="auto"/>
        </w:rPr>
        <w:t>“Unasserted Contingent Obligations” means all (i) unasserted contingent indemnification obligations not then due and payable and (ii) unasserted expense reimbursement obligations not then due and payable. For the avoidance of doubt, “Unasserted Contingent Obligations” shall not include any reimbursement obligations in respect of any Letter of Credit.</w:t>
      </w:r>
    </w:p>
    <w:p>
      <w:pPr>
        <w:spacing w:after="0" w:line="144" w:lineRule="exact"/>
        <w:rPr>
          <w:sz w:val="20"/>
          <w:szCs w:val="20"/>
          <w:color w:val="auto"/>
        </w:rPr>
      </w:pPr>
    </w:p>
    <w:p>
      <w:pPr>
        <w:ind w:right="160" w:firstLine="1404"/>
        <w:spacing w:after="0" w:line="262" w:lineRule="auto"/>
        <w:rPr>
          <w:sz w:val="20"/>
          <w:szCs w:val="20"/>
          <w:color w:val="auto"/>
        </w:rPr>
      </w:pPr>
      <w:r>
        <w:rPr>
          <w:rFonts w:ascii="Times New Roman" w:cs="Times New Roman" w:eastAsia="Times New Roman" w:hAnsi="Times New Roman"/>
          <w:sz w:val="19"/>
          <w:szCs w:val="19"/>
          <w:color w:val="auto"/>
        </w:rPr>
        <w:t>“Undisclosed Administration”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“Uniform Commercial Code” means the Uniform Commercial Code as in effect from time to time in the State of New</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York.</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“Unquoted Investments” means a Portfolio Investment with a value assigned by the Borrower pursuant to Section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5.12(b)(ii)(B).</w:t>
      </w:r>
    </w:p>
    <w:p>
      <w:pPr>
        <w:spacing w:after="0" w:line="180" w:lineRule="exact"/>
        <w:rPr>
          <w:sz w:val="20"/>
          <w:szCs w:val="20"/>
          <w:color w:val="auto"/>
        </w:rPr>
      </w:pPr>
    </w:p>
    <w:p>
      <w:pPr>
        <w:ind w:right="80" w:firstLine="1404"/>
        <w:spacing w:after="0" w:line="268" w:lineRule="auto"/>
        <w:rPr>
          <w:sz w:val="20"/>
          <w:szCs w:val="20"/>
          <w:color w:val="auto"/>
        </w:rPr>
      </w:pPr>
      <w:r>
        <w:rPr>
          <w:rFonts w:ascii="Times New Roman" w:cs="Times New Roman" w:eastAsia="Times New Roman" w:hAnsi="Times New Roman"/>
          <w:sz w:val="19"/>
          <w:szCs w:val="19"/>
          <w:color w:val="auto"/>
        </w:rPr>
        <w:t>“Unsecured Longer-Term Indebtedness” means any Indebtedness of an Obligor (which may be Guaranteed by Subsidiary Guarantors) that (a) has no amortization (other than for amortization in an amount not greater than 1% of the aggregate initial principal amount of such Indebtedness per annum, provided that amortization in excess of 1% per annum shall be permitted</w:t>
      </w:r>
    </w:p>
    <w:p>
      <w:pPr>
        <w:spacing w:after="0" w:line="142" w:lineRule="exact"/>
        <w:rPr>
          <w:sz w:val="20"/>
          <w:szCs w:val="20"/>
          <w:color w:val="auto"/>
        </w:rPr>
      </w:pPr>
    </w:p>
    <w:p>
      <w:pPr>
        <w:ind w:left="940" w:hanging="730"/>
        <w:spacing w:after="0"/>
        <w:tabs>
          <w:tab w:leader="none" w:pos="94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58" w:name="page159"/>
    <w:bookmarkEnd w:id="158"/>
    <w:p>
      <w:pPr>
        <w:spacing w:after="0" w:line="26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so long as the amount of such amortization in excess of 1% is permitted to be incurred pursuant to Section 6.01(m) and Section 6.01(o)) prior to, and a final maturity date not earlier than, six months after the Final Maturity Date (it being understood that (A) none of: (w) the conversion features into Permitted Equity Interests under convertible notes; (x) the triggering and/or settlement thereof or (y) any cash payment made in respect thereof, shall constitute “amortization” for purposes of this clause (a); and (B) any mandatory amortization that is contingent upon the happening of an event that is not certain to occur (including a change of control or bankruptcy) shall not in and of itself be deemed to disqualify such Indebtedness under this clause (a)), (b) 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spacing w:after="0" w:line="160"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“Unsecured Shorter-Term Indebtedness” means, collectively, (a) any Indebtedness of an Obligor that is not secured by any assets of any Obligor and that does not constitute Unsecured Longer -Term Indebtedness and (b) any Indebtedness that is designated as “Unsecured Shorter-Term Indebtedness” pursuant to Section 6.11(a); provided that Unsecured Shorter-Term Indebtedness shall not include any Indebtedness permitted pursuant to Section 6.01(l).</w:t>
      </w:r>
    </w:p>
    <w:p>
      <w:pPr>
        <w:spacing w:after="0" w:line="150" w:lineRule="exact"/>
        <w:rPr>
          <w:sz w:val="20"/>
          <w:szCs w:val="20"/>
          <w:color w:val="auto"/>
        </w:rPr>
      </w:pPr>
    </w:p>
    <w:p>
      <w:pPr>
        <w:ind w:right="160" w:firstLine="1404"/>
        <w:spacing w:after="0" w:line="268" w:lineRule="auto"/>
        <w:rPr>
          <w:sz w:val="20"/>
          <w:szCs w:val="20"/>
          <w:color w:val="auto"/>
        </w:rPr>
      </w:pPr>
      <w:r>
        <w:rPr>
          <w:rFonts w:ascii="Times New Roman" w:cs="Times New Roman" w:eastAsia="Times New Roman" w:hAnsi="Times New Roman"/>
          <w:sz w:val="19"/>
          <w:szCs w:val="19"/>
          <w:color w:val="auto"/>
        </w:rPr>
        <w:t>“U.S. Government Securities”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44" w:lineRule="exact"/>
        <w:rPr>
          <w:sz w:val="20"/>
          <w:szCs w:val="20"/>
          <w:color w:val="auto"/>
        </w:rPr>
      </w:pPr>
    </w:p>
    <w:p>
      <w:pPr>
        <w:ind w:right="260" w:firstLine="1404"/>
        <w:spacing w:after="0" w:line="268" w:lineRule="auto"/>
        <w:rPr>
          <w:sz w:val="20"/>
          <w:szCs w:val="20"/>
          <w:color w:val="auto"/>
        </w:rPr>
      </w:pPr>
      <w:r>
        <w:rPr>
          <w:rFonts w:ascii="Times New Roman" w:cs="Times New Roman" w:eastAsia="Times New Roman" w:hAnsi="Times New Roman"/>
          <w:sz w:val="19"/>
          <w:szCs w:val="19"/>
          <w:color w:val="auto"/>
        </w:rPr>
        <w:t>“U.S.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“U.S. Person” means any Person that is a “United States Person” as defined in Section 7701(a)(30) of the Code.</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“Value” has the meaning assigned to such term in Section 5.13.</w:t>
      </w:r>
    </w:p>
    <w:p>
      <w:pPr>
        <w:spacing w:after="0" w:line="202" w:lineRule="exact"/>
        <w:rPr>
          <w:sz w:val="20"/>
          <w:szCs w:val="20"/>
          <w:color w:val="auto"/>
        </w:rPr>
      </w:pPr>
    </w:p>
    <w:p>
      <w:pPr>
        <w:ind w:right="240" w:firstLine="1404"/>
        <w:spacing w:after="0" w:line="286" w:lineRule="auto"/>
        <w:rPr>
          <w:sz w:val="20"/>
          <w:szCs w:val="20"/>
          <w:color w:val="auto"/>
        </w:rPr>
      </w:pPr>
      <w:r>
        <w:rPr>
          <w:rFonts w:ascii="Times New Roman" w:cs="Times New Roman" w:eastAsia="Times New Roman" w:hAnsi="Times New Roman"/>
          <w:sz w:val="19"/>
          <w:szCs w:val="19"/>
          <w:color w:val="auto"/>
        </w:rPr>
        <w:t>“Withdrawal Liability” means liability to a Multiemployer Plan as a result of a complete or partial withdrawal from such Multiemployer Plan, as such terms are defined in Part I of Subtitle E of Title IV of ERISA.</w:t>
      </w:r>
    </w:p>
    <w:p>
      <w:pPr>
        <w:spacing w:after="0" w:line="127"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“Write-Down and Conversion Powers” means, (a) with respect to any EEA Resolution Authority, the write -down and conversion powers of such EEA Resolution Authority from time to time under the Bail-In Legislation for the applicable EEA Member Country, which write- down and conversion powers are described in the EU Bail-In Legislation Schedule, and (b) with respect to the United Kingdom, any powers of the applicable Resolution Authority under the Bail -In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w:t>
      </w:r>
    </w:p>
    <w:p>
      <w:pPr>
        <w:spacing w:after="0" w:line="155" w:lineRule="exact"/>
        <w:rPr>
          <w:sz w:val="20"/>
          <w:szCs w:val="20"/>
          <w:color w:val="auto"/>
        </w:rPr>
      </w:pPr>
    </w:p>
    <w:p>
      <w:pPr>
        <w:ind w:left="940" w:hanging="730"/>
        <w:spacing w:after="0"/>
        <w:tabs>
          <w:tab w:leader="none" w:pos="94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59" w:name="page160"/>
    <w:bookmarkEnd w:id="159"/>
    <w:p>
      <w:pPr>
        <w:spacing w:after="0" w:line="26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suspend any obligation in respect of that liability or any of the powers under that Bail-In Legislation that are related to or ancillary to any of those powers.</w:t>
      </w:r>
    </w:p>
    <w:p>
      <w:pPr>
        <w:spacing w:after="0" w:line="127" w:lineRule="exact"/>
        <w:rPr>
          <w:sz w:val="20"/>
          <w:szCs w:val="20"/>
          <w:color w:val="auto"/>
        </w:rPr>
      </w:pPr>
    </w:p>
    <w:p>
      <w:pPr>
        <w:ind w:right="100" w:firstLine="1404"/>
        <w:spacing w:after="0" w:line="257" w:lineRule="auto"/>
        <w:rPr>
          <w:sz w:val="20"/>
          <w:szCs w:val="20"/>
          <w:color w:val="auto"/>
        </w:rPr>
      </w:pPr>
      <w:r>
        <w:rPr>
          <w:rFonts w:ascii="Times New Roman" w:cs="Times New Roman" w:eastAsia="Times New Roman" w:hAnsi="Times New Roman"/>
          <w:sz w:val="19"/>
          <w:szCs w:val="19"/>
          <w:color w:val="0000FF"/>
        </w:rPr>
        <w:t xml:space="preserve">SECTION 1.02. </w:t>
      </w:r>
      <w:r>
        <w:rPr>
          <w:rFonts w:ascii="Times New Roman" w:cs="Times New Roman" w:eastAsia="Times New Roman" w:hAnsi="Times New Roman"/>
          <w:sz w:val="19"/>
          <w:szCs w:val="19"/>
          <w:color w:val="000000"/>
        </w:rPr>
        <w:t>Classification of Loans and Borrowings. For purposes of this Agreement, Loans may be classified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and referred to by Class (e.g., a “Term Loan”, “Revolving Loan” or “Multicurrency Loan”), by Type (e.g., an “ABR Loan”) or by Class and Type (e.g., a “Multicurrency Term Benchmark Loan”). Borrowings also may be classified and referred to by Class (e.g., a “Term Borrowing”, “Syndicated Borrowing” or “Dollar Borrowing”), by Type (e.g., an “ABR Borrowing”) or by Class and Type (e.g., a “Syndicated ABR Borrowing” or “Multicurrency Term Benchmark Borrowing”). Loans and Borrowings may also be identified by Currency.</w:t>
      </w:r>
    </w:p>
    <w:p>
      <w:pPr>
        <w:spacing w:after="0" w:line="157" w:lineRule="exact"/>
        <w:rPr>
          <w:sz w:val="20"/>
          <w:szCs w:val="20"/>
          <w:color w:val="auto"/>
        </w:rPr>
      </w:pPr>
    </w:p>
    <w:p>
      <w:pPr>
        <w:ind w:right="20" w:firstLine="1404"/>
        <w:spacing w:after="0" w:line="252" w:lineRule="auto"/>
        <w:rPr>
          <w:sz w:val="20"/>
          <w:szCs w:val="20"/>
          <w:color w:val="auto"/>
        </w:rPr>
      </w:pPr>
      <w:r>
        <w:rPr>
          <w:rFonts w:ascii="Times New Roman" w:cs="Times New Roman" w:eastAsia="Times New Roman" w:hAnsi="Times New Roman"/>
          <w:sz w:val="19"/>
          <w:szCs w:val="19"/>
          <w:color w:val="0000FF"/>
        </w:rPr>
        <w:t xml:space="preserve">SECTION 1.03. </w:t>
      </w:r>
      <w:r>
        <w:rPr>
          <w:rFonts w:ascii="Times New Roman" w:cs="Times New Roman" w:eastAsia="Times New Roman" w:hAnsi="Times New Roman"/>
          <w:sz w:val="19"/>
          <w:szCs w:val="19"/>
          <w:color w:val="000000"/>
        </w:rPr>
        <w:t>Terms Generally. The definitions of terms herein shall apply equally to the singular and plural forms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Any reference herein to a merger, amalgamation, consolidation, or similar term, shall be deemed to apply to a division of or by a limited liability company, or an allocation of assets to a series of a limited liability company (or the unwinding of such a division or allocation), as if it were a merger, amalgamation, consolidation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69"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0000FF"/>
        </w:rPr>
        <w:t xml:space="preserve">SECTION 1.04. </w:t>
      </w:r>
      <w:r>
        <w:rPr>
          <w:rFonts w:ascii="Times New Roman" w:cs="Times New Roman" w:eastAsia="Times New Roman" w:hAnsi="Times New Roman"/>
          <w:sz w:val="19"/>
          <w:szCs w:val="19"/>
          <w:color w:val="000000"/>
        </w:rPr>
        <w:t>Accounting Terms; GAAP. Except as otherwise expressly provided herein, all terms of an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accounting or financial nature shall be construed in accordance with GAAP, as in effect from time to time; provided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are or</w:t>
      </w:r>
    </w:p>
    <w:p>
      <w:pPr>
        <w:spacing w:after="0" w:line="158" w:lineRule="exact"/>
        <w:rPr>
          <w:sz w:val="20"/>
          <w:szCs w:val="20"/>
          <w:color w:val="auto"/>
        </w:rPr>
      </w:pPr>
    </w:p>
    <w:p>
      <w:pPr>
        <w:ind w:left="940" w:hanging="730"/>
        <w:spacing w:after="0"/>
        <w:tabs>
          <w:tab w:leader="none" w:pos="94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0" w:name="page161"/>
    <w:bookmarkEnd w:id="160"/>
    <w:p>
      <w:pPr>
        <w:spacing w:after="0" w:line="2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would have been treated as operating leases for purposes of GAAP prior to the issuance on February 25, 2016 of the Accounting Standards Update (the “ASU”)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1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1.05. </w:t>
      </w:r>
      <w:r>
        <w:rPr>
          <w:rFonts w:ascii="Times New Roman" w:cs="Times New Roman" w:eastAsia="Times New Roman" w:hAnsi="Times New Roman"/>
          <w:sz w:val="19"/>
          <w:szCs w:val="19"/>
          <w:color w:val="000000"/>
        </w:rPr>
        <w:t>Currencies; Currency Equivalents.</w:t>
      </w:r>
    </w:p>
    <w:p>
      <w:pPr>
        <w:spacing w:after="0" w:line="202"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auto"/>
        </w:rPr>
        <w:t>(a)Currencies Generally.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Section 2.10(b) and the last sentence of Section 2.17(a),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Notwithstanding the foregoing, for purposes of determining compliance with any basket in Section 6.01(i), 6.01(m), 6.01(n), 6.01(o), 6.02(e), 6.03(g) or 6.04(f), in no event shall the Borrower or any Obligor be deemed to not be in compliance with any such basket solely as a result of a change in exchange rates.</w:t>
      </w:r>
    </w:p>
    <w:p>
      <w:pPr>
        <w:spacing w:after="0" w:line="168" w:lineRule="exact"/>
        <w:rPr>
          <w:sz w:val="20"/>
          <w:szCs w:val="20"/>
          <w:color w:val="auto"/>
        </w:rPr>
      </w:pPr>
    </w:p>
    <w:p>
      <w:pPr>
        <w:ind w:right="480" w:firstLine="1404"/>
        <w:spacing w:after="0" w:line="286" w:lineRule="auto"/>
        <w:rPr>
          <w:sz w:val="20"/>
          <w:szCs w:val="20"/>
          <w:color w:val="auto"/>
        </w:rPr>
      </w:pPr>
      <w:r>
        <w:rPr>
          <w:rFonts w:ascii="Times New Roman" w:cs="Times New Roman" w:eastAsia="Times New Roman" w:hAnsi="Times New Roman"/>
          <w:sz w:val="19"/>
          <w:szCs w:val="19"/>
          <w:color w:val="auto"/>
        </w:rPr>
        <w:t>(b)Special Provisions Relating to Euro. Each obligation hereunder of any party hereto that is denominated in the National Currency of a state that is not a Participating Member</w:t>
      </w:r>
    </w:p>
    <w:p>
      <w:pPr>
        <w:spacing w:after="0" w:line="126" w:lineRule="exact"/>
        <w:rPr>
          <w:sz w:val="20"/>
          <w:szCs w:val="20"/>
          <w:color w:val="auto"/>
        </w:rPr>
      </w:pPr>
    </w:p>
    <w:p>
      <w:pPr>
        <w:ind w:left="940" w:hanging="730"/>
        <w:spacing w:after="0"/>
        <w:tabs>
          <w:tab w:leader="none" w:pos="94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1" w:name="page162"/>
    <w:bookmarkEnd w:id="161"/>
    <w:p>
      <w:pPr>
        <w:spacing w:after="0" w:line="26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auto"/>
        </w:rPr>
        <w:t>State on the date hereof shall, effective from the date on which such state becomes a Participating Member State, be redenominated in Euro in accordance with the legislation of the European Union applicable to the European Monetary Union; provided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provided that, with respect to any Borrowing denominated in such currency that is outstanding immediately prior to such date, such replacement shall take effect at the end of the Interest Period therefor.</w:t>
      </w:r>
    </w:p>
    <w:p>
      <w:pPr>
        <w:spacing w:after="0" w:line="157" w:lineRule="exact"/>
        <w:rPr>
          <w:sz w:val="20"/>
          <w:szCs w:val="20"/>
          <w:color w:val="auto"/>
        </w:rPr>
      </w:pPr>
    </w:p>
    <w:p>
      <w:pPr>
        <w:ind w:right="20" w:firstLine="696"/>
        <w:spacing w:after="0" w:line="257" w:lineRule="auto"/>
        <w:rPr>
          <w:sz w:val="20"/>
          <w:szCs w:val="20"/>
          <w:color w:val="auto"/>
        </w:rPr>
      </w:pPr>
      <w:r>
        <w:rPr>
          <w:rFonts w:ascii="Times New Roman" w:cs="Times New Roman" w:eastAsia="Times New Roman" w:hAnsi="Times New Roman"/>
          <w:sz w:val="19"/>
          <w:szCs w:val="19"/>
          <w:color w:val="auto"/>
        </w:rPr>
        <w:t>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provided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57" w:lineRule="exact"/>
        <w:rPr>
          <w:sz w:val="20"/>
          <w:szCs w:val="20"/>
          <w:color w:val="auto"/>
        </w:rPr>
      </w:pPr>
    </w:p>
    <w:p>
      <w:pPr>
        <w:ind w:right="60" w:firstLine="1404"/>
        <w:spacing w:after="0" w:line="268" w:lineRule="auto"/>
        <w:rPr>
          <w:sz w:val="20"/>
          <w:szCs w:val="20"/>
          <w:color w:val="auto"/>
        </w:rPr>
      </w:pPr>
      <w:r>
        <w:rPr>
          <w:rFonts w:ascii="Times New Roman" w:cs="Times New Roman" w:eastAsia="Times New Roman" w:hAnsi="Times New Roman"/>
          <w:sz w:val="19"/>
          <w:szCs w:val="19"/>
          <w:color w:val="0000FF"/>
        </w:rPr>
        <w:t xml:space="preserve">SECTION 1.06. </w:t>
      </w:r>
      <w:r>
        <w:rPr>
          <w:rFonts w:ascii="Times New Roman" w:cs="Times New Roman" w:eastAsia="Times New Roman" w:hAnsi="Times New Roman"/>
          <w:sz w:val="19"/>
          <w:szCs w:val="19"/>
          <w:color w:val="000000"/>
        </w:rPr>
        <w:t>Letter of Credit Amounts. Unless otherwise specified herein, the amount of a Letter of Credit at 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time shall be the stated amount of such Letter of Credit available to be drawn at such time. Notwithstanding anything herein to the contrary, no Letter of Credit shall, by its terms, provide for any automatic increase in the available amount thereof.</w:t>
      </w:r>
    </w:p>
    <w:p>
      <w:pPr>
        <w:spacing w:after="0" w:line="144"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0000FF"/>
        </w:rPr>
        <w:t xml:space="preserve">SECTION 1.07. </w:t>
      </w:r>
      <w:r>
        <w:rPr>
          <w:rFonts w:ascii="Times New Roman" w:cs="Times New Roman" w:eastAsia="Times New Roman" w:hAnsi="Times New Roman"/>
          <w:sz w:val="19"/>
          <w:szCs w:val="19"/>
          <w:color w:val="000000"/>
        </w:rPr>
        <w:t>Rates. The Administrative Agent does not warrant or accept responsibility for, and shall not have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any liability with respect to (a) the continuation of, administration of, submission of, calculation of or any other matter related to the Alternate Base Rate, the Daily Simple RFR, or the Term Benchmark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Daily Simple RFR, the Term Benchmark Rate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Daily Simple RFR, the Term Benchmark Rate, any alternative, successor or replacement rate (including any Benchmark Replacement) or any relevant adjustments thereto, in each case, in a manner adverse to the Borrower. The Administrative Agent</w:t>
      </w:r>
    </w:p>
    <w:p>
      <w:pPr>
        <w:spacing w:after="0" w:line="155" w:lineRule="exact"/>
        <w:rPr>
          <w:sz w:val="20"/>
          <w:szCs w:val="20"/>
          <w:color w:val="auto"/>
        </w:rPr>
      </w:pPr>
    </w:p>
    <w:p>
      <w:pPr>
        <w:ind w:left="940" w:hanging="730"/>
        <w:spacing w:after="0"/>
        <w:tabs>
          <w:tab w:leader="none" w:pos="94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62" w:name="page163"/>
    <w:bookmarkEnd w:id="162"/>
    <w:p>
      <w:pPr>
        <w:spacing w:after="0" w:line="269"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9"/>
          <w:szCs w:val="19"/>
          <w:color w:val="auto"/>
        </w:rPr>
        <w:t>may select information sources or services in its reasonable discretion to ascertain the Alternate Base Rate, the Daily Simple RFR, the Term Benchmark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by any such information source or service of any such rate (or component thereof).</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ARTICLE II</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THE CREDITS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2.01. </w:t>
      </w:r>
      <w:r>
        <w:rPr>
          <w:rFonts w:ascii="Times New Roman" w:cs="Times New Roman" w:eastAsia="Times New Roman" w:hAnsi="Times New Roman"/>
          <w:sz w:val="19"/>
          <w:szCs w:val="19"/>
          <w:color w:val="000000"/>
        </w:rPr>
        <w:t>The Commitments. Subject to the terms and conditions set forth herein:</w:t>
      </w:r>
    </w:p>
    <w:p>
      <w:pPr>
        <w:spacing w:after="0" w:line="202" w:lineRule="exact"/>
        <w:rPr>
          <w:sz w:val="20"/>
          <w:szCs w:val="20"/>
          <w:color w:val="auto"/>
        </w:rPr>
      </w:pPr>
    </w:p>
    <w:p>
      <w:pPr>
        <w:ind w:right="40" w:firstLine="1404"/>
        <w:spacing w:after="0" w:line="260" w:lineRule="auto"/>
        <w:rPr>
          <w:sz w:val="20"/>
          <w:szCs w:val="20"/>
          <w:color w:val="auto"/>
        </w:rPr>
      </w:pPr>
      <w:r>
        <w:rPr>
          <w:rFonts w:ascii="Times New Roman" w:cs="Times New Roman" w:eastAsia="Times New Roman" w:hAnsi="Times New Roman"/>
          <w:sz w:val="19"/>
          <w:szCs w:val="19"/>
          <w:color w:val="auto"/>
        </w:rPr>
        <w:t>(a)each Dollar Lender severally agrees to make Revolving Loans in Dollars to the Borrower from time to time during the Availability Period in an aggregate principal amount that will not result in (i) such Lender’s Revolving Dollar Credit Exposure exceeding such Lender’s Dollar Commitment, (ii) the aggregate Revolving Dollar Credit Exposure of all of the Dollar Lenders exceeding the aggregate Dollar Commitments at such time or (iii) the total Covered Debt Amount exceeding the Borrowing Base then in effect;</w:t>
      </w:r>
    </w:p>
    <w:p>
      <w:pPr>
        <w:spacing w:after="0" w:line="386"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 xml:space="preserve">(b)each Multicurrency Lender severally agrees to make Revolving Loans in Dollars and in Agreed Foreign Currencies to the Borrower from time to time during the Availability Period in an aggregate principal amount that will not result in (i) such Lender’s Revolving Multicurrency Credit Exposure exceeding such Lender’s Multicurrency Commitment, (ii) the aggregate Revolving Multicurrency Credit Exposure of all of the Multicurrency Lenders exceeding the aggregate Multicurrency Commitments at such time or (iii) the total Covered Debt Amount exceeding the Borrowing Base then in effect; </w:t>
      </w:r>
      <w:r>
        <w:rPr>
          <w:rFonts w:ascii="Times New Roman" w:cs="Times New Roman" w:eastAsia="Times New Roman" w:hAnsi="Times New Roman"/>
          <w:sz w:val="19"/>
          <w:szCs w:val="19"/>
          <w:color w:val="FF0000"/>
          <w:strike w:val="1"/>
        </w:rPr>
        <w:t>and</w:t>
      </w:r>
    </w:p>
    <w:p>
      <w:pPr>
        <w:spacing w:after="0" w:line="154" w:lineRule="exact"/>
        <w:rPr>
          <w:sz w:val="20"/>
          <w:szCs w:val="20"/>
          <w:color w:val="auto"/>
        </w:rPr>
      </w:pPr>
    </w:p>
    <w:p>
      <w:pPr>
        <w:ind w:right="140" w:firstLine="1404"/>
        <w:spacing w:after="0" w:line="268" w:lineRule="auto"/>
        <w:rPr>
          <w:sz w:val="20"/>
          <w:szCs w:val="20"/>
          <w:color w:val="auto"/>
        </w:rPr>
      </w:pPr>
      <w:r>
        <w:rPr>
          <w:rFonts w:ascii="Times New Roman" w:cs="Times New Roman" w:eastAsia="Times New Roman" w:hAnsi="Times New Roman"/>
          <w:sz w:val="19"/>
          <w:szCs w:val="19"/>
          <w:color w:val="auto"/>
        </w:rPr>
        <w:t xml:space="preserve">(c)each </w:t>
      </w:r>
      <w:r>
        <w:rPr>
          <w:rFonts w:ascii="Times New Roman" w:cs="Times New Roman" w:eastAsia="Times New Roman" w:hAnsi="Times New Roman"/>
          <w:sz w:val="19"/>
          <w:szCs w:val="19"/>
          <w:color w:val="0000FF"/>
        </w:rPr>
        <w:t>Initial</w:t>
      </w:r>
      <w:r>
        <w:rPr>
          <w:rFonts w:ascii="Times New Roman" w:cs="Times New Roman" w:eastAsia="Times New Roman" w:hAnsi="Times New Roman"/>
          <w:sz w:val="19"/>
          <w:szCs w:val="19"/>
          <w:color w:val="auto"/>
        </w:rPr>
        <w:t xml:space="preserve"> Term Lender severally agrees to make a Term Loan in Dollars to the Borrower on the Second Amendment Effective Date in an aggregate principal amount (i) up to but not exceeding such Term Lender’s Initial Term Commitment and (ii) that will not result in the total Covered Debt Amount exceeding the Borrowing Base then in effect.</w:t>
      </w:r>
    </w:p>
    <w:p>
      <w:pPr>
        <w:spacing w:after="0" w:line="144" w:lineRule="exact"/>
        <w:rPr>
          <w:sz w:val="20"/>
          <w:szCs w:val="20"/>
          <w:color w:val="auto"/>
        </w:rPr>
      </w:pPr>
    </w:p>
    <w:p>
      <w:pPr>
        <w:ind w:right="60" w:firstLine="1404"/>
        <w:spacing w:after="0" w:line="268" w:lineRule="auto"/>
        <w:rPr>
          <w:sz w:val="20"/>
          <w:szCs w:val="20"/>
          <w:color w:val="auto"/>
        </w:rPr>
      </w:pPr>
      <w:r>
        <w:rPr>
          <w:rFonts w:ascii="Times New Roman" w:cs="Times New Roman" w:eastAsia="Times New Roman" w:hAnsi="Times New Roman"/>
          <w:sz w:val="19"/>
          <w:szCs w:val="19"/>
          <w:color w:val="auto"/>
        </w:rPr>
        <w:t>Within the foregoing limits and subject to the terms and conditions set forth herein, the Borrower may borrow, prepay and reborrow Revolving Loans. Amounts repaid or prepaid with respect to the Term Loans may not be reborrowed. The Term Commitment of each Term Lender shall automatically terminate upon such Term Lender fully funding its Term Commitment.</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2.02. </w:t>
      </w:r>
      <w:r>
        <w:rPr>
          <w:rFonts w:ascii="Times New Roman" w:cs="Times New Roman" w:eastAsia="Times New Roman" w:hAnsi="Times New Roman"/>
          <w:sz w:val="19"/>
          <w:szCs w:val="19"/>
          <w:color w:val="000000"/>
        </w:rPr>
        <w:t>Loans and Borrowings.</w:t>
      </w:r>
    </w:p>
    <w:p>
      <w:pPr>
        <w:spacing w:after="0" w:line="202" w:lineRule="exact"/>
        <w:rPr>
          <w:sz w:val="20"/>
          <w:szCs w:val="20"/>
          <w:color w:val="auto"/>
        </w:rPr>
      </w:pPr>
    </w:p>
    <w:p>
      <w:pPr>
        <w:ind w:right="360" w:firstLine="1404"/>
        <w:spacing w:after="0" w:line="259" w:lineRule="auto"/>
        <w:rPr>
          <w:sz w:val="20"/>
          <w:szCs w:val="20"/>
          <w:color w:val="auto"/>
        </w:rPr>
      </w:pPr>
      <w:r>
        <w:rPr>
          <w:rFonts w:ascii="Times New Roman" w:cs="Times New Roman" w:eastAsia="Times New Roman" w:hAnsi="Times New Roman"/>
          <w:sz w:val="19"/>
          <w:szCs w:val="19"/>
          <w:color w:val="auto"/>
        </w:rPr>
        <w:t>(a)Obligations of Lenders. Each Syndicated Loan shall be made as part of a Borrowing consisting of Loans of the same Class, Currency and Type made by the applicable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spacing w:after="0" w:line="152" w:lineRule="exact"/>
        <w:rPr>
          <w:sz w:val="20"/>
          <w:szCs w:val="20"/>
          <w:color w:val="auto"/>
        </w:rPr>
      </w:pPr>
    </w:p>
    <w:p>
      <w:pPr>
        <w:ind w:left="940" w:hanging="730"/>
        <w:spacing w:after="0"/>
        <w:tabs>
          <w:tab w:leader="none" w:pos="94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63" w:name="page164"/>
    <w:bookmarkEnd w:id="163"/>
    <w:p>
      <w:pPr>
        <w:spacing w:after="0" w:line="269" w:lineRule="exact"/>
        <w:rPr>
          <w:sz w:val="20"/>
          <w:szCs w:val="20"/>
          <w:color w:val="auto"/>
        </w:rPr>
      </w:pPr>
    </w:p>
    <w:p>
      <w:pPr>
        <w:ind w:right="20" w:firstLine="1404"/>
        <w:spacing w:after="0" w:line="256" w:lineRule="auto"/>
        <w:rPr>
          <w:sz w:val="20"/>
          <w:szCs w:val="20"/>
          <w:color w:val="auto"/>
        </w:rPr>
      </w:pPr>
      <w:r>
        <w:rPr>
          <w:rFonts w:ascii="Times New Roman" w:cs="Times New Roman" w:eastAsia="Times New Roman" w:hAnsi="Times New Roman"/>
          <w:sz w:val="19"/>
          <w:szCs w:val="19"/>
          <w:color w:val="auto"/>
        </w:rPr>
        <w:t>(b)Type of Loans. Subject to Section 2.13, each Syndicated Borrowing of a Class shall be constituted entirely of ABR Loans, Term Benchmark Loans or RFR Loans of such Class denominated in a single Currency as the Borrower may request in accordance herewith. Each ABR Loan shall be denominated in Dollars. Each Term Benchmark Loan shall be denominated in Dollars or an Agreed Foreign Currency (other than Sterling and Swiss Francs) . Each RFR Loan shall be denominated in Sterling or Swiss Francs. Each Lender at its option may make any Term Benchmark Loan or RFR Loan by causing any domestic or foreign branch or Affiliate of such Lender to make such Loan; provided that any exercise of such option shall not affect the obligation of the Borrower to repay such Loan in accordance with the terms of this Agreement.</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(c)Minimum Amounts. Each Term Benchmark Borrowing and RFR Borrowing shall be in an aggregate amount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$1,000,000 or a larger multiple of $1,000,000, and each ABR Borrowing (whether a Syndicated Loan or a Swingline Loan) shall be in an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aggregate amount of $1,000,000 or a larger multiple of $100,000 (or, in each case, such smaller amounts as may be agreed by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Administrative Agent); provided that a Syndicated ABR Borrowing of a Class may be in an aggregate amount that is equal to the entire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unused balance of the total Commitments of such Class or that is required to finance the reimbursement of an LC Disbursement of such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Class as contemplated by Section 2.05(f). Borrowings of more than one Class, Currency and Type may be outstanding at the same time.</w:t>
      </w:r>
    </w:p>
    <w:p>
      <w:pPr>
        <w:spacing w:after="0" w:line="180" w:lineRule="exact"/>
        <w:rPr>
          <w:sz w:val="20"/>
          <w:szCs w:val="20"/>
          <w:color w:val="auto"/>
        </w:rPr>
      </w:pPr>
    </w:p>
    <w:p>
      <w:pPr>
        <w:ind w:right="120" w:firstLine="1404"/>
        <w:spacing w:after="0" w:line="268" w:lineRule="auto"/>
        <w:rPr>
          <w:sz w:val="20"/>
          <w:szCs w:val="20"/>
          <w:color w:val="auto"/>
        </w:rPr>
      </w:pPr>
      <w:r>
        <w:rPr>
          <w:rFonts w:ascii="Times New Roman" w:cs="Times New Roman" w:eastAsia="Times New Roman" w:hAnsi="Times New Roman"/>
          <w:sz w:val="19"/>
          <w:szCs w:val="19"/>
          <w:color w:val="auto"/>
        </w:rPr>
        <w:t>(d)Limitations on Interest Periods. Notwithstanding any other provision of this Agreement, the Borrower shall not be entitled to request (or to elect to convert to or continue as a Term Benchmark Borrowing or RFR Borrowing) any Borrowing if the Interest Period requested therefor would end after the Final Maturity Date.</w:t>
      </w:r>
    </w:p>
    <w:p>
      <w:pPr>
        <w:spacing w:after="0" w:line="144"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(e)Treatment of Classes. Notwithstanding anything to the contrary contained herein, with respect to each Revolving Loan, Swingline Loan or Letter of Credit designated in Dollars, the Administrative Agent shall deem the Borrower to have requested that such Revolving Loan, Swingline Loan or Letter of Credit be applied ratably to each of the Dollar Commitments and the Multicurrency Commitments, based upon the percentage of the aggregate Revolving Commitments represented by the Dollar Commitments and the Multicurrency Commitments, respectively; provided that, if the ratable share of such Revolving Loan, Swingline Loan or Letter of Credit that would be applied to the Multicurrency Commitments pursuant to this clause (e) exceeds the unused Multicurrency Commitments, such excess shall be allocated to the Dollar Commitments (rather than the Multicurrency Commitments) up to an amount not to exceed the unused Dollar Commitments.</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2.03. </w:t>
      </w:r>
      <w:r>
        <w:rPr>
          <w:rFonts w:ascii="Times New Roman" w:cs="Times New Roman" w:eastAsia="Times New Roman" w:hAnsi="Times New Roman"/>
          <w:sz w:val="19"/>
          <w:szCs w:val="19"/>
          <w:color w:val="000000"/>
        </w:rPr>
        <w:t>Requests for Syndicated Borrowings.</w:t>
      </w:r>
    </w:p>
    <w:p>
      <w:pPr>
        <w:spacing w:after="0" w:line="202" w:lineRule="exact"/>
        <w:rPr>
          <w:sz w:val="20"/>
          <w:szCs w:val="20"/>
          <w:color w:val="auto"/>
        </w:rPr>
      </w:pPr>
    </w:p>
    <w:p>
      <w:pPr>
        <w:ind w:right="120" w:firstLine="1404"/>
        <w:spacing w:after="0" w:line="257" w:lineRule="auto"/>
        <w:rPr>
          <w:sz w:val="20"/>
          <w:szCs w:val="20"/>
          <w:color w:val="auto"/>
        </w:rPr>
      </w:pPr>
      <w:r>
        <w:rPr>
          <w:rFonts w:ascii="Times New Roman" w:cs="Times New Roman" w:eastAsia="Times New Roman" w:hAnsi="Times New Roman"/>
          <w:sz w:val="19"/>
          <w:szCs w:val="19"/>
          <w:color w:val="auto"/>
        </w:rPr>
        <w:t>(a)Notice by the Borrower. Subject to Section 2.03(e), to request a Syndicated Borrowing, the Borrower shall notify the Administrative Agent of such request by telephone or electronic communication (i) in the case of a Term Benchmark Borrowing denominated in Dollars, not later than 11:00 a.m., New York City time, three (3) Business Days before the date of the proposed Borrowing, (ii) in the case of a Term Benchmark Borrowing denominated in a Foreign Currency, not later than 11:00 a.m., New York City time, four (4) Business Days before the date of the proposed Borrowing, (iii) in the case of an RFR Borrowing, not later than 11:00 a.m., New</w:t>
      </w:r>
    </w:p>
    <w:p>
      <w:pPr>
        <w:spacing w:after="0" w:line="155" w:lineRule="exact"/>
        <w:rPr>
          <w:sz w:val="20"/>
          <w:szCs w:val="20"/>
          <w:color w:val="auto"/>
        </w:rPr>
      </w:pPr>
    </w:p>
    <w:p>
      <w:pPr>
        <w:ind w:left="940" w:hanging="730"/>
        <w:spacing w:after="0"/>
        <w:tabs>
          <w:tab w:leader="none" w:pos="94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4" w:name="page165"/>
    <w:bookmarkEnd w:id="164"/>
    <w:p>
      <w:pPr>
        <w:spacing w:after="0" w:line="26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York City time, four (4) Business Days before the date of the proposed Borrowing or (iv) in the case of a Syndicated ABR Borrowing, not later than 11:00 a.m., New York City time, on the date of the proposed Borrowing. Each such telephonic Borrowing Request shall be irrevocable and shall be confirmed promptly by hand delivery, electronic communication or telecopy to the Administrative Agent of a written Borrowing Request in a form reasonably approved by the Administrative Agent and signed by the Borrower.</w:t>
      </w:r>
    </w:p>
    <w:p>
      <w:pPr>
        <w:spacing w:after="0" w:line="150" w:lineRule="exact"/>
        <w:rPr>
          <w:sz w:val="20"/>
          <w:szCs w:val="20"/>
          <w:color w:val="auto"/>
        </w:rPr>
      </w:pPr>
    </w:p>
    <w:p>
      <w:pPr>
        <w:ind w:right="560" w:firstLine="1404"/>
        <w:spacing w:after="0" w:line="286" w:lineRule="auto"/>
        <w:rPr>
          <w:sz w:val="20"/>
          <w:szCs w:val="20"/>
          <w:color w:val="auto"/>
        </w:rPr>
      </w:pPr>
      <w:r>
        <w:rPr>
          <w:rFonts w:ascii="Times New Roman" w:cs="Times New Roman" w:eastAsia="Times New Roman" w:hAnsi="Times New Roman"/>
          <w:sz w:val="19"/>
          <w:szCs w:val="19"/>
          <w:color w:val="auto"/>
        </w:rPr>
        <w:t>(b)Content of Borrowing Requests. Each telephonic and written Borrowing Request shall specify the following information in compliance with Section 2.02:</w:t>
      </w:r>
    </w:p>
    <w:p>
      <w:pPr>
        <w:spacing w:after="0" w:line="127" w:lineRule="exact"/>
        <w:rPr>
          <w:sz w:val="20"/>
          <w:szCs w:val="20"/>
          <w:color w:val="auto"/>
        </w:rPr>
      </w:pPr>
    </w:p>
    <w:p>
      <w:pPr>
        <w:ind w:left="700" w:right="360" w:firstLine="1500"/>
        <w:spacing w:after="0" w:line="286" w:lineRule="auto"/>
        <w:rPr>
          <w:sz w:val="20"/>
          <w:szCs w:val="20"/>
          <w:color w:val="auto"/>
        </w:rPr>
      </w:pPr>
      <w:r>
        <w:rPr>
          <w:rFonts w:ascii="Times New Roman" w:cs="Times New Roman" w:eastAsia="Times New Roman" w:hAnsi="Times New Roman"/>
          <w:sz w:val="19"/>
          <w:szCs w:val="19"/>
          <w:color w:val="auto"/>
        </w:rPr>
        <w:t>(i)whether such Borrowing is to be made under the Term Commitments, the Dollar Commitments or the Multicurrency Commitments;</w:t>
      </w:r>
    </w:p>
    <w:p>
      <w:pPr>
        <w:spacing w:after="0" w:line="12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(ii)in the case of a Revolving Borrowing, the aggregate amount and Currency of the requested Borrowing;</w:t>
      </w:r>
    </w:p>
    <w:p>
      <w:pPr>
        <w:spacing w:after="0" w:line="202" w:lineRule="exact"/>
        <w:rPr>
          <w:sz w:val="20"/>
          <w:szCs w:val="20"/>
          <w:color w:val="auto"/>
        </w:rPr>
      </w:pPr>
    </w:p>
    <w:p>
      <w:pPr>
        <w:ind w:left="700" w:firstLine="1500"/>
        <w:spacing w:after="0" w:line="286" w:lineRule="auto"/>
        <w:rPr>
          <w:sz w:val="20"/>
          <w:szCs w:val="20"/>
          <w:color w:val="auto"/>
        </w:rPr>
      </w:pPr>
      <w:r>
        <w:rPr>
          <w:rFonts w:ascii="Times New Roman" w:cs="Times New Roman" w:eastAsia="Times New Roman" w:hAnsi="Times New Roman"/>
          <w:sz w:val="19"/>
          <w:szCs w:val="19"/>
          <w:color w:val="auto"/>
        </w:rPr>
        <w:t>(iii)the date of such Borrowing, which shall be a Business Day (or, in the case of the Borrowing of the Initial Term Loan, the Second Amendment Effective Date);</w:t>
      </w:r>
    </w:p>
    <w:p>
      <w:pPr>
        <w:spacing w:after="0" w:line="127" w:lineRule="exact"/>
        <w:rPr>
          <w:sz w:val="20"/>
          <w:szCs w:val="20"/>
          <w:color w:val="auto"/>
        </w:rPr>
      </w:pPr>
    </w:p>
    <w:p>
      <w:pPr>
        <w:ind w:left="700" w:right="40" w:firstLine="1500"/>
        <w:spacing w:after="0" w:line="286" w:lineRule="auto"/>
        <w:rPr>
          <w:sz w:val="20"/>
          <w:szCs w:val="20"/>
          <w:color w:val="auto"/>
        </w:rPr>
      </w:pPr>
      <w:r>
        <w:rPr>
          <w:rFonts w:ascii="Times New Roman" w:cs="Times New Roman" w:eastAsia="Times New Roman" w:hAnsi="Times New Roman"/>
          <w:sz w:val="19"/>
          <w:szCs w:val="19"/>
          <w:color w:val="auto"/>
        </w:rPr>
        <w:t>(iv)in the case of a Syndicated Borrowing denominated in Dollars, whether such Borrowing is to be an ABR Borrowing or a Term Benchmark Borrowing;</w:t>
      </w:r>
    </w:p>
    <w:p>
      <w:pPr>
        <w:spacing w:after="0" w:line="127" w:lineRule="exact"/>
        <w:rPr>
          <w:sz w:val="20"/>
          <w:szCs w:val="20"/>
          <w:color w:val="auto"/>
        </w:rPr>
      </w:pPr>
    </w:p>
    <w:p>
      <w:pPr>
        <w:ind w:left="700" w:right="420" w:firstLine="1500"/>
        <w:spacing w:after="0" w:line="286" w:lineRule="auto"/>
        <w:rPr>
          <w:sz w:val="20"/>
          <w:szCs w:val="20"/>
          <w:color w:val="auto"/>
        </w:rPr>
      </w:pPr>
      <w:r>
        <w:rPr>
          <w:rFonts w:ascii="Times New Roman" w:cs="Times New Roman" w:eastAsia="Times New Roman" w:hAnsi="Times New Roman"/>
          <w:sz w:val="19"/>
          <w:szCs w:val="19"/>
          <w:color w:val="auto"/>
        </w:rPr>
        <w:t>(v)in the case of any Term Loan or Revolving Borrowing denominated in an Agreed Foreign Currency, whether such Borrowing is to be a Term Benchmark Borrowing or an RFR Borrowing;</w:t>
      </w:r>
    </w:p>
    <w:p>
      <w:pPr>
        <w:spacing w:after="0" w:line="127" w:lineRule="exact"/>
        <w:rPr>
          <w:sz w:val="20"/>
          <w:szCs w:val="20"/>
          <w:color w:val="auto"/>
        </w:rPr>
      </w:pPr>
    </w:p>
    <w:p>
      <w:pPr>
        <w:ind w:left="700" w:right="20" w:firstLine="1500"/>
        <w:spacing w:after="0" w:line="286" w:lineRule="auto"/>
        <w:rPr>
          <w:sz w:val="20"/>
          <w:szCs w:val="20"/>
          <w:color w:val="auto"/>
        </w:rPr>
      </w:pPr>
      <w:r>
        <w:rPr>
          <w:rFonts w:ascii="Times New Roman" w:cs="Times New Roman" w:eastAsia="Times New Roman" w:hAnsi="Times New Roman"/>
          <w:sz w:val="19"/>
          <w:szCs w:val="19"/>
          <w:color w:val="auto"/>
        </w:rPr>
        <w:t>(vi)in the case of a Term Benchmark Borrowing or RFR Borrowing, the Interest Period therefor, which shall be a period contemplated by the definition of the term “Interest Period” and permitted under Section 2.02(d); and</w:t>
      </w:r>
    </w:p>
    <w:p>
      <w:pPr>
        <w:spacing w:after="0" w:line="12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(vii)the location and number of the Borrower’s account to which funds are to be disbursed.</w:t>
      </w:r>
    </w:p>
    <w:p>
      <w:pPr>
        <w:spacing w:after="0" w:line="202" w:lineRule="exact"/>
        <w:rPr>
          <w:sz w:val="20"/>
          <w:szCs w:val="20"/>
          <w:color w:val="auto"/>
        </w:rPr>
      </w:pPr>
    </w:p>
    <w:p>
      <w:pPr>
        <w:ind w:right="180" w:firstLine="1404"/>
        <w:spacing w:after="0" w:line="268" w:lineRule="auto"/>
        <w:rPr>
          <w:sz w:val="20"/>
          <w:szCs w:val="20"/>
          <w:color w:val="auto"/>
        </w:rPr>
      </w:pPr>
      <w:r>
        <w:rPr>
          <w:rFonts w:ascii="Times New Roman" w:cs="Times New Roman" w:eastAsia="Times New Roman" w:hAnsi="Times New Roman"/>
          <w:sz w:val="19"/>
          <w:szCs w:val="19"/>
          <w:color w:val="auto"/>
        </w:rPr>
        <w:t>(c)Notice by the Administrative Agent to the Lenders.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44" w:lineRule="exact"/>
        <w:rPr>
          <w:sz w:val="20"/>
          <w:szCs w:val="20"/>
          <w:color w:val="auto"/>
        </w:rPr>
      </w:pPr>
    </w:p>
    <w:p>
      <w:pPr>
        <w:ind w:right="80" w:firstLine="1404"/>
        <w:spacing w:after="0" w:line="256" w:lineRule="auto"/>
        <w:rPr>
          <w:sz w:val="20"/>
          <w:szCs w:val="20"/>
          <w:color w:val="auto"/>
        </w:rPr>
      </w:pPr>
      <w:r>
        <w:rPr>
          <w:rFonts w:ascii="Times New Roman" w:cs="Times New Roman" w:eastAsia="Times New Roman" w:hAnsi="Times New Roman"/>
          <w:sz w:val="19"/>
          <w:szCs w:val="19"/>
          <w:color w:val="auto"/>
        </w:rPr>
        <w:t>(d)Failure to Elect. If no election as to the Class of a Revolving Borrowing is specified, then the requested Revolving Borrowing shall be deemed to be under the Multicurrency Commitments. If no election as to the Currency of a Revolving Borrowing is specified, then the requested Revolving Borrowing shall be denominated in Dollars. If no election as to the Type of a Syndicated Borrowing is specified, then the requested Borrowing shall be a Term Benchmark Borrowing having an Interest Period of one month and, in the case of a Revolving Borrowing, if an Agreed Foreign Currency has been specified, the requested Revolving Borrowing shall be a Term Benchmark Borrowing or RFR Borrowing, as applicable, denominated in such Agreed Foreign Currency and having an Interest Period of one month. If a Term Benchmark Borrowing</w:t>
      </w:r>
    </w:p>
    <w:p>
      <w:pPr>
        <w:spacing w:after="0" w:line="155" w:lineRule="exact"/>
        <w:rPr>
          <w:sz w:val="20"/>
          <w:szCs w:val="20"/>
          <w:color w:val="auto"/>
        </w:rPr>
      </w:pPr>
    </w:p>
    <w:p>
      <w:pPr>
        <w:ind w:left="940" w:hanging="730"/>
        <w:spacing w:after="0"/>
        <w:tabs>
          <w:tab w:leader="none" w:pos="94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5" w:name="page166"/>
    <w:bookmarkEnd w:id="165"/>
    <w:p>
      <w:pPr>
        <w:spacing w:after="0" w:line="2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or RFR Borrowing is requested but no Interest Period is specified, (i) if the Currency specified for such Borrowing is Dollars (or if no Currency has been specified), the requested Borrowing shall be a Term Benchmark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50" w:lineRule="exact"/>
        <w:rPr>
          <w:sz w:val="20"/>
          <w:szCs w:val="20"/>
          <w:color w:val="auto"/>
        </w:rPr>
      </w:pPr>
    </w:p>
    <w:p>
      <w:pPr>
        <w:ind w:right="80" w:firstLine="1404"/>
        <w:spacing w:after="0" w:line="257" w:lineRule="auto"/>
        <w:rPr>
          <w:sz w:val="20"/>
          <w:szCs w:val="20"/>
          <w:color w:val="auto"/>
        </w:rPr>
      </w:pPr>
      <w:r>
        <w:rPr>
          <w:rFonts w:ascii="Times New Roman" w:cs="Times New Roman" w:eastAsia="Times New Roman" w:hAnsi="Times New Roman"/>
          <w:sz w:val="19"/>
          <w:szCs w:val="19"/>
          <w:color w:val="auto"/>
        </w:rPr>
        <w:t>(e)Notice by Borrower for Initial Term Loan. Notwithstanding anything to the contrary herein and the notice requirements set forth in Section 2.03(a), to request the Initial Term Loan to be made on the Second Amendment Effective Date, the Borrower shall notify the Administrative Agent of such request by telephone (confirmed by telecopy or electronic communication) not later than 12:00 p.m., New York City time, one (1) Business Day before the date of the proposed Second Amendment Effective Date (or such later time as reasonably agreed by the Administrative Agent). For the avoidance of doubt, such notice shall not affect any future obligations of the Borrower to comply with the obligations of Section 2.03(a) in connection with any Borrowing Request.</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2.04. </w:t>
      </w:r>
      <w:r>
        <w:rPr>
          <w:rFonts w:ascii="Times New Roman" w:cs="Times New Roman" w:eastAsia="Times New Roman" w:hAnsi="Times New Roman"/>
          <w:sz w:val="19"/>
          <w:szCs w:val="19"/>
          <w:color w:val="000000"/>
        </w:rPr>
        <w:t>Swingline Loans.</w:t>
      </w:r>
    </w:p>
    <w:p>
      <w:pPr>
        <w:spacing w:after="0" w:line="202" w:lineRule="exact"/>
        <w:rPr>
          <w:sz w:val="20"/>
          <w:szCs w:val="20"/>
          <w:color w:val="auto"/>
        </w:rPr>
      </w:pPr>
    </w:p>
    <w:p>
      <w:pPr>
        <w:ind w:right="20" w:firstLine="1404"/>
        <w:spacing w:after="0" w:line="253" w:lineRule="auto"/>
        <w:rPr>
          <w:sz w:val="20"/>
          <w:szCs w:val="20"/>
          <w:color w:val="auto"/>
        </w:rPr>
      </w:pPr>
      <w:r>
        <w:rPr>
          <w:rFonts w:ascii="Times New Roman" w:cs="Times New Roman" w:eastAsia="Times New Roman" w:hAnsi="Times New Roman"/>
          <w:sz w:val="19"/>
          <w:szCs w:val="19"/>
          <w:color w:val="auto"/>
        </w:rPr>
        <w:t>(a)Agreement to Make Swingline Loans. Subject to the terms and conditions set forth herein, each Swingline Lender severally agrees to make Swingline Loans under each Commitment to the Borrower from time to time during the Availability Period in Dollars, in an aggregate principal amount at any time outstanding that will not result in (i) the aggregate principal amount of outstanding Swingline Loans of both Classes exceeding $245,000,000 or the aggregate principal amount of outstanding Swingline Loans of any Swingline Lender exceeding the amount set forth opposite the name of such Swingline Lender on Schedule 2.04, (ii)(A) in the case of any Swingline Lender with a Dollar Commitment, the sum of such Swingline Lender’s outstanding Dollar Loans, its LC Exposure, its outstanding Swingline Loans and (without duplication) its other Swingline Exposure exceeding its Dollar Commitment and (B) in the case of any Swingline Lender with a Multicurrency Commitment, the sum of such Swingline Lender’s outstanding Multicurrency Loans, its LC Exposure, its outstanding Swingline Loans and (without duplication) its other Swingline Exposure exceeding its Multicurrency Commitment, (iii) the total Revolving Dollar Credit Exposures exceeding the aggregate Dollar Commitments at such time, (iv) the total Revolving Multicurrency Credit Exposures exceeding the aggregate Multicurrency Commitments at such time or (v) the total Covered Debt Amount exceeding the Borrowing Base then in effect; provided that no Swingline Lender shall be required to make a Swingline Loan to refinance an outstanding Swingline Loan. Within the foregoing limits and subject to the terms and conditions set forth herein, the Borrower may borrow, prepay and reborrow Swingline Loans.</w:t>
      </w:r>
    </w:p>
    <w:p>
      <w:pPr>
        <w:spacing w:after="0" w:line="161" w:lineRule="exact"/>
        <w:rPr>
          <w:sz w:val="20"/>
          <w:szCs w:val="20"/>
          <w:color w:val="auto"/>
        </w:rPr>
      </w:pPr>
    </w:p>
    <w:p>
      <w:pPr>
        <w:ind w:right="80" w:firstLine="1404"/>
        <w:spacing w:after="0" w:line="256" w:lineRule="auto"/>
        <w:rPr>
          <w:sz w:val="20"/>
          <w:szCs w:val="20"/>
          <w:color w:val="auto"/>
        </w:rPr>
      </w:pPr>
      <w:r>
        <w:rPr>
          <w:rFonts w:ascii="Times New Roman" w:cs="Times New Roman" w:eastAsia="Times New Roman" w:hAnsi="Times New Roman"/>
          <w:sz w:val="19"/>
          <w:szCs w:val="19"/>
          <w:color w:val="auto"/>
        </w:rPr>
        <w:t>(b)Notice of Swingline Loans by the Borrower. To request a Swingline Loan, the Borrower shall notify the Administrative Agent of such request by telephone (confirmed by telecopy or electronic communication) not later than 1:00 p.m., New York City time, on the day of such proposed Swingline Loan. Each such notice shall be irrevocable and shall specify the Swingline Lender from which such Swingline Loan shall be made, the requested date (which shall be a Business Day) and the amount of the requested Swingline Loan. The Administrative Agent will promptly advise the applicable Swingline Lender of any such notice received from the Borrower. Each Swingline Lender shall make each applicable Swingline Loan by wire transfer of immediately available funds to the account of the Administrative Agent most recently designated</w:t>
      </w:r>
    </w:p>
    <w:p>
      <w:pPr>
        <w:spacing w:after="0" w:line="155" w:lineRule="exact"/>
        <w:rPr>
          <w:sz w:val="20"/>
          <w:szCs w:val="20"/>
          <w:color w:val="auto"/>
        </w:rPr>
      </w:pPr>
    </w:p>
    <w:p>
      <w:pPr>
        <w:ind w:left="940" w:hanging="730"/>
        <w:spacing w:after="0"/>
        <w:tabs>
          <w:tab w:leader="none" w:pos="94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6" w:name="page167"/>
    <w:bookmarkEnd w:id="166"/>
    <w:p>
      <w:pPr>
        <w:spacing w:after="0" w:line="26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9"/>
          <w:szCs w:val="19"/>
          <w:color w:val="auto"/>
        </w:rPr>
        <w:t>by it for such purpose by notice to the Lenders by 4:00 p.m., New York City time, on the requested date of such Swingline Loan. The Administrative Agent will make such Swingline Loans available to the Borrower by promptly crediting the amounts so received, in like funds, to an account of the Borrower designated by the Borrower; provided that Swingline Loans made to finance the reimbursement of an LC Disbursement as provided in Section 2.05(f) shall be remitted by the Administrative Agent to the applicable Issuing Bank.</w:t>
      </w:r>
    </w:p>
    <w:p>
      <w:pPr>
        <w:spacing w:after="0" w:line="150"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(c)Participations by Revolving Lenders in Swingline Loans. Any Swingline Lender may by written notice given to the Administrative Agent not later than 10:00 a.m., New York City time on any Business Day, require the Revolving Lenders of the applicable Class of Commitments to acquire participations on such Business Day in all or a portion of the outstanding Swingline Loans of such Class made by such Swingline Lender. Such notice to the Administrative Agent shall specify the aggregate amount of Swingline Loans in which the applicable Revolving Lenders will participate. Promptly upon receipt of such notice, the Administrative Agent will give notice thereof to each applicable Revolving Lender, specifying in such notice such Revolving Lender’s Applicable Percentage of such Swingline Loan or Loans. Each Revolving Lender hereby absolutely and unconditionally agrees, upon receipt of notice as provided above in this paragraph, to pay to the Administrative Agent, for account of the applicable Swingline Lender, such Revolving Lender’s Applicable Percentage, as the case may be, of such Swingline Loan or Loans; provided that no Revolving Lender shall be required to purchase a participation in a Swingline Loan pursuant to this Section 2.04(c) if (x) the conditions set forth in Section 4.02 would not be satisfied in respect of a Borrowing at the time such Swingline Loan was made and (y) the Required Lenders of the respective Class shall have so notified the applicable Swingline Lender in writing and shall not have subsequently determined that the circumstances giving rise to such conditions not being satisfied no longer exist. Unless a Swingline Lender has received the written notice referred to in the previous sentence prior to the time such Swingline Loan was made, then, subject to the terms and conditions hereof, such Swingline Lender shall be entitled to assume all such conditions are satisfied.</w:t>
      </w:r>
    </w:p>
    <w:p>
      <w:pPr>
        <w:spacing w:after="0" w:line="158" w:lineRule="exact"/>
        <w:rPr>
          <w:sz w:val="20"/>
          <w:szCs w:val="20"/>
          <w:color w:val="auto"/>
        </w:rPr>
      </w:pPr>
    </w:p>
    <w:p>
      <w:pPr>
        <w:ind w:right="40" w:firstLine="1404"/>
        <w:spacing w:after="0" w:line="253" w:lineRule="auto"/>
        <w:rPr>
          <w:sz w:val="20"/>
          <w:szCs w:val="20"/>
          <w:color w:val="auto"/>
        </w:rPr>
      </w:pPr>
      <w:r>
        <w:rPr>
          <w:rFonts w:ascii="Times New Roman" w:cs="Times New Roman" w:eastAsia="Times New Roman" w:hAnsi="Times New Roman"/>
          <w:sz w:val="19"/>
          <w:szCs w:val="19"/>
          <w:color w:val="auto"/>
        </w:rPr>
        <w:t>Subject to the foregoing, each Revolving Lender acknowledges and agrees that its obligation to acquire participations in Swingline Loans pursuant to this paragraph (c)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Revolving Lender shall comply with its obligation under this paragraph by wire transfer of immediately available funds, in the same manner as provided in Section 2.06 with respect to Loans made by such Revolving Lender (and Section 2.06 shall apply, mutatis mutandis, to the payment obligations of the Revolving Lenders), and the Administrative Agent shall promptly pay to the applicable Swingline Lender the amounts so received by it from the Revolving Lenders. The Administrative Agent shall notify the Borrower of any participations in any Swingline Loan acquired pursuant to this paragraph, and thereafter payments in respect of such Swingline Loan shall be made to the Administrative Agent and not to the relevant Swingline Lender.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Revolving Lenders that shall have made</w:t>
      </w:r>
    </w:p>
    <w:p>
      <w:pPr>
        <w:spacing w:after="0" w:line="161" w:lineRule="exact"/>
        <w:rPr>
          <w:sz w:val="20"/>
          <w:szCs w:val="20"/>
          <w:color w:val="auto"/>
        </w:rPr>
      </w:pPr>
    </w:p>
    <w:p>
      <w:pPr>
        <w:ind w:left="940" w:hanging="730"/>
        <w:spacing w:after="0"/>
        <w:tabs>
          <w:tab w:leader="none" w:pos="94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7" w:name="page168"/>
    <w:bookmarkEnd w:id="167"/>
    <w:p>
      <w:pPr>
        <w:spacing w:after="0" w:line="26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9"/>
          <w:szCs w:val="19"/>
          <w:color w:val="auto"/>
        </w:rPr>
        <w:t>their payments pursuant to this paragraph and to the applicable Swingline Lender, as their interests may appear. The purchase of participations in a Swingline Loan pursuant to this paragraph shall not relieve the Borrower of any default in the payment thereof.</w:t>
      </w:r>
    </w:p>
    <w:p>
      <w:pPr>
        <w:spacing w:after="0" w:line="127"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(d)Resignation and Replacement of Swingline Lender. Any Swingline Lender may be replaced at any time by written agreement among the Borrower, the Administrative Agent, the replaced Swingline Lender and a successor Swingline Lender. The Administrative Agent shall notify the Lenders of any such replacement of any Swingline Lender. In addition if any Swingline Lender, in its capacity as a Revolving Lender, assigns all of its Revolving Loans and Revolving Commitments in connection with the terms of this Agreement, such Swingline Lender shall be deemed to have automatically resigned as a Swingline Lender hereunder. The Administrative Agent shall notify the Lenders of any such replacement of any Swingline Lender. At the time any such replacement or resignation shall become effective, the Borrower shall pay all unpaid fees accrued for the account of the replaced or resigning Swingline Lender pursuant Section 2.11. From and after the effective date of any such replacement, (i) the successor Swingline Lender shall have all the rights and obligations of the replaced Swingline Lender under this Agreement with respect to Swingline Loans to be made by such successor Swingline Lender thereafter and (ii) references herein to the term “Swingline Lender” and/or “Swingline Lenders” shall be deemed to refer to such successor or successors (and the other current Swingline Lenders, if applicable) or to any previous Swingline Lender, or to such successor or successors (and all current Swingline Lenders) and all previous Swingline Lenders, as the context shall require. After the replacement or resignation of the Swingline Lender hereunder, the replaced or resigning Swingline Lender shall have no obligation to make additional Swingline Loans.</w:t>
      </w:r>
    </w:p>
    <w:p>
      <w:pPr>
        <w:spacing w:after="0" w:line="161" w:lineRule="exact"/>
        <w:rPr>
          <w:sz w:val="20"/>
          <w:szCs w:val="20"/>
          <w:color w:val="auto"/>
        </w:rPr>
      </w:pPr>
    </w:p>
    <w:p>
      <w:pPr>
        <w:ind w:left="100" w:right="40" w:firstLine="1416"/>
        <w:spacing w:after="0" w:line="262" w:lineRule="auto"/>
        <w:rPr>
          <w:sz w:val="20"/>
          <w:szCs w:val="20"/>
          <w:color w:val="auto"/>
        </w:rPr>
      </w:pPr>
      <w:r>
        <w:rPr>
          <w:rFonts w:ascii="Times New Roman" w:cs="Times New Roman" w:eastAsia="Times New Roman" w:hAnsi="Times New Roman"/>
          <w:sz w:val="19"/>
          <w:szCs w:val="19"/>
          <w:color w:val="auto"/>
        </w:rPr>
        <w:t>(e)Designation of Additional Swingline Lenders. The Borrower may, at any time and from time to time, with the consent of the Administrative Agent (which consent shall not be unreasonably withheld), designate as additional Swingline Lenders one</w:t>
      </w:r>
    </w:p>
    <w:p>
      <w:pPr>
        <w:spacing w:after="0" w:line="1" w:lineRule="exact"/>
        <w:rPr>
          <w:sz w:val="20"/>
          <w:szCs w:val="20"/>
          <w:color w:val="auto"/>
        </w:rPr>
      </w:pPr>
    </w:p>
    <w:p>
      <w:pPr>
        <w:ind w:left="100" w:right="240" w:hanging="10"/>
        <w:spacing w:after="0" w:line="252" w:lineRule="auto"/>
        <w:tabs>
          <w:tab w:leader="none" w:pos="372"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more Revolving Lenders that agree to serve in such capacity as provided below. The acceptance by a Revolving Lender of an appointment as a Swingline Lender hereunder shall be evidenced by an agreement, which shall be in form and substance reasonably satisfactory to the Administrative Agent, executed by the Borrower, the Administrative Agent and such designated Revolving Lender and, from and after the effective date of such agreement, (i) such Revolving Lender shall have all the rights and obligations of a Swingline Lender under this Agreement and the other Loan Documents and (ii) references herein or therein to the term “Swingline Lender” shall be deemed to include such Revolving Lender in its capacity as a maker of Swingline Loans hereunder.</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2.05. </w:t>
      </w:r>
      <w:r>
        <w:rPr>
          <w:rFonts w:ascii="Times New Roman" w:cs="Times New Roman" w:eastAsia="Times New Roman" w:hAnsi="Times New Roman"/>
          <w:sz w:val="19"/>
          <w:szCs w:val="19"/>
          <w:color w:val="000000"/>
        </w:rPr>
        <w:t>Letters of Credit.</w:t>
      </w:r>
    </w:p>
    <w:p>
      <w:pPr>
        <w:spacing w:after="0" w:line="202" w:lineRule="exact"/>
        <w:rPr>
          <w:sz w:val="20"/>
          <w:szCs w:val="20"/>
          <w:color w:val="auto"/>
        </w:rPr>
      </w:pPr>
    </w:p>
    <w:p>
      <w:pPr>
        <w:ind w:left="100" w:right="20" w:firstLine="1416"/>
        <w:spacing w:after="0" w:line="256" w:lineRule="auto"/>
        <w:rPr>
          <w:sz w:val="20"/>
          <w:szCs w:val="20"/>
          <w:color w:val="auto"/>
        </w:rPr>
      </w:pPr>
      <w:r>
        <w:rPr>
          <w:rFonts w:ascii="Times New Roman" w:cs="Times New Roman" w:eastAsia="Times New Roman" w:hAnsi="Times New Roman"/>
          <w:sz w:val="19"/>
          <w:szCs w:val="19"/>
          <w:color w:val="auto"/>
        </w:rPr>
        <w:t>(a)General. Subject to the terms and conditions set forth herein, in addition to the Loans provided for in Section 2.01, the Borrower may request each Issuing Bank to issue, at any time and from time to time during the Availability Period and under either the Dollar Commitments or Multicurrency Commitments, Letters of Credit denominated in Dollars or (in the case of Letters of Credit under the Multicurrency Commitments) in any Agreed Foreign Currency for its own account or the account of its designee (provided that the Obligors shall remain primarily liable to the Lenders hereunder for payment and reimbursement of all amounts payable in respect of the Letters of Credit hereunder) in such form as is acceptable to such Issuing Bank in its reasonable determination. Letters of Credit issued hereunder shall constitute</w:t>
      </w:r>
    </w:p>
    <w:p>
      <w:pPr>
        <w:spacing w:after="0" w:line="155" w:lineRule="exact"/>
        <w:rPr>
          <w:sz w:val="20"/>
          <w:szCs w:val="20"/>
          <w:color w:val="auto"/>
        </w:rPr>
      </w:pPr>
    </w:p>
    <w:p>
      <w:pPr>
        <w:ind w:left="940" w:hanging="730"/>
        <w:spacing w:after="0"/>
        <w:tabs>
          <w:tab w:leader="none" w:pos="94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8" w:name="page169"/>
    <w:bookmarkEnd w:id="168"/>
    <w:p>
      <w:pPr>
        <w:spacing w:after="0" w:line="269" w:lineRule="exact"/>
        <w:rPr>
          <w:sz w:val="20"/>
          <w:szCs w:val="20"/>
          <w:color w:val="auto"/>
        </w:rPr>
      </w:pPr>
    </w:p>
    <w:p>
      <w:pPr>
        <w:ind w:left="100" w:right="60"/>
        <w:spacing w:after="0" w:line="262" w:lineRule="auto"/>
        <w:rPr>
          <w:sz w:val="20"/>
          <w:szCs w:val="20"/>
          <w:color w:val="auto"/>
        </w:rPr>
      </w:pPr>
      <w:r>
        <w:rPr>
          <w:rFonts w:ascii="Times New Roman" w:cs="Times New Roman" w:eastAsia="Times New Roman" w:hAnsi="Times New Roman"/>
          <w:sz w:val="19"/>
          <w:szCs w:val="19"/>
          <w:color w:val="auto"/>
        </w:rPr>
        <w:t>utilization of the Commitments up to the aggregate amount available to be drawn thereunder. Without limiting any rights of an Issuing Bank under this Section 2.05, no Issuing Bank shall be obligated to issue, amend, renew or extend any Letter of Credit denominated in any Foreign Currency if at the time of such issuance, such Issuing Bank, in its capacity as a Revolving Lender, would not be required to make Loans in such Foreign Currency hereunder.</w:t>
      </w:r>
    </w:p>
    <w:p>
      <w:pPr>
        <w:spacing w:after="0" w:line="150" w:lineRule="exact"/>
        <w:rPr>
          <w:sz w:val="20"/>
          <w:szCs w:val="20"/>
          <w:color w:val="auto"/>
        </w:rPr>
      </w:pPr>
    </w:p>
    <w:p>
      <w:pPr>
        <w:ind w:right="60" w:firstLine="1404"/>
        <w:spacing w:after="0" w:line="253" w:lineRule="auto"/>
        <w:rPr>
          <w:sz w:val="20"/>
          <w:szCs w:val="20"/>
          <w:color w:val="auto"/>
        </w:rPr>
      </w:pPr>
      <w:r>
        <w:rPr>
          <w:rFonts w:ascii="Times New Roman" w:cs="Times New Roman" w:eastAsia="Times New Roman" w:hAnsi="Times New Roman"/>
          <w:sz w:val="19"/>
          <w:szCs w:val="19"/>
          <w:color w:val="auto"/>
        </w:rPr>
        <w:t>(b)Notice of Issuance, Amendment, Renewal or Extension. To request the issuance of a Letter of Credit (or the amendment, renewal or extension of an outstanding Letter of Credit), the Borrower shall hand deliver or telecopy (or transmit by electronic communication, if arrangements for doing so have been approved by such Issuing Bank) to any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(d)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w:t>
      </w:r>
    </w:p>
    <w:p>
      <w:pPr>
        <w:spacing w:after="0" w:line="163"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(c)Limitations on Amounts.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applicable Issuing Bank requested to issue such Letter of Credit (determined for these purposes without giving effect to the participations therein of the Revolving Lenders pursuant to paragraph (e) of this Section) shall not exceed the amount set forth opposite the name of such Issuing Bank on Schedule 2.05 (or such greater amount as such Issuing Bank may agree in its sole discretion); (ii) the total Revolving Dollar Credit Exposures of Dollar Lenders with Dollar Commitments then in effect shall not exceed the aggregate Dollar Commitments at such time; (iii) the total Revolving Multicurrency Credit Exposures of Multicurrency Lenders with Multicurrency Commitments then in effect shall not exceed the aggregate Multicurrency Commitments at such time; and (iv)(A) with respect to each Issuing Bank that is a Swingline Lender with a Dollar Commitment, the sum of such Swingline Lender’s outstanding Dollar Loans, its LC Exposure, its outstanding Swingline Loans and (without duplication) its other Swingline Exposure shall not exceed its Dollar Commitment then in effect and (B) with respect to each Issuing Bank that is a Swingline Lender with a Multicurrency Commitment, the sum of such Swingline Lender’s outstanding Multicurrency Loans, its LC Exposure, its outstanding Swingline Loans and (without duplication) its other Swingline Exposure shall not exceed its Multicurrency Commitment then in effect; and (v) the total Covered Debt Amount shall not exceed the Borrowing Base then in effect.</w:t>
      </w:r>
    </w:p>
    <w:p>
      <w:pPr>
        <w:spacing w:after="0" w:line="156" w:lineRule="exact"/>
        <w:rPr>
          <w:sz w:val="20"/>
          <w:szCs w:val="20"/>
          <w:color w:val="auto"/>
        </w:rPr>
      </w:pPr>
    </w:p>
    <w:p>
      <w:pPr>
        <w:ind w:left="940" w:hanging="730"/>
        <w:spacing w:after="0"/>
        <w:tabs>
          <w:tab w:leader="none" w:pos="94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69" w:name="page170"/>
    <w:bookmarkEnd w:id="169"/>
    <w:p>
      <w:pPr>
        <w:spacing w:after="0" w:line="269" w:lineRule="exact"/>
        <w:rPr>
          <w:sz w:val="20"/>
          <w:szCs w:val="20"/>
          <w:color w:val="auto"/>
        </w:rPr>
      </w:pPr>
    </w:p>
    <w:p>
      <w:pPr>
        <w:ind w:right="240" w:firstLine="1404"/>
        <w:spacing w:after="0" w:line="255" w:lineRule="auto"/>
        <w:rPr>
          <w:sz w:val="20"/>
          <w:szCs w:val="20"/>
          <w:color w:val="auto"/>
        </w:rPr>
      </w:pPr>
      <w:r>
        <w:rPr>
          <w:rFonts w:ascii="Times New Roman" w:cs="Times New Roman" w:eastAsia="Times New Roman" w:hAnsi="Times New Roman"/>
          <w:sz w:val="19"/>
          <w:szCs w:val="19"/>
          <w:color w:val="auto"/>
        </w:rPr>
        <w:t>(d)Expiration Date.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provided that any Letter of Credit with a one-year term may provide for the renewal thereof for additional one-year periods. No Letter of Credit may be renewed following the earlier to occur of the Commitment Termination Date and the Termination Date, except to the extent that the relevant Letter of Credit is Cash Collateralized no later than five (5) Business Days prior to the Commitment Termination Date or Termination Date, as applicable, or supported by another letter of credit, in each case pursuant to arrangements reasonably satisfactory to the applicable Issuing Bank and the Administrative Agent.</w:t>
      </w:r>
    </w:p>
    <w:p>
      <w:pPr>
        <w:spacing w:after="0" w:line="160"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auto"/>
        </w:rPr>
        <w:t>(e)Participations. By the issuance of a Letter of Credit of a Class (or an amendment to a Letter of Credit increasing the amount thereof) by an Issuing Bank, and without any further action on the part of such Issuing Bank or the Revolving Lenders, the Issuing Bank hereby grants to each Revolving Lender of such Class, and each Revolving Lender of such Class hereby acquires from such Issuing Bank, a participation in such Letter of Credit equal to such Revolving Lender’s Applicable Dollar Percentage or Applicable Multicurrency Percentage, as the case may be, of the aggregate amount available to be drawn under such Letter of Credit.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provided that no Revolving Lender shall be required to purchase a participation in a Letter of Credit pursuant to this Section 2.05(e) if (x) the conditions set forth in Section 4.02 would not be satisfied in respect of a Borrowing at the time such Letter of Credit was issued and (y) the Administrative Agent or any Revolving Lender shall have so notified such Issuing Bank in writing at least two (2) Business Days prior to the requested date of issuance of such Letter of Credit and shall not have subsequently determined that the circumstances giving rise to such conditions not being satisfied no longer exist. Unless an Issuing Bank has received written notice from any Revolving Lender, the Administrative Agent or the Borrower, at least two (2) Business Days prior to the requested date of issuance of the applicable Letter of Credit, that one or more applicable conditions contained in Section 4.02 shall not then be satisfied, then, subject to the terms and conditions hereof, such Issuing Bank shall be entitled to assume all such conditions are satisfied.</w:t>
      </w:r>
    </w:p>
    <w:p>
      <w:pPr>
        <w:spacing w:after="0" w:line="171" w:lineRule="exact"/>
        <w:rPr>
          <w:sz w:val="20"/>
          <w:szCs w:val="20"/>
          <w:color w:val="auto"/>
        </w:rPr>
      </w:pPr>
    </w:p>
    <w:p>
      <w:pPr>
        <w:ind w:right="40" w:firstLine="1404"/>
        <w:spacing w:after="0" w:line="255" w:lineRule="auto"/>
        <w:rPr>
          <w:sz w:val="20"/>
          <w:szCs w:val="20"/>
          <w:color w:val="auto"/>
        </w:rPr>
      </w:pPr>
      <w:r>
        <w:rPr>
          <w:rFonts w:ascii="Times New Roman" w:cs="Times New Roman" w:eastAsia="Times New Roman" w:hAnsi="Times New Roman"/>
          <w:sz w:val="19"/>
          <w:szCs w:val="19"/>
          <w:color w:val="auto"/>
        </w:rPr>
        <w:t>In consideration and in furtherance of the foregoing, each Revolving Lender of a Class hereby absolutely and unconditionally agrees to pay to the Administrative Agent, for account of each Issuing Bank, such Revolving Lender’s Applicable Dollar Percentage or Applicable Multicurrency Percentage, as the case may be, of each LC Disbursement made by such Issuing Bank in respect of Letters of Credit of such Class promptly upon the request of such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Section 2.06 with respect to Loans made by such Revolving Lender (and Section 2.06 shall apply, mutatis mutandis, to the payment obligations of the Revolving Lenders), and the Administrative</w:t>
      </w:r>
    </w:p>
    <w:p>
      <w:pPr>
        <w:spacing w:after="0" w:line="158" w:lineRule="exact"/>
        <w:rPr>
          <w:sz w:val="20"/>
          <w:szCs w:val="20"/>
          <w:color w:val="auto"/>
        </w:rPr>
      </w:pPr>
    </w:p>
    <w:p>
      <w:pPr>
        <w:ind w:left="940" w:hanging="730"/>
        <w:spacing w:after="0"/>
        <w:tabs>
          <w:tab w:leader="none" w:pos="94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70" w:name="page171"/>
    <w:bookmarkEnd w:id="170"/>
    <w:p>
      <w:pPr>
        <w:spacing w:after="0" w:line="26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9"/>
          <w:szCs w:val="19"/>
          <w:color w:val="auto"/>
        </w:rPr>
        <w:t>Agent shall promptly pay to the applicable Issuing Bank the amounts so received by it from the Revolving Lenders. Promptly following receipt by the Administrative Agent of any payment from the Borrower pursuant to the next following paragraph, the Administrative Agent shall distribute such payment to the applicable Issuing Bank or, to the extent that the Revolving Lenders have made payments pursuant to this paragraph to reimburse such Issuing Bank, then to such Revolving Lenders and such Issuing Bank as their interests may appear. Any payment made by a Revolving Lender pursuant to this paragraph to reimburse an Issuing Bank for any LC Disbursement shall not constitute a Loan and shall not relieve the Borrower of its obligation to reimburse such LC Disbursement.</w:t>
      </w:r>
    </w:p>
    <w:p>
      <w:pPr>
        <w:spacing w:after="0" w:line="157" w:lineRule="exact"/>
        <w:rPr>
          <w:sz w:val="20"/>
          <w:szCs w:val="20"/>
          <w:color w:val="auto"/>
        </w:rPr>
      </w:pPr>
    </w:p>
    <w:p>
      <w:pPr>
        <w:ind w:right="20" w:firstLine="1404"/>
        <w:spacing w:after="0" w:line="254" w:lineRule="auto"/>
        <w:rPr>
          <w:sz w:val="20"/>
          <w:szCs w:val="20"/>
          <w:color w:val="auto"/>
        </w:rPr>
      </w:pPr>
      <w:r>
        <w:rPr>
          <w:rFonts w:ascii="Times New Roman" w:cs="Times New Roman" w:eastAsia="Times New Roman" w:hAnsi="Times New Roman"/>
          <w:sz w:val="19"/>
          <w:szCs w:val="19"/>
          <w:color w:val="auto"/>
        </w:rPr>
        <w:t>(f)Reimbursement. If an Issuing Bank shall make any LC Disbursement in respect of a Letter of Credit, the Borrower shall reimburse such Issuing Bank in respect of such LC Disbursement by paying to the Administrative Agent an amount equal to such LC Disbursement not later than 11:00 a.m., New York City time, on (i) the Business Day that the Borrower receives notice of such LC Disbursement, if such notice is received prior to 10:00 a.m., New York City time, or (ii) the Business Day immediately following the day that the Borrower receives such notice, if such notice is not received prior to such time; provided that, if such LC Disbursement is not less than $1,000,000 (or such smaller amount as may be agreed to by the Administrative Agent) and is denominated in Dollars, the Borrower may, subject to the conditions to borrowing set forth herein, request in accordance with Section 2.03 or 2.04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60" w:lineRule="exact"/>
        <w:rPr>
          <w:sz w:val="20"/>
          <w:szCs w:val="20"/>
          <w:color w:val="auto"/>
        </w:rPr>
      </w:pPr>
    </w:p>
    <w:p>
      <w:pPr>
        <w:ind w:right="260" w:firstLine="1404"/>
        <w:spacing w:after="0" w:line="268" w:lineRule="auto"/>
        <w:rPr>
          <w:sz w:val="20"/>
          <w:szCs w:val="20"/>
          <w:color w:val="auto"/>
        </w:rPr>
      </w:pPr>
      <w:r>
        <w:rPr>
          <w:rFonts w:ascii="Times New Roman" w:cs="Times New Roman" w:eastAsia="Times New Roman" w:hAnsi="Times New Roman"/>
          <w:sz w:val="19"/>
          <w:szCs w:val="19"/>
          <w:color w:val="auto"/>
        </w:rPr>
        <w:t>If the Borrower fails to make such payment when due, the Administrative Agent shall notify each applicable Revolving Lender of the applicable LC Disbursement, the payment then due from the Borrower in respect thereof and such Revolving Lender’s Applicable Dollar Percentage or Applicable Multicurrency Percentage, as the case may be, thereof.</w:t>
      </w:r>
    </w:p>
    <w:p>
      <w:pPr>
        <w:spacing w:after="0" w:line="144" w:lineRule="exact"/>
        <w:rPr>
          <w:sz w:val="20"/>
          <w:szCs w:val="20"/>
          <w:color w:val="auto"/>
        </w:rPr>
      </w:pPr>
    </w:p>
    <w:p>
      <w:pPr>
        <w:ind w:right="200" w:firstLine="1404"/>
        <w:spacing w:after="0" w:line="255" w:lineRule="auto"/>
        <w:rPr>
          <w:sz w:val="20"/>
          <w:szCs w:val="20"/>
          <w:color w:val="auto"/>
        </w:rPr>
      </w:pPr>
      <w:r>
        <w:rPr>
          <w:rFonts w:ascii="Times New Roman" w:cs="Times New Roman" w:eastAsia="Times New Roman" w:hAnsi="Times New Roman"/>
          <w:sz w:val="19"/>
          <w:szCs w:val="19"/>
          <w:color w:val="auto"/>
        </w:rPr>
        <w:t>(g)Obligations Absolute. The Borrower’s obligation to reimburse LC Disbursements as provided in paragraph (f)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60"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Neither the Administrative Agent, the Revolving Lenders nor any Issuing Bank, nor any of their Related Parties, shall have any liability or responsibility by reason of or in connection with the issuance or transfer of any Letter of Credit by such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w:t>
      </w:r>
    </w:p>
    <w:p>
      <w:pPr>
        <w:spacing w:after="0" w:line="152" w:lineRule="exact"/>
        <w:rPr>
          <w:sz w:val="20"/>
          <w:szCs w:val="20"/>
          <w:color w:val="auto"/>
        </w:rPr>
      </w:pPr>
    </w:p>
    <w:p>
      <w:pPr>
        <w:ind w:left="940" w:hanging="730"/>
        <w:spacing w:after="0"/>
        <w:tabs>
          <w:tab w:leader="none" w:pos="94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71" w:name="page172"/>
    <w:bookmarkEnd w:id="171"/>
    <w:p>
      <w:pPr>
        <w:spacing w:after="0" w:line="26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9"/>
          <w:szCs w:val="19"/>
          <w:color w:val="auto"/>
        </w:rPr>
        <w:t>of Credit (including any document required to make a drawing thereunder), any error in interpretation of technical terms or any consequence arising from causes beyond the control of such Issuing Bank; provided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fraud, gross negligence or willful misconduct as finally determined by a court of competent jurisdiction when determining whether drafts and other documents presented under a Letter of Credit comply with the terms thereof. The parties hereto expressly agree that:</w:t>
      </w:r>
    </w:p>
    <w:p>
      <w:pPr>
        <w:spacing w:after="0" w:line="157" w:lineRule="exact"/>
        <w:rPr>
          <w:sz w:val="20"/>
          <w:szCs w:val="20"/>
          <w:color w:val="auto"/>
        </w:rPr>
      </w:pPr>
    </w:p>
    <w:p>
      <w:pPr>
        <w:ind w:left="700" w:firstLine="1500"/>
        <w:spacing w:after="0" w:line="262" w:lineRule="auto"/>
        <w:rPr>
          <w:sz w:val="20"/>
          <w:szCs w:val="20"/>
          <w:color w:val="auto"/>
        </w:rPr>
      </w:pPr>
      <w:r>
        <w:rPr>
          <w:rFonts w:ascii="Times New Roman" w:cs="Times New Roman" w:eastAsia="Times New Roman" w:hAnsi="Times New Roman"/>
          <w:sz w:val="19"/>
          <w:szCs w:val="19"/>
          <w:color w:val="auto"/>
        </w:rPr>
        <w:t>(i)the Issuing Banks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50" w:lineRule="exact"/>
        <w:rPr>
          <w:sz w:val="20"/>
          <w:szCs w:val="20"/>
          <w:color w:val="auto"/>
        </w:rPr>
      </w:pPr>
    </w:p>
    <w:p>
      <w:pPr>
        <w:ind w:left="700" w:right="20" w:firstLine="1500"/>
        <w:spacing w:after="0" w:line="286" w:lineRule="auto"/>
        <w:rPr>
          <w:sz w:val="20"/>
          <w:szCs w:val="20"/>
          <w:color w:val="auto"/>
        </w:rPr>
      </w:pPr>
      <w:r>
        <w:rPr>
          <w:rFonts w:ascii="Times New Roman" w:cs="Times New Roman" w:eastAsia="Times New Roman" w:hAnsi="Times New Roman"/>
          <w:sz w:val="19"/>
          <w:szCs w:val="19"/>
          <w:color w:val="auto"/>
        </w:rPr>
        <w:t>(ii)the Issuing Banks shall have the right, in their sole discretion, to decline to accept such documents and to make such payment if such documents are not in strict compliance with the terms of such Letter of Credit; and</w:t>
      </w:r>
    </w:p>
    <w:p>
      <w:pPr>
        <w:spacing w:after="0" w:line="127" w:lineRule="exact"/>
        <w:rPr>
          <w:sz w:val="20"/>
          <w:szCs w:val="20"/>
          <w:color w:val="auto"/>
        </w:rPr>
      </w:pPr>
    </w:p>
    <w:p>
      <w:pPr>
        <w:ind w:left="700" w:right="80" w:firstLine="1500"/>
        <w:spacing w:after="0" w:line="268" w:lineRule="auto"/>
        <w:rPr>
          <w:sz w:val="20"/>
          <w:szCs w:val="20"/>
          <w:color w:val="auto"/>
        </w:rPr>
      </w:pPr>
      <w:r>
        <w:rPr>
          <w:rFonts w:ascii="Times New Roman" w:cs="Times New Roman" w:eastAsia="Times New Roman" w:hAnsi="Times New Roman"/>
          <w:sz w:val="19"/>
          <w:szCs w:val="19"/>
          <w:color w:val="auto"/>
        </w:rPr>
        <w:t>(iii)this sentence shall establish the standard of care to be exercised by the Issuing Banks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44" w:lineRule="exact"/>
        <w:rPr>
          <w:sz w:val="20"/>
          <w:szCs w:val="20"/>
          <w:color w:val="auto"/>
        </w:rPr>
      </w:pPr>
    </w:p>
    <w:p>
      <w:pPr>
        <w:ind w:right="40" w:firstLine="1404"/>
        <w:spacing w:after="0" w:line="257" w:lineRule="auto"/>
        <w:rPr>
          <w:sz w:val="20"/>
          <w:szCs w:val="20"/>
          <w:color w:val="auto"/>
        </w:rPr>
      </w:pPr>
      <w:r>
        <w:rPr>
          <w:rFonts w:ascii="Times New Roman" w:cs="Times New Roman" w:eastAsia="Times New Roman" w:hAnsi="Times New Roman"/>
          <w:sz w:val="19"/>
          <w:szCs w:val="19"/>
          <w:color w:val="auto"/>
        </w:rPr>
        <w:t>(h)Disbursement Procedures. Each Issuing Bank shall, within a reasonable time following its receipt thereof, examine all documents purporting to represent a demand for payment under a Letter of Credit issued by such Issuing Bank. The applicable Issuing Bank shall promptly after such examination notify the Administrative Agent and the Borrower by telephone (confirmed by telecopy or electronic communication) of such demand for payment and whether such Issuing Bank has made or will make an LC Disbursement thereunder; provided that any failure to give or delay in giving such notice shall not relieve the Borrower of its obligation to reimburse such Issuing Bank and the applicable Revolving Lenders with respect to any such LC Disbursement.</w:t>
      </w:r>
    </w:p>
    <w:p>
      <w:pPr>
        <w:spacing w:after="0" w:line="157" w:lineRule="exact"/>
        <w:rPr>
          <w:sz w:val="20"/>
          <w:szCs w:val="20"/>
          <w:color w:val="auto"/>
        </w:rPr>
      </w:pPr>
    </w:p>
    <w:p>
      <w:pPr>
        <w:ind w:right="20" w:firstLine="1404"/>
        <w:spacing w:after="0" w:line="255" w:lineRule="auto"/>
        <w:rPr>
          <w:sz w:val="20"/>
          <w:szCs w:val="20"/>
          <w:color w:val="auto"/>
        </w:rPr>
      </w:pPr>
      <w:r>
        <w:rPr>
          <w:rFonts w:ascii="Times New Roman" w:cs="Times New Roman" w:eastAsia="Times New Roman" w:hAnsi="Times New Roman"/>
          <w:sz w:val="19"/>
          <w:szCs w:val="19"/>
          <w:color w:val="auto"/>
        </w:rPr>
        <w:t>(i)Interim Interest.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Revolving ABR Loans; provided that, if the Borrower fails to reimburse such LC Disbursement within two (2) Business Days following the date when due pursuant to paragraph (f) of this Section, then the provisions of Section 2.12(d) shall apply. Interest accrued pursuant to this paragraph shall be for account of the applicable Issuing Bank, except that interest accrued on and after the date of payment by any Revolving Lender pursuant to paragraph (f) of this Section to reimburse such Issuing Bank shall be for account of such Revolving Lender to the extent of such payment.</w:t>
      </w:r>
    </w:p>
    <w:p>
      <w:pPr>
        <w:spacing w:after="0" w:line="158" w:lineRule="exact"/>
        <w:rPr>
          <w:sz w:val="20"/>
          <w:szCs w:val="20"/>
          <w:color w:val="auto"/>
        </w:rPr>
      </w:pPr>
    </w:p>
    <w:p>
      <w:pPr>
        <w:ind w:left="940" w:hanging="730"/>
        <w:spacing w:after="0"/>
        <w:tabs>
          <w:tab w:leader="none" w:pos="94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72" w:name="page173"/>
    <w:bookmarkEnd w:id="172"/>
    <w:p>
      <w:pPr>
        <w:spacing w:after="0" w:line="269"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auto"/>
        </w:rPr>
        <w:t>(j)Resignation and/or Replacement of an Issuing Bank. An Issuing Bank may resign and be replaced at any time by written agreement among the Borrower, the Administrative Agent, the resigning Issuing Bank and the successor Issuing Bank. In addition, if any Issuing Bank, in its capacity as a Revolving Lender, assigns all of its Revolving Loans and Revolving Commitments in accordance with the terms of this Agreement, such Issuing Bank may, with the prior written consent of the Borrower (such consent not to be unreasonably withheld or delayed; provided that no consent of the Borrower shall be required if a Specified Event of Default has occurred and is continuing), resign as an Issuing Bank hereunder upon not less than three (3) Business Days prior written notice to the Administrative Agent and the Borrower; provided, further, in determining whether to give any such consent, the Borrower may consider, among other factors, the sufficiency of availability of Letters of Credit hereunder. The Administrative Agent shall notify the Revolving Lenders of any such resignation and replacement of an Issuing Bank. Upon the effectiveness of any resignation or replacement of an Issuing Bank, the Borrower shall pay all unpaid fees accrued for account of the resigning or replaced Issuing Bank pursuant to Section 2.11(b). From and after the effective date of the appointment of a successor Issuing Bank, (i) the successor Issuing Bank shall have all the rights and obligations of the replaced Issuing Bank under this Agreement with respect to Letters of Credit to be issued thereafter and</w:t>
      </w:r>
    </w:p>
    <w:p>
      <w:pPr>
        <w:spacing w:after="0" w:line="6" w:lineRule="exact"/>
        <w:rPr>
          <w:sz w:val="20"/>
          <w:szCs w:val="20"/>
          <w:color w:val="auto"/>
        </w:rPr>
      </w:pPr>
    </w:p>
    <w:p>
      <w:pPr>
        <w:ind w:right="40" w:firstLine="6"/>
        <w:spacing w:after="0" w:line="252" w:lineRule="auto"/>
        <w:tabs>
          <w:tab w:leader="none" w:pos="282"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references herein to the term “Issuing Bank” and/or “Issuing Banks” shall be deemed to refer to such successor or successors (and other current Issuing Banks, if applicable) or to any previous Issuing Bank, or to such successor or successors (and all other current Issuing Banks)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an Issuing Bank under this Agreement with respect to Letters of Credit issued by it prior to such resignation or replacement, but shall not be required to issue additional Letters of Credit.</w:t>
      </w:r>
    </w:p>
    <w:p>
      <w:pPr>
        <w:spacing w:after="0" w:line="162" w:lineRule="exact"/>
        <w:rPr>
          <w:sz w:val="20"/>
          <w:szCs w:val="20"/>
          <w:color w:val="auto"/>
        </w:rPr>
      </w:pPr>
    </w:p>
    <w:p>
      <w:pPr>
        <w:ind w:right="80" w:firstLine="1404"/>
        <w:spacing w:after="0" w:line="254" w:lineRule="auto"/>
        <w:rPr>
          <w:sz w:val="20"/>
          <w:szCs w:val="20"/>
          <w:color w:val="auto"/>
        </w:rPr>
      </w:pPr>
      <w:r>
        <w:rPr>
          <w:rFonts w:ascii="Times New Roman" w:cs="Times New Roman" w:eastAsia="Times New Roman" w:hAnsi="Times New Roman"/>
          <w:sz w:val="19"/>
          <w:szCs w:val="19"/>
          <w:color w:val="auto"/>
        </w:rPr>
        <w:t xml:space="preserve">(k)Cash Collateralization. If the Borrower shall be required to provide Cash Collateral for LC Exposure pursuant to Section 2.05(d), Section 2.09(a), Section 2.10(b) or (c) </w:t>
      </w:r>
      <w:r>
        <w:rPr>
          <w:rFonts w:ascii="Times New Roman" w:cs="Times New Roman" w:eastAsia="Times New Roman" w:hAnsi="Times New Roman"/>
          <w:sz w:val="19"/>
          <w:szCs w:val="19"/>
          <w:color w:val="FF0000"/>
        </w:rPr>
        <w:t>or</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auto"/>
        </w:rPr>
        <w:t xml:space="preserve"> the last paragraph of Article VII </w:t>
      </w:r>
      <w:r>
        <w:rPr>
          <w:rFonts w:ascii="Times New Roman" w:cs="Times New Roman" w:eastAsia="Times New Roman" w:hAnsi="Times New Roman"/>
          <w:sz w:val="19"/>
          <w:szCs w:val="19"/>
          <w:color w:val="0000FF"/>
        </w:rPr>
        <w:t>or Section 9.19</w:t>
      </w:r>
      <w:r>
        <w:rPr>
          <w:rFonts w:ascii="Times New Roman" w:cs="Times New Roman" w:eastAsia="Times New Roman" w:hAnsi="Times New Roman"/>
          <w:sz w:val="19"/>
          <w:szCs w:val="19"/>
          <w:color w:val="auto"/>
        </w:rPr>
        <w:t>, the Borrower shall immediately deposit into a segregated collateral account or accounts (herein, collectively, the “Letter of Credit Collateral Account”) in the name and under the dominion and control of the Administrative Agent Cash denominated in the Currency of the Letter of Credit under which such LC Exposure arises in an amount equal to the amount required under Section 2.09(a), Section 2.10(b) or (c) or the last paragraph of Article VII,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Revolving Lenders in the Letter of Credit Collateral Account and in any financial assets (as defined in the Uniform Commercial Code) or other property held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2679065</wp:posOffset>
            </wp:positionH>
            <wp:positionV relativeFrom="paragraph">
              <wp:posOffset>-1238250</wp:posOffset>
            </wp:positionV>
            <wp:extent cx="12954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129540" cy="7620"/>
                    </a:xfrm>
                    <a:prstGeom prst="rect">
                      <a:avLst/>
                    </a:prstGeom>
                    <a:noFill/>
                  </pic:spPr>
                </pic:pic>
              </a:graphicData>
            </a:graphic>
          </wp:anchor>
        </w:drawing>
      </w:r>
    </w:p>
    <w:p>
      <w:pPr>
        <w:spacing w:after="0" w:line="140" w:lineRule="exact"/>
        <w:rPr>
          <w:sz w:val="20"/>
          <w:szCs w:val="20"/>
          <w:color w:val="auto"/>
        </w:rPr>
      </w:pPr>
    </w:p>
    <w:p>
      <w:pPr>
        <w:ind w:left="100" w:right="60" w:firstLine="1416"/>
        <w:spacing w:after="0" w:line="259" w:lineRule="auto"/>
        <w:rPr>
          <w:sz w:val="20"/>
          <w:szCs w:val="20"/>
          <w:color w:val="auto"/>
        </w:rPr>
      </w:pPr>
      <w:r>
        <w:rPr>
          <w:rFonts w:ascii="Times New Roman" w:cs="Times New Roman" w:eastAsia="Times New Roman" w:hAnsi="Times New Roman"/>
          <w:sz w:val="19"/>
          <w:szCs w:val="19"/>
          <w:color w:val="auto"/>
        </w:rPr>
        <w:t>(l)Additional Issuing Banks. From time to time, the Borrower may, by notice to the Administrative Agent, designate additional Revolving Lenders as Issuing Banks, each of which agrees (in its sole discretion) to act in such capacity and is reasonably satisfactory to the Administrative Agent; provided that each such notice shall include an updated Schedule 2.05; provided, further, that the Borrower shall not update Schedule 2.05 to increase any Issuing Bank’s maximum LC Exposure without such Issuing Bank’s consent. Each such additional Issuing Bank</w:t>
      </w:r>
    </w:p>
    <w:p>
      <w:pPr>
        <w:spacing w:after="0" w:line="152" w:lineRule="exact"/>
        <w:rPr>
          <w:sz w:val="20"/>
          <w:szCs w:val="20"/>
          <w:color w:val="auto"/>
        </w:rPr>
      </w:pPr>
    </w:p>
    <w:p>
      <w:pPr>
        <w:ind w:left="940" w:hanging="730"/>
        <w:spacing w:after="0"/>
        <w:tabs>
          <w:tab w:leader="none" w:pos="94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3" w:name="page174"/>
    <w:bookmarkEnd w:id="173"/>
    <w:p>
      <w:pPr>
        <w:spacing w:after="0" w:line="269" w:lineRule="exact"/>
        <w:rPr>
          <w:sz w:val="20"/>
          <w:szCs w:val="20"/>
          <w:color w:val="auto"/>
        </w:rPr>
      </w:pPr>
    </w:p>
    <w:p>
      <w:pPr>
        <w:ind w:left="100" w:right="80"/>
        <w:spacing w:after="0" w:line="286" w:lineRule="auto"/>
        <w:rPr>
          <w:sz w:val="20"/>
          <w:szCs w:val="20"/>
          <w:color w:val="auto"/>
        </w:rPr>
      </w:pPr>
      <w:r>
        <w:rPr>
          <w:rFonts w:ascii="Times New Roman" w:cs="Times New Roman" w:eastAsia="Times New Roman" w:hAnsi="Times New Roman"/>
          <w:sz w:val="19"/>
          <w:szCs w:val="19"/>
          <w:color w:val="auto"/>
        </w:rPr>
        <w:t>shall execute a counterpart of this Agreement upon the approval of the Administrative Agent (which approval shall not be unreasonably withheld) and shall thereafter be an Issuing Bank hereunder for all purposes.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2.06. </w:t>
      </w:r>
      <w:r>
        <w:rPr>
          <w:rFonts w:ascii="Times New Roman" w:cs="Times New Roman" w:eastAsia="Times New Roman" w:hAnsi="Times New Roman"/>
          <w:sz w:val="19"/>
          <w:szCs w:val="19"/>
          <w:color w:val="000000"/>
        </w:rPr>
        <w:t>Funding of Borrowings.</w:t>
      </w:r>
    </w:p>
    <w:p>
      <w:pPr>
        <w:spacing w:after="0" w:line="202" w:lineRule="exact"/>
        <w:rPr>
          <w:sz w:val="20"/>
          <w:szCs w:val="20"/>
          <w:color w:val="auto"/>
        </w:rPr>
      </w:pPr>
    </w:p>
    <w:p>
      <w:pPr>
        <w:ind w:right="80" w:firstLine="1404"/>
        <w:spacing w:after="0" w:line="255" w:lineRule="auto"/>
        <w:rPr>
          <w:sz w:val="20"/>
          <w:szCs w:val="20"/>
          <w:color w:val="auto"/>
        </w:rPr>
      </w:pPr>
      <w:r>
        <w:rPr>
          <w:rFonts w:ascii="Times New Roman" w:cs="Times New Roman" w:eastAsia="Times New Roman" w:hAnsi="Times New Roman"/>
          <w:sz w:val="19"/>
          <w:szCs w:val="19"/>
          <w:color w:val="auto"/>
        </w:rPr>
        <w:t>(a)Funding by Lenders. Each Lender shall make each Loan to be made by it hereunder on the proposed date thereof by wire transfer of immediately available funds by (i) in the case of any Loan (other than a Syndicated ABR Borrowing), 11:00 a.m. New York City time, and (ii) in the case of any Loan that is a Syndicated ABR Borrowing, 1:00 p.m. New York City time, in each case, to the account of the Administrative Agent most recently designated by it for such purpose by notice to the Lenders; provided that Swingline Loans shall be made as provided in Section 2.04. The Administrative Agent will make such Loans available to the Borrower by promptly crediting the amounts so received, in like funds, to an account of the Borrower designated by the Borrower in the applicable Borrowing Request; provided that Syndicated ABR Borrowings made to finance the reimbursement of an LC Disbursement as provided in Section 2.05(f) shall be remitted by the Administrative Agent to the applicable Issuing Bank.</w:t>
      </w:r>
    </w:p>
    <w:p>
      <w:pPr>
        <w:spacing w:after="0" w:line="160" w:lineRule="exact"/>
        <w:rPr>
          <w:sz w:val="20"/>
          <w:szCs w:val="20"/>
          <w:color w:val="auto"/>
        </w:rPr>
      </w:pPr>
    </w:p>
    <w:p>
      <w:pPr>
        <w:ind w:right="60" w:firstLine="1404"/>
        <w:spacing w:after="0" w:line="253" w:lineRule="auto"/>
        <w:rPr>
          <w:sz w:val="20"/>
          <w:szCs w:val="20"/>
          <w:color w:val="auto"/>
        </w:rPr>
      </w:pPr>
      <w:r>
        <w:rPr>
          <w:rFonts w:ascii="Times New Roman" w:cs="Times New Roman" w:eastAsia="Times New Roman" w:hAnsi="Times New Roman"/>
          <w:sz w:val="19"/>
          <w:szCs w:val="19"/>
          <w:color w:val="auto"/>
        </w:rPr>
        <w:t>(b)Presumption by the Administrative Agent.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2.07. </w:t>
      </w:r>
      <w:r>
        <w:rPr>
          <w:rFonts w:ascii="Times New Roman" w:cs="Times New Roman" w:eastAsia="Times New Roman" w:hAnsi="Times New Roman"/>
          <w:sz w:val="19"/>
          <w:szCs w:val="19"/>
          <w:color w:val="000000"/>
        </w:rPr>
        <w:t>Interest Elections.</w:t>
      </w:r>
    </w:p>
    <w:p>
      <w:pPr>
        <w:spacing w:after="0" w:line="202"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(a)Elections by the Borrower for Syndicated Borrowings. Subject to Section 2.03(d), the Loans constituting each Syndicated Borrowing initially shall be of the Type specified in the applicable Borrowing Request and, in the case of a Term Benchmark Borrowing or RFR Borrowing, shall have the Interest Period specified in such Borrowing Request. Thereafter, the Borrower may elect to convert such Borrowing to a Borrowing of a different Type or to continue such Borrowing as a Borrowing of the same Type and, in the case of a Term Benchmark Borrowing or RFR Borrowing, may elect the Interest Period therefor, all as provided in this Section; provided, however, that (i) a Syndicated Borrowing of a Class may only be continued or converted into a Syndicated Borrowing of the same Class, (ii) a Syndicated Borrowing denominated in one</w:t>
      </w:r>
    </w:p>
    <w:p>
      <w:pPr>
        <w:spacing w:after="0" w:line="155" w:lineRule="exact"/>
        <w:rPr>
          <w:sz w:val="20"/>
          <w:szCs w:val="20"/>
          <w:color w:val="auto"/>
        </w:rPr>
      </w:pPr>
    </w:p>
    <w:p>
      <w:pPr>
        <w:ind w:left="940" w:hanging="730"/>
        <w:spacing w:after="0"/>
        <w:tabs>
          <w:tab w:leader="none" w:pos="94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74" w:name="page175"/>
    <w:bookmarkEnd w:id="174"/>
    <w:p>
      <w:pPr>
        <w:spacing w:after="0" w:line="2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Currency may not be continued as, or converted to, a Syndicated Borrowing in a different Currency, (iii) prior to the Commitment Termination Date, no Term Benchmark Borrowing denominated in a Foreign Currency or RFR Borrowing may be continued if, after giving effect thereto, the aggregate Revolving Multicurrency Credit Exposures would exceed the aggregate Multicurrency Commitments, and (iv) a Term Benchmark Borrowing denominated in a Foreign Currency or RFR Borrowing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Loans, which may not be converted or continued.</w:t>
      </w:r>
    </w:p>
    <w:p>
      <w:pPr>
        <w:spacing w:after="0" w:line="160" w:lineRule="exact"/>
        <w:rPr>
          <w:sz w:val="20"/>
          <w:szCs w:val="20"/>
          <w:color w:val="auto"/>
        </w:rPr>
      </w:pPr>
    </w:p>
    <w:p>
      <w:pPr>
        <w:ind w:right="20" w:firstLine="1404"/>
        <w:spacing w:after="0" w:line="256" w:lineRule="auto"/>
        <w:rPr>
          <w:sz w:val="20"/>
          <w:szCs w:val="20"/>
          <w:color w:val="auto"/>
        </w:rPr>
      </w:pPr>
      <w:r>
        <w:rPr>
          <w:rFonts w:ascii="Times New Roman" w:cs="Times New Roman" w:eastAsia="Times New Roman" w:hAnsi="Times New Roman"/>
          <w:sz w:val="19"/>
          <w:szCs w:val="19"/>
          <w:color w:val="auto"/>
        </w:rPr>
        <w:t>(b)Notice of Elections. To make an election pursuant to this Section, the Borrower shall notify the Administrative Agent of such election by telephone, delivery of a signed interest election request or email by the time that a Borrowing Request would be required under Section 2.03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or electronic communication to the Administrative Agent of a written Interest Election Request in a form approved by the Administrative Agent and signed by the Borrower.</w:t>
      </w:r>
    </w:p>
    <w:p>
      <w:pPr>
        <w:spacing w:after="0" w:line="390" w:lineRule="exact"/>
        <w:rPr>
          <w:sz w:val="20"/>
          <w:szCs w:val="20"/>
          <w:color w:val="auto"/>
        </w:rPr>
      </w:pPr>
    </w:p>
    <w:p>
      <w:pPr>
        <w:ind w:right="520" w:firstLine="1404"/>
        <w:spacing w:after="0" w:line="286" w:lineRule="auto"/>
        <w:rPr>
          <w:sz w:val="20"/>
          <w:szCs w:val="20"/>
          <w:color w:val="auto"/>
        </w:rPr>
      </w:pPr>
      <w:r>
        <w:rPr>
          <w:rFonts w:ascii="Times New Roman" w:cs="Times New Roman" w:eastAsia="Times New Roman" w:hAnsi="Times New Roman"/>
          <w:sz w:val="19"/>
          <w:szCs w:val="19"/>
          <w:color w:val="auto"/>
        </w:rPr>
        <w:t>(c)Content of Interest Election Requests. Each telephonic and written Interest Election Request shall specify the following information in compliance with Section 2.02:</w:t>
      </w:r>
    </w:p>
    <w:p>
      <w:pPr>
        <w:spacing w:after="0" w:line="127" w:lineRule="exact"/>
        <w:rPr>
          <w:sz w:val="20"/>
          <w:szCs w:val="20"/>
          <w:color w:val="auto"/>
        </w:rPr>
      </w:pPr>
    </w:p>
    <w:p>
      <w:pPr>
        <w:ind w:left="700" w:right="280" w:firstLine="1500"/>
        <w:spacing w:after="0" w:line="262" w:lineRule="auto"/>
        <w:rPr>
          <w:sz w:val="20"/>
          <w:szCs w:val="20"/>
          <w:color w:val="auto"/>
        </w:rPr>
      </w:pPr>
      <w:r>
        <w:rPr>
          <w:rFonts w:ascii="Times New Roman" w:cs="Times New Roman" w:eastAsia="Times New Roman" w:hAnsi="Times New Roman"/>
          <w:sz w:val="19"/>
          <w:szCs w:val="19"/>
          <w:color w:val="auto"/>
        </w:rPr>
        <w:t>(i)the Borrowing (including the Class) to which such Interest Election Request applies and, if different options are being elected with respect to different portions thereof, the portions thereof to be allocated to each resulting Borrowing (in which case the information to be specified pursuant to clauses (iii) and (iv) of this paragraph shall be specified for each resulting Borrowing);</w:t>
      </w:r>
    </w:p>
    <w:p>
      <w:pPr>
        <w:spacing w:after="0" w:line="15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(ii)the effective date of the election made pursuant to such Interest Election Request, which shall be a</w:t>
      </w:r>
    </w:p>
    <w:p>
      <w:pPr>
        <w:spacing w:after="0" w:line="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Business Day;</w:t>
      </w:r>
    </w:p>
    <w:p>
      <w:pPr>
        <w:spacing w:after="0" w:line="180" w:lineRule="exact"/>
        <w:rPr>
          <w:sz w:val="20"/>
          <w:szCs w:val="20"/>
          <w:color w:val="auto"/>
        </w:rPr>
      </w:pPr>
    </w:p>
    <w:p>
      <w:pPr>
        <w:ind w:left="700" w:right="300" w:firstLine="1500"/>
        <w:spacing w:after="0" w:line="286" w:lineRule="auto"/>
        <w:rPr>
          <w:sz w:val="20"/>
          <w:szCs w:val="20"/>
          <w:color w:val="auto"/>
        </w:rPr>
      </w:pPr>
      <w:r>
        <w:rPr>
          <w:rFonts w:ascii="Times New Roman" w:cs="Times New Roman" w:eastAsia="Times New Roman" w:hAnsi="Times New Roman"/>
          <w:sz w:val="19"/>
          <w:szCs w:val="19"/>
          <w:color w:val="auto"/>
        </w:rPr>
        <w:t>(iii)whether, in the case of a Borrowing denominated in Dollars, the resulting Borrowing is to be an ABR Borrowing or a Term Benchmark Borrowing; and</w:t>
      </w:r>
    </w:p>
    <w:p>
      <w:pPr>
        <w:spacing w:after="0" w:line="127" w:lineRule="exact"/>
        <w:rPr>
          <w:sz w:val="20"/>
          <w:szCs w:val="20"/>
          <w:color w:val="auto"/>
        </w:rPr>
      </w:pPr>
    </w:p>
    <w:p>
      <w:pPr>
        <w:ind w:left="700" w:right="80" w:firstLine="1500"/>
        <w:spacing w:after="0" w:line="268" w:lineRule="auto"/>
        <w:rPr>
          <w:sz w:val="20"/>
          <w:szCs w:val="20"/>
          <w:color w:val="auto"/>
        </w:rPr>
      </w:pPr>
      <w:r>
        <w:rPr>
          <w:rFonts w:ascii="Times New Roman" w:cs="Times New Roman" w:eastAsia="Times New Roman" w:hAnsi="Times New Roman"/>
          <w:sz w:val="19"/>
          <w:szCs w:val="19"/>
          <w:color w:val="auto"/>
        </w:rPr>
        <w:t>(iv)if the resulting Borrowing is a Term Benchmark Borrowing or RFR Borrowing, the Interest Period therefor after giving effect to such election, which shall be a period contemplated by the definition of the term “Interest Period” and permitted under Section 2.02(d).</w:t>
      </w:r>
    </w:p>
    <w:p>
      <w:pPr>
        <w:spacing w:after="0" w:line="144" w:lineRule="exact"/>
        <w:rPr>
          <w:sz w:val="20"/>
          <w:szCs w:val="20"/>
          <w:color w:val="auto"/>
        </w:rPr>
      </w:pPr>
    </w:p>
    <w:p>
      <w:pPr>
        <w:ind w:right="80" w:firstLine="1404"/>
        <w:spacing w:after="0" w:line="277" w:lineRule="auto"/>
        <w:rPr>
          <w:sz w:val="20"/>
          <w:szCs w:val="20"/>
          <w:color w:val="auto"/>
        </w:rPr>
      </w:pPr>
      <w:r>
        <w:rPr>
          <w:rFonts w:ascii="Times New Roman" w:cs="Times New Roman" w:eastAsia="Times New Roman" w:hAnsi="Times New Roman"/>
          <w:sz w:val="19"/>
          <w:szCs w:val="19"/>
          <w:color w:val="auto"/>
        </w:rPr>
        <w:t>(d)Notice by the Administrative Agent to the Lenders. Promptly following receipt of an Interest Election Request, the Administrative Agent shall advise each applicable Lender of the details thereof and of such Lender’s portion of each resulting Borrowing.</w:t>
      </w:r>
    </w:p>
    <w:p>
      <w:pPr>
        <w:spacing w:after="0" w:line="372" w:lineRule="exact"/>
        <w:rPr>
          <w:sz w:val="20"/>
          <w:szCs w:val="20"/>
          <w:color w:val="auto"/>
        </w:rPr>
      </w:pPr>
    </w:p>
    <w:p>
      <w:pPr>
        <w:ind w:right="100" w:firstLine="1404"/>
        <w:spacing w:after="0" w:line="286" w:lineRule="auto"/>
        <w:rPr>
          <w:sz w:val="20"/>
          <w:szCs w:val="20"/>
          <w:color w:val="auto"/>
        </w:rPr>
      </w:pPr>
      <w:r>
        <w:rPr>
          <w:rFonts w:ascii="Times New Roman" w:cs="Times New Roman" w:eastAsia="Times New Roman" w:hAnsi="Times New Roman"/>
          <w:sz w:val="19"/>
          <w:szCs w:val="19"/>
          <w:color w:val="auto"/>
        </w:rPr>
        <w:t>(e)Failure to Elect; Events of Default. If the Borrower fails to deliver a timely and complete Interest Election Request with respect to a Term Benchmark Borrowing or RFR</w:t>
      </w:r>
    </w:p>
    <w:p>
      <w:pPr>
        <w:spacing w:after="0" w:line="126" w:lineRule="exact"/>
        <w:rPr>
          <w:sz w:val="20"/>
          <w:szCs w:val="20"/>
          <w:color w:val="auto"/>
        </w:rPr>
      </w:pPr>
    </w:p>
    <w:p>
      <w:pPr>
        <w:ind w:left="940" w:hanging="730"/>
        <w:spacing w:after="0"/>
        <w:tabs>
          <w:tab w:leader="none" w:pos="94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75" w:name="page176"/>
    <w:bookmarkEnd w:id="175"/>
    <w:p>
      <w:pPr>
        <w:spacing w:after="0" w:line="2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auto"/>
        </w:rPr>
        <w:t>Borrowing prior to the end of the Interest Period therefor, then, unless such Borrowing is repaid as provided herein, (i) if such Borrowing is denominated in Dollars, at the end of such Interest Period such Borrowing shall be converted to a Syndicated Term Benchmark Borrowing consistent with the existing Loan of the same Class having an Interest Period of one month, and (ii) if such Borrowing is denominated in a Foreign Currency, the Borrower shall be deemed to have selected an Interest Period of one month’s duration. Notwithstanding any contrary provision hereof (other than the last paragraph of Article VII), if an Event of Default has occurred and is continuing and the Administrative Agent, at the request of the Required Lenders, so notifies the Borrower, (i) any Term Benchmark Borrowing denominated in Dollars shall, at the end of the applicable Interest Period for such Term Benchmark Borrowing, be automatically converted to an ABR Borrowing and (ii) any Term Benchmark Borrowing or RFR Borrowing denominated in a Foreign Currency shall not have an Interest Period of more than one month’s duration.</w:t>
      </w:r>
    </w:p>
    <w:p>
      <w:pPr>
        <w:spacing w:after="0" w:line="15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2.08. </w:t>
      </w:r>
      <w:r>
        <w:rPr>
          <w:rFonts w:ascii="Times New Roman" w:cs="Times New Roman" w:eastAsia="Times New Roman" w:hAnsi="Times New Roman"/>
          <w:sz w:val="19"/>
          <w:szCs w:val="19"/>
          <w:color w:val="000000"/>
        </w:rPr>
        <w:t>Termination, Reduction or Increase of the Commitments.</w:t>
      </w:r>
    </w:p>
    <w:p>
      <w:pPr>
        <w:spacing w:after="0" w:line="202" w:lineRule="exact"/>
        <w:rPr>
          <w:sz w:val="20"/>
          <w:szCs w:val="20"/>
          <w:color w:val="auto"/>
        </w:rPr>
      </w:pPr>
    </w:p>
    <w:p>
      <w:pPr>
        <w:ind w:right="200" w:firstLine="1404"/>
        <w:spacing w:after="0" w:line="259" w:lineRule="auto"/>
        <w:rPr>
          <w:sz w:val="20"/>
          <w:szCs w:val="20"/>
          <w:color w:val="auto"/>
        </w:rPr>
      </w:pPr>
      <w:r>
        <w:rPr>
          <w:rFonts w:ascii="Times New Roman" w:cs="Times New Roman" w:eastAsia="Times New Roman" w:hAnsi="Times New Roman"/>
          <w:sz w:val="19"/>
          <w:szCs w:val="19"/>
          <w:color w:val="auto"/>
        </w:rPr>
        <w:t xml:space="preserve">(a)Scheduled Termination. Unless previously terminated, the Revolving Commitments shall terminate on the Commitment Termination Date. </w:t>
      </w:r>
      <w:r>
        <w:rPr>
          <w:rFonts w:ascii="Times New Roman" w:cs="Times New Roman" w:eastAsia="Times New Roman" w:hAnsi="Times New Roman"/>
          <w:sz w:val="19"/>
          <w:szCs w:val="19"/>
          <w:color w:val="0000FF"/>
        </w:rPr>
        <w:t>The Initial Term Commitments terminated upon the funding of the Initial Term Loans on the Second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Amendment Effective Date. The Incremental Term Commitments made by such Incremental Term Lenders on December 18, 2024 terminated upon the funding of such Incremental Term Loans on December 18, 2024. The Incremental Term Commitments made by such Incremental Term Lenders on August 26, 2025 terminated upon the funding of such Incremental Term Loans on August 26, 2025.</w:t>
      </w:r>
    </w:p>
    <w:p>
      <w:pPr>
        <w:spacing w:after="0" w:line="154"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(b)Voluntary Termination or Reduction. The Borrower may at any time without premium or penalty terminate, or from time to time reduce, the Revolving Commitments of either Class; provided that (i) each reduction of the Revolving Commitments of a Class shall be in an amount that is $10,000,000 (or, if less, the entire amount of the Revolving Commitments of such Class) or a larger multiple of $ 1,000,000 in excess thereof (or, if less, the entire amount of the Revolving Commitments of such Class) and (ii) the Borrower shall not terminate or reduce the Revolving Commitments of either Class if, after giving effect to any concurrent prepayment of the Revolving Loans of such Class in accordance with Section 2.10, the total Revolving Credit Exposures of such Class would exceed the total Revolving Commitments of such Class. Any such reduction of the Revolving Commitments below the principal amount of the Swingline Loans permitted under Section 2.04(a)(i) and the Letters of Credit permitted under Section 2.05(c)(i) shall result in a dollar-for-dollar reduction of such amounts as applicable.</w:t>
      </w:r>
    </w:p>
    <w:p>
      <w:pPr>
        <w:spacing w:after="0" w:line="155" w:lineRule="exact"/>
        <w:rPr>
          <w:sz w:val="20"/>
          <w:szCs w:val="20"/>
          <w:color w:val="auto"/>
        </w:rPr>
      </w:pPr>
    </w:p>
    <w:p>
      <w:pPr>
        <w:ind w:right="40" w:firstLine="1404"/>
        <w:spacing w:after="0" w:line="256" w:lineRule="auto"/>
        <w:rPr>
          <w:sz w:val="20"/>
          <w:szCs w:val="20"/>
          <w:color w:val="auto"/>
        </w:rPr>
      </w:pPr>
      <w:r>
        <w:rPr>
          <w:rFonts w:ascii="Times New Roman" w:cs="Times New Roman" w:eastAsia="Times New Roman" w:hAnsi="Times New Roman"/>
          <w:sz w:val="19"/>
          <w:szCs w:val="19"/>
          <w:color w:val="auto"/>
        </w:rPr>
        <w:t>(c)Notice of Voluntary Termination or Reduction. The Borrower shall notify the Administrative Agent of any election to terminate or reduce the Revolving Commitments under paragraph (b) of this Section at least three (3)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provided that a notice of termination of the Revolving Commitments of a Class delivered by the Borrower may state that such notice is conditioned upon the effectiveness of other credit facilities or events, in which case such notice may be revoked by the Borrower (by notice to</w:t>
      </w:r>
    </w:p>
    <w:p>
      <w:pPr>
        <w:spacing w:after="0" w:line="155" w:lineRule="exact"/>
        <w:rPr>
          <w:sz w:val="20"/>
          <w:szCs w:val="20"/>
          <w:color w:val="auto"/>
        </w:rPr>
      </w:pPr>
    </w:p>
    <w:p>
      <w:pPr>
        <w:ind w:left="940" w:hanging="730"/>
        <w:spacing w:after="0"/>
        <w:tabs>
          <w:tab w:leader="none" w:pos="94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76" w:name="page177"/>
    <w:bookmarkEnd w:id="176"/>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Administrative Agent on or prior to the specified effective date) if such condition is not satisfied.</w:t>
      </w:r>
    </w:p>
    <w:p>
      <w:pPr>
        <w:spacing w:after="0" w:line="202"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(d)Effect of Termination or Reduction. Any termination or reduction of the Revolving Commitments of a Class pursuant to clause (b) shall be permanent. Each reduction of the Revolving Commitments of a Class pursuant to clause (b) shall be made ratably among the Lenders of such Class in accordance with their respective Revolving Commitments.</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(e)Increase of the Commitments.</w:t>
      </w:r>
    </w:p>
    <w:p>
      <w:pPr>
        <w:spacing w:after="0" w:line="202" w:lineRule="exact"/>
        <w:rPr>
          <w:sz w:val="20"/>
          <w:szCs w:val="20"/>
          <w:color w:val="auto"/>
        </w:rPr>
      </w:pPr>
    </w:p>
    <w:p>
      <w:pPr>
        <w:ind w:left="700" w:firstLine="1500"/>
        <w:spacing w:after="0" w:line="255" w:lineRule="auto"/>
        <w:rPr>
          <w:sz w:val="20"/>
          <w:szCs w:val="20"/>
          <w:color w:val="auto"/>
        </w:rPr>
      </w:pPr>
      <w:r>
        <w:rPr>
          <w:rFonts w:ascii="Times New Roman" w:cs="Times New Roman" w:eastAsia="Times New Roman" w:hAnsi="Times New Roman"/>
          <w:sz w:val="19"/>
          <w:szCs w:val="19"/>
          <w:color w:val="auto"/>
        </w:rPr>
        <w:t>(i)Requests for Increase by Borrower. The Borrower may, at any time, request that the Revolving Commitments hereunder of a Class be increased or a new Class of Incremental Term Commitments be created (each such proposed increase or creation being a “Commitment Increase”), upon notice to the Administrative Agent (who shall promptly notify the Lenders), which notice shall specify each existing Lender (each an “Increasing Lender”) and/or each additional lender (each an “Assuming Lender”) that shall have agreed to an additional Commitment and the date on which such increase or creation, as applicable, is expected to be effective (the date of actual effectiveness, the “Commitment Increase Date”), which shall be a Business Day at least three (3) Business Days (or such shorter period as the Administrative Agent may reasonably agree) after delivery of such notice and at least 30 days prior to the Commitment Termination Date; provided that:</w:t>
      </w:r>
    </w:p>
    <w:p>
      <w:pPr>
        <w:spacing w:after="0" w:line="16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(A)the minimum amount of the Commitment of any Assuming Lender, and the minimum amount</w:t>
      </w:r>
    </w:p>
    <w:p>
      <w:pPr>
        <w:spacing w:after="0" w:line="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of the increase of the Commitment of any Increasing Lender, as part of such Commitment Increase shall be</w:t>
      </w:r>
    </w:p>
    <w:p>
      <w:pPr>
        <w:spacing w:after="0" w:line="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$10,000,000 or a larger multiple of $5,000,000 in excess thereof (or such lesser amount as the Administrative Agent</w:t>
      </w:r>
    </w:p>
    <w:p>
      <w:pPr>
        <w:spacing w:after="0" w:line="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may reasonably agree);</w:t>
      </w:r>
    </w:p>
    <w:p>
      <w:pPr>
        <w:spacing w:after="0" w:line="180" w:lineRule="exact"/>
        <w:rPr>
          <w:sz w:val="20"/>
          <w:szCs w:val="20"/>
          <w:color w:val="auto"/>
        </w:rPr>
      </w:pPr>
    </w:p>
    <w:p>
      <w:pPr>
        <w:ind w:left="1420" w:right="40" w:firstLine="1620"/>
        <w:spacing w:after="0" w:line="286" w:lineRule="auto"/>
        <w:rPr>
          <w:sz w:val="20"/>
          <w:szCs w:val="20"/>
          <w:color w:val="auto"/>
        </w:rPr>
      </w:pPr>
      <w:r>
        <w:rPr>
          <w:rFonts w:ascii="Times New Roman" w:cs="Times New Roman" w:eastAsia="Times New Roman" w:hAnsi="Times New Roman"/>
          <w:sz w:val="19"/>
          <w:szCs w:val="19"/>
          <w:color w:val="auto"/>
        </w:rPr>
        <w:t>(B)immediately after giving effect to such Commitment Increase, the total Commitments of all of the Lenders hereunder shall not exceed $3,420,000,000;</w:t>
      </w:r>
    </w:p>
    <w:p>
      <w:pPr>
        <w:spacing w:after="0" w:line="127" w:lineRule="exact"/>
        <w:rPr>
          <w:sz w:val="20"/>
          <w:szCs w:val="20"/>
          <w:color w:val="auto"/>
        </w:rPr>
      </w:pPr>
    </w:p>
    <w:p>
      <w:pPr>
        <w:ind w:left="1420" w:right="40" w:firstLine="1620"/>
        <w:spacing w:after="0" w:line="268" w:lineRule="auto"/>
        <w:rPr>
          <w:sz w:val="20"/>
          <w:szCs w:val="20"/>
          <w:color w:val="auto"/>
        </w:rPr>
      </w:pPr>
      <w:r>
        <w:rPr>
          <w:rFonts w:ascii="Times New Roman" w:cs="Times New Roman" w:eastAsia="Times New Roman" w:hAnsi="Times New Roman"/>
          <w:sz w:val="19"/>
          <w:szCs w:val="19"/>
          <w:color w:val="auto"/>
        </w:rPr>
        <w:t>(C)each Assuming Lender shall be consented to by the Administrative Agent and, in the case of a Commitment Increase under the Revolving Commitments, each Issuing Bank and each Swingline Lender (such consent not to be unreasonably withheld or delayed);</w:t>
      </w:r>
    </w:p>
    <w:p>
      <w:pPr>
        <w:spacing w:after="0" w:line="144" w:lineRule="exact"/>
        <w:rPr>
          <w:sz w:val="20"/>
          <w:szCs w:val="20"/>
          <w:color w:val="auto"/>
        </w:rPr>
      </w:pPr>
    </w:p>
    <w:p>
      <w:pPr>
        <w:ind w:left="1420" w:right="60" w:firstLine="1620"/>
        <w:spacing w:after="0" w:line="286" w:lineRule="auto"/>
        <w:rPr>
          <w:sz w:val="20"/>
          <w:szCs w:val="20"/>
          <w:color w:val="auto"/>
        </w:rPr>
      </w:pPr>
      <w:r>
        <w:rPr>
          <w:rFonts w:ascii="Times New Roman" w:cs="Times New Roman" w:eastAsia="Times New Roman" w:hAnsi="Times New Roman"/>
          <w:sz w:val="19"/>
          <w:szCs w:val="19"/>
          <w:color w:val="auto"/>
        </w:rPr>
        <w:t>(D)no Default shall have occurred and be continuing on such Commitment Increase Date or shall result from the proposed Commitment Increase; and</w:t>
      </w:r>
    </w:p>
    <w:p>
      <w:pPr>
        <w:spacing w:after="0" w:line="127" w:lineRule="exact"/>
        <w:rPr>
          <w:sz w:val="20"/>
          <w:szCs w:val="20"/>
          <w:color w:val="auto"/>
        </w:rPr>
      </w:pPr>
    </w:p>
    <w:p>
      <w:pPr>
        <w:ind w:left="1420" w:right="20" w:firstLine="1620"/>
        <w:spacing w:after="0" w:line="259" w:lineRule="auto"/>
        <w:rPr>
          <w:sz w:val="20"/>
          <w:szCs w:val="20"/>
          <w:color w:val="auto"/>
        </w:rPr>
      </w:pPr>
      <w:r>
        <w:rPr>
          <w:rFonts w:ascii="Times New Roman" w:cs="Times New Roman" w:eastAsia="Times New Roman" w:hAnsi="Times New Roman"/>
          <w:sz w:val="19"/>
          <w:szCs w:val="19"/>
          <w:color w:val="auto"/>
        </w:rPr>
        <w:t>(E)the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152" w:lineRule="exact"/>
        <w:rPr>
          <w:sz w:val="20"/>
          <w:szCs w:val="20"/>
          <w:color w:val="auto"/>
        </w:rPr>
      </w:pPr>
    </w:p>
    <w:p>
      <w:pPr>
        <w:ind w:left="940" w:hanging="730"/>
        <w:spacing w:after="0"/>
        <w:tabs>
          <w:tab w:leader="none" w:pos="94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7" w:name="page178"/>
    <w:bookmarkEnd w:id="177"/>
    <w:p>
      <w:pPr>
        <w:spacing w:after="0" w:line="269" w:lineRule="exact"/>
        <w:rPr>
          <w:sz w:val="20"/>
          <w:szCs w:val="20"/>
          <w:color w:val="auto"/>
        </w:rPr>
      </w:pPr>
    </w:p>
    <w:p>
      <w:pPr>
        <w:ind w:left="490" w:right="100" w:firstLine="1500"/>
        <w:spacing w:after="0" w:line="268" w:lineRule="auto"/>
        <w:rPr>
          <w:sz w:val="20"/>
          <w:szCs w:val="20"/>
          <w:color w:val="auto"/>
        </w:rPr>
      </w:pPr>
      <w:r>
        <w:rPr>
          <w:rFonts w:ascii="Times New Roman" w:cs="Times New Roman" w:eastAsia="Times New Roman" w:hAnsi="Times New Roman"/>
          <w:sz w:val="19"/>
          <w:szCs w:val="19"/>
          <w:color w:val="auto"/>
        </w:rPr>
        <w:t>(ii)Effectiveness of Commitment Increase by Borrower. An Assuming Lender, if any, shall become a Lender hereunder as of such Commitment Increase Date and the Commitment of the respective Class of any Increasing Lender and such Assuming Lender shall be increased as of such Commitment Increase Date; provided that:</w:t>
      </w:r>
    </w:p>
    <w:p>
      <w:pPr>
        <w:spacing w:after="0" w:line="144" w:lineRule="exact"/>
        <w:rPr>
          <w:sz w:val="20"/>
          <w:szCs w:val="20"/>
          <w:color w:val="auto"/>
        </w:rPr>
      </w:pPr>
    </w:p>
    <w:p>
      <w:pPr>
        <w:ind w:left="1210" w:right="320" w:firstLine="795"/>
        <w:spacing w:after="0" w:line="262" w:lineRule="auto"/>
        <w:tabs>
          <w:tab w:leader="none" w:pos="2286"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on or prior to 11:00 a.m., New York City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paragraph (i) has been satisfied;</w:t>
      </w:r>
    </w:p>
    <w:p>
      <w:pPr>
        <w:spacing w:after="0" w:line="150" w:lineRule="exact"/>
        <w:rPr>
          <w:rFonts w:ascii="Times New Roman" w:cs="Times New Roman" w:eastAsia="Times New Roman" w:hAnsi="Times New Roman"/>
          <w:sz w:val="19"/>
          <w:szCs w:val="19"/>
          <w:color w:val="auto"/>
        </w:rPr>
      </w:pPr>
    </w:p>
    <w:p>
      <w:pPr>
        <w:ind w:left="1210" w:right="20" w:firstLine="795"/>
        <w:spacing w:after="0" w:line="256" w:lineRule="auto"/>
        <w:tabs>
          <w:tab w:leader="none" w:pos="2286"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Assuming Lender or Increasing Lender shall have delivered to the Administrative Agent, on or prior to 11:00 a.m., New York City time on such Commitment Increase Date (or on or prior to a time on an earlier date specified by the Administrative Agent), an agreement, in form and substance satisfactory to the Borrower and the Administrative Agent (each a “Commitment Increase Supplement”),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 and</w:t>
      </w:r>
    </w:p>
    <w:p>
      <w:pPr>
        <w:spacing w:after="0" w:line="157" w:lineRule="exact"/>
        <w:rPr>
          <w:rFonts w:ascii="Times New Roman" w:cs="Times New Roman" w:eastAsia="Times New Roman" w:hAnsi="Times New Roman"/>
          <w:sz w:val="19"/>
          <w:szCs w:val="19"/>
          <w:color w:val="auto"/>
        </w:rPr>
      </w:pPr>
    </w:p>
    <w:p>
      <w:pPr>
        <w:jc w:val="both"/>
        <w:ind w:left="1210" w:right="620" w:firstLine="795"/>
        <w:spacing w:after="0" w:line="268" w:lineRule="auto"/>
        <w:tabs>
          <w:tab w:leader="none" w:pos="2275"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Commitment Increase under the Term Commitments, each Assuming Lender and Increasing Lender shall on such Commitment Increase Date make available their respective Term Loans to the Borrower pursuant to procedures reasonably established by the Administrative Agent.</w:t>
      </w:r>
    </w:p>
    <w:p>
      <w:pPr>
        <w:spacing w:after="0" w:line="144" w:lineRule="exact"/>
        <w:rPr>
          <w:sz w:val="20"/>
          <w:szCs w:val="20"/>
          <w:color w:val="auto"/>
        </w:rPr>
      </w:pPr>
    </w:p>
    <w:p>
      <w:pPr>
        <w:jc w:val="both"/>
        <w:ind w:left="490" w:right="60"/>
        <w:spacing w:after="0" w:line="268" w:lineRule="auto"/>
        <w:rPr>
          <w:sz w:val="20"/>
          <w:szCs w:val="20"/>
          <w:color w:val="auto"/>
        </w:rPr>
      </w:pPr>
      <w:r>
        <w:rPr>
          <w:rFonts w:ascii="Times New Roman" w:cs="Times New Roman" w:eastAsia="Times New Roman" w:hAnsi="Times New Roman"/>
          <w:sz w:val="19"/>
          <w:szCs w:val="19"/>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44" w:lineRule="exact"/>
        <w:rPr>
          <w:sz w:val="20"/>
          <w:szCs w:val="20"/>
          <w:color w:val="auto"/>
        </w:rPr>
      </w:pPr>
    </w:p>
    <w:p>
      <w:pPr>
        <w:ind w:left="490" w:right="60" w:firstLine="1500"/>
        <w:spacing w:after="0" w:line="259" w:lineRule="auto"/>
        <w:rPr>
          <w:sz w:val="20"/>
          <w:szCs w:val="20"/>
          <w:color w:val="auto"/>
        </w:rPr>
      </w:pPr>
      <w:r>
        <w:rPr>
          <w:rFonts w:ascii="Times New Roman" w:cs="Times New Roman" w:eastAsia="Times New Roman" w:hAnsi="Times New Roman"/>
          <w:sz w:val="19"/>
          <w:szCs w:val="19"/>
          <w:color w:val="auto"/>
        </w:rPr>
        <w:t>(iii)Recordation into Register. Upon its receipt of a Commitment Increase Supplement executed by an Assuming Lender or any Increasing Lender, and, if applicable, upon the making of any Incremental Term Loan pursuant to clause (ii)(C), together with the certificate referred to in clause (ii)(x) above, the Administrative Agent shall, if such agreement has been completed, (x) accept such agreement, (y) record the information contained therein, and, if applicable, the Incremental Term Loans, in the Register and (z) give prompt notice thereof to the Borrower.</w:t>
      </w:r>
    </w:p>
    <w:p>
      <w:pPr>
        <w:spacing w:after="0" w:line="154" w:lineRule="exact"/>
        <w:rPr>
          <w:sz w:val="20"/>
          <w:szCs w:val="20"/>
          <w:color w:val="auto"/>
        </w:rPr>
      </w:pPr>
    </w:p>
    <w:p>
      <w:pPr>
        <w:ind w:left="490" w:firstLine="1500"/>
        <w:spacing w:after="0" w:line="262" w:lineRule="auto"/>
        <w:rPr>
          <w:sz w:val="20"/>
          <w:szCs w:val="20"/>
          <w:color w:val="auto"/>
        </w:rPr>
      </w:pPr>
      <w:r>
        <w:rPr>
          <w:rFonts w:ascii="Times New Roman" w:cs="Times New Roman" w:eastAsia="Times New Roman" w:hAnsi="Times New Roman"/>
          <w:sz w:val="19"/>
          <w:szCs w:val="19"/>
          <w:color w:val="auto"/>
        </w:rPr>
        <w:t>(iv)Adjustments of Borrowings upon Effectiveness of Increase. In the case of a Commitment Increase under the Revolving Commitments, on each Commitment Increase Date, the Borrower shall (A) prepay the outstanding Revolving Loans (if any) of the affected Class in full, (B) simultaneously borrow new Revolving Loans of such Class hereunder in an amount equal to such prepayment (which may also include the amount of</w:t>
      </w:r>
    </w:p>
    <w:p>
      <w:pPr>
        <w:spacing w:after="0" w:line="148" w:lineRule="exact"/>
        <w:rPr>
          <w:sz w:val="20"/>
          <w:szCs w:val="20"/>
          <w:color w:val="auto"/>
        </w:rPr>
      </w:pPr>
    </w:p>
    <w:p>
      <w:pPr>
        <w:ind w:left="730" w:hanging="730"/>
        <w:spacing w:after="0"/>
        <w:tabs>
          <w:tab w:leader="none" w:pos="73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672465</wp:posOffset>
            </wp:positionV>
            <wp:extent cx="67329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50"/>
          </w:cols>
          <w:pgMar w:left="870" w:top="1440" w:right="680" w:bottom="1440" w:gutter="0" w:footer="0" w:header="0"/>
        </w:sectPr>
      </w:pPr>
    </w:p>
    <w:bookmarkStart w:id="178" w:name="page179"/>
    <w:bookmarkEnd w:id="178"/>
    <w:p>
      <w:pPr>
        <w:spacing w:after="0" w:line="269" w:lineRule="exact"/>
        <w:rPr>
          <w:sz w:val="20"/>
          <w:szCs w:val="20"/>
          <w:color w:val="auto"/>
        </w:rPr>
      </w:pPr>
    </w:p>
    <w:p>
      <w:pPr>
        <w:ind w:left="700" w:right="20"/>
        <w:spacing w:after="0" w:line="254" w:lineRule="auto"/>
        <w:rPr>
          <w:sz w:val="20"/>
          <w:szCs w:val="20"/>
          <w:color w:val="auto"/>
        </w:rPr>
      </w:pPr>
      <w:r>
        <w:rPr>
          <w:rFonts w:ascii="Times New Roman" w:cs="Times New Roman" w:eastAsia="Times New Roman" w:hAnsi="Times New Roman"/>
          <w:sz w:val="19"/>
          <w:szCs w:val="19"/>
          <w:color w:val="auto"/>
        </w:rPr>
        <w:t>any fees, expenses or amounts due by the Borrower on or prior to the Commitment Increase Date); provided that with respect to subclauses (A) and (B), (x) the prepayment to, and borrowing from, any existing Revolving Lender shall be effected by book entry to the extent that any portion of the amount prepaid to such Revolving Lender will be subsequently borrowed from such Revolving Lender and (y) the existing Revolving Lenders, the Increasing Lenders and the Assuming Lenders shall make and receive payments among themselves, in a manner acceptable to the Administrative Agent, so that, after giving effect thereto, the Revolving Loans of such Class are held ratably by the Revolving Lenders of such Class in accordance with the respective Revolving Commitments of such Class of such Revolving Lenders (after giving effect to such Commitment Increase) and (C) pay to the Revolving Lenders of such Class the amounts, if any, payable under Section 2.15 as a result of any such prepayment. Concurrently therewith, the Revolving Lenders of such Class shall be deemed to have adjusted their participation interests in any outstanding Swingline Loans and Letters of Credit of such Class so that such interests are held ratably in accordance with their Revolving Commitments of such Class as so increased.</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2.09. </w:t>
      </w:r>
      <w:r>
        <w:rPr>
          <w:rFonts w:ascii="Times New Roman" w:cs="Times New Roman" w:eastAsia="Times New Roman" w:hAnsi="Times New Roman"/>
          <w:sz w:val="19"/>
          <w:szCs w:val="19"/>
          <w:color w:val="000000"/>
        </w:rPr>
        <w:t>Repayment of Loans; Evidence of Debt.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(a)Repayment. The Borrower hereby unconditionally promises to pay the Loans of each Class as follows:</w:t>
      </w:r>
    </w:p>
    <w:p>
      <w:pPr>
        <w:spacing w:after="0" w:line="202" w:lineRule="exact"/>
        <w:rPr>
          <w:sz w:val="20"/>
          <w:szCs w:val="20"/>
          <w:color w:val="auto"/>
        </w:rPr>
      </w:pPr>
    </w:p>
    <w:p>
      <w:pPr>
        <w:ind w:left="700" w:right="120" w:firstLine="1500"/>
        <w:spacing w:after="0" w:line="286" w:lineRule="auto"/>
        <w:rPr>
          <w:sz w:val="20"/>
          <w:szCs w:val="20"/>
          <w:color w:val="auto"/>
        </w:rPr>
      </w:pPr>
      <w:r>
        <w:rPr>
          <w:rFonts w:ascii="Times New Roman" w:cs="Times New Roman" w:eastAsia="Times New Roman" w:hAnsi="Times New Roman"/>
          <w:sz w:val="19"/>
          <w:szCs w:val="19"/>
          <w:color w:val="auto"/>
        </w:rPr>
        <w:t>(i)to the Administrative Agent for account of the Lenders of such Class the outstanding principal amount of the Syndicated Loans of such Class on the Final Maturity Date; and</w:t>
      </w:r>
    </w:p>
    <w:p>
      <w:pPr>
        <w:spacing w:after="0" w:line="127" w:lineRule="exact"/>
        <w:rPr>
          <w:sz w:val="20"/>
          <w:szCs w:val="20"/>
          <w:color w:val="auto"/>
        </w:rPr>
      </w:pPr>
    </w:p>
    <w:p>
      <w:pPr>
        <w:ind w:left="700" w:right="20" w:firstLine="1500"/>
        <w:spacing w:after="0" w:line="259" w:lineRule="auto"/>
        <w:rPr>
          <w:sz w:val="20"/>
          <w:szCs w:val="20"/>
          <w:color w:val="auto"/>
        </w:rPr>
      </w:pPr>
      <w:r>
        <w:rPr>
          <w:rFonts w:ascii="Times New Roman" w:cs="Times New Roman" w:eastAsia="Times New Roman" w:hAnsi="Times New Roman"/>
          <w:sz w:val="19"/>
          <w:szCs w:val="19"/>
          <w:color w:val="auto"/>
        </w:rPr>
        <w:t>(ii)to the applicable Swingline Lender the then unpaid principal amount of each Swingline Loan of each Class denominated in Dollars made by such Swingline Lender, on the earlier of the Commitment Termination Date and the first date after such Swingline Loan is made that is the 15th or last day of a calendar month and is at least ten (10) Business Days after such Swingline Loan is made; provided that on each date that a Syndicated Borrowing of such Class is made, the Borrower shall repay all Swingline Loans of such Class then outstanding.</w:t>
      </w:r>
    </w:p>
    <w:p>
      <w:pPr>
        <w:spacing w:after="0" w:line="154" w:lineRule="exact"/>
        <w:rPr>
          <w:sz w:val="20"/>
          <w:szCs w:val="20"/>
          <w:color w:val="auto"/>
        </w:rPr>
      </w:pPr>
    </w:p>
    <w:p>
      <w:pPr>
        <w:jc w:val="both"/>
        <w:ind w:firstLine="1404"/>
        <w:spacing w:after="0" w:line="259" w:lineRule="auto"/>
        <w:rPr>
          <w:sz w:val="20"/>
          <w:szCs w:val="20"/>
          <w:color w:val="auto"/>
        </w:rPr>
      </w:pPr>
      <w:r>
        <w:rPr>
          <w:rFonts w:ascii="Times New Roman" w:cs="Times New Roman" w:eastAsia="Times New Roman" w:hAnsi="Times New Roman"/>
          <w:sz w:val="19"/>
          <w:szCs w:val="19"/>
          <w:color w:val="auto"/>
        </w:rPr>
        <w:t>In addition, on the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Commitment Termination Date, such deposit to be held by the Administrative Agent as collateral security for the LC Exposure under this Agreement in respect of the undrawn portion of such Letters of Credit.</w:t>
      </w:r>
    </w:p>
    <w:p>
      <w:pPr>
        <w:spacing w:after="0" w:line="154" w:lineRule="exact"/>
        <w:rPr>
          <w:sz w:val="20"/>
          <w:szCs w:val="20"/>
          <w:color w:val="auto"/>
        </w:rPr>
      </w:pPr>
    </w:p>
    <w:p>
      <w:pPr>
        <w:ind w:right="60" w:firstLine="1404"/>
        <w:spacing w:after="0" w:line="259" w:lineRule="auto"/>
        <w:rPr>
          <w:sz w:val="20"/>
          <w:szCs w:val="20"/>
          <w:color w:val="auto"/>
        </w:rPr>
      </w:pPr>
      <w:r>
        <w:rPr>
          <w:rFonts w:ascii="Times New Roman" w:cs="Times New Roman" w:eastAsia="Times New Roman" w:hAnsi="Times New Roman"/>
          <w:sz w:val="19"/>
          <w:szCs w:val="19"/>
          <w:color w:val="auto"/>
        </w:rPr>
        <w:t>(b)Manner of Payment. Prior to any repayment or prepayment of any Borrowings to any Lenders of any Class hereunder, the Borrower shall select the Borrowing or Borrowings of such Class to be paid and shall notify the Administrative Agent by telephone (confirmed by telecopy or e -mail) of such selection not later than the time set forth in Section 2.10(e) prior to the scheduled date of such repayment; provided that each repayment of Borrowings to any Lenders of a Class shall be applied to repay any outstanding ABR Borrowings of such Class</w:t>
      </w:r>
    </w:p>
    <w:p>
      <w:pPr>
        <w:spacing w:after="0" w:line="152" w:lineRule="exact"/>
        <w:rPr>
          <w:sz w:val="20"/>
          <w:szCs w:val="20"/>
          <w:color w:val="auto"/>
        </w:rPr>
      </w:pPr>
    </w:p>
    <w:p>
      <w:pPr>
        <w:ind w:left="940" w:hanging="730"/>
        <w:spacing w:after="0"/>
        <w:tabs>
          <w:tab w:leader="none" w:pos="94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79" w:name="page180"/>
    <w:bookmarkEnd w:id="179"/>
    <w:p>
      <w:pPr>
        <w:spacing w:after="0" w:line="26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of a Class shall be applied ratably to the Loans included in such Borrowing.</w:t>
      </w:r>
    </w:p>
    <w:p>
      <w:pPr>
        <w:spacing w:after="0" w:line="154" w:lineRule="exact"/>
        <w:rPr>
          <w:sz w:val="20"/>
          <w:szCs w:val="20"/>
          <w:color w:val="auto"/>
        </w:rPr>
      </w:pPr>
    </w:p>
    <w:p>
      <w:pPr>
        <w:ind w:right="140" w:firstLine="1404"/>
        <w:spacing w:after="0" w:line="268" w:lineRule="auto"/>
        <w:rPr>
          <w:sz w:val="20"/>
          <w:szCs w:val="20"/>
          <w:color w:val="auto"/>
        </w:rPr>
      </w:pPr>
      <w:r>
        <w:rPr>
          <w:rFonts w:ascii="Times New Roman" w:cs="Times New Roman" w:eastAsia="Times New Roman" w:hAnsi="Times New Roman"/>
          <w:sz w:val="19"/>
          <w:szCs w:val="19"/>
          <w:color w:val="auto"/>
        </w:rPr>
        <w:t>(c)Maintenance of Records by Lenders.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44" w:lineRule="exact"/>
        <w:rPr>
          <w:sz w:val="20"/>
          <w:szCs w:val="20"/>
          <w:color w:val="auto"/>
        </w:rPr>
      </w:pPr>
    </w:p>
    <w:p>
      <w:pPr>
        <w:ind w:right="20" w:firstLine="1404"/>
        <w:spacing w:after="0" w:line="259" w:lineRule="auto"/>
        <w:rPr>
          <w:sz w:val="20"/>
          <w:szCs w:val="20"/>
          <w:color w:val="auto"/>
        </w:rPr>
      </w:pPr>
      <w:r>
        <w:rPr>
          <w:rFonts w:ascii="Times New Roman" w:cs="Times New Roman" w:eastAsia="Times New Roman" w:hAnsi="Times New Roman"/>
          <w:sz w:val="19"/>
          <w:szCs w:val="19"/>
          <w:color w:val="auto"/>
        </w:rPr>
        <w:t>(d)Maintenance of Records by the Administrative Agent.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hereunder and (iii) the amount and Currency of any sum received by the Administrative Agent hereunder for account of the Lenders and each Lender’s share thereof.</w:t>
      </w:r>
    </w:p>
    <w:p>
      <w:pPr>
        <w:spacing w:after="0" w:line="154" w:lineRule="exact"/>
        <w:rPr>
          <w:sz w:val="20"/>
          <w:szCs w:val="20"/>
          <w:color w:val="auto"/>
        </w:rPr>
      </w:pPr>
    </w:p>
    <w:p>
      <w:pPr>
        <w:jc w:val="both"/>
        <w:ind w:right="120" w:firstLine="1404"/>
        <w:spacing w:after="0" w:line="262" w:lineRule="auto"/>
        <w:rPr>
          <w:sz w:val="20"/>
          <w:szCs w:val="20"/>
          <w:color w:val="auto"/>
        </w:rPr>
      </w:pPr>
      <w:r>
        <w:rPr>
          <w:rFonts w:ascii="Times New Roman" w:cs="Times New Roman" w:eastAsia="Times New Roman" w:hAnsi="Times New Roman"/>
          <w:sz w:val="19"/>
          <w:szCs w:val="19"/>
          <w:color w:val="auto"/>
        </w:rPr>
        <w:t>(e)Effect of Entries. The entries made in the records maintained pursuant to paragraph (c) or (d) of this Section shall be prima facie evidence, absent obvious error, of the existence and amounts of the obligations recorded therein; provided that the failure of any Lender or the Administrative Agent to maintain such records or any error therein shall not in any manner affect the obligation of the Borrower to repay the Loans in accordance with the terms of this Agreement.</w:t>
      </w:r>
    </w:p>
    <w:p>
      <w:pPr>
        <w:spacing w:after="0" w:line="150" w:lineRule="exact"/>
        <w:rPr>
          <w:sz w:val="20"/>
          <w:szCs w:val="20"/>
          <w:color w:val="auto"/>
        </w:rPr>
      </w:pPr>
    </w:p>
    <w:p>
      <w:pPr>
        <w:ind w:right="80" w:firstLine="1404"/>
        <w:spacing w:after="0" w:line="257" w:lineRule="auto"/>
        <w:rPr>
          <w:sz w:val="20"/>
          <w:szCs w:val="20"/>
          <w:color w:val="auto"/>
        </w:rPr>
      </w:pPr>
      <w:r>
        <w:rPr>
          <w:rFonts w:ascii="Times New Roman" w:cs="Times New Roman" w:eastAsia="Times New Roman" w:hAnsi="Times New Roman"/>
          <w:sz w:val="19"/>
          <w:szCs w:val="19"/>
          <w:color w:val="auto"/>
        </w:rPr>
        <w:t>(f)Promissory Notes.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reasonably approved by the Administrative Agent. Thereafter, the Loans evidenced by such promissory note and interest thereon shall at all times (including after assignment pursuant to Section 9.04) be represented by one or more promissory notes in such form payable to the payee named therein (or, if such promissory note is a registered note, to such payee and its registered assigns).</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2.10. </w:t>
      </w:r>
      <w:r>
        <w:rPr>
          <w:rFonts w:ascii="Times New Roman" w:cs="Times New Roman" w:eastAsia="Times New Roman" w:hAnsi="Times New Roman"/>
          <w:sz w:val="19"/>
          <w:szCs w:val="19"/>
          <w:color w:val="000000"/>
        </w:rPr>
        <w:t>Prepayment of Loans.</w:t>
      </w:r>
    </w:p>
    <w:p>
      <w:pPr>
        <w:spacing w:after="0" w:line="202"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(a)Optional Prepayments. The Borrower shall have the right at any time and from time to time to prepay any Borrowing in whole or in part, without premium or penalty except for payments under Section 2.15, subject to the requirements of this Section. Any prepayment of a Borrowing made in accordance with this clause (a) shall be applied ratably among the Lenders of a Class unless such prepayment is made in connection with the reduction of Commitments in accordance with Section 2.08(b) in which case such prepayment shall be applied in accordance with Section 2.08(d).</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(b)Mandatory Prepayments due to Changes in Exchange Rates.</w:t>
      </w:r>
    </w:p>
    <w:p>
      <w:pPr>
        <w:spacing w:after="0" w:line="200" w:lineRule="exact"/>
        <w:rPr>
          <w:sz w:val="20"/>
          <w:szCs w:val="20"/>
          <w:color w:val="auto"/>
        </w:rPr>
      </w:pPr>
    </w:p>
    <w:p>
      <w:pPr>
        <w:ind w:left="940" w:hanging="730"/>
        <w:spacing w:after="0"/>
        <w:tabs>
          <w:tab w:leader="none" w:pos="94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0" w:name="page181"/>
    <w:bookmarkEnd w:id="180"/>
    <w:p>
      <w:pPr>
        <w:spacing w:after="0" w:line="269" w:lineRule="exact"/>
        <w:rPr>
          <w:sz w:val="20"/>
          <w:szCs w:val="20"/>
          <w:color w:val="auto"/>
        </w:rPr>
      </w:pPr>
    </w:p>
    <w:p>
      <w:pPr>
        <w:ind w:left="700" w:right="80" w:firstLine="1500"/>
        <w:spacing w:after="0" w:line="255" w:lineRule="auto"/>
        <w:rPr>
          <w:sz w:val="20"/>
          <w:szCs w:val="20"/>
          <w:color w:val="auto"/>
        </w:rPr>
      </w:pPr>
      <w:r>
        <w:rPr>
          <w:rFonts w:ascii="Times New Roman" w:cs="Times New Roman" w:eastAsia="Times New Roman" w:hAnsi="Times New Roman"/>
          <w:sz w:val="19"/>
          <w:szCs w:val="19"/>
          <w:color w:val="auto"/>
        </w:rPr>
        <w:t>(i)Determination of Amount Outstanding.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New York City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155" w:lineRule="exact"/>
        <w:rPr>
          <w:sz w:val="20"/>
          <w:szCs w:val="20"/>
          <w:color w:val="auto"/>
        </w:rPr>
      </w:pPr>
    </w:p>
    <w:p>
      <w:pPr>
        <w:ind w:left="700" w:right="20" w:firstLine="1596"/>
        <w:spacing w:after="0" w:line="255" w:lineRule="auto"/>
        <w:rPr>
          <w:sz w:val="20"/>
          <w:szCs w:val="20"/>
          <w:color w:val="auto"/>
        </w:rPr>
      </w:pPr>
      <w:r>
        <w:rPr>
          <w:rFonts w:ascii="Times New Roman" w:cs="Times New Roman" w:eastAsia="Times New Roman" w:hAnsi="Times New Roman"/>
          <w:sz w:val="19"/>
          <w:szCs w:val="19"/>
          <w:color w:val="auto"/>
        </w:rPr>
        <w:t>(ii)Prepayment. If on the date of such determination the aggregate Revolving Multicurrency Credit Exposure minus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Loans of the Swingline Lenders with a Multicurrency Commitment (and/or provide Cash Collateral for Multicurrency LC Exposure as specified in Section</w:t>
      </w:r>
    </w:p>
    <w:p>
      <w:pPr>
        <w:spacing w:after="0" w:line="2" w:lineRule="exact"/>
        <w:rPr>
          <w:sz w:val="20"/>
          <w:szCs w:val="20"/>
          <w:color w:val="auto"/>
        </w:rPr>
      </w:pPr>
    </w:p>
    <w:p>
      <w:pPr>
        <w:ind w:left="700"/>
        <w:spacing w:after="0" w:line="256" w:lineRule="auto"/>
        <w:rPr>
          <w:sz w:val="20"/>
          <w:szCs w:val="20"/>
          <w:color w:val="auto"/>
        </w:rPr>
      </w:pPr>
      <w:r>
        <w:rPr>
          <w:rFonts w:ascii="Times New Roman" w:cs="Times New Roman" w:eastAsia="Times New Roman" w:hAnsi="Times New Roman"/>
          <w:sz w:val="19"/>
          <w:szCs w:val="19"/>
          <w:color w:val="auto"/>
        </w:rPr>
        <w:t>2.05(k))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55"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9"/>
          <w:szCs w:val="19"/>
          <w:color w:val="auto"/>
        </w:rPr>
        <w:t>For purposes hereof “Currency Valuation Notice”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50" w:lineRule="exact"/>
        <w:rPr>
          <w:sz w:val="20"/>
          <w:szCs w:val="20"/>
          <w:color w:val="auto"/>
        </w:rPr>
      </w:pPr>
    </w:p>
    <w:p>
      <w:pPr>
        <w:ind w:right="480" w:firstLine="1404"/>
        <w:spacing w:after="0" w:line="286" w:lineRule="auto"/>
        <w:rPr>
          <w:sz w:val="20"/>
          <w:szCs w:val="20"/>
          <w:color w:val="auto"/>
        </w:rPr>
      </w:pPr>
      <w:r>
        <w:rPr>
          <w:rFonts w:ascii="Times New Roman" w:cs="Times New Roman" w:eastAsia="Times New Roman" w:hAnsi="Times New Roman"/>
          <w:sz w:val="19"/>
          <w:szCs w:val="19"/>
          <w:color w:val="auto"/>
        </w:rPr>
        <w:t>Any prepayment pursuant to this paragraph shall be applied, first to Swingline Multicurrency Loans outstanding, second, to Syndicated Multicurrency Loans outstanding and third, as cover for Multicurrency LC Exposure.</w:t>
      </w:r>
    </w:p>
    <w:p>
      <w:pPr>
        <w:spacing w:after="0" w:line="127" w:lineRule="exact"/>
        <w:rPr>
          <w:sz w:val="20"/>
          <w:szCs w:val="20"/>
          <w:color w:val="auto"/>
        </w:rPr>
      </w:pPr>
    </w:p>
    <w:p>
      <w:pPr>
        <w:ind w:right="200" w:firstLine="1404"/>
        <w:spacing w:after="0" w:line="255" w:lineRule="auto"/>
        <w:rPr>
          <w:sz w:val="20"/>
          <w:szCs w:val="20"/>
          <w:color w:val="auto"/>
        </w:rPr>
      </w:pPr>
      <w:r>
        <w:rPr>
          <w:rFonts w:ascii="Times New Roman" w:cs="Times New Roman" w:eastAsia="Times New Roman" w:hAnsi="Times New Roman"/>
          <w:sz w:val="19"/>
          <w:szCs w:val="19"/>
          <w:color w:val="auto"/>
        </w:rPr>
        <w:t>(c)Mandatory Prepayments due to Borrowing Base Deficiency. In the event that at any time any Borrowing Base Deficiency shall exist, the Borrower shall, within five (5) Business Days after delivery of the applicable Borrowing Base Certificate, prepay the Revolving Loans (or provide Cash Collateral for Letters of Credit as contemplated by Section 2.05(k)) or reduce Other Covered Indebtedness or any other Indebtedness that is included in the Covered Debt Amount at such time in such amounts as shall be necessary so that such Borrowing Base Deficiency is cured; provided that (i) the aggregate amount of such prepayment of Revolving Loans (and Cash Collateral for Letters of Credit) shall be at least equal to the Revolving Percentage times the aggregate prepayment of the Covered Debt Amount, and (ii) if, within five (5) Business Days after delivery of a Borrowing Base Certificate demonstrating such Borrowing Base Deficiency, the Borrower shall present the Administrative Agent with a reasonably feasible plan</w:t>
      </w:r>
    </w:p>
    <w:p>
      <w:pPr>
        <w:spacing w:after="0" w:line="158" w:lineRule="exact"/>
        <w:rPr>
          <w:sz w:val="20"/>
          <w:szCs w:val="20"/>
          <w:color w:val="auto"/>
        </w:rPr>
      </w:pPr>
    </w:p>
    <w:p>
      <w:pPr>
        <w:ind w:left="940" w:hanging="730"/>
        <w:spacing w:after="0"/>
        <w:tabs>
          <w:tab w:leader="none" w:pos="94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1" w:name="page182"/>
    <w:bookmarkEnd w:id="181"/>
    <w:p>
      <w:pPr>
        <w:spacing w:after="0" w:line="26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to enable such Borrowing Base Deficiency to be cured within 30 Business Days (which 30-Business Day period shall include the five (5)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 (or any extended period consented to by the Administrative Agent in its sole discretion).</w:t>
      </w:r>
    </w:p>
    <w:p>
      <w:pPr>
        <w:spacing w:after="0" w:line="154" w:lineRule="exact"/>
        <w:rPr>
          <w:sz w:val="20"/>
          <w:szCs w:val="20"/>
          <w:color w:val="auto"/>
        </w:rPr>
      </w:pPr>
    </w:p>
    <w:p>
      <w:pPr>
        <w:ind w:right="360" w:firstLine="1404"/>
        <w:spacing w:after="0" w:line="286" w:lineRule="auto"/>
        <w:rPr>
          <w:sz w:val="20"/>
          <w:szCs w:val="20"/>
          <w:color w:val="auto"/>
        </w:rPr>
      </w:pPr>
      <w:r>
        <w:rPr>
          <w:rFonts w:ascii="Times New Roman" w:cs="Times New Roman" w:eastAsia="Times New Roman" w:hAnsi="Times New Roman"/>
          <w:sz w:val="19"/>
          <w:szCs w:val="19"/>
          <w:color w:val="auto"/>
        </w:rPr>
        <w:t>(d)Mandatory Prepayments During Amortization Period. During the period commencing on the date immediately following the Commitment Termination Date and ending on the Final Maturity Date:</w:t>
      </w:r>
    </w:p>
    <w:p>
      <w:pPr>
        <w:spacing w:after="0" w:line="127" w:lineRule="exact"/>
        <w:rPr>
          <w:sz w:val="20"/>
          <w:szCs w:val="20"/>
          <w:color w:val="auto"/>
        </w:rPr>
      </w:pPr>
    </w:p>
    <w:p>
      <w:pPr>
        <w:ind w:left="700" w:firstLine="1500"/>
        <w:spacing w:after="0" w:line="259" w:lineRule="auto"/>
        <w:rPr>
          <w:sz w:val="20"/>
          <w:szCs w:val="20"/>
          <w:color w:val="auto"/>
        </w:rPr>
      </w:pPr>
      <w:r>
        <w:rPr>
          <w:rFonts w:ascii="Times New Roman" w:cs="Times New Roman" w:eastAsia="Times New Roman" w:hAnsi="Times New Roman"/>
          <w:sz w:val="19"/>
          <w:szCs w:val="19"/>
          <w:color w:val="auto"/>
        </w:rPr>
        <w:t>(i)Asset Disposition. If the Borrower or any of its Subsidiaries (other than a Financing Subsidiary) Disposes of any property which results in the receipt by such Person of Net Cash Proceeds in excess of $2,000,000 in the aggregate since the Commitment Termination Date, the Borrower shall prepay an aggregate principal amount of Loans equal to 100% of such Net Cash Proceeds no later than the fifth Business Day following the receipt of such Net Cash Proceeds (such prepayments to be applied as set forth in Section 2.09(b)).</w:t>
      </w:r>
    </w:p>
    <w:p>
      <w:pPr>
        <w:spacing w:after="0" w:line="154" w:lineRule="exact"/>
        <w:rPr>
          <w:sz w:val="20"/>
          <w:szCs w:val="20"/>
          <w:color w:val="auto"/>
        </w:rPr>
      </w:pPr>
    </w:p>
    <w:p>
      <w:pPr>
        <w:ind w:left="700" w:right="40" w:firstLine="1500"/>
        <w:spacing w:after="0" w:line="259" w:lineRule="auto"/>
        <w:rPr>
          <w:sz w:val="20"/>
          <w:szCs w:val="20"/>
          <w:color w:val="auto"/>
        </w:rPr>
      </w:pPr>
      <w:r>
        <w:rPr>
          <w:rFonts w:ascii="Times New Roman" w:cs="Times New Roman" w:eastAsia="Times New Roman" w:hAnsi="Times New Roman"/>
          <w:sz w:val="19"/>
          <w:szCs w:val="19"/>
          <w:color w:val="auto"/>
        </w:rPr>
        <w:t>(ii)Equity Issuance.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Loans equal to 75% of all Net Cash Proceeds received therefrom no later than the fifth Business Day following the receipt of such Net Cash Proceeds (such prepayments to be applied as set forth in Section 2.09(b)).</w:t>
      </w:r>
    </w:p>
    <w:p>
      <w:pPr>
        <w:spacing w:after="0" w:line="154" w:lineRule="exact"/>
        <w:rPr>
          <w:sz w:val="20"/>
          <w:szCs w:val="20"/>
          <w:color w:val="auto"/>
        </w:rPr>
      </w:pPr>
    </w:p>
    <w:p>
      <w:pPr>
        <w:ind w:left="700" w:firstLine="1500"/>
        <w:spacing w:after="0" w:line="262" w:lineRule="auto"/>
        <w:rPr>
          <w:sz w:val="20"/>
          <w:szCs w:val="20"/>
          <w:color w:val="auto"/>
        </w:rPr>
      </w:pPr>
      <w:r>
        <w:rPr>
          <w:rFonts w:ascii="Times New Roman" w:cs="Times New Roman" w:eastAsia="Times New Roman" w:hAnsi="Times New Roman"/>
          <w:sz w:val="19"/>
          <w:szCs w:val="19"/>
          <w:color w:val="auto"/>
        </w:rPr>
        <w:t>(iii)Indebtedness. Upon the incurrence or issuance by the Borrower or any of its Subsidiaries (other than a Financing Subsidiary) of any Indebtedness, the Borrower shall prepay an aggregate principal amount of Loans equal to 100% of all Net Cash Proceeds received therefrom no later than the fifth Business Day following the receipt of such Net Cash Proceeds (such prepayments to be applied as set forth in Section 2.09(b)).</w:t>
      </w:r>
    </w:p>
    <w:p>
      <w:pPr>
        <w:spacing w:after="0" w:line="150" w:lineRule="exact"/>
        <w:rPr>
          <w:sz w:val="20"/>
          <w:szCs w:val="20"/>
          <w:color w:val="auto"/>
        </w:rPr>
      </w:pPr>
    </w:p>
    <w:p>
      <w:pPr>
        <w:ind w:left="700" w:right="120" w:firstLine="1500"/>
        <w:spacing w:after="0" w:line="257" w:lineRule="auto"/>
        <w:rPr>
          <w:sz w:val="20"/>
          <w:szCs w:val="20"/>
          <w:color w:val="auto"/>
        </w:rPr>
      </w:pPr>
      <w:r>
        <w:rPr>
          <w:rFonts w:ascii="Times New Roman" w:cs="Times New Roman" w:eastAsia="Times New Roman" w:hAnsi="Times New Roman"/>
          <w:sz w:val="19"/>
          <w:szCs w:val="19"/>
          <w:color w:val="auto"/>
        </w:rPr>
        <w:t>(iv)Extraordinary Receipt. Upon any Extraordinary Receipt (which, when taken with all other Extraordinary Receipts received after the Commitment Termination Date, exceeds $5,000,000 in the aggregate) received by or paid to or for the account of the Borrower or any of its Subsidiaries (other than a Financing Subsidiary), and not otherwise included in clauses (i), (ii) or (iii) of this Section 2.10(d), the Borrower shall prepay an aggregate principal amount of Loans equal to 100% of all Net Cash Proceeds received therefrom no later than the fifth Business Day following the receipt of such Net Cash Proceeds (such prepayments to be applied as set forth in Section 2.09(b)).</w:t>
      </w:r>
    </w:p>
    <w:p>
      <w:pPr>
        <w:spacing w:after="0" w:line="157" w:lineRule="exact"/>
        <w:rPr>
          <w:sz w:val="20"/>
          <w:szCs w:val="20"/>
          <w:color w:val="auto"/>
        </w:rPr>
      </w:pPr>
    </w:p>
    <w:p>
      <w:pPr>
        <w:ind w:left="700" w:right="380" w:firstLine="1500"/>
        <w:spacing w:after="0" w:line="268" w:lineRule="auto"/>
        <w:rPr>
          <w:sz w:val="20"/>
          <w:szCs w:val="20"/>
          <w:color w:val="auto"/>
        </w:rPr>
      </w:pPr>
      <w:r>
        <w:rPr>
          <w:rFonts w:ascii="Times New Roman" w:cs="Times New Roman" w:eastAsia="Times New Roman" w:hAnsi="Times New Roman"/>
          <w:sz w:val="19"/>
          <w:szCs w:val="19"/>
          <w:color w:val="auto"/>
        </w:rPr>
        <w:t>(v)Return of Capital. If any Obligor shall receive any Return of Capital (other than from any Financing Subsidiary), the Borrower shall prepay an aggregate principal amount of Loans equal to 90% of such Return of Capital (excluding amounts payable by the Borrower pursuant to Section 2.15) no later than the fifth Business Day</w:t>
      </w:r>
    </w:p>
    <w:p>
      <w:pPr>
        <w:spacing w:after="0" w:line="142" w:lineRule="exact"/>
        <w:rPr>
          <w:sz w:val="20"/>
          <w:szCs w:val="20"/>
          <w:color w:val="auto"/>
        </w:rPr>
      </w:pPr>
    </w:p>
    <w:p>
      <w:pPr>
        <w:ind w:left="940" w:hanging="730"/>
        <w:spacing w:after="0"/>
        <w:tabs>
          <w:tab w:leader="none" w:pos="94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82" w:name="page183"/>
    <w:bookmarkEnd w:id="182"/>
    <w:p>
      <w:pPr>
        <w:spacing w:after="0" w:line="2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following the receipt of such Return of Capital (such prepayments to be applied as set forth in Section 2.09(b)).</w:t>
      </w:r>
    </w:p>
    <w:p>
      <w:pPr>
        <w:spacing w:after="0" w:line="202"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Notwithstanding the foregoing, Net Cash Proceeds and Return of Capital required to be applied to the prepayment of the Loans pursuant to this Section 2.10(d) shall (A) be applied in accordance with the Guarantee and Security Agreement and (B) exclude the amount necessary for the Borrower to make all required distributions (which shall be no less than the amount estimated in good faith by Borrower under Section 6.05(b) herein) to maintain the status of a RIC under the Code and a “business development company” under the Investment Company Act for so long as the Borrower retains such status and to avoid payment by the Borrower of federal excise Taxes imposed by Section 4982 of the Code for so long as the Borrower retains the status of a RIC under the Code and (II) if the Loans to be prepaid pursuant to this Section 2.10(d) are Term Benchmark Loans, the Borrower may defer such prepayment until the last day of the Interest Period applicable to such Loans owed to such Lender or Lenders,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provided, further, that the Administrative Agent may direct the application of such deposits as set forth in Section 2.09(b) at any time and if the Administrative Agent does so, no amounts will be payable by the Borrower pursuant to Section 2.15.</w:t>
      </w:r>
    </w:p>
    <w:p>
      <w:pPr>
        <w:spacing w:after="0" w:line="163" w:lineRule="exact"/>
        <w:rPr>
          <w:sz w:val="20"/>
          <w:szCs w:val="20"/>
          <w:color w:val="auto"/>
        </w:rPr>
      </w:pPr>
    </w:p>
    <w:p>
      <w:pPr>
        <w:ind w:right="20" w:firstLine="1404"/>
        <w:spacing w:after="0" w:line="252" w:lineRule="auto"/>
        <w:rPr>
          <w:sz w:val="20"/>
          <w:szCs w:val="20"/>
          <w:color w:val="auto"/>
        </w:rPr>
      </w:pPr>
      <w:r>
        <w:rPr>
          <w:rFonts w:ascii="Times New Roman" w:cs="Times New Roman" w:eastAsia="Times New Roman" w:hAnsi="Times New Roman"/>
          <w:sz w:val="19"/>
          <w:szCs w:val="19"/>
          <w:color w:val="auto"/>
        </w:rPr>
        <w:t>(e)Notices, Etc. The Borrower shall notify the Administrative Agent (and, in the case of prepayment of a Swingline Loan made by a Swingline Lender, such Swingline Lender) by telephone (confirmed by telecopy or electronic communication) of any prepayment hereunder (i) in the case of prepayment of a Term Benchmark Borrowing denominated in Dollars (other than in the case of a prepayment pursuant to Section 2.10(d)), not later than 11:00 a.m., New York City time, three (3) Business Days before the date of prepayment (or such shorter period as may be agreed to by the Administrative Agent), (ii) in the case of prepayment of a Term Benchmark Borrowing denominated in a Foreign Currency (other than in the case of a prepayment pursuant to Section 2.10(d)), not later than 11:00 a.m., London time, four (4) Business Days before the date of prepayment, (iii) in the case of prepayment of a RFR Borrowing (other than in the case of a prepayment pursuant to Section 2.10(d)), not later than 11:00 a.m., London time, four (4) Business Days before the date of prepayment, (iv) in the case of prepayment of a Syndicated ABR Borrowing (other than in the case of a prepayment pursuant to Section 2.10(d)), not later than 11:00 a.m., New York City time on the date of prepayment, (v) in the case of prepayment of a Swingline Loan, not later than 11:00 a.m., New York City time, on the date of prepayment, and (vi) in the case of any prepayment pursuant to Section 2.10(d), not later than 1:00 p.m., New York City time, on the date of prepayment or, in each case of the notice periods described in this clause (e), such lesser period as the Administrative Agent may reasonably agree. Each such notice shall be irrevocable and shall specify the prepayment date, the principal amount of each Borrowing or portion thereof to be prepaid and, in the case of a mandatory prepayment, a reasonably detailed calculation of the amount of such prepayment; provided that, if (i) a notice of prepayment is given in connection with a conditional notice of reduction or termination of the Commitments of a Class as contemplated by Section 2.08, then such notice of prepayment may be revoked if such notice of termination or reduction is revoked in accordance with Section 2.08 and (ii) any notice given in connection with Section 2.10(d) may be conditioned on the consummation of the applicable</w:t>
      </w:r>
    </w:p>
    <w:p>
      <w:pPr>
        <w:spacing w:after="0" w:line="166" w:lineRule="exact"/>
        <w:rPr>
          <w:sz w:val="20"/>
          <w:szCs w:val="20"/>
          <w:color w:val="auto"/>
        </w:rPr>
      </w:pPr>
    </w:p>
    <w:p>
      <w:pPr>
        <w:ind w:left="940" w:hanging="730"/>
        <w:spacing w:after="0"/>
        <w:tabs>
          <w:tab w:leader="none" w:pos="94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3" w:name="page184"/>
    <w:bookmarkEnd w:id="183"/>
    <w:p>
      <w:pPr>
        <w:spacing w:after="0" w:line="2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Section 2.02 or in the case of a Swingline Loan, as provided in Section 2.04, except as necessary to apply fully the required amount of a mandatory prepayment. Each prepayment of a Syndicated Borrowing of a Class shall be applied ratably to the Loans of such Class included in the prepaid Borrowing. Prepayments shall be accompanied by accrued interest to the extent required by Section 2.12 and shall be made in the manner specified in Section 2.09(b) unless such prepayment is made in connection with the reduction of Commitments in accordance with Section 2.08(b) in which case such prepayment shall be applied in accordance with Section 2.08(d).</w:t>
      </w:r>
    </w:p>
    <w:p>
      <w:pPr>
        <w:spacing w:after="0" w:line="15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2.11. </w:t>
      </w:r>
      <w:r>
        <w:rPr>
          <w:rFonts w:ascii="Times New Roman" w:cs="Times New Roman" w:eastAsia="Times New Roman" w:hAnsi="Times New Roman"/>
          <w:sz w:val="19"/>
          <w:szCs w:val="19"/>
          <w:color w:val="000000"/>
        </w:rPr>
        <w:t>Fees.</w:t>
      </w:r>
    </w:p>
    <w:p>
      <w:pPr>
        <w:spacing w:after="0" w:line="202" w:lineRule="exact"/>
        <w:rPr>
          <w:sz w:val="20"/>
          <w:szCs w:val="20"/>
          <w:color w:val="auto"/>
        </w:rPr>
      </w:pPr>
    </w:p>
    <w:p>
      <w:pPr>
        <w:ind w:right="40" w:firstLine="1404"/>
        <w:spacing w:after="0" w:line="254" w:lineRule="auto"/>
        <w:rPr>
          <w:sz w:val="20"/>
          <w:szCs w:val="20"/>
          <w:color w:val="auto"/>
        </w:rPr>
      </w:pPr>
      <w:r>
        <w:rPr>
          <w:rFonts w:ascii="Times New Roman" w:cs="Times New Roman" w:eastAsia="Times New Roman" w:hAnsi="Times New Roman"/>
          <w:sz w:val="19"/>
          <w:szCs w:val="19"/>
          <w:color w:val="auto"/>
        </w:rPr>
        <w:t>(a)Commitment Fee. The Borrower agrees to pay to the Administrative Agent for account of each Revolving Lender a commitment fee, which shall accrue at a rate per annum equal to 0.325% on the average daily unused amount of the Dollar Commitment and Multicurrency Commitment, as applicable, of such Revolving Lender during the period from and including the date hereof to but excluding the earlier of the date such commitment terminates and the Commitment Termination Date. Accrued commitment fees shall be payable within one Business Day after each Quarterly Date, commencing on the first such date to occur after the date hereof, and on the earlier of the date the Revolving Commitments of the respective Class terminate and the Commitment Termination Date. All commitment fees shall be computed on the basis of a year of 360 days and shall be payable for the actual number of days elapsed (including the first day but excluding the last day). For purposes of computing commitment fees, (i) the daily unused amount of the applicable Revolving Commitment shall be determined as of the end of each day and (ii) the Revolving Commitment of any Class of a Revolving Lender shall be deemed to be used to the extent of the outstanding Revolving Loans and LC Exposure of such Class of such Revolving Lender (and the Swingline Exposure of such Class of such Revolving Lender shall be disregarded for such purpose).</w:t>
      </w:r>
    </w:p>
    <w:p>
      <w:pPr>
        <w:spacing w:after="0" w:line="157"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(b)Letter of Credit Fees. The Borrower agrees to pay (i) to the Administrative Agent for account of each Revolving Lender a participation fee with respect to its participations in Letters of Credit of each Class, which shall accrue at a rate per annum equal to the Applicable Margin applicable to interest on Term Benchmark Loans (or, if such Letter of Credit is denominated in Sterling or Swiss Francs, RFR Loans) on the average daily amount of such Revolving Lender’s LC Exposure of such Class (excluding any portion thereof attributable to unreimbursed LC Disbursements) during the period from and including the Effective Date to but excluding the later of the date on which such Revolving Lender’s Revolving Commitment of such Class terminates and the date on which such Revolving Lender ceases to have any LC Exposure of such Class, and (ii) to each Issuing Bank a fronting fee, which shall accrue at the rate of 0.25% per annum on the average daily amount of such Issuing Bank’s LC Exposure (excluding any portion thereof attributable to unreimbursed LC Disbursements) during the period from and including the Effective Date to but excluding the later of the date of termination of the Revolving Commitments and the date on which there ceases to be any LC Exposure, as well as each Issuing Bank’s standard fees with respect to the issuance, amendment, renewal or extension of any Letter</w:t>
      </w:r>
    </w:p>
    <w:p>
      <w:pPr>
        <w:spacing w:after="0" w:line="155" w:lineRule="exact"/>
        <w:rPr>
          <w:sz w:val="20"/>
          <w:szCs w:val="20"/>
          <w:color w:val="auto"/>
        </w:rPr>
      </w:pPr>
    </w:p>
    <w:p>
      <w:pPr>
        <w:ind w:left="940" w:hanging="730"/>
        <w:spacing w:after="0"/>
        <w:tabs>
          <w:tab w:leader="none" w:pos="94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4" w:name="page185"/>
    <w:bookmarkEnd w:id="184"/>
    <w:p>
      <w:pPr>
        <w:spacing w:after="0" w:line="2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of Credit or processing of drawings thereunder. Participation fees and fronting fees accrued through and including each Quarterly Date shall be payable on the third Business Day following such Quarterly Date, commencing on the first such date to occur after the Effective Date; provided that all such fees with respect to the Letters of Credit shall be payable on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Revolving Lenders agree not later than the date two (2)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63" w:lineRule="exact"/>
        <w:rPr>
          <w:sz w:val="20"/>
          <w:szCs w:val="20"/>
          <w:color w:val="auto"/>
        </w:rPr>
      </w:pPr>
    </w:p>
    <w:p>
      <w:pPr>
        <w:ind w:right="400" w:firstLine="1404"/>
        <w:spacing w:after="0" w:line="286" w:lineRule="auto"/>
        <w:rPr>
          <w:sz w:val="20"/>
          <w:szCs w:val="20"/>
          <w:color w:val="auto"/>
        </w:rPr>
      </w:pPr>
      <w:r>
        <w:rPr>
          <w:rFonts w:ascii="Times New Roman" w:cs="Times New Roman" w:eastAsia="Times New Roman" w:hAnsi="Times New Roman"/>
          <w:sz w:val="19"/>
          <w:szCs w:val="19"/>
          <w:color w:val="auto"/>
        </w:rPr>
        <w:t>(c)Administrative Agent Fees. The Borrower agrees to pay to the Administrative Agent, for its own account, fees payable in the amounts and at the times separately agreed upon between the Borrower and the Administrative Agent.</w:t>
      </w:r>
    </w:p>
    <w:p>
      <w:pPr>
        <w:spacing w:after="0" w:line="127" w:lineRule="exact"/>
        <w:rPr>
          <w:sz w:val="20"/>
          <w:szCs w:val="20"/>
          <w:color w:val="auto"/>
        </w:rPr>
      </w:pPr>
    </w:p>
    <w:p>
      <w:pPr>
        <w:ind w:right="20" w:firstLine="1404"/>
        <w:spacing w:after="0" w:line="259" w:lineRule="auto"/>
        <w:rPr>
          <w:sz w:val="20"/>
          <w:szCs w:val="20"/>
          <w:color w:val="auto"/>
        </w:rPr>
      </w:pPr>
      <w:r>
        <w:rPr>
          <w:rFonts w:ascii="Times New Roman" w:cs="Times New Roman" w:eastAsia="Times New Roman" w:hAnsi="Times New Roman"/>
          <w:sz w:val="19"/>
          <w:szCs w:val="19"/>
          <w:color w:val="auto"/>
        </w:rPr>
        <w:t>(d)Payment of Fees. All fees payable hereunder shall be paid on the dates due, in Dollars (or, at the election of the Borrower with respect to any fees payable to an Issuing Bank on account of Letters of Credit issued by such Issuing Bank in any Foreign Currency, in such Foreign Currency) and immediately available funds, to the Administrative Agent (or to the applicable Issuing Bank, in the case of fees payable to it) for distribution, in the case of commitment fees and participation fees, to the Lenders entitled thereto. Fees paid shall not be refundable under any circumstances absent obvious error.</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2.12. </w:t>
      </w:r>
      <w:r>
        <w:rPr>
          <w:rFonts w:ascii="Times New Roman" w:cs="Times New Roman" w:eastAsia="Times New Roman" w:hAnsi="Times New Roman"/>
          <w:sz w:val="19"/>
          <w:szCs w:val="19"/>
          <w:color w:val="000000"/>
        </w:rPr>
        <w:t>Interest.</w:t>
      </w:r>
    </w:p>
    <w:p>
      <w:pPr>
        <w:spacing w:after="0" w:line="202" w:lineRule="exact"/>
        <w:rPr>
          <w:sz w:val="20"/>
          <w:szCs w:val="20"/>
          <w:color w:val="auto"/>
        </w:rPr>
      </w:pPr>
    </w:p>
    <w:p>
      <w:pPr>
        <w:ind w:right="40" w:firstLine="1404"/>
        <w:spacing w:after="0" w:line="286" w:lineRule="auto"/>
        <w:rPr>
          <w:sz w:val="20"/>
          <w:szCs w:val="20"/>
          <w:color w:val="auto"/>
        </w:rPr>
      </w:pPr>
      <w:r>
        <w:rPr>
          <w:rFonts w:ascii="Times New Roman" w:cs="Times New Roman" w:eastAsia="Times New Roman" w:hAnsi="Times New Roman"/>
          <w:sz w:val="19"/>
          <w:szCs w:val="19"/>
          <w:color w:val="auto"/>
        </w:rPr>
        <w:t>(a)ABR Loans. The Loans constituting each ABR Borrowing (including each Swingline Loan) shall bear interest at a rate per annum equal to the Alternate Base Rate plus the Applicable Margin.</w:t>
      </w:r>
    </w:p>
    <w:p>
      <w:pPr>
        <w:spacing w:after="0" w:line="127"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(b)Term Benchmark Loans. The Loans constituting each Term Benchmark Borrowing shall bear interest at a rate per annum equal to the Adjusted Term Benchmark Rate for the related Interest Period for such Borrowing plus the Applicable Margin.</w:t>
      </w:r>
    </w:p>
    <w:p>
      <w:pPr>
        <w:spacing w:after="0" w:line="127" w:lineRule="exact"/>
        <w:rPr>
          <w:sz w:val="20"/>
          <w:szCs w:val="20"/>
          <w:color w:val="auto"/>
        </w:rPr>
      </w:pPr>
    </w:p>
    <w:p>
      <w:pPr>
        <w:ind w:right="160" w:firstLine="1404"/>
        <w:spacing w:after="0" w:line="286" w:lineRule="auto"/>
        <w:rPr>
          <w:sz w:val="20"/>
          <w:szCs w:val="20"/>
          <w:color w:val="auto"/>
        </w:rPr>
      </w:pPr>
      <w:r>
        <w:rPr>
          <w:rFonts w:ascii="Times New Roman" w:cs="Times New Roman" w:eastAsia="Times New Roman" w:hAnsi="Times New Roman"/>
          <w:sz w:val="19"/>
          <w:szCs w:val="19"/>
          <w:color w:val="auto"/>
        </w:rPr>
        <w:t>(c)RFR Loans. The Loans constituting each RFR Borrowing shall bear interest at a rate per annum equal to the Daily Simple RFR plus the Applicable Margin.</w:t>
      </w:r>
    </w:p>
    <w:p>
      <w:pPr>
        <w:spacing w:after="0" w:line="127" w:lineRule="exact"/>
        <w:rPr>
          <w:sz w:val="20"/>
          <w:szCs w:val="20"/>
          <w:color w:val="auto"/>
        </w:rPr>
      </w:pPr>
    </w:p>
    <w:p>
      <w:pPr>
        <w:jc w:val="both"/>
        <w:ind w:right="360" w:firstLine="1404"/>
        <w:spacing w:after="0" w:line="268" w:lineRule="auto"/>
        <w:rPr>
          <w:sz w:val="20"/>
          <w:szCs w:val="20"/>
          <w:color w:val="auto"/>
        </w:rPr>
      </w:pPr>
      <w:r>
        <w:rPr>
          <w:rFonts w:ascii="Times New Roman" w:cs="Times New Roman" w:eastAsia="Times New Roman" w:hAnsi="Times New Roman"/>
          <w:sz w:val="19"/>
          <w:szCs w:val="19"/>
          <w:color w:val="auto"/>
        </w:rPr>
        <w:t>(d)Default Interest. Notwithstanding the foregoing, if any Event of Default has occurred and is continuing and the Required Lenders have elected to increase pricing, the interest rates applicable to Loans and any fee or other amount payable by the Borrower hereunder</w:t>
      </w:r>
    </w:p>
    <w:p>
      <w:pPr>
        <w:spacing w:after="0" w:line="142" w:lineRule="exact"/>
        <w:rPr>
          <w:sz w:val="20"/>
          <w:szCs w:val="20"/>
          <w:color w:val="auto"/>
        </w:rPr>
      </w:pPr>
    </w:p>
    <w:p>
      <w:pPr>
        <w:ind w:left="940" w:hanging="730"/>
        <w:spacing w:after="0"/>
        <w:tabs>
          <w:tab w:leader="none" w:pos="94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5" w:name="page186"/>
    <w:bookmarkEnd w:id="185"/>
    <w:p>
      <w:pPr>
        <w:spacing w:after="0" w:line="26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shall bear interest, after as well as before judgment, at a rate per annum equal to (i) in the case of principal of any Loan, 2% plus the rate otherwise applicable to such Loan as provided above, (ii) in the case of any Letter of Credit, 2% plus the fee otherwise applicable to such Letter of Credit as provided in Section 2.11(b)(i), or (iii) in the case of any fee or other amount, 2% plus the rate applicable to ABR Loans as provided in paragraph (a) of this Section.</w:t>
      </w:r>
    </w:p>
    <w:p>
      <w:pPr>
        <w:spacing w:after="0" w:line="150"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(e)Payment of Interest. Accrued interest on each Loan shall be payable in arrears on each Interest Payment Date for such Loan in the Currency in which such Loan is denominated and, in the case of Syndicated Loans, upon the Termination Date; provided that (i) interest accrued pursuant to paragraph (d) of this Section shall be payable on demand, (ii) in the event of any repayment or prepayment of any Loan (other than a prepayment of a Syndicated ABR Loan prior to the Final Maturity Date), accrued interest on the principal amount repaid or prepaid shall be payable on the date of such repayment or prepayment and (iii) in the event of any conversion of any Term Benchmark Borrowing denominated in Dollars prior to the end of the Interest Period therefor, accrued interest on such Borrowing shall be payable on the effective date of such conversion.</w:t>
      </w:r>
    </w:p>
    <w:p>
      <w:pPr>
        <w:spacing w:after="0" w:line="157" w:lineRule="exact"/>
        <w:rPr>
          <w:sz w:val="20"/>
          <w:szCs w:val="20"/>
          <w:color w:val="auto"/>
        </w:rPr>
      </w:pPr>
    </w:p>
    <w:p>
      <w:pPr>
        <w:ind w:right="60" w:firstLine="1404"/>
        <w:spacing w:after="0" w:line="257" w:lineRule="auto"/>
        <w:rPr>
          <w:sz w:val="20"/>
          <w:szCs w:val="20"/>
          <w:color w:val="auto"/>
        </w:rPr>
      </w:pPr>
      <w:r>
        <w:rPr>
          <w:rFonts w:ascii="Times New Roman" w:cs="Times New Roman" w:eastAsia="Times New Roman" w:hAnsi="Times New Roman"/>
          <w:sz w:val="19"/>
          <w:szCs w:val="19"/>
          <w:color w:val="auto"/>
        </w:rPr>
        <w:t>(f)Computation. All interest hereunder shall be computed on the basis of a year of 360 days, except that interest computed (i) by reference to the Alternate Base Rate at times when the Alternate Base Rate is based on the Prime Rate and (ii) on Multicurrency Loans denominated in Sterling or Canadian Dollars shall be computed on the basis of a year of 365 days (or 366 days in a leap year), and in each case shall be payable for the actual number of days elapsed (including the first day but excluding the last day). The applicable Alternate Base Rate, Daily Simple RFR or Adjusted Term Benchmark Rate shall be determined by the Administrative Agent and such determination shall be conclusive absent manifest error.</w:t>
      </w:r>
    </w:p>
    <w:p>
      <w:pPr>
        <w:spacing w:after="0" w:line="157" w:lineRule="exact"/>
        <w:rPr>
          <w:sz w:val="20"/>
          <w:szCs w:val="20"/>
          <w:color w:val="auto"/>
        </w:rPr>
      </w:pPr>
    </w:p>
    <w:p>
      <w:pPr>
        <w:ind w:right="20" w:firstLine="1404"/>
        <w:spacing w:after="0" w:line="259" w:lineRule="auto"/>
        <w:rPr>
          <w:sz w:val="20"/>
          <w:szCs w:val="20"/>
          <w:color w:val="auto"/>
        </w:rPr>
      </w:pPr>
      <w:r>
        <w:rPr>
          <w:rFonts w:ascii="Times New Roman" w:cs="Times New Roman" w:eastAsia="Times New Roman" w:hAnsi="Times New Roman"/>
          <w:sz w:val="19"/>
          <w:szCs w:val="19"/>
          <w:color w:val="auto"/>
        </w:rPr>
        <w:t>(g)Conforming Changes.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54" w:lineRule="exact"/>
        <w:rPr>
          <w:sz w:val="20"/>
          <w:szCs w:val="20"/>
          <w:color w:val="auto"/>
        </w:rPr>
      </w:pPr>
    </w:p>
    <w:p>
      <w:pPr>
        <w:ind w:right="120" w:firstLine="1404"/>
        <w:spacing w:after="0" w:line="268" w:lineRule="auto"/>
        <w:rPr>
          <w:sz w:val="20"/>
          <w:szCs w:val="20"/>
          <w:color w:val="auto"/>
        </w:rPr>
      </w:pPr>
      <w:r>
        <w:rPr>
          <w:rFonts w:ascii="Times New Roman" w:cs="Times New Roman" w:eastAsia="Times New Roman" w:hAnsi="Times New Roman"/>
          <w:sz w:val="19"/>
          <w:szCs w:val="19"/>
          <w:color w:val="0000FF"/>
        </w:rPr>
        <w:t xml:space="preserve">SECTION 2.13. </w:t>
      </w:r>
      <w:r>
        <w:rPr>
          <w:rFonts w:ascii="Times New Roman" w:cs="Times New Roman" w:eastAsia="Times New Roman" w:hAnsi="Times New Roman"/>
          <w:sz w:val="19"/>
          <w:szCs w:val="19"/>
          <w:color w:val="000000"/>
        </w:rPr>
        <w:t>Inability to Determine Interest Rates. Subject to Section 2.21, if, prior to the commencement of 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Interest Period for any Term Benchmark Borrowing of a Class or (ii) at any time for an RFR Borrowing (the Currency of such Borrowing herein called the “Affected Currency”):</w:t>
      </w:r>
    </w:p>
    <w:p>
      <w:pPr>
        <w:spacing w:after="0" w:line="144" w:lineRule="exact"/>
        <w:rPr>
          <w:sz w:val="20"/>
          <w:szCs w:val="20"/>
          <w:color w:val="auto"/>
        </w:rPr>
      </w:pPr>
    </w:p>
    <w:p>
      <w:pPr>
        <w:ind w:right="260" w:firstLine="1404"/>
        <w:spacing w:after="0" w:line="259" w:lineRule="auto"/>
        <w:rPr>
          <w:sz w:val="20"/>
          <w:szCs w:val="20"/>
          <w:color w:val="auto"/>
        </w:rPr>
      </w:pPr>
      <w:r>
        <w:rPr>
          <w:rFonts w:ascii="Times New Roman" w:cs="Times New Roman" w:eastAsia="Times New Roman" w:hAnsi="Times New Roman"/>
          <w:sz w:val="19"/>
          <w:szCs w:val="19"/>
          <w:color w:val="auto"/>
        </w:rPr>
        <w:t>(a)(i) in the case of a Term Benchmark Borrowing, the Administrative Agent shall have determined (which determination shall be conclusive absent manifest error) the Adjusted Term Benchmark Rate for the Affected Currency cannot be determined pursuant to the definition thereof or (ii) in the case of an RFR Borrowing, the Administrative Agent shall have determined (which determination shall be conclusive absent manifest error) that the Daily Simple RFR for the Affected Currency cannot be determined pursuant to the definition thereof; or</w:t>
      </w:r>
    </w:p>
    <w:p>
      <w:pPr>
        <w:spacing w:after="0" w:line="152" w:lineRule="exact"/>
        <w:rPr>
          <w:sz w:val="20"/>
          <w:szCs w:val="20"/>
          <w:color w:val="auto"/>
        </w:rPr>
      </w:pPr>
    </w:p>
    <w:p>
      <w:pPr>
        <w:ind w:left="940" w:hanging="730"/>
        <w:spacing w:after="0"/>
        <w:tabs>
          <w:tab w:leader="none" w:pos="94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6" w:name="page187"/>
    <w:bookmarkEnd w:id="186"/>
    <w:p>
      <w:pPr>
        <w:spacing w:after="0" w:line="269" w:lineRule="exact"/>
        <w:rPr>
          <w:sz w:val="20"/>
          <w:szCs w:val="20"/>
          <w:color w:val="auto"/>
        </w:rPr>
      </w:pPr>
    </w:p>
    <w:p>
      <w:pPr>
        <w:ind w:firstLine="1410"/>
        <w:spacing w:after="0" w:line="257" w:lineRule="auto"/>
        <w:tabs>
          <w:tab w:leader="none" w:pos="168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in the case of a Term Benchmark Borrowing, the Administrative Agent shall have received notice from the Required Lenders of such Class of Commitments that the Adjusted Term Benchmark Rate for the Affected Currency for such Interest Period will not adequately and fairly reflect the cost to such Lenders of making or maintaining their respective Loans included in such Borrowing for such Interest Period or (B) in the case of an RFR Borrowing, the Administrative Agent shall have received notice from the Required Multicurrency Lenders that the Daily Simple RFR for the Affected Currency will not adequately and fairly reflect the cost to such Lenders of making or maintaining the Loans included in such RFR Borrowing;</w:t>
      </w:r>
    </w:p>
    <w:p>
      <w:pPr>
        <w:spacing w:after="0" w:line="15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any Interest Election Request that requests the conversion of any Syndicated Borrowing to, or the continuation of any Syndicated Borrowing as, a Term Benchmark Borrowing or RFR Borrowing denominated in the Affected Currency shall be ineffective and, if the Affected Currency is Dollars, such Syndicated Borrowing (unless prepaid) shall be continued as, or converted to, a Syndicated ABR Borrowing at the end of the applicable Interest Period, (ii) if the Affected Currency is Dollars and any Borrowing Request requests a Term Benchmark Borrowing denominated in Dollars, such Borrowing shall be made as a Syndicated ABR Borrowing, (iii)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 Syndicated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provided,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w:t>
      </w:r>
    </w:p>
    <w:p>
      <w:pPr>
        <w:spacing w:after="0" w:line="178" w:lineRule="exact"/>
        <w:rPr>
          <w:sz w:val="20"/>
          <w:szCs w:val="20"/>
          <w:color w:val="auto"/>
        </w:rPr>
      </w:pPr>
    </w:p>
    <w:p>
      <w:pPr>
        <w:ind w:left="940" w:hanging="730"/>
        <w:spacing w:after="0"/>
        <w:tabs>
          <w:tab w:leader="none" w:pos="940"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7" w:name="page188"/>
    <w:bookmarkEnd w:id="187"/>
    <w:p>
      <w:pPr>
        <w:spacing w:after="0" w:line="26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9"/>
          <w:szCs w:val="19"/>
          <w:color w:val="auto"/>
        </w:rPr>
        <w:t>Prime Rate at the end of applicable Interest Period; provided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 the applicable Interest Period, (2) be converted into a Syndicated ABR Borrowing denominated in Dollars (in an amount equal to the Dollar Equivalent of such Affected Currency) at the end of the applicable Interest Period, or (3) be prepaid in full at the end of the applicable Interest Period; provided that if no election is made by the Borrower by the date that is three (3) Business Days after receipt by the Borrower of such notice or, in the case of a Term Benchmark Borrowing, the last day of the current Interest Period for the applicable Term Benchmark Loan, if earlier, the Borrower shall be deemed to have elected clause (iii)(B)(1) or (iv)(B)(1) above, as applicable.</w:t>
      </w:r>
    </w:p>
    <w:p>
      <w:pPr>
        <w:spacing w:after="0" w:line="15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9"/>
          <w:szCs w:val="19"/>
          <w:color w:val="0000FF"/>
        </w:rPr>
        <w:t xml:space="preserve">SECTION 2.14. </w:t>
      </w:r>
      <w:r>
        <w:rPr>
          <w:rFonts w:ascii="Times New Roman" w:cs="Times New Roman" w:eastAsia="Times New Roman" w:hAnsi="Times New Roman"/>
          <w:sz w:val="19"/>
          <w:szCs w:val="19"/>
          <w:color w:val="000000"/>
        </w:rPr>
        <w:t>Increased Costs.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(a)Increased Costs Generally. If any Change in Law shall:</w:t>
      </w:r>
    </w:p>
    <w:p>
      <w:pPr>
        <w:spacing w:after="0" w:line="202" w:lineRule="exact"/>
        <w:rPr>
          <w:sz w:val="20"/>
          <w:szCs w:val="20"/>
          <w:color w:val="auto"/>
        </w:rPr>
      </w:pPr>
    </w:p>
    <w:p>
      <w:pPr>
        <w:ind w:left="700" w:firstLine="1500"/>
        <w:spacing w:after="0" w:line="259" w:lineRule="auto"/>
        <w:rPr>
          <w:sz w:val="20"/>
          <w:szCs w:val="20"/>
          <w:color w:val="auto"/>
        </w:rPr>
      </w:pPr>
      <w:r>
        <w:rPr>
          <w:rFonts w:ascii="Times New Roman" w:cs="Times New Roman" w:eastAsia="Times New Roman" w:hAnsi="Times New Roman"/>
          <w:sz w:val="19"/>
          <w:szCs w:val="19"/>
          <w:color w:val="auto"/>
        </w:rPr>
        <w:t>(i)impose, modify or deem applicable any reserve (including pursuant to regulations issued from time to time by the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account of, or credit extended by, any Lender or any Issuing Bank; or</w:t>
      </w:r>
    </w:p>
    <w:p>
      <w:pPr>
        <w:spacing w:after="0" w:line="154" w:lineRule="exact"/>
        <w:rPr>
          <w:sz w:val="20"/>
          <w:szCs w:val="20"/>
          <w:color w:val="auto"/>
        </w:rPr>
      </w:pPr>
    </w:p>
    <w:p>
      <w:pPr>
        <w:ind w:left="700" w:right="40" w:firstLine="1500"/>
        <w:spacing w:after="0" w:line="268" w:lineRule="auto"/>
        <w:rPr>
          <w:sz w:val="20"/>
          <w:szCs w:val="20"/>
          <w:color w:val="auto"/>
        </w:rPr>
      </w:pPr>
      <w:r>
        <w:rPr>
          <w:rFonts w:ascii="Times New Roman" w:cs="Times New Roman" w:eastAsia="Times New Roman" w:hAnsi="Times New Roman"/>
          <w:sz w:val="19"/>
          <w:szCs w:val="19"/>
          <w:color w:val="auto"/>
        </w:rPr>
        <w:t>(ii)impose on any Lender or any Issuing Bank any other condition, cost or expense (other than Taxes) affecting this Agreement or Term Benchmark Loans or RFR Loans made by such Lender or any Letter of Credit or participation in any such Loan or Letter of Credit;</w:t>
      </w:r>
    </w:p>
    <w:p>
      <w:pPr>
        <w:spacing w:after="0" w:line="14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Lenders of making, converting to, continuing or maintaining any Term Benchmark Loan or RFR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upon the request of such Lender or such Issuing Bank the Borrower will pay to such Lender or such Issuing Bank, as the case may be, in Dollars, such additional amount or amounts as will compensate such Lender or such Issuing Bank, as the case may be, for such additional costs incurred or reduction suffered; provided that 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spacing w:after="0" w:line="155" w:lineRule="exact"/>
        <w:rPr>
          <w:sz w:val="20"/>
          <w:szCs w:val="20"/>
          <w:color w:val="auto"/>
        </w:rPr>
      </w:pPr>
    </w:p>
    <w:p>
      <w:pPr>
        <w:ind w:right="280" w:firstLine="1404"/>
        <w:spacing w:after="0" w:line="268" w:lineRule="auto"/>
        <w:rPr>
          <w:sz w:val="20"/>
          <w:szCs w:val="20"/>
          <w:color w:val="auto"/>
        </w:rPr>
      </w:pPr>
      <w:r>
        <w:rPr>
          <w:rFonts w:ascii="Times New Roman" w:cs="Times New Roman" w:eastAsia="Times New Roman" w:hAnsi="Times New Roman"/>
          <w:sz w:val="19"/>
          <w:szCs w:val="19"/>
          <w:color w:val="auto"/>
        </w:rPr>
        <w:t>(b)Capital and Liquidity Requirements.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w:t>
      </w:r>
    </w:p>
    <w:p>
      <w:pPr>
        <w:spacing w:after="0" w:line="142" w:lineRule="exact"/>
        <w:rPr>
          <w:sz w:val="20"/>
          <w:szCs w:val="20"/>
          <w:color w:val="auto"/>
        </w:rPr>
      </w:pPr>
    </w:p>
    <w:p>
      <w:pPr>
        <w:ind w:left="940" w:hanging="730"/>
        <w:spacing w:after="0"/>
        <w:tabs>
          <w:tab w:leader="none" w:pos="94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88" w:name="page189"/>
    <w:bookmarkEnd w:id="188"/>
    <w:p>
      <w:pPr>
        <w:spacing w:after="0" w:line="26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Agreement or the Loans made by, or participations in Swingline Loans and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requirements), by an amount deemed to be material by such Lender or such Issuing Bank, then upon the request of such Lender or such Issuing Bank, the Borrower will pay to such Lender or such Issuing Bank, as the case may be, in Dollars, such additional amount or amounts as will compensate such Lender or such Issuing Bank or such Lender’s or such Issuing Bank’s holding company for any such reduction suffered; provided that 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spacing w:after="0" w:line="160"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(c)Certificates from Lenders. A certificate of a Lender or an Issuing Bank (x) setting forth in reasonable detail the basis for and the calculation of the amount or amounts, in Dollars, necessary to compensate such Lender or such Issuing Bank or its holding company, as the case may be, as specified in paragraph (a) or (b) of this Section, (y) setting forth in reasonable detail the manner of determination of such amount or amounts and (z) certifying that such Lender of such Issuing Bank or its holding company, as the case may be, is generally claiming similar compensation from its other similar customers in similar circumstances, shall be promptly delivered to the Borrower and shall be conclusive absent manifest error. The Borrower shall pay such Lender or such Issuing Bank, as the case may be, the amount shown as due on any such certificate within ten (10) Business Days after receipt thereof.</w:t>
      </w:r>
    </w:p>
    <w:p>
      <w:pPr>
        <w:spacing w:after="0" w:line="157" w:lineRule="exact"/>
        <w:rPr>
          <w:sz w:val="20"/>
          <w:szCs w:val="20"/>
          <w:color w:val="auto"/>
        </w:rPr>
      </w:pPr>
    </w:p>
    <w:p>
      <w:pPr>
        <w:ind w:right="40" w:firstLine="1404"/>
        <w:spacing w:after="0" w:line="256" w:lineRule="auto"/>
        <w:rPr>
          <w:sz w:val="20"/>
          <w:szCs w:val="20"/>
          <w:color w:val="auto"/>
        </w:rPr>
      </w:pPr>
      <w:r>
        <w:rPr>
          <w:rFonts w:ascii="Times New Roman" w:cs="Times New Roman" w:eastAsia="Times New Roman" w:hAnsi="Times New Roman"/>
          <w:sz w:val="19"/>
          <w:szCs w:val="19"/>
          <w:color w:val="auto"/>
        </w:rPr>
        <w:t>(d)Delay in Requests. Failure or delay on the part of any Lender or any Issuing Bank to demand compensation pursuant to this Section shall not constitute a waiver of such Lender’s or such Issuing Bank’s right to demand such compensation; provided that the Borrower shall not be required to compensate a Lender or an Issuing Bank pursuant to this Section for any increased costs or reductions incurred more than six months prior to the date that such Lender or such Issuing Bank, as the case may be, notifies the Borrower of the Change in Law giving rise to such increased costs or reductions and of such Lender’s or such Issuing Bank’s intention to claim compensation therefor; provided, further, that, if the Change in Law giving rise to such increased costs or reductions is retroactive, then the six-month period referred to above shall be extended to include the period of retroactive effect thereof.</w:t>
      </w:r>
    </w:p>
    <w:p>
      <w:pPr>
        <w:spacing w:after="0" w:line="157" w:lineRule="exact"/>
        <w:rPr>
          <w:sz w:val="20"/>
          <w:szCs w:val="20"/>
          <w:color w:val="auto"/>
        </w:rPr>
      </w:pPr>
    </w:p>
    <w:p>
      <w:pPr>
        <w:ind w:right="20" w:firstLine="1404"/>
        <w:spacing w:after="0" w:line="255" w:lineRule="auto"/>
        <w:rPr>
          <w:sz w:val="20"/>
          <w:szCs w:val="20"/>
          <w:color w:val="auto"/>
        </w:rPr>
      </w:pPr>
      <w:r>
        <w:rPr>
          <w:rFonts w:ascii="Times New Roman" w:cs="Times New Roman" w:eastAsia="Times New Roman" w:hAnsi="Times New Roman"/>
          <w:sz w:val="19"/>
          <w:szCs w:val="19"/>
          <w:color w:val="0000FF"/>
        </w:rPr>
        <w:t xml:space="preserve">SECTION 2.15. </w:t>
      </w:r>
      <w:r>
        <w:rPr>
          <w:rFonts w:ascii="Times New Roman" w:cs="Times New Roman" w:eastAsia="Times New Roman" w:hAnsi="Times New Roman"/>
          <w:sz w:val="19"/>
          <w:szCs w:val="19"/>
          <w:color w:val="000000"/>
        </w:rPr>
        <w:t>Break Funding Payments. In the event of (a) the payment of any principal of any Term Benchmark</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Loan other than on the last day of an Interest Period therefor (including as a result of the occurrence of any Commitment Increase Date or an Event of Default), (b) the conversion of any Term Benchmark Loan other than on the last day of an Interest Period therefor, (c) the failure to borrow, convert, continue or prepay any Term Benchmark Loan on the date specified in any notice delivered pursuant hereto (including, in connection with any Commitment Increase Date, and regardless of whether such notice is permitted to be revocable under Section 2.10(e) and is revoked in accordance herewith), or (d) the assignment as a result of a request by the Borrower pursuant to Section 2.18(b) of any Term Benchmark Loan other than on the last day of an Interest Period therefor, then, in any such event, the Borrower shall compensate</w:t>
      </w:r>
    </w:p>
    <w:p>
      <w:pPr>
        <w:spacing w:after="0" w:line="158" w:lineRule="exact"/>
        <w:rPr>
          <w:sz w:val="20"/>
          <w:szCs w:val="20"/>
          <w:color w:val="auto"/>
        </w:rPr>
      </w:pPr>
    </w:p>
    <w:p>
      <w:pPr>
        <w:ind w:left="940" w:hanging="730"/>
        <w:spacing w:after="0"/>
        <w:tabs>
          <w:tab w:leader="none" w:pos="94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9" w:name="page190"/>
    <w:bookmarkEnd w:id="189"/>
    <w:p>
      <w:pPr>
        <w:spacing w:after="0" w:line="2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each affected Lender for such Lender’s loss, cost and reasonable expense attributable to such event (excluding loss of anticipated profits). In the case of a Term Benchmark Loan, the loss to any Lender attributable to any such event shall be deemed to include an amount determined by such Lender to be equal to the excess, if any, of:</w:t>
      </w:r>
    </w:p>
    <w:p>
      <w:pPr>
        <w:spacing w:after="0" w:line="144" w:lineRule="exact"/>
        <w:rPr>
          <w:sz w:val="20"/>
          <w:szCs w:val="20"/>
          <w:color w:val="auto"/>
        </w:rPr>
      </w:pPr>
    </w:p>
    <w:p>
      <w:pPr>
        <w:ind w:right="40" w:firstLine="1404"/>
        <w:spacing w:after="0" w:line="259" w:lineRule="auto"/>
        <w:rPr>
          <w:sz w:val="20"/>
          <w:szCs w:val="20"/>
          <w:color w:val="auto"/>
        </w:rPr>
      </w:pPr>
      <w:r>
        <w:rPr>
          <w:rFonts w:ascii="Times New Roman" w:cs="Times New Roman" w:eastAsia="Times New Roman" w:hAnsi="Times New Roman"/>
          <w:sz w:val="19"/>
          <w:szCs w:val="19"/>
          <w:color w:val="auto"/>
        </w:rPr>
        <w:t>(a)the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Term Benchmark Rate for such Currency for such Interest Period, over</w:t>
      </w:r>
    </w:p>
    <w:p>
      <w:pPr>
        <w:spacing w:after="0" w:line="154"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(b)the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market for the applicable Term Benchmark Rate at the commencement of such period.</w:t>
      </w:r>
    </w:p>
    <w:p>
      <w:pPr>
        <w:spacing w:after="0" w:line="15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auto"/>
        </w:rPr>
        <w:t>Payment under this Section shall be made upon written request of a Lender delivered to the Borrower not later than five (5) Business Days following the payment, conversion, or failure to borrow, convert, continue or prepay that gives rise to a claim under this Section accompanied by a written certificate of such Lender setting forth in reasonable detail the basis for and the calculation of the amount or amounts that such Lender is entitled to receive pursuant to this Section, which certificate shall be conclusive absent manifest error. The Borrower shall pay such Lender the amount shown as due on any such certificate within ten (10) Business Days after receipt thereof.</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2.16. </w:t>
      </w:r>
      <w:r>
        <w:rPr>
          <w:rFonts w:ascii="Times New Roman" w:cs="Times New Roman" w:eastAsia="Times New Roman" w:hAnsi="Times New Roman"/>
          <w:sz w:val="19"/>
          <w:szCs w:val="19"/>
          <w:color w:val="000000"/>
        </w:rPr>
        <w:t>Taxes.</w:t>
      </w:r>
    </w:p>
    <w:p>
      <w:pPr>
        <w:spacing w:after="0" w:line="202" w:lineRule="exact"/>
        <w:rPr>
          <w:sz w:val="20"/>
          <w:szCs w:val="20"/>
          <w:color w:val="auto"/>
        </w:rPr>
      </w:pPr>
    </w:p>
    <w:p>
      <w:pPr>
        <w:ind w:right="40" w:firstLine="1404"/>
        <w:spacing w:after="0" w:line="255" w:lineRule="auto"/>
        <w:rPr>
          <w:sz w:val="20"/>
          <w:szCs w:val="20"/>
          <w:color w:val="auto"/>
        </w:rPr>
      </w:pPr>
      <w:r>
        <w:rPr>
          <w:rFonts w:ascii="Times New Roman" w:cs="Times New Roman" w:eastAsia="Times New Roman" w:hAnsi="Times New Roman"/>
          <w:sz w:val="19"/>
          <w:szCs w:val="19"/>
          <w:color w:val="auto"/>
        </w:rPr>
        <w:t>(a)Payments Free of Taxes. Any and all payments by or on account of any obligation of the Borrower hereunder or under any other Loan Document shall be made free and clear of and without deduction for any Taxes, except as required by applicable law; provided 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applicable Lender or applicable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60" w:lineRule="exact"/>
        <w:rPr>
          <w:sz w:val="20"/>
          <w:szCs w:val="20"/>
          <w:color w:val="auto"/>
        </w:rPr>
      </w:pPr>
    </w:p>
    <w:p>
      <w:pPr>
        <w:ind w:right="460" w:firstLine="1404"/>
        <w:spacing w:after="0" w:line="286" w:lineRule="auto"/>
        <w:rPr>
          <w:sz w:val="20"/>
          <w:szCs w:val="20"/>
          <w:color w:val="auto"/>
        </w:rPr>
      </w:pPr>
      <w:r>
        <w:rPr>
          <w:rFonts w:ascii="Times New Roman" w:cs="Times New Roman" w:eastAsia="Times New Roman" w:hAnsi="Times New Roman"/>
          <w:sz w:val="19"/>
          <w:szCs w:val="19"/>
          <w:color w:val="auto"/>
        </w:rPr>
        <w:t>(b)Payment of Other Taxes by the Borrower. In addition, the Borrower shall pay any Other Taxes to the relevant Governmental Authority in accordance with applicable law.</w:t>
      </w:r>
    </w:p>
    <w:p>
      <w:pPr>
        <w:spacing w:after="0" w:line="127" w:lineRule="exact"/>
        <w:rPr>
          <w:sz w:val="20"/>
          <w:szCs w:val="20"/>
          <w:color w:val="auto"/>
        </w:rPr>
      </w:pPr>
    </w:p>
    <w:p>
      <w:pPr>
        <w:ind w:right="180" w:firstLine="1404"/>
        <w:spacing w:after="0" w:line="268" w:lineRule="auto"/>
        <w:rPr>
          <w:sz w:val="20"/>
          <w:szCs w:val="20"/>
          <w:color w:val="auto"/>
        </w:rPr>
      </w:pPr>
      <w:r>
        <w:rPr>
          <w:rFonts w:ascii="Times New Roman" w:cs="Times New Roman" w:eastAsia="Times New Roman" w:hAnsi="Times New Roman"/>
          <w:sz w:val="19"/>
          <w:szCs w:val="19"/>
          <w:color w:val="auto"/>
        </w:rPr>
        <w:t>(c)Indemnification by the Borrower. The Borrower shall indemnify the Administrative Agent, each Lender and each Issuing Bank for and, within ten (10) Business Days after written demand therefor, pay the full amount of any Indemnified Taxes or Other Taxes</w:t>
      </w:r>
    </w:p>
    <w:p>
      <w:pPr>
        <w:spacing w:after="0" w:line="142" w:lineRule="exact"/>
        <w:rPr>
          <w:sz w:val="20"/>
          <w:szCs w:val="20"/>
          <w:color w:val="auto"/>
        </w:rPr>
      </w:pPr>
    </w:p>
    <w:p>
      <w:pPr>
        <w:ind w:left="940" w:hanging="730"/>
        <w:spacing w:after="0"/>
        <w:tabs>
          <w:tab w:leader="none" w:pos="94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0" w:name="page191"/>
    <w:bookmarkEnd w:id="190"/>
    <w:p>
      <w:pPr>
        <w:spacing w:after="0" w:line="26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(including Indemnified Taxes or Other Taxes imposed or asserted on or attributable to amounts payable under this Section) paid by the Administrative Agent, such Lender or such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such Issuing Bank. A certificate as to the amount of such payment or liability delivered to the Borrower by a Lender or an Issuing Bank, or by the Administrative Agent on its own behalf or on behalf of a Lender or an Issuing Bank, shall be conclusive absent manifest error.</w:t>
      </w:r>
    </w:p>
    <w:p>
      <w:pPr>
        <w:spacing w:after="0" w:line="157" w:lineRule="exact"/>
        <w:rPr>
          <w:sz w:val="20"/>
          <w:szCs w:val="20"/>
          <w:color w:val="auto"/>
        </w:rPr>
      </w:pPr>
    </w:p>
    <w:p>
      <w:pPr>
        <w:ind w:right="100" w:firstLine="1404"/>
        <w:spacing w:after="0" w:line="254" w:lineRule="auto"/>
        <w:rPr>
          <w:sz w:val="20"/>
          <w:szCs w:val="20"/>
          <w:color w:val="auto"/>
        </w:rPr>
      </w:pPr>
      <w:r>
        <w:rPr>
          <w:rFonts w:ascii="Times New Roman" w:cs="Times New Roman" w:eastAsia="Times New Roman" w:hAnsi="Times New Roman"/>
          <w:sz w:val="19"/>
          <w:szCs w:val="19"/>
          <w:color w:val="auto"/>
        </w:rPr>
        <w:t>(d)Indemnification by the Lenders. Each Lender shall severally indemnify the Administrative Agent, within ten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Section 9.04(f)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57"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(e)Evidence of Payments.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0" w:lineRule="exact"/>
        <w:rPr>
          <w:sz w:val="20"/>
          <w:szCs w:val="20"/>
          <w:color w:val="auto"/>
        </w:rPr>
      </w:pPr>
    </w:p>
    <w:p>
      <w:pPr>
        <w:ind w:right="60" w:firstLine="1404"/>
        <w:spacing w:after="0" w:line="254" w:lineRule="auto"/>
        <w:rPr>
          <w:sz w:val="20"/>
          <w:szCs w:val="20"/>
          <w:color w:val="auto"/>
        </w:rPr>
      </w:pPr>
      <w:r>
        <w:rPr>
          <w:rFonts w:ascii="Times New Roman" w:cs="Times New Roman" w:eastAsia="Times New Roman" w:hAnsi="Times New Roman"/>
          <w:sz w:val="19"/>
          <w:szCs w:val="19"/>
          <w:color w:val="auto"/>
        </w:rPr>
        <w:t>(f)Tax Documentation.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2.16(f)(ii) below) shall not be required if in the Lender’s reasonable judgment such completion, execution or submission would</w:t>
      </w:r>
    </w:p>
    <w:p>
      <w:pPr>
        <w:spacing w:after="0" w:line="159" w:lineRule="exact"/>
        <w:rPr>
          <w:sz w:val="20"/>
          <w:szCs w:val="20"/>
          <w:color w:val="auto"/>
        </w:rPr>
      </w:pPr>
    </w:p>
    <w:p>
      <w:pPr>
        <w:ind w:left="940" w:hanging="730"/>
        <w:spacing w:after="0"/>
        <w:tabs>
          <w:tab w:leader="none" w:pos="94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91" w:name="page192"/>
    <w:bookmarkEnd w:id="191"/>
    <w:p>
      <w:pPr>
        <w:spacing w:after="0" w:line="26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subject such Lender to any material unreimbursed cost or expense or would materially prejudice the legal or commercial position of such Lender.</w:t>
      </w:r>
    </w:p>
    <w:p>
      <w:pPr>
        <w:spacing w:after="0" w:line="12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(i)Without limiting the generality of the foregoing:</w:t>
      </w:r>
    </w:p>
    <w:p>
      <w:pPr>
        <w:spacing w:after="0" w:line="202" w:lineRule="exact"/>
        <w:rPr>
          <w:sz w:val="20"/>
          <w:szCs w:val="20"/>
          <w:color w:val="auto"/>
        </w:rPr>
      </w:pPr>
    </w:p>
    <w:p>
      <w:pPr>
        <w:ind w:left="1420" w:firstLine="1620"/>
        <w:spacing w:after="0" w:line="259" w:lineRule="auto"/>
        <w:rPr>
          <w:sz w:val="20"/>
          <w:szCs w:val="20"/>
          <w:color w:val="auto"/>
        </w:rPr>
      </w:pPr>
      <w:r>
        <w:rPr>
          <w:rFonts w:ascii="Times New Roman" w:cs="Times New Roman" w:eastAsia="Times New Roman" w:hAnsi="Times New Roman"/>
          <w:sz w:val="19"/>
          <w:szCs w:val="19"/>
          <w:color w:val="auto"/>
        </w:rPr>
        <w:t>(A)any Lender that is a U.S. Person shall deliver to the Borrower and the Administrative Agent (and such additional copies as shall be reasonably requested by the recipient) on or prior to the date on which such Lender becomes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154" w:lineRule="exact"/>
        <w:rPr>
          <w:sz w:val="20"/>
          <w:szCs w:val="20"/>
          <w:color w:val="auto"/>
        </w:rPr>
      </w:pPr>
    </w:p>
    <w:p>
      <w:pPr>
        <w:ind w:left="1420" w:right="60" w:firstLine="1620"/>
        <w:spacing w:after="0" w:line="259" w:lineRule="auto"/>
        <w:rPr>
          <w:sz w:val="20"/>
          <w:szCs w:val="20"/>
          <w:color w:val="auto"/>
        </w:rPr>
      </w:pPr>
      <w:r>
        <w:rPr>
          <w:rFonts w:ascii="Times New Roman" w:cs="Times New Roman" w:eastAsia="Times New Roman" w:hAnsi="Times New Roman"/>
          <w:sz w:val="19"/>
          <w:szCs w:val="19"/>
          <w:color w:val="auto"/>
        </w:rPr>
        <w:t>(B)each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154" w:lineRule="exact"/>
        <w:rPr>
          <w:sz w:val="20"/>
          <w:szCs w:val="20"/>
          <w:color w:val="auto"/>
        </w:rPr>
      </w:pPr>
    </w:p>
    <w:p>
      <w:pPr>
        <w:jc w:val="both"/>
        <w:ind w:left="2120" w:right="160" w:firstLine="47"/>
        <w:spacing w:after="0" w:line="286" w:lineRule="auto"/>
        <w:tabs>
          <w:tab w:leader="none" w:pos="2483"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duly completed and executed copies of Internal Revenue Service Form W-8BEN or W-8BEN-E or any successor form claiming eligibility for benefits of an income tax treaty to which the United States is a party,</w:t>
      </w:r>
    </w:p>
    <w:p>
      <w:pPr>
        <w:spacing w:after="0" w:line="127" w:lineRule="exact"/>
        <w:rPr>
          <w:rFonts w:ascii="Times New Roman" w:cs="Times New Roman" w:eastAsia="Times New Roman" w:hAnsi="Times New Roman"/>
          <w:sz w:val="19"/>
          <w:szCs w:val="19"/>
          <w:color w:val="auto"/>
        </w:rPr>
      </w:pPr>
    </w:p>
    <w:p>
      <w:pPr>
        <w:ind w:left="2120" w:right="160" w:firstLine="47"/>
        <w:spacing w:after="0" w:line="268" w:lineRule="auto"/>
        <w:tabs>
          <w:tab w:leader="none" w:pos="244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144" w:lineRule="exact"/>
        <w:rPr>
          <w:rFonts w:ascii="Times New Roman" w:cs="Times New Roman" w:eastAsia="Times New Roman" w:hAnsi="Times New Roman"/>
          <w:sz w:val="19"/>
          <w:szCs w:val="19"/>
          <w:color w:val="auto"/>
        </w:rPr>
      </w:pPr>
    </w:p>
    <w:p>
      <w:pPr>
        <w:ind w:left="2120" w:right="20" w:firstLine="47"/>
        <w:spacing w:after="0" w:line="257" w:lineRule="auto"/>
        <w:tabs>
          <w:tab w:leader="none" w:pos="244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duly completed and executed copies of Internal Revenue Service Form W-8BEN or W-8BEN-E (or any successor form) certifying that the Foreign Lender is not a U.S. Person, or</w:t>
      </w:r>
    </w:p>
    <w:p>
      <w:pPr>
        <w:spacing w:after="0" w:line="156" w:lineRule="exact"/>
        <w:rPr>
          <w:rFonts w:ascii="Times New Roman" w:cs="Times New Roman" w:eastAsia="Times New Roman" w:hAnsi="Times New Roman"/>
          <w:sz w:val="19"/>
          <w:szCs w:val="19"/>
          <w:color w:val="auto"/>
        </w:rPr>
      </w:pPr>
    </w:p>
    <w:p>
      <w:pPr>
        <w:ind w:left="2120" w:right="40" w:firstLine="47"/>
        <w:spacing w:after="0" w:line="262" w:lineRule="auto"/>
        <w:tabs>
          <w:tab w:leader="none" w:pos="2429"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148" w:lineRule="exact"/>
        <w:rPr>
          <w:sz w:val="20"/>
          <w:szCs w:val="20"/>
          <w:color w:val="auto"/>
        </w:rPr>
      </w:pPr>
    </w:p>
    <w:p>
      <w:pPr>
        <w:ind w:left="940" w:hanging="730"/>
        <w:spacing w:after="0"/>
        <w:tabs>
          <w:tab w:leader="none" w:pos="94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2" w:name="page193"/>
    <w:bookmarkEnd w:id="192"/>
    <w:p>
      <w:pPr>
        <w:spacing w:after="0" w:line="269" w:lineRule="exact"/>
        <w:rPr>
          <w:sz w:val="20"/>
          <w:szCs w:val="20"/>
          <w:color w:val="auto"/>
        </w:rPr>
      </w:pPr>
    </w:p>
    <w:p>
      <w:pPr>
        <w:ind w:left="700" w:firstLine="1500"/>
        <w:spacing w:after="0" w:line="259" w:lineRule="auto"/>
        <w:rPr>
          <w:sz w:val="20"/>
          <w:szCs w:val="20"/>
          <w:color w:val="auto"/>
        </w:rPr>
      </w:pPr>
      <w:r>
        <w:rPr>
          <w:rFonts w:ascii="Times New Roman" w:cs="Times New Roman" w:eastAsia="Times New Roman" w:hAnsi="Times New Roman"/>
          <w:sz w:val="19"/>
          <w:szCs w:val="19"/>
          <w:color w:val="auto"/>
        </w:rPr>
        <w:t>(ii)In addition, each Lender shall deliver such forms promptly upon the obsolescence, expiration or invalidity of any form previously delivered by such Lender; provided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54" w:lineRule="exact"/>
        <w:rPr>
          <w:sz w:val="20"/>
          <w:szCs w:val="20"/>
          <w:color w:val="auto"/>
        </w:rPr>
      </w:pPr>
    </w:p>
    <w:p>
      <w:pPr>
        <w:ind w:right="60" w:firstLine="1404"/>
        <w:spacing w:after="0" w:line="255" w:lineRule="auto"/>
        <w:rPr>
          <w:sz w:val="20"/>
          <w:szCs w:val="20"/>
          <w:color w:val="auto"/>
        </w:rPr>
      </w:pPr>
      <w:r>
        <w:rPr>
          <w:rFonts w:ascii="Times New Roman" w:cs="Times New Roman" w:eastAsia="Times New Roman" w:hAnsi="Times New Roman"/>
          <w:sz w:val="19"/>
          <w:szCs w:val="19"/>
          <w:color w:val="auto"/>
        </w:rPr>
        <w:t>(g)Documentation Required by FATCA.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Section 2.16(g), “FATCA” shall include any amendments made to FATCA after the date of this Agreement.</w:t>
      </w:r>
    </w:p>
    <w:p>
      <w:pPr>
        <w:spacing w:after="0" w:line="155" w:lineRule="exact"/>
        <w:rPr>
          <w:sz w:val="20"/>
          <w:szCs w:val="20"/>
          <w:color w:val="auto"/>
        </w:rPr>
      </w:pPr>
    </w:p>
    <w:p>
      <w:pPr>
        <w:ind w:right="20" w:firstLine="1404"/>
        <w:spacing w:after="0" w:line="252" w:lineRule="auto"/>
        <w:rPr>
          <w:sz w:val="20"/>
          <w:szCs w:val="20"/>
          <w:color w:val="auto"/>
        </w:rPr>
      </w:pPr>
      <w:r>
        <w:rPr>
          <w:rFonts w:ascii="Times New Roman" w:cs="Times New Roman" w:eastAsia="Times New Roman" w:hAnsi="Times New Roman"/>
          <w:sz w:val="19"/>
          <w:szCs w:val="19"/>
          <w:color w:val="auto"/>
        </w:rPr>
        <w:t>(h)Treatment of Certain Refunds.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provided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clause (h), in no event will the Administrative Agent, any Lender or an Issuing Bank be required to pay any amount to Borrower pursuant to this clause (h), the payment of which would place such Person in a less favorable net after -Tax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400" w:lineRule="exact"/>
        <w:rPr>
          <w:sz w:val="20"/>
          <w:szCs w:val="20"/>
          <w:color w:val="auto"/>
        </w:rPr>
      </w:pPr>
    </w:p>
    <w:p>
      <w:pPr>
        <w:jc w:val="both"/>
        <w:ind w:right="80" w:firstLine="1404"/>
        <w:spacing w:after="0" w:line="268" w:lineRule="auto"/>
        <w:rPr>
          <w:sz w:val="20"/>
          <w:szCs w:val="20"/>
          <w:color w:val="auto"/>
        </w:rPr>
      </w:pPr>
      <w:r>
        <w:rPr>
          <w:rFonts w:ascii="Times New Roman" w:cs="Times New Roman" w:eastAsia="Times New Roman" w:hAnsi="Times New Roman"/>
          <w:sz w:val="19"/>
          <w:szCs w:val="19"/>
          <w:color w:val="auto"/>
        </w:rPr>
        <w:t>(i)Each party’s obligations under this Section shall survive the resignation or replacement of the Administrative Agent or any assignment of rights by, or the replacement of, a Lender, the termination of the Commitments, the expiration or cancellation of all Letters of Credit and the repayment, satisfaction or discharge of all obligations under any Loan Document.</w:t>
      </w:r>
    </w:p>
    <w:p>
      <w:pPr>
        <w:spacing w:after="0" w:line="142" w:lineRule="exact"/>
        <w:rPr>
          <w:sz w:val="20"/>
          <w:szCs w:val="20"/>
          <w:color w:val="auto"/>
        </w:rPr>
      </w:pPr>
    </w:p>
    <w:p>
      <w:pPr>
        <w:ind w:left="940" w:hanging="730"/>
        <w:spacing w:after="0"/>
        <w:tabs>
          <w:tab w:leader="none" w:pos="94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93" w:name="page194"/>
    <w:bookmarkEnd w:id="193"/>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2.17. </w:t>
      </w:r>
      <w:r>
        <w:rPr>
          <w:rFonts w:ascii="Times New Roman" w:cs="Times New Roman" w:eastAsia="Times New Roman" w:hAnsi="Times New Roman"/>
          <w:sz w:val="19"/>
          <w:szCs w:val="19"/>
          <w:color w:val="000000"/>
        </w:rPr>
        <w:t>Payments Generally; Pro Rata Treatment: Sharing of Set-offs.</w:t>
      </w:r>
    </w:p>
    <w:p>
      <w:pPr>
        <w:spacing w:after="0" w:line="202" w:lineRule="exact"/>
        <w:rPr>
          <w:sz w:val="20"/>
          <w:szCs w:val="20"/>
          <w:color w:val="auto"/>
        </w:rPr>
      </w:pPr>
    </w:p>
    <w:p>
      <w:pPr>
        <w:ind w:right="80" w:firstLine="1404"/>
        <w:spacing w:after="0" w:line="253" w:lineRule="auto"/>
        <w:rPr>
          <w:sz w:val="20"/>
          <w:szCs w:val="20"/>
          <w:color w:val="auto"/>
        </w:rPr>
      </w:pPr>
      <w:r>
        <w:rPr>
          <w:rFonts w:ascii="Times New Roman" w:cs="Times New Roman" w:eastAsia="Times New Roman" w:hAnsi="Times New Roman"/>
          <w:sz w:val="19"/>
          <w:szCs w:val="19"/>
          <w:color w:val="auto"/>
        </w:rPr>
        <w:t>(a)Payments by the Borrower. The Borrower shall make each payment required to be made by it hereunder (whether of principal, interest, fees or reimbursement of LC Disbursements, or under Section 2.14, 2.15 or 2.16, or otherwise) or under any other Loan Document (except to the extent otherwise provided therein) prior to 12:00 noon, New York City time, on the date when due, in immediately available funds, without set -off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any Issuing Bank or any Swingline Lender as expressly provided herein and payments pursuant to Sections 2.14, 2.15, 2.16 and 9.03,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65" w:lineRule="exact"/>
        <w:rPr>
          <w:sz w:val="20"/>
          <w:szCs w:val="20"/>
          <w:color w:val="auto"/>
        </w:rPr>
      </w:pPr>
    </w:p>
    <w:p>
      <w:pPr>
        <w:ind w:right="40" w:firstLine="1404"/>
        <w:spacing w:after="0" w:line="253" w:lineRule="auto"/>
        <w:rPr>
          <w:sz w:val="20"/>
          <w:szCs w:val="20"/>
          <w:color w:val="auto"/>
        </w:rPr>
      </w:pPr>
      <w:r>
        <w:rPr>
          <w:rFonts w:ascii="Times New Roman" w:cs="Times New Roman" w:eastAsia="Times New Roman" w:hAnsi="Times New Roman"/>
          <w:sz w:val="19"/>
          <w:szCs w:val="19"/>
          <w:color w:val="auto"/>
        </w:rPr>
        <w:t>All amounts owing under this Agreement (including commitment fees, payments required under Section 2.14, and payments required under Section 2.15 relating to any Loan denominated in Dollars, but not including principal of and interest on any Loan denominated in any Foreign Currency or payments relating to any such Loan required under Section 2.15,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65"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“Original Currency”)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w:t>
      </w:r>
    </w:p>
    <w:p>
      <w:pPr>
        <w:spacing w:after="0" w:line="152" w:lineRule="exact"/>
        <w:rPr>
          <w:sz w:val="20"/>
          <w:szCs w:val="20"/>
          <w:color w:val="auto"/>
        </w:rPr>
      </w:pPr>
    </w:p>
    <w:p>
      <w:pPr>
        <w:ind w:left="940" w:hanging="730"/>
        <w:spacing w:after="0"/>
        <w:tabs>
          <w:tab w:leader="none" w:pos="94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94" w:name="page195"/>
    <w:bookmarkEnd w:id="194"/>
    <w:p>
      <w:pPr>
        <w:spacing w:after="0" w:line="26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9"/>
          <w:szCs w:val="19"/>
          <w:color w:val="auto"/>
        </w:rPr>
        <w:t>repayment) of such payment due, it being the intention of the parties hereto that the Borrower takes all risks of the imposition of any such currency control or exchange regulations.</w:t>
      </w:r>
    </w:p>
    <w:p>
      <w:pPr>
        <w:spacing w:after="0" w:line="127" w:lineRule="exact"/>
        <w:rPr>
          <w:sz w:val="20"/>
          <w:szCs w:val="20"/>
          <w:color w:val="auto"/>
        </w:rPr>
      </w:pPr>
    </w:p>
    <w:p>
      <w:pPr>
        <w:ind w:right="40" w:firstLine="1404"/>
        <w:spacing w:after="0" w:line="257" w:lineRule="auto"/>
        <w:rPr>
          <w:sz w:val="20"/>
          <w:szCs w:val="20"/>
          <w:color w:val="auto"/>
        </w:rPr>
      </w:pPr>
      <w:r>
        <w:rPr>
          <w:rFonts w:ascii="Times New Roman" w:cs="Times New Roman" w:eastAsia="Times New Roman" w:hAnsi="Times New Roman"/>
          <w:sz w:val="19"/>
          <w:szCs w:val="19"/>
          <w:color w:val="auto"/>
        </w:rPr>
        <w:t>(b)Application of Insufficient Payments. If at any time insufficient funds are received by and available to the Administrative Agent to pay fully all amounts of principal, unreimbursed LC Disbursements, interest and fees of a Class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57"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(c)Pro Rata Treatment. Except to the extent otherwise provided herein: (i) each Syndicated Borrowing of a Class shall be made from the Lenders of such Class, each payment of commitment fee under Section 2.11 shall be made for account of the Lenders of the applicable Class, and each termination or reduction of the amount of the Commitments of a Class under Section 2.08 shall be applied to the respective Commitments of the Lenders of such Class, pro rata according to the amounts of their respective Commitments of such Class; (ii) each Syndicated Borrowing of a Class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by the Borrower shall be made for account of the Lenders of such Class pro rata in accordance with the respective unpaid principal amounts of the Syndicated Loans of such Class held by them; and (iv) each payment of interest on Syndicated Loans of a Class by the Borrower shall be made for account of the Lenders of such Class pro rata in accordance with the amounts of interest on such Loans of such Class then due and payable to the respective Lenders.</w:t>
      </w:r>
    </w:p>
    <w:p>
      <w:pPr>
        <w:spacing w:after="0" w:line="157"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(d)Sharing of Payments by Lenders. If any Lender of any Class shall, by exercising any right of set -off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w:t>
      </w:r>
    </w:p>
    <w:p>
      <w:pPr>
        <w:spacing w:after="0" w:line="159" w:lineRule="exact"/>
        <w:rPr>
          <w:sz w:val="20"/>
          <w:szCs w:val="20"/>
          <w:color w:val="auto"/>
        </w:rPr>
      </w:pPr>
    </w:p>
    <w:p>
      <w:pPr>
        <w:ind w:left="940" w:hanging="730"/>
        <w:spacing w:after="0"/>
        <w:tabs>
          <w:tab w:leader="none" w:pos="94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5" w:name="page196"/>
    <w:bookmarkEnd w:id="195"/>
    <w:p>
      <w:pPr>
        <w:spacing w:after="0" w:line="2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50" w:lineRule="exact"/>
        <w:rPr>
          <w:sz w:val="20"/>
          <w:szCs w:val="20"/>
          <w:color w:val="auto"/>
        </w:rPr>
      </w:pPr>
    </w:p>
    <w:p>
      <w:pPr>
        <w:ind w:right="120" w:firstLine="1404"/>
        <w:spacing w:after="0" w:line="255" w:lineRule="auto"/>
        <w:rPr>
          <w:sz w:val="20"/>
          <w:szCs w:val="20"/>
          <w:color w:val="auto"/>
        </w:rPr>
      </w:pPr>
      <w:r>
        <w:rPr>
          <w:rFonts w:ascii="Times New Roman" w:cs="Times New Roman" w:eastAsia="Times New Roman" w:hAnsi="Times New Roman"/>
          <w:sz w:val="19"/>
          <w:szCs w:val="19"/>
          <w:color w:val="auto"/>
        </w:rPr>
        <w:t>(e)Presumptions of Payment. Unless the Administrative Agent shall have received notice from the Borrower prior to the date on which any payment is due to the Administrative Agent for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Federal Funds Effective Rate.</w:t>
      </w:r>
    </w:p>
    <w:p>
      <w:pPr>
        <w:spacing w:after="0" w:line="160" w:lineRule="exact"/>
        <w:rPr>
          <w:sz w:val="20"/>
          <w:szCs w:val="20"/>
          <w:color w:val="auto"/>
        </w:rPr>
      </w:pPr>
    </w:p>
    <w:p>
      <w:pPr>
        <w:jc w:val="both"/>
        <w:ind w:right="100" w:firstLine="1404"/>
        <w:spacing w:after="0" w:line="262" w:lineRule="auto"/>
        <w:rPr>
          <w:sz w:val="20"/>
          <w:szCs w:val="20"/>
          <w:color w:val="auto"/>
        </w:rPr>
      </w:pPr>
      <w:r>
        <w:rPr>
          <w:rFonts w:ascii="Times New Roman" w:cs="Times New Roman" w:eastAsia="Times New Roman" w:hAnsi="Times New Roman"/>
          <w:sz w:val="19"/>
          <w:szCs w:val="19"/>
          <w:color w:val="auto"/>
        </w:rPr>
        <w:t>(f)Certain Deductions by the Administrative Agent. If any Lender shall fail to make any payment required to be made by it pursuant to Section 2.04(c), 2.05(e), 2.06(a) or (b) or 2.17(e),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2.18. </w:t>
      </w:r>
      <w:r>
        <w:rPr>
          <w:rFonts w:ascii="Times New Roman" w:cs="Times New Roman" w:eastAsia="Times New Roman" w:hAnsi="Times New Roman"/>
          <w:sz w:val="19"/>
          <w:szCs w:val="19"/>
          <w:color w:val="000000"/>
        </w:rPr>
        <w:t>Mitigation Obligations; Replacement of Lenders.</w:t>
      </w:r>
    </w:p>
    <w:p>
      <w:pPr>
        <w:spacing w:after="0" w:line="202" w:lineRule="exact"/>
        <w:rPr>
          <w:sz w:val="20"/>
          <w:szCs w:val="20"/>
          <w:color w:val="auto"/>
        </w:rPr>
      </w:pPr>
    </w:p>
    <w:p>
      <w:pPr>
        <w:ind w:right="60" w:firstLine="1404"/>
        <w:spacing w:after="0" w:line="255" w:lineRule="auto"/>
        <w:rPr>
          <w:sz w:val="20"/>
          <w:szCs w:val="20"/>
          <w:color w:val="auto"/>
        </w:rPr>
      </w:pPr>
      <w:r>
        <w:rPr>
          <w:rFonts w:ascii="Times New Roman" w:cs="Times New Roman" w:eastAsia="Times New Roman" w:hAnsi="Times New Roman"/>
          <w:sz w:val="19"/>
          <w:szCs w:val="19"/>
          <w:color w:val="auto"/>
        </w:rPr>
        <w:t>(a)Designation of a Different Lending Office. If any Lender requests compensation under Section 2.14, or if the Borrower is required to pay any additional amount to any Lender or any Governmental Authority 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2.14 or 2.16,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60" w:lineRule="exact"/>
        <w:rPr>
          <w:sz w:val="20"/>
          <w:szCs w:val="20"/>
          <w:color w:val="auto"/>
        </w:rPr>
      </w:pPr>
    </w:p>
    <w:p>
      <w:pPr>
        <w:ind w:right="60" w:firstLine="1404"/>
        <w:spacing w:after="0" w:line="257" w:lineRule="auto"/>
        <w:rPr>
          <w:sz w:val="20"/>
          <w:szCs w:val="20"/>
          <w:color w:val="auto"/>
        </w:rPr>
      </w:pPr>
      <w:r>
        <w:rPr>
          <w:rFonts w:ascii="Times New Roman" w:cs="Times New Roman" w:eastAsia="Times New Roman" w:hAnsi="Times New Roman"/>
          <w:sz w:val="19"/>
          <w:szCs w:val="19"/>
          <w:color w:val="auto"/>
        </w:rPr>
        <w:t>(b)Replacement of Lenders. If any Lender requests compensation under Section 2.14, or if the Borrower is required to pay any additional amount to any Lender or any Governmental Authority for account of any Lender pursuant to Section 2.16, or if any Lender becomes a Defaulting Lender or is a Non-Consenting Lender (as provided in Section 9.02(d)),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to an assignee that shall assume such obligations (which assignee may be another</w:t>
      </w:r>
    </w:p>
    <w:p>
      <w:pPr>
        <w:spacing w:after="0" w:line="155" w:lineRule="exact"/>
        <w:rPr>
          <w:sz w:val="20"/>
          <w:szCs w:val="20"/>
          <w:color w:val="auto"/>
        </w:rPr>
      </w:pPr>
    </w:p>
    <w:p>
      <w:pPr>
        <w:ind w:left="940" w:hanging="730"/>
        <w:spacing w:after="0"/>
        <w:tabs>
          <w:tab w:leader="none" w:pos="940"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96" w:name="page197"/>
    <w:bookmarkEnd w:id="196"/>
    <w:p>
      <w:pPr>
        <w:spacing w:after="0" w:line="2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auto"/>
        </w:rPr>
        <w:t>Lender, if a Lender accepts such assignment); provided that (i) the Borrower shall have received the prior written consent of the Administrative Agent (and, if a Revolving Commitment is being assigned, each Issuing Bank and each Swingline Lender), which consent shall not unreasonably be withheld, conditioned or delayed,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then due and payable) and (iii) in the case of any such assignment resulting from a claim for compensation under Section 2.14 or payments required to be made pursuant to Section 2.16, such assignment is reasonably expected at the time of such assignment request to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2.19. </w:t>
      </w:r>
      <w:r>
        <w:rPr>
          <w:rFonts w:ascii="Times New Roman" w:cs="Times New Roman" w:eastAsia="Times New Roman" w:hAnsi="Times New Roman"/>
          <w:sz w:val="19"/>
          <w:szCs w:val="19"/>
          <w:color w:val="000000"/>
        </w:rPr>
        <w:t>Defaulting Lenders.</w:t>
      </w:r>
    </w:p>
    <w:p>
      <w:pPr>
        <w:spacing w:after="0" w:line="202" w:lineRule="exact"/>
        <w:rPr>
          <w:sz w:val="20"/>
          <w:szCs w:val="20"/>
          <w:color w:val="auto"/>
        </w:rPr>
      </w:pPr>
    </w:p>
    <w:p>
      <w:pPr>
        <w:ind w:right="220" w:firstLine="1404"/>
        <w:spacing w:after="0" w:line="268" w:lineRule="auto"/>
        <w:rPr>
          <w:sz w:val="20"/>
          <w:szCs w:val="20"/>
          <w:color w:val="auto"/>
        </w:rPr>
      </w:pPr>
      <w:r>
        <w:rPr>
          <w:rFonts w:ascii="Times New Roman" w:cs="Times New Roman" w:eastAsia="Times New Roman" w:hAnsi="Times New Roman"/>
          <w:sz w:val="19"/>
          <w:szCs w:val="19"/>
          <w:color w:val="auto"/>
        </w:rPr>
        <w:t>(a)Defaulting Lender Adjustments. Notwithstanding anything to the contrary contained in this Agreement, if any Lender becomes a Defaulting Lender, then, until such time as such Lender is no longer a Defaulting Lender, to the extent permitted by applicable law:</w:t>
      </w:r>
    </w:p>
    <w:p>
      <w:pPr>
        <w:spacing w:after="0" w:line="144" w:lineRule="exact"/>
        <w:rPr>
          <w:sz w:val="20"/>
          <w:szCs w:val="20"/>
          <w:color w:val="auto"/>
        </w:rPr>
      </w:pPr>
    </w:p>
    <w:p>
      <w:pPr>
        <w:ind w:left="700" w:firstLine="1500"/>
        <w:spacing w:after="0" w:line="252" w:lineRule="auto"/>
        <w:rPr>
          <w:sz w:val="20"/>
          <w:szCs w:val="20"/>
          <w:color w:val="auto"/>
        </w:rPr>
      </w:pPr>
      <w:r>
        <w:rPr>
          <w:rFonts w:ascii="Times New Roman" w:cs="Times New Roman" w:eastAsia="Times New Roman" w:hAnsi="Times New Roman"/>
          <w:sz w:val="19"/>
          <w:szCs w:val="19"/>
          <w:color w:val="auto"/>
        </w:rPr>
        <w:t xml:space="preserve">(i)Defaulting Lender Waterfall. Any payment of principal, interest, fees or other amounts received by Administrative Agent for the account of such Defaulting Lender (whether voluntary or mandatory, at maturity, pursuant to Article VII or otherwise) or received by Administrative Agent from a Defaulting Lender pursuant to Section 9.08 shall be applied at such time or times as may be determined by Administrative Agent as follows: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to the payment of any amounts owing by such Defaulting Lender to Administrative Agent hereunder;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the payment on a pro rata basis of any amounts owing by such Defaulting Lender to any Issuing Bank or any Swingline Lender hereunder; </w:t>
      </w: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xml:space="preserve">, to Cash Collateralize each Issuing Bank’s Fronting Exposure with respect to such Defaulting Lender in the manner described in Section 2.09(a);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the manner described in Section 2.09(a);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xml:space="preserve">, to the payment of any amounts owing to the Lenders, Issuing Banks or Swingline Lenders as a result of any judgment of a court of competent jurisdiction obtained by any Lender, any Issuing Bank or any Swingline Lender against such Defaulting Lender as a result of such Defaulting Lender’s breach of its obligations under this Agreement; </w:t>
      </w:r>
      <w:r>
        <w:rPr>
          <w:rFonts w:ascii="Times New Roman" w:cs="Times New Roman" w:eastAsia="Times New Roman" w:hAnsi="Times New Roman"/>
          <w:sz w:val="19"/>
          <w:szCs w:val="19"/>
          <w:i w:val="1"/>
          <w:iCs w:val="1"/>
          <w:color w:val="auto"/>
        </w:rPr>
        <w:t>seventh</w:t>
      </w:r>
      <w:r>
        <w:rPr>
          <w:rFonts w:ascii="Times New Roman" w:cs="Times New Roman" w:eastAsia="Times New Roman" w:hAnsi="Times New Roman"/>
          <w:sz w:val="19"/>
          <w:szCs w:val="19"/>
          <w:color w:val="auto"/>
        </w:rPr>
        <w:t xml:space="preserve"> ,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 w:cs="Times New Roman" w:eastAsia="Times New Roman" w:hAnsi="Times New Roman"/>
          <w:sz w:val="19"/>
          <w:szCs w:val="19"/>
          <w:i w:val="1"/>
          <w:iCs w:val="1"/>
          <w:color w:val="auto"/>
        </w:rPr>
        <w:t>eighth</w:t>
      </w:r>
      <w:r>
        <w:rPr>
          <w:rFonts w:ascii="Times New Roman" w:cs="Times New Roman" w:eastAsia="Times New Roman" w:hAnsi="Times New Roman"/>
          <w:sz w:val="19"/>
          <w:szCs w:val="19"/>
          <w:color w:val="auto"/>
        </w:rPr>
        <w:t>, to such Defaulting Lender or as otherwise directed by a court of competent jurisdiction; provided that if (x)</w:t>
      </w:r>
    </w:p>
    <w:p>
      <w:pPr>
        <w:spacing w:after="0" w:line="165" w:lineRule="exact"/>
        <w:rPr>
          <w:sz w:val="20"/>
          <w:szCs w:val="20"/>
          <w:color w:val="auto"/>
        </w:rPr>
      </w:pPr>
    </w:p>
    <w:p>
      <w:pPr>
        <w:ind w:left="940" w:hanging="730"/>
        <w:spacing w:after="0"/>
        <w:tabs>
          <w:tab w:leader="none" w:pos="940"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7" w:name="page198"/>
    <w:bookmarkEnd w:id="197"/>
    <w:p>
      <w:pPr>
        <w:spacing w:after="0" w:line="269" w:lineRule="exact"/>
        <w:rPr>
          <w:sz w:val="20"/>
          <w:szCs w:val="20"/>
          <w:color w:val="auto"/>
        </w:rPr>
      </w:pPr>
    </w:p>
    <w:p>
      <w:pPr>
        <w:ind w:left="490" w:right="20"/>
        <w:spacing w:after="0" w:line="254" w:lineRule="auto"/>
        <w:rPr>
          <w:sz w:val="20"/>
          <w:szCs w:val="20"/>
          <w:color w:val="auto"/>
        </w:rPr>
      </w:pPr>
      <w:r>
        <w:rPr>
          <w:rFonts w:ascii="Times New Roman" w:cs="Times New Roman" w:eastAsia="Times New Roman" w:hAnsi="Times New Roman"/>
          <w:sz w:val="19"/>
          <w:szCs w:val="19"/>
          <w:color w:val="auto"/>
        </w:rPr>
        <w:t>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Section 4.02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Section 2.19(a)(iii). Any payments, prepayments or other amounts paid or payable to a Defaulting Lender that are applied (or held) to pay amounts owed by a Defaulting Lender or to post Cash Collateral pursuant to this Section 2.19(a)(i) shall be deemed paid to and redirected by such Defaulting Lender, and each Lender irrevocably consents hereto.</w:t>
      </w:r>
    </w:p>
    <w:p>
      <w:pPr>
        <w:spacing w:after="0" w:line="157" w:lineRule="exact"/>
        <w:rPr>
          <w:sz w:val="20"/>
          <w:szCs w:val="20"/>
          <w:color w:val="auto"/>
        </w:rPr>
      </w:pPr>
    </w:p>
    <w:p>
      <w:pPr>
        <w:ind w:left="1990"/>
        <w:spacing w:after="0"/>
        <w:rPr>
          <w:sz w:val="20"/>
          <w:szCs w:val="20"/>
          <w:color w:val="auto"/>
        </w:rPr>
      </w:pPr>
      <w:r>
        <w:rPr>
          <w:rFonts w:ascii="Times New Roman" w:cs="Times New Roman" w:eastAsia="Times New Roman" w:hAnsi="Times New Roman"/>
          <w:sz w:val="19"/>
          <w:szCs w:val="19"/>
          <w:color w:val="auto"/>
        </w:rPr>
        <w:t>(ii)Certain Fees.</w:t>
      </w:r>
    </w:p>
    <w:p>
      <w:pPr>
        <w:spacing w:after="0" w:line="202" w:lineRule="exact"/>
        <w:rPr>
          <w:sz w:val="20"/>
          <w:szCs w:val="20"/>
          <w:color w:val="auto"/>
        </w:rPr>
      </w:pPr>
    </w:p>
    <w:p>
      <w:pPr>
        <w:ind w:left="1210" w:right="20" w:firstLine="1620"/>
        <w:spacing w:after="0" w:line="257" w:lineRule="auto"/>
        <w:rPr>
          <w:sz w:val="20"/>
          <w:szCs w:val="20"/>
          <w:color w:val="auto"/>
        </w:rPr>
      </w:pPr>
      <w:r>
        <w:rPr>
          <w:rFonts w:ascii="Times New Roman" w:cs="Times New Roman" w:eastAsia="Times New Roman" w:hAnsi="Times New Roman"/>
          <w:sz w:val="19"/>
          <w:szCs w:val="19"/>
          <w:color w:val="auto"/>
        </w:rPr>
        <w:t>(A)No Defaulting Lender shall be entitled to receive any fee pursuant to Sections 2.11(a) and (b) for any period during which that Lender is a Defaulting Lender (and Borrower shall not be required to pay any such fee that otherwise would have been required to have been paid to that Defaulting Lender); provided that such Defaulting Lender shall be entitled to receive fees pursuant to Section 2.11(b) for any period during which that Lender is a Defaulting Lender only to extent allocable to its Applicable Revolving Percentage of the stated amount of Letters of Credit for which it has provided Cash Collateral pursuant to Section 2.19(d).</w:t>
      </w:r>
    </w:p>
    <w:p>
      <w:pPr>
        <w:spacing w:after="0" w:line="157" w:lineRule="exact"/>
        <w:rPr>
          <w:sz w:val="20"/>
          <w:szCs w:val="20"/>
          <w:color w:val="auto"/>
        </w:rPr>
      </w:pPr>
    </w:p>
    <w:p>
      <w:pPr>
        <w:ind w:left="1210" w:firstLine="1620"/>
        <w:spacing w:after="0" w:line="256" w:lineRule="auto"/>
        <w:rPr>
          <w:sz w:val="20"/>
          <w:szCs w:val="20"/>
          <w:color w:val="auto"/>
        </w:rPr>
      </w:pPr>
      <w:r>
        <w:rPr>
          <w:rFonts w:ascii="Times New Roman" w:cs="Times New Roman" w:eastAsia="Times New Roman" w:hAnsi="Times New Roman"/>
          <w:sz w:val="19"/>
          <w:szCs w:val="19"/>
          <w:color w:val="auto"/>
        </w:rPr>
        <w:t>(B)With respect to any Section 2.11(b) fees not required to be paid to any Defaulting Lender pursuant to clause (A) 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(iii) below, (y) pay to each Issuing Bank the amount of any such fee otherwise payable to such Defaulting Lender to the extent allocable to such Issuing Bank’s Fronting Exposure to such Defaulting Lender, and (z) not be required to pay the remaining amount of any such fee.</w:t>
      </w:r>
    </w:p>
    <w:p>
      <w:pPr>
        <w:spacing w:after="0" w:line="157" w:lineRule="exact"/>
        <w:rPr>
          <w:sz w:val="20"/>
          <w:szCs w:val="20"/>
          <w:color w:val="auto"/>
        </w:rPr>
      </w:pPr>
    </w:p>
    <w:p>
      <w:pPr>
        <w:ind w:left="490" w:right="40" w:firstLine="1500"/>
        <w:spacing w:after="0" w:line="256" w:lineRule="auto"/>
        <w:rPr>
          <w:sz w:val="20"/>
          <w:szCs w:val="20"/>
          <w:color w:val="auto"/>
        </w:rPr>
      </w:pPr>
      <w:r>
        <w:rPr>
          <w:rFonts w:ascii="Times New Roman" w:cs="Times New Roman" w:eastAsia="Times New Roman" w:hAnsi="Times New Roman"/>
          <w:sz w:val="19"/>
          <w:szCs w:val="19"/>
          <w:color w:val="auto"/>
        </w:rPr>
        <w:t>(iii)Reallocation of Participations to Reduce Fronting Exposure.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Section 4.02 are satisfied at the time of such reallocation (and, unless Borrower shall have otherwise notified Administrative Agent at such time,</w:t>
      </w:r>
    </w:p>
    <w:p>
      <w:pPr>
        <w:spacing w:after="0" w:line="155" w:lineRule="exact"/>
        <w:rPr>
          <w:sz w:val="20"/>
          <w:szCs w:val="20"/>
          <w:color w:val="auto"/>
        </w:rPr>
      </w:pPr>
    </w:p>
    <w:p>
      <w:pPr>
        <w:ind w:left="730" w:hanging="730"/>
        <w:spacing w:after="0"/>
        <w:tabs>
          <w:tab w:leader="none" w:pos="730"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672465</wp:posOffset>
            </wp:positionV>
            <wp:extent cx="673290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90"/>
          </w:cols>
          <w:pgMar w:left="870" w:top="1440" w:right="640" w:bottom="1440" w:gutter="0" w:footer="0" w:header="0"/>
        </w:sectPr>
      </w:pPr>
    </w:p>
    <w:bookmarkStart w:id="198" w:name="page199"/>
    <w:bookmarkEnd w:id="198"/>
    <w:p>
      <w:pPr>
        <w:spacing w:after="0" w:line="269" w:lineRule="exact"/>
        <w:rPr>
          <w:sz w:val="20"/>
          <w:szCs w:val="20"/>
          <w:color w:val="auto"/>
        </w:rPr>
      </w:pPr>
    </w:p>
    <w:p>
      <w:pPr>
        <w:ind w:left="700" w:right="40"/>
        <w:spacing w:after="0" w:line="257" w:lineRule="auto"/>
        <w:rPr>
          <w:sz w:val="20"/>
          <w:szCs w:val="20"/>
          <w:color w:val="auto"/>
        </w:rPr>
      </w:pPr>
      <w:r>
        <w:rPr>
          <w:rFonts w:ascii="Times New Roman" w:cs="Times New Roman" w:eastAsia="Times New Roman" w:hAnsi="Times New Roman"/>
          <w:sz w:val="19"/>
          <w:szCs w:val="19"/>
          <w:color w:val="auto"/>
        </w:rPr>
        <w:t>Borrower shall be deemed to have represented and warranted that such conditions are satisfied at such time), and (y) such reallocation does not cause the aggregate Revolving Credit Exposure of any Non-Defaulting Lender to exceed such Non-Defaulting Lender’s Commitment. Subject to Section 9.15,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57" w:lineRule="exact"/>
        <w:rPr>
          <w:sz w:val="20"/>
          <w:szCs w:val="20"/>
          <w:color w:val="auto"/>
        </w:rPr>
      </w:pPr>
    </w:p>
    <w:p>
      <w:pPr>
        <w:ind w:left="700" w:right="80" w:firstLine="1500"/>
        <w:spacing w:after="0" w:line="254" w:lineRule="auto"/>
        <w:rPr>
          <w:sz w:val="20"/>
          <w:szCs w:val="20"/>
          <w:color w:val="auto"/>
        </w:rPr>
      </w:pPr>
      <w:r>
        <w:rPr>
          <w:rFonts w:ascii="Times New Roman" w:cs="Times New Roman" w:eastAsia="Times New Roman" w:hAnsi="Times New Roman"/>
          <w:sz w:val="19"/>
          <w:szCs w:val="19"/>
          <w:color w:val="auto"/>
        </w:rPr>
        <w:t>(iv)Cash Collateral; Repayment of Swingline Loans. If the reallocation described in clause (iii) above cannot, or can only partially, be effected, the Borrower shall not later than two (2) Business Days after demand by the Administrative Agent (at the direction of any Issuing Bank and/or any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each Issuing Bank’s Fronting Exposure in accordance with the procedures set forth in Section 2.19(d) or (z) make other arrangements reasonably satisfactory to the Administrative Agent, the Issuing Banks and the Swingline Lenders in their sole discretion to protect them against the risk of non-payment by such Defaulting Lender.</w:t>
      </w:r>
    </w:p>
    <w:p>
      <w:pPr>
        <w:spacing w:after="0" w:line="160" w:lineRule="exact"/>
        <w:rPr>
          <w:sz w:val="20"/>
          <w:szCs w:val="20"/>
          <w:color w:val="auto"/>
        </w:rPr>
      </w:pPr>
    </w:p>
    <w:p>
      <w:pPr>
        <w:ind w:left="700" w:right="120" w:firstLine="1500"/>
        <w:spacing w:after="0" w:line="255" w:lineRule="auto"/>
        <w:rPr>
          <w:sz w:val="20"/>
          <w:szCs w:val="20"/>
          <w:color w:val="auto"/>
        </w:rPr>
      </w:pPr>
      <w:r>
        <w:rPr>
          <w:rFonts w:ascii="Times New Roman" w:cs="Times New Roman" w:eastAsia="Times New Roman" w:hAnsi="Times New Roman"/>
          <w:sz w:val="19"/>
          <w:szCs w:val="19"/>
          <w:color w:val="auto"/>
        </w:rPr>
        <w:t>(v)Amendments Etc. No Defaulting Lender shall have any right to approve or disapprove any amendment, waiver or consent hereunder or any other Loan Documents and the Commitments and Revolving Credit Exposure of such Defaulting Lender shall not be included in determining whether two- thirds (2/3rds) of the Lenders, two-thirds (2/3rds) of the Lenders of a Class, the Required Lenders or the Required Lenders of a Class have taken or may take any action hereunder or any other Loan Documents, except that the Commitments of such Lender may not be increased or extended, and, except as otherwise set forth herein, amounts payable to such Defaulting Lender hereunder may not be permanently reduced, without the consent of such Defaulting Lender (other than reductions in fees and interest in which such reduction does not disproportionately affect such Defaulting Lender); provided, for the avoidance of doubt, Section 2.19(a)(ii) shall apply in all respects.</w:t>
      </w:r>
    </w:p>
    <w:p>
      <w:pPr>
        <w:spacing w:after="0" w:line="155"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(b)Defaulting Lender Cure. If the Borrower, the Administrative Agent, the Swingline Lenders and the Issuing Banks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Section 2.19(a)(iii)), and if Cash Collateral has been posted with respect to such Defaulting Lender, the</w:t>
      </w:r>
    </w:p>
    <w:p>
      <w:pPr>
        <w:spacing w:after="0" w:line="158" w:lineRule="exact"/>
        <w:rPr>
          <w:sz w:val="20"/>
          <w:szCs w:val="20"/>
          <w:color w:val="auto"/>
        </w:rPr>
      </w:pPr>
    </w:p>
    <w:p>
      <w:pPr>
        <w:ind w:left="940" w:hanging="730"/>
        <w:spacing w:after="0"/>
        <w:tabs>
          <w:tab w:leader="none" w:pos="94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9" w:name="page200"/>
    <w:bookmarkEnd w:id="199"/>
    <w:p>
      <w:pPr>
        <w:spacing w:after="0" w:line="26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auto"/>
        </w:rPr>
        <w:t>Administrative Agent will promptly return or release such Cash Collateral to the Borrower, whereupon such Lender will cease to be a Defaulting Lender; provided that no adjustments will be made retroactively with respect to fees accrued or payments made by or on behalf of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54"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(c)New Swingline Loans/Letters of Credit. So long as any Lender is a Defaulting Lender, (i) no Swingline Lender shall be required to fund any Swingline Loans unless it is satisfied that the participations therein will be fully allocated among Non-Defaulting Lenders in a manner consistent with clause (a)(iii) above and the Defaulting Lender shall not participate therein and (ii) no Issuing Bank shall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clause (a)(iii) above and such Defaulting Lender shall not participate therein except to the extent such Defaulting Lender’s participation has been or will be fully Cash Collateralized in accordance with Section 2.19(d).</w:t>
      </w:r>
    </w:p>
    <w:p>
      <w:pPr>
        <w:spacing w:after="0" w:line="157" w:lineRule="exact"/>
        <w:rPr>
          <w:sz w:val="20"/>
          <w:szCs w:val="20"/>
          <w:color w:val="auto"/>
        </w:rPr>
      </w:pPr>
    </w:p>
    <w:p>
      <w:pPr>
        <w:ind w:right="100" w:firstLine="1404"/>
        <w:spacing w:after="0" w:line="262" w:lineRule="auto"/>
        <w:rPr>
          <w:sz w:val="20"/>
          <w:szCs w:val="20"/>
          <w:color w:val="auto"/>
        </w:rPr>
      </w:pPr>
      <w:r>
        <w:rPr>
          <w:rFonts w:ascii="Times New Roman" w:cs="Times New Roman" w:eastAsia="Times New Roman" w:hAnsi="Times New Roman"/>
          <w:sz w:val="19"/>
          <w:szCs w:val="19"/>
          <w:color w:val="auto"/>
        </w:rPr>
        <w:t>(d)Cash Collateral. At any time that there shall exist a Defaulting Lender, promptly following the written request of Administrative Agent or any Issuing Bank (with a copy to Administrative Agent) Borrower shall Cash Collateralize each Issuing Bank’s Fronting Exposure with respect to such Defaulting Lender (determined after giving effect to Section 2.19(a)(iii) and any Cash Collateral provided by such Defaulting Lender) in an amount not less than the Minimum Collateral Amount.</w:t>
      </w:r>
    </w:p>
    <w:p>
      <w:pPr>
        <w:spacing w:after="0" w:line="150" w:lineRule="exact"/>
        <w:rPr>
          <w:sz w:val="20"/>
          <w:szCs w:val="20"/>
          <w:color w:val="auto"/>
        </w:rPr>
      </w:pPr>
    </w:p>
    <w:p>
      <w:pPr>
        <w:ind w:left="700" w:right="180" w:firstLine="1500"/>
        <w:spacing w:after="0" w:line="253" w:lineRule="auto"/>
        <w:rPr>
          <w:sz w:val="20"/>
          <w:szCs w:val="20"/>
          <w:color w:val="auto"/>
        </w:rPr>
      </w:pPr>
      <w:r>
        <w:rPr>
          <w:rFonts w:ascii="Times New Roman" w:cs="Times New Roman" w:eastAsia="Times New Roman" w:hAnsi="Times New Roman"/>
          <w:sz w:val="19"/>
          <w:szCs w:val="19"/>
          <w:color w:val="auto"/>
        </w:rPr>
        <w:t>(i)Grant of Security Interest. Borrower, and to the extent provided by any Defaulting Lender, such Defaulting Lender, hereby grants to (and subjects to the control of) Administrative Agent, for the benefit of the Issuing Banks, and agrees to maintain, a first priority security interest in all such Cash Collateral as security for the Defaulting Lenders’ obligation to fund participations in respect of Letters of Credit, to be applied pursuant to clause (ii) below. If at any time Administrative Agent determines that Cash Collateral is subject to any right or claim of any Person other than Administrative Agent and the Issuing Banks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Truist. Borrower shall pay on demand therefor from time to time all reasonable and customary account opening, activity and other administrative fees and charges in connection with the maintenance and disbursement of Cash Collateral.</w:t>
      </w:r>
    </w:p>
    <w:p>
      <w:pPr>
        <w:spacing w:after="0" w:line="165" w:lineRule="exact"/>
        <w:rPr>
          <w:sz w:val="20"/>
          <w:szCs w:val="20"/>
          <w:color w:val="auto"/>
        </w:rPr>
      </w:pPr>
    </w:p>
    <w:p>
      <w:pPr>
        <w:ind w:left="700" w:right="340" w:firstLine="1500"/>
        <w:spacing w:after="0" w:line="268" w:lineRule="auto"/>
        <w:rPr>
          <w:sz w:val="20"/>
          <w:szCs w:val="20"/>
          <w:color w:val="auto"/>
        </w:rPr>
      </w:pPr>
      <w:r>
        <w:rPr>
          <w:rFonts w:ascii="Times New Roman" w:cs="Times New Roman" w:eastAsia="Times New Roman" w:hAnsi="Times New Roman"/>
          <w:sz w:val="19"/>
          <w:szCs w:val="19"/>
          <w:color w:val="auto"/>
        </w:rPr>
        <w:t>(ii)Application. Notwithstanding anything to the contrary contained in this Agreement, Cash Collateral provided under this Section 2.19 in respect of Letters of Credit shall be applied to the satisfaction of the Defaulting Lender’s obligation to fund</w:t>
      </w:r>
    </w:p>
    <w:p>
      <w:pPr>
        <w:spacing w:after="0" w:line="142" w:lineRule="exact"/>
        <w:rPr>
          <w:sz w:val="20"/>
          <w:szCs w:val="20"/>
          <w:color w:val="auto"/>
        </w:rPr>
      </w:pPr>
    </w:p>
    <w:p>
      <w:pPr>
        <w:ind w:left="940" w:hanging="730"/>
        <w:spacing w:after="0"/>
        <w:tabs>
          <w:tab w:leader="none" w:pos="940"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0" w:name="page201"/>
    <w:bookmarkEnd w:id="200"/>
    <w:p>
      <w:pPr>
        <w:spacing w:after="0" w:line="269" w:lineRule="exact"/>
        <w:rPr>
          <w:sz w:val="20"/>
          <w:szCs w:val="20"/>
          <w:color w:val="auto"/>
        </w:rPr>
      </w:pPr>
    </w:p>
    <w:p>
      <w:pPr>
        <w:ind w:left="700" w:right="300"/>
        <w:spacing w:after="0" w:line="268" w:lineRule="auto"/>
        <w:rPr>
          <w:sz w:val="20"/>
          <w:szCs w:val="20"/>
          <w:color w:val="auto"/>
        </w:rPr>
      </w:pPr>
      <w:r>
        <w:rPr>
          <w:rFonts w:ascii="Times New Roman" w:cs="Times New Roman" w:eastAsia="Times New Roman" w:hAnsi="Times New Roman"/>
          <w:sz w:val="19"/>
          <w:szCs w:val="19"/>
          <w:color w:val="auto"/>
        </w:rPr>
        <w:t>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144" w:lineRule="exact"/>
        <w:rPr>
          <w:sz w:val="20"/>
          <w:szCs w:val="20"/>
          <w:color w:val="auto"/>
        </w:rPr>
      </w:pPr>
    </w:p>
    <w:p>
      <w:pPr>
        <w:ind w:left="700" w:right="120" w:firstLine="1500"/>
        <w:spacing w:after="0" w:line="255" w:lineRule="auto"/>
        <w:rPr>
          <w:sz w:val="20"/>
          <w:szCs w:val="20"/>
          <w:color w:val="auto"/>
        </w:rPr>
      </w:pPr>
      <w:r>
        <w:rPr>
          <w:rFonts w:ascii="Times New Roman" w:cs="Times New Roman" w:eastAsia="Times New Roman" w:hAnsi="Times New Roman"/>
          <w:sz w:val="19"/>
          <w:szCs w:val="19"/>
          <w:color w:val="auto"/>
        </w:rPr>
        <w:t>(iii)Termination of Requirement. Cash Collateral (or the appropriate portion thereof) provided to reduce Issuing Bank’s Fronting Exposure shall no longer be required to be held as Cash Collateral pursuant to this Section 2.19 following (i) the elimination of the applicable Fronting Exposure (including by the termination of Defaulting Lender status of the applicable Lender) or (ii) the determination by Administrative Agent and the Issuing Banks that there exists excess Cash Collateral; provided that, subject to the other provisions of this Section 2.19, the Person providing Cash Collateral and each Issuing Bank may agree that Cash Collateral shall be held to support future anticipated Fronting Exposure; provided, further, that to the extent that such Cash Collateral was provided by Borrower, such Cash Collateral shall remain subject to the security interest granted pursuant to the Loan Documents.</w:t>
      </w:r>
    </w:p>
    <w:p>
      <w:pPr>
        <w:spacing w:after="0" w:line="160"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0000FF"/>
        </w:rPr>
        <w:t>SECTION 2.20.</w:t>
      </w:r>
      <w:r>
        <w:rPr>
          <w:rFonts w:ascii="Times New Roman" w:cs="Times New Roman" w:eastAsia="Times New Roman" w:hAnsi="Times New Roman"/>
          <w:sz w:val="19"/>
          <w:szCs w:val="19"/>
          <w:color w:val="000000"/>
        </w:rPr>
        <w:t>Illegality. If any Change in Law shall make it unlawful or impossible for any Lender to perform any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its obligations hereunder, to make, maintain or fund any RFR Loan or Term Benchmark Loan or to determine or charge interest rates based upon any applicable Daily Simple RFR or Term Benchmark Rate and such Lender shall so notify the Administrative Agent, the Administrative Agent shall give written notice thereof (or telephonic notice, promptly confirmed in writing) to the Borrower and the other Lenders as promptly as practicable thereafter, whereupon until such Lender notifies the Administrative Agent and the Borrower that the circumstances giving rise to such notice no longer exist, (i) the Alternate Base Rate shall, if necessary to avoid such illegality, be determined by the Administrative Agent without reference to clause (iii) thereof, (ii)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either (A) at the end of the applicable Interest Period if such Lender may lawfully continue to maintain such Loan to such date or (B) immediately if such Lender shall determine that it may not lawfully continue to maintain such Term Benchmark Loan to such date, (iii) if the affected Currency is Dollars and any Borrowing Request requests a Term Benchmark Borrowing denominated in Dollars, such Borrowing shall be made as an ABR Borrowing, (iv)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shall be</w:t>
      </w:r>
    </w:p>
    <w:p>
      <w:pPr>
        <w:spacing w:after="0" w:line="161" w:lineRule="exact"/>
        <w:rPr>
          <w:sz w:val="20"/>
          <w:szCs w:val="20"/>
          <w:color w:val="auto"/>
        </w:rPr>
      </w:pPr>
    </w:p>
    <w:p>
      <w:pPr>
        <w:ind w:left="940" w:hanging="730"/>
        <w:spacing w:after="0"/>
        <w:tabs>
          <w:tab w:leader="none" w:pos="940"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1" w:name="page202"/>
    <w:bookmarkEnd w:id="201"/>
    <w:p>
      <w:pPr>
        <w:spacing w:after="0" w:line="2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converted into an ABR Borrowing denominated in Dollars (in an amount equal to the Dollar Equivalent of such affected Currency)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(2) be converted into an ABR Borrowing denominated in Dollars (in an amount equal to the Dollar Equivalent of such affected Currency)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or (3) be prepaid in full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and (v) if the affected Currency is Canadian Dollars, (A) any Borrowing Request that requests a Term Benchmark Borrowing denominated in Canadian Dollars shall be made as a Term Benchmark Borrowing with a Term Benchmark Rate equal to the Canadian Prime Rate; provided, that if the Administrative Agent determines (which determination shall be conclusive and binding absent manifest error) that the Canadian Prime Rate cannot be determined, such Borrowing Request shall be ineffective, and</w:t>
      </w:r>
    </w:p>
    <w:p>
      <w:pPr>
        <w:spacing w:after="0" w:line="3" w:lineRule="exact"/>
        <w:rPr>
          <w:sz w:val="20"/>
          <w:szCs w:val="20"/>
          <w:color w:val="auto"/>
        </w:rPr>
      </w:pPr>
    </w:p>
    <w:p>
      <w:pPr>
        <w:ind w:right="20" w:firstLine="6"/>
        <w:spacing w:after="0" w:line="251" w:lineRule="auto"/>
        <w:tabs>
          <w:tab w:leader="none" w:pos="304"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outstanding Term Benchmark Borrowing in Canadian Dollars, at the Borrower’s election, shall either (1) be converted to a Term Benchmark Borrowing denominated in Canadian Dollars with a Term Benchmark Rate equal to the Canadian Prime Rate at the end of applicable Interest Period; provided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either (x) at the end of the applicable Interest Period if such Lender may lawfully continue to maintain such Loan to such date or (y) immediately if such Lender shall determine that it may not lawfully continue to maintain such Term Benchmark Loan to such date, (2) be converted into an ABR Borrowing denominated in Dollars (in an amount equal to the Dollar Equivalent of such affected Currency) either (x) at the end of the applicable Interest Period if such Lender may lawfully continue to maintain such Loan to such date or (y) immediately if such Lender shall determine that it may not lawfully continue to maintain such Term Benchmark Loan to such date, or (3) be prepaid in full at the end of the applicable Interest Period; provided that if no election is made by the Borrower by the date that is three (3) Business Days after receipt by the Borrower of such notice or, in the case of a Term Benchmark Borrowing, the last day of the current Interest Period for the applicable Term Benchmark Loan, if earlier, the Borrower shall be deemed to have elected clause (iv)(B)(1) or (v)(B)(1) above, as applicable. Notwithstanding the foregoing, the affected Lender shall, prior to giving such notice to the Administrative Agent, use reasonable efforts to designate a different lending office if such designation would avoid the need for giving such notice and if such designation would not otherwise be disadvantageous to such Lender in the good faith exercise of its discretion. Upon any such prepayment or conversion, the Borrower shall also pay accrued interest on the amount so prepaid or converted, together with any additional amounts required pursuant to Section 2.15.</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SECTION 2.21.</w:t>
      </w:r>
      <w:r>
        <w:rPr>
          <w:rFonts w:ascii="Times New Roman" w:cs="Times New Roman" w:eastAsia="Times New Roman" w:hAnsi="Times New Roman"/>
          <w:sz w:val="19"/>
          <w:szCs w:val="19"/>
          <w:color w:val="000000"/>
        </w:rPr>
        <w:t>Effect of Benchmark Transition Event.</w:t>
      </w:r>
    </w:p>
    <w:p>
      <w:pPr>
        <w:spacing w:after="0" w:line="200" w:lineRule="exact"/>
        <w:rPr>
          <w:sz w:val="20"/>
          <w:szCs w:val="20"/>
          <w:color w:val="auto"/>
        </w:rPr>
      </w:pPr>
    </w:p>
    <w:p>
      <w:pPr>
        <w:ind w:left="940" w:hanging="730"/>
        <w:spacing w:after="0"/>
        <w:tabs>
          <w:tab w:leader="none" w:pos="94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2" w:name="page203"/>
    <w:bookmarkEnd w:id="202"/>
    <w:p>
      <w:pPr>
        <w:spacing w:after="0" w:line="269"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auto"/>
        </w:rPr>
        <w:t>(a)Benchmark Replacement. Notwithstanding anything to the contrary herein or in any other Loan Document, if a Benchmark Transition Event or an Other Benchmark Rate Election and its related Benchmark Replacement Date have occurred prior to any setting of the then-current Benchmark for a Currency, then (x) if a Benchmark Replacement for the Term SOFR Reference Rate is determined in accordance with clause (1) of the definition of “Benchmark Replacement” for such Benchmark Replacement Date, 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such Currency for all purposes hereunder and under any other Loan Document in respect of any Benchmark setting at or after 5:00 p.m. (New York City time) on the fifth (5th) Business Day after the date notice of such Benchmark Replacement is provided to the Lenders (which, in the case of a Benchmark Replacement in connection with an Other Benchmark Rate Election, may be delivered on the same day that notice of such Other Benchmark Rate Election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(x) in the case of a Benchmark Replacement for Dollars, the Required Lenders, and, (y) in the case of a Benchmark Replacement for any Foreign Currency, the Required Multicurrency Lenders. If the Benchmark Replacement is Daily Simple SOFR, all interest payments will be payable on a quarterly basis.</w:t>
      </w:r>
    </w:p>
    <w:p>
      <w:pPr>
        <w:spacing w:after="0" w:line="399" w:lineRule="exact"/>
        <w:rPr>
          <w:sz w:val="20"/>
          <w:szCs w:val="20"/>
          <w:color w:val="auto"/>
        </w:rPr>
      </w:pPr>
    </w:p>
    <w:p>
      <w:pPr>
        <w:ind w:right="20" w:firstLine="1404"/>
        <w:spacing w:after="0" w:line="259" w:lineRule="auto"/>
        <w:rPr>
          <w:sz w:val="20"/>
          <w:szCs w:val="20"/>
          <w:color w:val="auto"/>
        </w:rPr>
      </w:pPr>
      <w:r>
        <w:rPr>
          <w:rFonts w:ascii="Times New Roman" w:cs="Times New Roman" w:eastAsia="Times New Roman" w:hAnsi="Times New Roman"/>
          <w:sz w:val="19"/>
          <w:szCs w:val="19"/>
          <w:color w:val="auto"/>
        </w:rPr>
        <w:t>(b)Benchmark Replacement Conforming Changes. In connection with the use, administration, adoption or implementation of a Benchmark Replacement, the Administrative Agent (after consulting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54"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(c)Notices; Standards for Decisions and Determinations.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clause (d) below and (y) the commencement of any Benchmark Unavailability Period. Any determination, decision or election that may be made by the Administrative Agent or, if applicable, any Lender (or group of Lenders) pursuant to this Section 2.21,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2.21.</w:t>
      </w:r>
    </w:p>
    <w:p>
      <w:pPr>
        <w:spacing w:after="0" w:line="159" w:lineRule="exact"/>
        <w:rPr>
          <w:sz w:val="20"/>
          <w:szCs w:val="20"/>
          <w:color w:val="auto"/>
        </w:rPr>
      </w:pPr>
    </w:p>
    <w:p>
      <w:pPr>
        <w:ind w:left="940" w:hanging="730"/>
        <w:spacing w:after="0"/>
        <w:tabs>
          <w:tab w:leader="none" w:pos="940"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03" w:name="page204"/>
    <w:bookmarkEnd w:id="203"/>
    <w:p>
      <w:pPr>
        <w:spacing w:after="0" w:line="269" w:lineRule="exact"/>
        <w:rPr>
          <w:sz w:val="20"/>
          <w:szCs w:val="20"/>
          <w:color w:val="auto"/>
        </w:rPr>
      </w:pPr>
    </w:p>
    <w:p>
      <w:pPr>
        <w:ind w:right="20" w:firstLine="1404"/>
        <w:spacing w:after="0" w:line="253" w:lineRule="auto"/>
        <w:rPr>
          <w:sz w:val="20"/>
          <w:szCs w:val="20"/>
          <w:color w:val="auto"/>
        </w:rPr>
      </w:pPr>
      <w:r>
        <w:rPr>
          <w:rFonts w:ascii="Times New Roman" w:cs="Times New Roman" w:eastAsia="Times New Roman" w:hAnsi="Times New Roman"/>
          <w:sz w:val="19"/>
          <w:szCs w:val="19"/>
          <w:color w:val="auto"/>
        </w:rPr>
        <w:t>(d)Unavailability of Tenor of Benchmark. Notwithstanding anything to the contrary herein or in any other Loan Document, at any time (including in connection with the implementation of a Benchmark Replacement), (i) if the then-current Benchmark for a Currency is a term rate (including the Term SOFR Reference Rate, the Term CORRA Reference Rate or the applicable Adjusted Term Benchmark Rate) and either (A) any tenor for such Benchmark for such Currency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for such Currency is not or will not be representative, then the Administrative Agent may modify the definition of “Interest Period” (or any similar or analogous definition) for any Benchmark settings for such Currency at or after such time to remove such unavailable or non- representative tenor and (ii) if a tenor that was removed pursuant to clause (i) above either (A) is subsequently displayed on a screen or information service for a Benchmark for such Currency (including a Benchmark Replacement) or (B) is not, or is no longer, subject to an announcement that it is not or will not be representative for a Benchmark for such Currency (including a Benchmark Replacement), then the Administrative Agent may modify the definition of “Interest Period” (or any similar or analogous definition) for all Benchmark settings for such Currency at or after such time to reinstate such previously removed tenor.</w:t>
      </w:r>
    </w:p>
    <w:p>
      <w:pPr>
        <w:spacing w:after="0" w:line="161"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auto"/>
        </w:rPr>
        <w:t>(e)Benchmark Unavailability Period. Upon the Borrower’s receipt of notice of the commencement of a Benchmark Unavailability Period, the Borrower may revoke any pending request for a Term Benchmark Borrowing or RFR Borrowing of, conversion to or continuation of Term Benchmark Loans or RFR Loans in each affected Currency to be made, converted or continued during any Benchmark Unavailability Period and, failing that, (i)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at the end of the applicable Interest Period, (ii) if the affected Currency is Dollars and any Borrowing Request requests a Term Benchmark Borrowing denominated in Dollars, such Borrowing shall be made as an ABR Borrowing, (iii)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an ABR Borrowing denominated in Dollars (in an amount</w:t>
      </w:r>
    </w:p>
    <w:p>
      <w:pPr>
        <w:spacing w:after="0" w:line="393" w:lineRule="exact"/>
        <w:rPr>
          <w:sz w:val="20"/>
          <w:szCs w:val="20"/>
          <w:color w:val="auto"/>
        </w:rPr>
      </w:pPr>
    </w:p>
    <w:p>
      <w:pPr>
        <w:ind w:left="940" w:hanging="730"/>
        <w:spacing w:after="0"/>
        <w:tabs>
          <w:tab w:leader="none" w:pos="94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04" w:name="page205"/>
    <w:bookmarkEnd w:id="204"/>
    <w:p>
      <w:pPr>
        <w:spacing w:after="0" w:line="26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provided,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provided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 the applicable Interest Period, (2) be converted into an ABR Borrowing denominated in Dollars (in an amount equal to the Dollar Equivalent of such affected Currency) at the end of the applicable Interest Period, or (3) be prepaid in full at the end of the applicable Interest Period; provided that, if no election is made by the Borrower by the date that is three Business Days after receipt by the Borrower of such notice or, in the case of a Term Benchmark Borrowing, the last day of the current Interest Period for the applicable Term Benchmark Loan, if earlier, the Borrower shall be deemed to have elected clause (iii)(B)(1) or (iv)(B)(1) above, as applicable.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ARTICLE III</w:t>
      </w:r>
    </w:p>
    <w:p>
      <w:pPr>
        <w:spacing w:after="0" w:line="238" w:lineRule="exact"/>
        <w:rPr>
          <w:sz w:val="20"/>
          <w:szCs w:val="20"/>
          <w:color w:val="auto"/>
        </w:rPr>
      </w:pPr>
    </w:p>
    <w:p>
      <w:pPr>
        <w:ind w:left="1420" w:right="3500" w:firstLine="2101"/>
        <w:spacing w:after="0" w:line="461" w:lineRule="auto"/>
        <w:rPr>
          <w:sz w:val="20"/>
          <w:szCs w:val="20"/>
          <w:color w:val="auto"/>
        </w:rPr>
      </w:pPr>
      <w:r>
        <w:rPr>
          <w:rFonts w:ascii="Times New Roman" w:cs="Times New Roman" w:eastAsia="Times New Roman" w:hAnsi="Times New Roman"/>
          <w:sz w:val="19"/>
          <w:szCs w:val="19"/>
          <w:color w:val="auto"/>
        </w:rPr>
        <w:t>REPRESENTATIONS AND WARRANTIES The Borrower represents and warrants to the Lenders that:</w:t>
      </w:r>
    </w:p>
    <w:p>
      <w:pPr>
        <w:spacing w:after="0" w:line="1"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0000FF"/>
        </w:rPr>
        <w:t xml:space="preserve">SECTION 3.01. </w:t>
      </w:r>
      <w:r>
        <w:rPr>
          <w:rFonts w:ascii="Times New Roman" w:cs="Times New Roman" w:eastAsia="Times New Roman" w:hAnsi="Times New Roman"/>
          <w:sz w:val="19"/>
          <w:szCs w:val="19"/>
          <w:color w:val="000000"/>
        </w:rPr>
        <w:t>Organization; Powers. Each of the Borrower and its Subsidiaries is (a) duly organized, validly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existing and in good standing under the laws of the jurisdiction of its organization, (b) has all requisite power and authority to carry on its business as now conducted and, (c) is qualified to do business in, and is in good standing in, every jurisdiction where such qualification is required of the Borrower or such Subsidiary, as applicable, except where the failure to comply with this clause (c) would not reasonably be expected to result in a Material Adverse Effect.</w:t>
      </w:r>
    </w:p>
    <w:p>
      <w:pPr>
        <w:spacing w:after="0" w:line="154"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0000FF"/>
        </w:rPr>
        <w:t xml:space="preserve">SECTION 3.02. </w:t>
      </w:r>
      <w:r>
        <w:rPr>
          <w:rFonts w:ascii="Times New Roman" w:cs="Times New Roman" w:eastAsia="Times New Roman" w:hAnsi="Times New Roman"/>
          <w:sz w:val="19"/>
          <w:szCs w:val="19"/>
          <w:color w:val="000000"/>
        </w:rPr>
        <w:t>Authorization; Enforceability. The Transactions are within the Borrower’s corporate powers and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w:t>
      </w:r>
    </w:p>
    <w:p>
      <w:pPr>
        <w:spacing w:after="0" w:line="152" w:lineRule="exact"/>
        <w:rPr>
          <w:sz w:val="20"/>
          <w:szCs w:val="20"/>
          <w:color w:val="auto"/>
        </w:rPr>
      </w:pPr>
    </w:p>
    <w:p>
      <w:pPr>
        <w:ind w:left="940" w:hanging="730"/>
        <w:spacing w:after="0"/>
        <w:tabs>
          <w:tab w:leader="none" w:pos="94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5" w:name="page206"/>
    <w:bookmarkEnd w:id="205"/>
    <w:p>
      <w:pPr>
        <w:spacing w:after="0" w:line="26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9"/>
          <w:szCs w:val="19"/>
          <w:color w:val="auto"/>
        </w:rPr>
        <w:t>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44" w:lineRule="exact"/>
        <w:rPr>
          <w:sz w:val="20"/>
          <w:szCs w:val="20"/>
          <w:color w:val="auto"/>
        </w:rPr>
      </w:pPr>
    </w:p>
    <w:p>
      <w:pPr>
        <w:ind w:right="40" w:firstLine="1404"/>
        <w:spacing w:after="0" w:line="255" w:lineRule="auto"/>
        <w:rPr>
          <w:sz w:val="20"/>
          <w:szCs w:val="20"/>
          <w:color w:val="auto"/>
        </w:rPr>
      </w:pPr>
      <w:r>
        <w:rPr>
          <w:rFonts w:ascii="Times New Roman" w:cs="Times New Roman" w:eastAsia="Times New Roman" w:hAnsi="Times New Roman"/>
          <w:sz w:val="19"/>
          <w:szCs w:val="19"/>
          <w:color w:val="0000FF"/>
        </w:rPr>
        <w:t xml:space="preserve">SECTION 3.03. </w:t>
      </w:r>
      <w:r>
        <w:rPr>
          <w:rFonts w:ascii="Times New Roman" w:cs="Times New Roman" w:eastAsia="Times New Roman" w:hAnsi="Times New Roman"/>
          <w:sz w:val="19"/>
          <w:szCs w:val="19"/>
          <w:color w:val="000000"/>
        </w:rPr>
        <w:t>Governmental Approvals; No Conflicts. The Transactions (a) do not require any consent or approval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of, registration or filing with, or any other action by, any Governmental Authority, except for (i) such as have been or will be obtained or made and are or will be in full force and effect and (ii) filings and recordings in respect of the Liens created pursuant to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in each case, except as would not reasonably be expected to have a Material Adverse Effect, and (d) except for the Liens created pursuant to this Agreement or the Security Documents, will not result in the creation or imposition of any Lien on any asset of the Borrower or any Obligor.</w:t>
      </w:r>
    </w:p>
    <w:p>
      <w:pPr>
        <w:spacing w:after="0" w:line="15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3.04. </w:t>
      </w:r>
      <w:r>
        <w:rPr>
          <w:rFonts w:ascii="Times New Roman" w:cs="Times New Roman" w:eastAsia="Times New Roman" w:hAnsi="Times New Roman"/>
          <w:sz w:val="19"/>
          <w:szCs w:val="19"/>
          <w:color w:val="000000"/>
        </w:rPr>
        <w:t>Financial Condition; No Material Adverse Change.</w:t>
      </w:r>
    </w:p>
    <w:p>
      <w:pPr>
        <w:spacing w:after="0" w:line="202" w:lineRule="exact"/>
        <w:rPr>
          <w:sz w:val="20"/>
          <w:szCs w:val="20"/>
          <w:color w:val="auto"/>
        </w:rPr>
      </w:pPr>
    </w:p>
    <w:p>
      <w:pPr>
        <w:ind w:right="200" w:firstLine="1404"/>
        <w:spacing w:after="0" w:line="259" w:lineRule="auto"/>
        <w:rPr>
          <w:sz w:val="20"/>
          <w:szCs w:val="20"/>
          <w:color w:val="auto"/>
        </w:rPr>
      </w:pPr>
      <w:r>
        <w:rPr>
          <w:rFonts w:ascii="Times New Roman" w:cs="Times New Roman" w:eastAsia="Times New Roman" w:hAnsi="Times New Roman"/>
          <w:sz w:val="19"/>
          <w:szCs w:val="19"/>
          <w:color w:val="auto"/>
        </w:rPr>
        <w:t>(a)Financial Statements. The Borrower has heretofore delivered to the Lenders the unaudited consolidated balance sheet and statement of operations, changes in net assets and cash flows of the Borrower and its Subsidiaries as of and for the fiscal quarter ended September 30, 2022,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154"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(b)No Material Adverse Change. Since the date of the most recent Applicable Financial Statements, there has not been any event, development or circumstance (herein, a “Material Adverse Change”) that has had or would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57" w:lineRule="exact"/>
        <w:rPr>
          <w:sz w:val="20"/>
          <w:szCs w:val="20"/>
          <w:color w:val="auto"/>
        </w:rPr>
      </w:pPr>
    </w:p>
    <w:p>
      <w:pPr>
        <w:ind w:right="280" w:firstLine="1404"/>
        <w:spacing w:after="0" w:line="259" w:lineRule="auto"/>
        <w:rPr>
          <w:sz w:val="20"/>
          <w:szCs w:val="20"/>
          <w:color w:val="auto"/>
        </w:rPr>
      </w:pPr>
      <w:r>
        <w:rPr>
          <w:rFonts w:ascii="Times New Roman" w:cs="Times New Roman" w:eastAsia="Times New Roman" w:hAnsi="Times New Roman"/>
          <w:sz w:val="19"/>
          <w:szCs w:val="19"/>
          <w:color w:val="0000FF"/>
        </w:rPr>
        <w:t xml:space="preserve">SECTION 3.05. </w:t>
      </w:r>
      <w:r>
        <w:rPr>
          <w:rFonts w:ascii="Times New Roman" w:cs="Times New Roman" w:eastAsia="Times New Roman" w:hAnsi="Times New Roman"/>
          <w:sz w:val="19"/>
          <w:szCs w:val="19"/>
          <w:color w:val="000000"/>
        </w:rPr>
        <w:t>Litigation. There are no actions, suits, investigations or proceedings by or before any arbitrator 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Governmental Authority now pending against or, to the knowledge of the Borrower, threatened in writing against or affecting the Borrower or any of its Subsidiaries (i) as to which there is a reasonable possibility of an adverse determination and that, if adversely determined, would reasonably be expected, individually or in the aggregate, to result in a Material Adverse Effect or (ii) that directly involve this Agreement or the Transactions (other than any action brought by the Borrower against a Defaulting Lender).</w:t>
      </w:r>
    </w:p>
    <w:p>
      <w:pPr>
        <w:spacing w:after="0" w:line="152" w:lineRule="exact"/>
        <w:rPr>
          <w:sz w:val="20"/>
          <w:szCs w:val="20"/>
          <w:color w:val="auto"/>
        </w:rPr>
      </w:pPr>
    </w:p>
    <w:p>
      <w:pPr>
        <w:ind w:left="940" w:hanging="730"/>
        <w:spacing w:after="0"/>
        <w:tabs>
          <w:tab w:leader="none" w:pos="94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6" w:name="page207"/>
    <w:bookmarkEnd w:id="206"/>
    <w:p>
      <w:pPr>
        <w:spacing w:after="0" w:line="269" w:lineRule="exact"/>
        <w:rPr>
          <w:sz w:val="20"/>
          <w:szCs w:val="20"/>
          <w:color w:val="auto"/>
        </w:rPr>
      </w:pPr>
    </w:p>
    <w:p>
      <w:pPr>
        <w:ind w:right="40" w:firstLine="1404"/>
        <w:spacing w:after="0" w:line="257" w:lineRule="auto"/>
        <w:rPr>
          <w:sz w:val="20"/>
          <w:szCs w:val="20"/>
          <w:color w:val="auto"/>
        </w:rPr>
      </w:pPr>
      <w:r>
        <w:rPr>
          <w:rFonts w:ascii="Times New Roman" w:cs="Times New Roman" w:eastAsia="Times New Roman" w:hAnsi="Times New Roman"/>
          <w:sz w:val="19"/>
          <w:szCs w:val="19"/>
          <w:color w:val="0000FF"/>
        </w:rPr>
        <w:t xml:space="preserve">SECTION 3.06. </w:t>
      </w:r>
      <w:r>
        <w:rPr>
          <w:rFonts w:ascii="Times New Roman" w:cs="Times New Roman" w:eastAsia="Times New Roman" w:hAnsi="Times New Roman"/>
          <w:sz w:val="19"/>
          <w:szCs w:val="19"/>
          <w:color w:val="000000"/>
        </w:rPr>
        <w:t>Compliance with Laws and Agreements. Each of the Borrower and its Subsidiaries is in compliance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with all laws, regulations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 Neither the Borrower nor any other Obligor is subject to any contract or other arrangement, the performance of which by the Borrower or such Obligor would reasonably be expected to result in a Material Adverse Effect.</w:t>
      </w:r>
    </w:p>
    <w:p>
      <w:pPr>
        <w:spacing w:after="0" w:line="157" w:lineRule="exact"/>
        <w:rPr>
          <w:sz w:val="20"/>
          <w:szCs w:val="20"/>
          <w:color w:val="auto"/>
        </w:rPr>
      </w:pPr>
    </w:p>
    <w:p>
      <w:pPr>
        <w:ind w:right="160" w:firstLine="1404"/>
        <w:spacing w:after="0" w:line="262" w:lineRule="auto"/>
        <w:rPr>
          <w:sz w:val="20"/>
          <w:szCs w:val="20"/>
          <w:color w:val="auto"/>
        </w:rPr>
      </w:pPr>
      <w:r>
        <w:rPr>
          <w:rFonts w:ascii="Times New Roman" w:cs="Times New Roman" w:eastAsia="Times New Roman" w:hAnsi="Times New Roman"/>
          <w:sz w:val="19"/>
          <w:szCs w:val="19"/>
          <w:color w:val="0000FF"/>
        </w:rPr>
        <w:t xml:space="preserve">SECTION 3.07. </w:t>
      </w:r>
      <w:r>
        <w:rPr>
          <w:rFonts w:ascii="Times New Roman" w:cs="Times New Roman" w:eastAsia="Times New Roman" w:hAnsi="Times New Roman"/>
          <w:sz w:val="19"/>
          <w:szCs w:val="19"/>
          <w:color w:val="000000"/>
        </w:rPr>
        <w:t>Taxes. Each of the Borrower and its Subsidiaries has timely filed or caused to be filed all material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would not reasonably be expected to result in a Material Adverse Effect.</w:t>
      </w:r>
    </w:p>
    <w:p>
      <w:pPr>
        <w:spacing w:after="0" w:line="150" w:lineRule="exact"/>
        <w:rPr>
          <w:sz w:val="20"/>
          <w:szCs w:val="20"/>
          <w:color w:val="auto"/>
        </w:rPr>
      </w:pPr>
    </w:p>
    <w:p>
      <w:pPr>
        <w:ind w:right="140" w:firstLine="1404"/>
        <w:spacing w:after="0" w:line="268" w:lineRule="auto"/>
        <w:rPr>
          <w:sz w:val="20"/>
          <w:szCs w:val="20"/>
          <w:color w:val="auto"/>
        </w:rPr>
      </w:pPr>
      <w:r>
        <w:rPr>
          <w:rFonts w:ascii="Times New Roman" w:cs="Times New Roman" w:eastAsia="Times New Roman" w:hAnsi="Times New Roman"/>
          <w:sz w:val="19"/>
          <w:szCs w:val="19"/>
          <w:color w:val="0000FF"/>
        </w:rPr>
        <w:t xml:space="preserve">SECTION 3.08. </w:t>
      </w:r>
      <w:r>
        <w:rPr>
          <w:rFonts w:ascii="Times New Roman" w:cs="Times New Roman" w:eastAsia="Times New Roman" w:hAnsi="Times New Roman"/>
          <w:sz w:val="19"/>
          <w:szCs w:val="19"/>
          <w:color w:val="000000"/>
        </w:rPr>
        <w:t>ERISA. No ERISA Event has occurred or is reasonably expected to occur that, when taken together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with all other such ERISA Events for which liability is reasonably expected to occur, would reasonably be expected to result in a Material Adverse Effect.</w:t>
      </w:r>
    </w:p>
    <w:p>
      <w:pPr>
        <w:spacing w:after="0" w:line="144"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0000FF"/>
        </w:rPr>
        <w:t xml:space="preserve">SECTION 3.09. </w:t>
      </w:r>
      <w:r>
        <w:rPr>
          <w:rFonts w:ascii="Times New Roman" w:cs="Times New Roman" w:eastAsia="Times New Roman" w:hAnsi="Times New Roman"/>
          <w:sz w:val="19"/>
          <w:szCs w:val="19"/>
          <w:color w:val="000000"/>
        </w:rPr>
        <w:t>Disclosure. As of the Effective Date, the Borrower has disclosed in its public filings or to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Lenders all agreements, instruments and corporate or other restrictions to which it or any of its Subsidiaries is subject, and all other matters known to it, that, individually or in the aggregate, would reasonably be expected to result in a Material Adverse Effect. As of the Effective Date, none of the written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together with the Borrower’s public filings and as a whole (and after giving effect to all updates, modifications and supplements) contains any material misstatement of fact or omits to state any material fact necessary to make the statements therein, in the light of the circumstances under which they were made, not materially misleading at the time made; provided that with respect to projected financial information, other forward looking information relating to third parties and information of a general economic or general industry nature, the Borrower represents only that such information was prepared in good faith based upon assumptions believed to be reasonable at the time of the preparation thereof (it being understood that projections are subject to significant and inherent uncertainties and contingencies which may be outside of the Borrower’s control and that no assurance can be given that projections will be realized, and are therefore not to be viewed as fact, and that actual results for the periods covered by projections may differ from the projected results set forth in such projections and that such differences may be material).</w:t>
      </w:r>
    </w:p>
    <w:p>
      <w:pPr>
        <w:spacing w:after="0" w:line="1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3.10. </w:t>
      </w:r>
      <w:r>
        <w:rPr>
          <w:rFonts w:ascii="Times New Roman" w:cs="Times New Roman" w:eastAsia="Times New Roman" w:hAnsi="Times New Roman"/>
          <w:sz w:val="19"/>
          <w:szCs w:val="19"/>
          <w:color w:val="000000"/>
        </w:rPr>
        <w:t>Investment Company Act; Margin Regulations.</w:t>
      </w:r>
    </w:p>
    <w:p>
      <w:pPr>
        <w:spacing w:after="0" w:line="200" w:lineRule="exact"/>
        <w:rPr>
          <w:sz w:val="20"/>
          <w:szCs w:val="20"/>
          <w:color w:val="auto"/>
        </w:rPr>
      </w:pPr>
    </w:p>
    <w:p>
      <w:pPr>
        <w:ind w:left="940" w:hanging="730"/>
        <w:spacing w:after="0"/>
        <w:tabs>
          <w:tab w:leader="none" w:pos="94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7" w:name="page208"/>
    <w:bookmarkEnd w:id="207"/>
    <w:p>
      <w:pPr>
        <w:spacing w:after="0" w:line="269"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(a)Status as Business Development Company. The Borrower has elected to be regulated as a “business development company” within the meaning of the Investment Company Act and qualifies as a RIC.</w:t>
      </w:r>
    </w:p>
    <w:p>
      <w:pPr>
        <w:spacing w:after="0" w:line="127" w:lineRule="exact"/>
        <w:rPr>
          <w:sz w:val="20"/>
          <w:szCs w:val="20"/>
          <w:color w:val="auto"/>
        </w:rPr>
      </w:pPr>
    </w:p>
    <w:p>
      <w:pPr>
        <w:ind w:right="80" w:firstLine="1404"/>
        <w:spacing w:after="0" w:line="259" w:lineRule="auto"/>
        <w:rPr>
          <w:sz w:val="20"/>
          <w:szCs w:val="20"/>
          <w:color w:val="auto"/>
        </w:rPr>
      </w:pPr>
      <w:r>
        <w:rPr>
          <w:rFonts w:ascii="Times New Roman" w:cs="Times New Roman" w:eastAsia="Times New Roman" w:hAnsi="Times New Roman"/>
          <w:sz w:val="19"/>
          <w:szCs w:val="19"/>
          <w:color w:val="auto"/>
        </w:rPr>
        <w:t>(b)Compliance with Investment Company Act.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154" w:lineRule="exact"/>
        <w:rPr>
          <w:sz w:val="20"/>
          <w:szCs w:val="20"/>
          <w:color w:val="auto"/>
        </w:rPr>
      </w:pPr>
    </w:p>
    <w:p>
      <w:pPr>
        <w:ind w:right="80" w:firstLine="1404"/>
        <w:spacing w:after="0" w:line="268" w:lineRule="auto"/>
        <w:rPr>
          <w:sz w:val="20"/>
          <w:szCs w:val="20"/>
          <w:color w:val="auto"/>
        </w:rPr>
      </w:pPr>
      <w:r>
        <w:rPr>
          <w:rFonts w:ascii="Times New Roman" w:cs="Times New Roman" w:eastAsia="Times New Roman" w:hAnsi="Times New Roman"/>
          <w:sz w:val="19"/>
          <w:szCs w:val="19"/>
          <w:color w:val="auto"/>
        </w:rPr>
        <w:t>(c)Investment Policies. The Borrower is in compliance in all respects with the Investment Policies (after giving effect to any Permitted Policy Amendments), except to the extent that the failure to so comply would not reasonably be expected to have a Material Adverse Effect.</w:t>
      </w:r>
    </w:p>
    <w:p>
      <w:pPr>
        <w:spacing w:after="0" w:line="144" w:lineRule="exact"/>
        <w:rPr>
          <w:sz w:val="20"/>
          <w:szCs w:val="20"/>
          <w:color w:val="auto"/>
        </w:rPr>
      </w:pPr>
    </w:p>
    <w:p>
      <w:pPr>
        <w:ind w:left="100" w:right="100" w:firstLine="1416"/>
        <w:spacing w:after="0" w:line="257" w:lineRule="auto"/>
        <w:rPr>
          <w:sz w:val="20"/>
          <w:szCs w:val="20"/>
          <w:color w:val="auto"/>
        </w:rPr>
      </w:pPr>
      <w:r>
        <w:rPr>
          <w:rFonts w:ascii="Times New Roman" w:cs="Times New Roman" w:eastAsia="Times New Roman" w:hAnsi="Times New Roman"/>
          <w:sz w:val="19"/>
          <w:szCs w:val="19"/>
          <w:color w:val="auto"/>
        </w:rPr>
        <w:t>(d)Use of Credit.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 (provided that so long as no violation of Regulation U would result therefrom and the Borrower intends to immediately retire any whole or fractional shares of its common stock purchased, the Borrower may use proceeds of the Loans to purchase its common stock in connection with the redemption (or buyback) of its shares).</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3.11. </w:t>
      </w:r>
      <w:r>
        <w:rPr>
          <w:rFonts w:ascii="Times New Roman" w:cs="Times New Roman" w:eastAsia="Times New Roman" w:hAnsi="Times New Roman"/>
          <w:sz w:val="19"/>
          <w:szCs w:val="19"/>
          <w:color w:val="000000"/>
        </w:rPr>
        <w:t>Material Agreements and Liens.</w:t>
      </w:r>
    </w:p>
    <w:p>
      <w:pPr>
        <w:spacing w:after="0" w:line="202" w:lineRule="exact"/>
        <w:rPr>
          <w:sz w:val="20"/>
          <w:szCs w:val="20"/>
          <w:color w:val="auto"/>
        </w:rPr>
      </w:pPr>
    </w:p>
    <w:p>
      <w:pPr>
        <w:ind w:left="100" w:firstLine="1416"/>
        <w:spacing w:after="0" w:line="256" w:lineRule="auto"/>
        <w:rPr>
          <w:sz w:val="20"/>
          <w:szCs w:val="20"/>
          <w:color w:val="auto"/>
        </w:rPr>
      </w:pPr>
      <w:r>
        <w:rPr>
          <w:rFonts w:ascii="Times New Roman" w:cs="Times New Roman" w:eastAsia="Times New Roman" w:hAnsi="Times New Roman"/>
          <w:sz w:val="19"/>
          <w:szCs w:val="19"/>
          <w:color w:val="auto"/>
        </w:rPr>
        <w:t>(a)Material Agreements. Part A of Schedule 3.11 is a complete and correct list, as of the Effective Date, of each credit agreement, loan agreement, indenture, purchase agreement, guarantee, letter of credit or other arrangement providing for or otherwise relating to any Indebtedness for borrowed money or any extension of credit (or commitment for any extension of credit) to, or guarantee for borrowed money by, the Borrower or any other Obligor outstanding as of the Effective Date (in each case, other than (x) Indebtedness hereunder or under any other Loan Document and (y) any such agreement or arrangement that is solely between or among two (2) or more Obligors), and the aggregate principal or face amount outstanding or that is, or may become, outstanding under each such arrangement in each case as of the Effective Date is correctly described in Part A of Schedule 3.11.</w:t>
      </w:r>
    </w:p>
    <w:p>
      <w:pPr>
        <w:spacing w:after="0" w:line="157" w:lineRule="exact"/>
        <w:rPr>
          <w:sz w:val="20"/>
          <w:szCs w:val="20"/>
          <w:color w:val="auto"/>
        </w:rPr>
      </w:pPr>
    </w:p>
    <w:p>
      <w:pPr>
        <w:ind w:right="200" w:firstLine="1404"/>
        <w:spacing w:after="0" w:line="262" w:lineRule="auto"/>
        <w:rPr>
          <w:sz w:val="20"/>
          <w:szCs w:val="20"/>
          <w:color w:val="auto"/>
        </w:rPr>
      </w:pPr>
      <w:r>
        <w:rPr>
          <w:rFonts w:ascii="Times New Roman" w:cs="Times New Roman" w:eastAsia="Times New Roman" w:hAnsi="Times New Roman"/>
          <w:sz w:val="19"/>
          <w:szCs w:val="19"/>
          <w:color w:val="auto"/>
        </w:rPr>
        <w:t>(b)Liens. Part B of Schedule 3.11 is a complete and correct list, as of the Effective Date, of each Lien securing Indebtedness of any Person outstanding on the Effective Date (other than Indebtedness hereunder or under any other Loan Document) covering any property of the Borrower or other Obligor, and the aggregate Indebtedness secured (or that may be secured) by each such Lien and the property covered by each such Lien is correctly described in Part B of Schedule 3.11.</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3.12. </w:t>
      </w:r>
      <w:r>
        <w:rPr>
          <w:rFonts w:ascii="Times New Roman" w:cs="Times New Roman" w:eastAsia="Times New Roman" w:hAnsi="Times New Roman"/>
          <w:sz w:val="19"/>
          <w:szCs w:val="19"/>
          <w:color w:val="000000"/>
        </w:rPr>
        <w:t>Subsidiaries and Investments.</w:t>
      </w:r>
    </w:p>
    <w:p>
      <w:pPr>
        <w:spacing w:after="0" w:line="200" w:lineRule="exact"/>
        <w:rPr>
          <w:sz w:val="20"/>
          <w:szCs w:val="20"/>
          <w:color w:val="auto"/>
        </w:rPr>
      </w:pPr>
    </w:p>
    <w:p>
      <w:pPr>
        <w:ind w:left="940" w:hanging="730"/>
        <w:spacing w:after="0"/>
        <w:tabs>
          <w:tab w:leader="none" w:pos="940"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8" w:name="page209"/>
    <w:bookmarkEnd w:id="208"/>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(a)Subsidiaries. Set forth on Schedule 3.12(a) is a list of the Borrower’s Subsidiaries as of the Effective Date.</w:t>
      </w:r>
    </w:p>
    <w:p>
      <w:pPr>
        <w:spacing w:after="0" w:line="202" w:lineRule="exact"/>
        <w:rPr>
          <w:sz w:val="20"/>
          <w:szCs w:val="20"/>
          <w:color w:val="auto"/>
        </w:rPr>
      </w:pPr>
    </w:p>
    <w:p>
      <w:pPr>
        <w:ind w:right="40" w:firstLine="1404"/>
        <w:spacing w:after="0" w:line="257" w:lineRule="auto"/>
        <w:rPr>
          <w:sz w:val="20"/>
          <w:szCs w:val="20"/>
          <w:color w:val="auto"/>
        </w:rPr>
      </w:pPr>
      <w:r>
        <w:rPr>
          <w:rFonts w:ascii="Times New Roman" w:cs="Times New Roman" w:eastAsia="Times New Roman" w:hAnsi="Times New Roman"/>
          <w:sz w:val="19"/>
          <w:szCs w:val="19"/>
          <w:color w:val="auto"/>
        </w:rPr>
        <w:t>(b)Investments. Set forth on Schedule 3.12(b) is a complete and correct list, as of the Effective Date, of all Investments (other than Investments of the types referred to in clauses (b), (c) and (d) of Section 6.04) held by the Borrower or any of the Subsidiary Guarantors in any Person on the Effective Date and, for each such Investment, (x) the identity of the Person or Persons holding such Investment and (y) the nature of such Investment. Except as disclosed in Schedule 3.12, each of the Borrower and any of the Subsidiary Guarantors owned, free and clear of all Liens (other than Liens created pursuant to this Agreement or the Security Documents and Permitted Liens), all such Investments as of such date.</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3.13. </w:t>
      </w:r>
      <w:r>
        <w:rPr>
          <w:rFonts w:ascii="Times New Roman" w:cs="Times New Roman" w:eastAsia="Times New Roman" w:hAnsi="Times New Roman"/>
          <w:sz w:val="19"/>
          <w:szCs w:val="19"/>
          <w:color w:val="000000"/>
        </w:rPr>
        <w:t>Properties.</w:t>
      </w:r>
    </w:p>
    <w:p>
      <w:pPr>
        <w:spacing w:after="0" w:line="202" w:lineRule="exact"/>
        <w:rPr>
          <w:sz w:val="20"/>
          <w:szCs w:val="20"/>
          <w:color w:val="auto"/>
        </w:rPr>
      </w:pPr>
    </w:p>
    <w:p>
      <w:pPr>
        <w:ind w:left="100" w:right="100" w:firstLine="1416"/>
        <w:spacing w:after="0" w:line="262" w:lineRule="auto"/>
        <w:rPr>
          <w:sz w:val="20"/>
          <w:szCs w:val="20"/>
          <w:color w:val="auto"/>
        </w:rPr>
      </w:pPr>
      <w:r>
        <w:rPr>
          <w:rFonts w:ascii="Times New Roman" w:cs="Times New Roman" w:eastAsia="Times New Roman" w:hAnsi="Times New Roman"/>
          <w:sz w:val="19"/>
          <w:szCs w:val="19"/>
          <w:color w:val="auto"/>
        </w:rPr>
        <w:t>(a)Title Generally. Each of the Borrower and the Subsidiary Guarantors has good title to, or valid leasehold interests in, all its real and personal property material to its business, taken as a whole, except for minor defects in title that do not interfere with its ability to conduct its business, taken as a whole, as currently conducted or to utilize such properties for their intended purposes except where failure to have title or leasehold interests would not reasonably be expected to have a Material Adverse Effect.</w:t>
      </w:r>
    </w:p>
    <w:p>
      <w:pPr>
        <w:spacing w:after="0" w:line="150" w:lineRule="exact"/>
        <w:rPr>
          <w:sz w:val="20"/>
          <w:szCs w:val="20"/>
          <w:color w:val="auto"/>
        </w:rPr>
      </w:pPr>
    </w:p>
    <w:p>
      <w:pPr>
        <w:ind w:right="180" w:firstLine="1404"/>
        <w:spacing w:after="0" w:line="259" w:lineRule="auto"/>
        <w:rPr>
          <w:sz w:val="20"/>
          <w:szCs w:val="20"/>
          <w:color w:val="auto"/>
        </w:rPr>
      </w:pPr>
      <w:r>
        <w:rPr>
          <w:rFonts w:ascii="Times New Roman" w:cs="Times New Roman" w:eastAsia="Times New Roman" w:hAnsi="Times New Roman"/>
          <w:sz w:val="19"/>
          <w:szCs w:val="19"/>
          <w:color w:val="auto"/>
        </w:rPr>
        <w:t>(b)Intellectual Property. Each of the Borrower and its Subsidiaries (other than any Financing Subsidiary) owns, or is licensed to use, all trademarks, tradenames, copyrights, patents and other intellectual property material to its business, taken as a whole, and the use thereof by the Borrower and its Subsidiaries (other than any Financing Subsidiary) does not infringe upon the rights of any other Person, except for any such infringements that, individually or in the aggregate, would not reasonably be expected to result in a Material Adverse Effect.</w:t>
      </w:r>
    </w:p>
    <w:p>
      <w:pPr>
        <w:spacing w:after="0" w:line="154" w:lineRule="exact"/>
        <w:rPr>
          <w:sz w:val="20"/>
          <w:szCs w:val="20"/>
          <w:color w:val="auto"/>
        </w:rPr>
      </w:pPr>
    </w:p>
    <w:p>
      <w:pPr>
        <w:ind w:right="20" w:firstLine="1404"/>
        <w:spacing w:after="0" w:line="262" w:lineRule="auto"/>
        <w:rPr>
          <w:sz w:val="20"/>
          <w:szCs w:val="20"/>
          <w:color w:val="auto"/>
        </w:rPr>
      </w:pPr>
      <w:r>
        <w:rPr>
          <w:rFonts w:ascii="Times New Roman" w:cs="Times New Roman" w:eastAsia="Times New Roman" w:hAnsi="Times New Roman"/>
          <w:sz w:val="19"/>
          <w:szCs w:val="19"/>
          <w:color w:val="0000FF"/>
        </w:rPr>
        <w:t xml:space="preserve">SECTION 3.14. </w:t>
      </w:r>
      <w:r>
        <w:rPr>
          <w:rFonts w:ascii="Times New Roman" w:cs="Times New Roman" w:eastAsia="Times New Roman" w:hAnsi="Times New Roman"/>
          <w:sz w:val="19"/>
          <w:szCs w:val="19"/>
          <w:color w:val="000000"/>
        </w:rPr>
        <w:t>Affiliate Agreements. As of the Effective Date, the Borrower has heretofore delivered (to the extent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not otherwise publicly filed with the Securities and Exchange Commission) to the Administrative Agent true and complete copies of each of the Affiliate Agreements (including and schedules and exhibits thereto, and any amendments, supplements or waivers executed and delivered thereunder). As of the Effective Date, each of the Affiliate Agreements was in full force and effect.</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3.15. </w:t>
      </w:r>
      <w:r>
        <w:rPr>
          <w:rFonts w:ascii="Times New Roman" w:cs="Times New Roman" w:eastAsia="Times New Roman" w:hAnsi="Times New Roman"/>
          <w:sz w:val="19"/>
          <w:szCs w:val="19"/>
          <w:color w:val="000000"/>
        </w:rPr>
        <w:t>Sanctions.</w:t>
      </w:r>
    </w:p>
    <w:p>
      <w:pPr>
        <w:spacing w:after="0" w:line="202"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(a)None of the Borrower or any of its Subsidiaries, nor, to the knowledge of the Borrower, any of their respective directors, officers or authorized signors (i) is a person on the list of Specially Designated Nationals and Blocked Persons or the subject or target of, the limitations or prohibitions (collectively “Sanctions”) under (A) any U.S. Department of Treasury’s Office of Foreign Assets Control or U.S. Department of State regulation or executive order or (B) any international economic sanction administered or enforced by the United Nations Security Council, His Majesty’s Treasury or the European Union or (ii) is located, organized or resident in a Sanctioned Country.</w:t>
      </w:r>
    </w:p>
    <w:p>
      <w:pPr>
        <w:spacing w:after="0" w:line="157" w:lineRule="exact"/>
        <w:rPr>
          <w:sz w:val="20"/>
          <w:szCs w:val="20"/>
          <w:color w:val="auto"/>
        </w:rPr>
      </w:pPr>
    </w:p>
    <w:p>
      <w:pPr>
        <w:ind w:right="500" w:firstLine="1404"/>
        <w:spacing w:after="0" w:line="286" w:lineRule="auto"/>
        <w:rPr>
          <w:sz w:val="20"/>
          <w:szCs w:val="20"/>
          <w:color w:val="auto"/>
        </w:rPr>
      </w:pPr>
      <w:r>
        <w:rPr>
          <w:rFonts w:ascii="Times New Roman" w:cs="Times New Roman" w:eastAsia="Times New Roman" w:hAnsi="Times New Roman"/>
          <w:sz w:val="19"/>
          <w:szCs w:val="19"/>
          <w:color w:val="auto"/>
        </w:rPr>
        <w:t>(b)The Borrower has implemented and maintains in effect policies and procedures reasonably designed to ensure compliance by the Borrower, its Subsidiaries and their</w:t>
      </w:r>
    </w:p>
    <w:p>
      <w:pPr>
        <w:spacing w:after="0" w:line="126" w:lineRule="exact"/>
        <w:rPr>
          <w:sz w:val="20"/>
          <w:szCs w:val="20"/>
          <w:color w:val="auto"/>
        </w:rPr>
      </w:pPr>
    </w:p>
    <w:p>
      <w:pPr>
        <w:ind w:left="940" w:hanging="730"/>
        <w:spacing w:after="0"/>
        <w:tabs>
          <w:tab w:leader="none" w:pos="94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9" w:name="page210"/>
    <w:bookmarkEnd w:id="209"/>
    <w:p>
      <w:pPr>
        <w:spacing w:after="0" w:line="26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9"/>
          <w:szCs w:val="19"/>
          <w:color w:val="auto"/>
        </w:rPr>
        <w:t>respective directors, officers, employees and investment advisors with Anti-Corruption Laws and applicable Sanctions in all material respects.</w:t>
      </w:r>
    </w:p>
    <w:p>
      <w:pPr>
        <w:spacing w:after="0" w:line="127"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0000FF"/>
        </w:rPr>
        <w:t xml:space="preserve">SECTION 3.16. </w:t>
      </w:r>
      <w:r>
        <w:rPr>
          <w:rFonts w:ascii="Times New Roman" w:cs="Times New Roman" w:eastAsia="Times New Roman" w:hAnsi="Times New Roman"/>
          <w:sz w:val="19"/>
          <w:szCs w:val="19"/>
          <w:color w:val="000000"/>
        </w:rPr>
        <w:t>Patriot Act. Each of the Borrower and its Subsidiaries is in material compliance with (a) the Trading</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or Letters of Credit will be used, directly or, to the knowledge of a Responsible Officer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US or UK regulations implementing the OECD Convention on Combating Bribery of Foreign Public Officials in International Business Transactions (collectively, the “Anti-Corruption Laws”) or (ii) for the purpose of financing the activities in or with any Sanctioned Country, or of any Person, at the time of such financing (A) the subject or target of any Sanctions or (B) located, organized or resident in a Sanctioned Country, in each case as would result in a violation of Sanctions.</w:t>
      </w:r>
    </w:p>
    <w:p>
      <w:pPr>
        <w:spacing w:after="0" w:line="165" w:lineRule="exact"/>
        <w:rPr>
          <w:sz w:val="20"/>
          <w:szCs w:val="20"/>
          <w:color w:val="auto"/>
        </w:rPr>
      </w:pPr>
    </w:p>
    <w:p>
      <w:pPr>
        <w:ind w:right="40" w:firstLine="1404"/>
        <w:spacing w:after="0" w:line="255" w:lineRule="auto"/>
        <w:rPr>
          <w:sz w:val="20"/>
          <w:szCs w:val="20"/>
          <w:color w:val="auto"/>
        </w:rPr>
      </w:pPr>
      <w:r>
        <w:rPr>
          <w:rFonts w:ascii="Times New Roman" w:cs="Times New Roman" w:eastAsia="Times New Roman" w:hAnsi="Times New Roman"/>
          <w:sz w:val="19"/>
          <w:szCs w:val="19"/>
          <w:color w:val="0000FF"/>
        </w:rPr>
        <w:t xml:space="preserve">SECTION 3.17. </w:t>
      </w:r>
      <w:r>
        <w:rPr>
          <w:rFonts w:ascii="Times New Roman" w:cs="Times New Roman" w:eastAsia="Times New Roman" w:hAnsi="Times New Roman"/>
          <w:sz w:val="19"/>
          <w:szCs w:val="19"/>
          <w:color w:val="000000"/>
        </w:rPr>
        <w:t>Collateral Documents. The provisions of the Security Documents are effective to create in favor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 Collateral Agent a legal, valid and enforceable first priority Lien (subject to Liens permitted by Section 6.02) on all right, title and interest of the Borrower and each Subsidiary Guarantor in the Collateral described therein except for any failure that would not constitute an Event of Default under clause (q) of Article VII. Except for filings completed on or prior to the Effective Date and as contemplated hereby and by the Security Documents and the taking of possession or control by the Collateral Agent of the Collateral with respect to which a security interest may be perfected by possession or control, no filing or other action will be necessary to perfect such Liens, to the extent required thereunder, except for the failure to make any filing or take any other action that would not constitute an Event of Default under clause (q) of Article VII.</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3.18. </w:t>
      </w:r>
      <w:r>
        <w:rPr>
          <w:rFonts w:ascii="Times New Roman" w:cs="Times New Roman" w:eastAsia="Times New Roman" w:hAnsi="Times New Roman"/>
          <w:sz w:val="19"/>
          <w:szCs w:val="19"/>
          <w:color w:val="000000"/>
        </w:rPr>
        <w:t>EEA Financial Institutions. Neither the Borrower nor any Subsidiary is an EEA Financial Institution.</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IV</w:t>
      </w:r>
    </w:p>
    <w:p>
      <w:pPr>
        <w:spacing w:after="0" w:line="2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CONDITIONS</w:t>
      </w:r>
    </w:p>
    <w:p>
      <w:pPr>
        <w:spacing w:after="0" w:line="202" w:lineRule="exact"/>
        <w:rPr>
          <w:sz w:val="20"/>
          <w:szCs w:val="20"/>
          <w:color w:val="auto"/>
        </w:rPr>
      </w:pPr>
    </w:p>
    <w:p>
      <w:pPr>
        <w:ind w:right="140" w:firstLine="1404"/>
        <w:spacing w:after="0" w:line="268" w:lineRule="auto"/>
        <w:rPr>
          <w:sz w:val="20"/>
          <w:szCs w:val="20"/>
          <w:color w:val="auto"/>
        </w:rPr>
      </w:pPr>
      <w:r>
        <w:rPr>
          <w:rFonts w:ascii="Times New Roman" w:cs="Times New Roman" w:eastAsia="Times New Roman" w:hAnsi="Times New Roman"/>
          <w:sz w:val="19"/>
          <w:szCs w:val="19"/>
          <w:color w:val="0000FF"/>
        </w:rPr>
        <w:t xml:space="preserve">SECTION 4.01. </w:t>
      </w:r>
      <w:r>
        <w:rPr>
          <w:rFonts w:ascii="Times New Roman" w:cs="Times New Roman" w:eastAsia="Times New Roman" w:hAnsi="Times New Roman"/>
          <w:sz w:val="19"/>
          <w:szCs w:val="19"/>
          <w:color w:val="000000"/>
        </w:rPr>
        <w:t>Effective Date. The effectiveness of this Agreement and of the obligations of the Lenders to make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Loans and of the Issuing Banks to issue Letters of Credit hereunder shall not become effective until completion of each of the following conditions precedent (unless a condition shall have been waived in accordance with Section 9.02):</w:t>
      </w:r>
    </w:p>
    <w:p>
      <w:pPr>
        <w:spacing w:after="0" w:line="142" w:lineRule="exact"/>
        <w:rPr>
          <w:sz w:val="20"/>
          <w:szCs w:val="20"/>
          <w:color w:val="auto"/>
        </w:rPr>
      </w:pPr>
    </w:p>
    <w:p>
      <w:pPr>
        <w:ind w:left="940" w:hanging="730"/>
        <w:spacing w:after="0"/>
        <w:tabs>
          <w:tab w:leader="none" w:pos="94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10" w:name="page211"/>
    <w:bookmarkEnd w:id="210"/>
    <w:p>
      <w:pPr>
        <w:spacing w:after="0" w:line="269" w:lineRule="exact"/>
        <w:rPr>
          <w:sz w:val="20"/>
          <w:szCs w:val="20"/>
          <w:color w:val="auto"/>
        </w:rPr>
      </w:pPr>
    </w:p>
    <w:p>
      <w:pPr>
        <w:ind w:right="400" w:firstLine="1404"/>
        <w:spacing w:after="0" w:line="286" w:lineRule="auto"/>
        <w:rPr>
          <w:sz w:val="20"/>
          <w:szCs w:val="20"/>
          <w:color w:val="auto"/>
        </w:rPr>
      </w:pPr>
      <w:r>
        <w:rPr>
          <w:rFonts w:ascii="Times New Roman" w:cs="Times New Roman" w:eastAsia="Times New Roman" w:hAnsi="Times New Roman"/>
          <w:sz w:val="19"/>
          <w:szCs w:val="19"/>
          <w:color w:val="auto"/>
        </w:rPr>
        <w:t>(a)Documents. Administrative Agent shall have received each of the following documents, each of which shall be reasonably satisfactory to the Administrative Agent (and to the extent specified below to each Lender) in form and substance:</w:t>
      </w:r>
    </w:p>
    <w:p>
      <w:pPr>
        <w:spacing w:after="0" w:line="127" w:lineRule="exact"/>
        <w:rPr>
          <w:sz w:val="20"/>
          <w:szCs w:val="20"/>
          <w:color w:val="auto"/>
        </w:rPr>
      </w:pPr>
    </w:p>
    <w:p>
      <w:pPr>
        <w:ind w:left="700" w:right="60" w:firstLine="1500"/>
        <w:spacing w:after="0" w:line="268" w:lineRule="auto"/>
        <w:rPr>
          <w:sz w:val="20"/>
          <w:szCs w:val="20"/>
          <w:color w:val="auto"/>
        </w:rPr>
      </w:pPr>
      <w:r>
        <w:rPr>
          <w:rFonts w:ascii="Times New Roman" w:cs="Times New Roman" w:eastAsia="Times New Roman" w:hAnsi="Times New Roman"/>
          <w:sz w:val="19"/>
          <w:szCs w:val="19"/>
          <w:color w:val="auto"/>
        </w:rPr>
        <w:t>(i)Executed Counterparts. From each party hereto either (i) a counterpart of this Agreement signed on behalf of such party or (ii) written evidence satisfactory to the Administrative Agent (which may include telecopy or electronic (e.g. pdf) transmission of a signed signature page to this Agreement) that such party has signed a counterpart of this Agreement.</w:t>
      </w:r>
    </w:p>
    <w:p>
      <w:pPr>
        <w:spacing w:after="0" w:line="144" w:lineRule="exact"/>
        <w:rPr>
          <w:sz w:val="20"/>
          <w:szCs w:val="20"/>
          <w:color w:val="auto"/>
        </w:rPr>
      </w:pPr>
    </w:p>
    <w:p>
      <w:pPr>
        <w:ind w:left="700" w:right="40" w:firstLine="1500"/>
        <w:spacing w:after="0" w:line="259" w:lineRule="auto"/>
        <w:rPr>
          <w:sz w:val="20"/>
          <w:szCs w:val="20"/>
          <w:color w:val="auto"/>
        </w:rPr>
      </w:pPr>
      <w:r>
        <w:rPr>
          <w:rFonts w:ascii="Times New Roman" w:cs="Times New Roman" w:eastAsia="Times New Roman" w:hAnsi="Times New Roman"/>
          <w:sz w:val="19"/>
          <w:szCs w:val="19"/>
          <w:color w:val="auto"/>
        </w:rPr>
        <w:t>(ii)Opinion of Counsel to the Borrower. A favorable written opinion (addressed to the Administrative Agent and the Lenders and dated the Effective Date) of (A) Cleary Gottlieb Steen &amp; Hamilton LLP, New York counsel for the Borrower and the Subsidiary Guarantors and (B) Morris, Nichols, Arsht &amp; Tunnell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spacing w:after="0" w:line="154" w:lineRule="exact"/>
        <w:rPr>
          <w:sz w:val="20"/>
          <w:szCs w:val="20"/>
          <w:color w:val="auto"/>
        </w:rPr>
      </w:pPr>
    </w:p>
    <w:p>
      <w:pPr>
        <w:ind w:left="700" w:right="80" w:firstLine="1500"/>
        <w:spacing w:after="0" w:line="262" w:lineRule="auto"/>
        <w:rPr>
          <w:sz w:val="20"/>
          <w:szCs w:val="20"/>
          <w:color w:val="auto"/>
        </w:rPr>
      </w:pPr>
      <w:r>
        <w:rPr>
          <w:rFonts w:ascii="Times New Roman" w:cs="Times New Roman" w:eastAsia="Times New Roman" w:hAnsi="Times New Roman"/>
          <w:sz w:val="19"/>
          <w:szCs w:val="19"/>
          <w:color w:val="auto"/>
        </w:rPr>
        <w:t>(iii)Corporate Documents.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reasonably satisfactory to the Administrative Agent and its counsel.</w:t>
      </w:r>
    </w:p>
    <w:p>
      <w:pPr>
        <w:spacing w:after="0" w:line="150" w:lineRule="exact"/>
        <w:rPr>
          <w:sz w:val="20"/>
          <w:szCs w:val="20"/>
          <w:color w:val="auto"/>
        </w:rPr>
      </w:pPr>
    </w:p>
    <w:p>
      <w:pPr>
        <w:ind w:left="700" w:right="120" w:firstLine="1500"/>
        <w:spacing w:after="0" w:line="268" w:lineRule="auto"/>
        <w:rPr>
          <w:sz w:val="20"/>
          <w:szCs w:val="20"/>
          <w:color w:val="auto"/>
        </w:rPr>
      </w:pPr>
      <w:r>
        <w:rPr>
          <w:rFonts w:ascii="Times New Roman" w:cs="Times New Roman" w:eastAsia="Times New Roman" w:hAnsi="Times New Roman"/>
          <w:sz w:val="19"/>
          <w:szCs w:val="19"/>
          <w:color w:val="auto"/>
        </w:rPr>
        <w:t>(iv)Officer’s Certificate. A certificate, dated the Effective Date and signed by the President, the Chief Executive Officer, a Vice President or a Financial Officer of the Borrower, confirming compliance with the conditions set forth in the lettered clauses of the first sentence of Section 4.02.</w:t>
      </w:r>
    </w:p>
    <w:p>
      <w:pPr>
        <w:spacing w:after="0" w:line="144" w:lineRule="exact"/>
        <w:rPr>
          <w:sz w:val="20"/>
          <w:szCs w:val="20"/>
          <w:color w:val="auto"/>
        </w:rPr>
      </w:pPr>
    </w:p>
    <w:p>
      <w:pPr>
        <w:ind w:left="700" w:right="20" w:firstLine="1500"/>
        <w:spacing w:after="0" w:line="286" w:lineRule="auto"/>
        <w:rPr>
          <w:sz w:val="20"/>
          <w:szCs w:val="20"/>
          <w:color w:val="auto"/>
        </w:rPr>
      </w:pPr>
      <w:r>
        <w:rPr>
          <w:rFonts w:ascii="Times New Roman" w:cs="Times New Roman" w:eastAsia="Times New Roman" w:hAnsi="Times New Roman"/>
          <w:sz w:val="19"/>
          <w:szCs w:val="19"/>
          <w:color w:val="auto"/>
        </w:rPr>
        <w:t>(v)Guarantee and Security Agreement. The Guarantee and Security Agreement, duly executed and delivered by each of the parties to the Guarantee and Security Agreement.</w:t>
      </w:r>
    </w:p>
    <w:p>
      <w:pPr>
        <w:spacing w:after="0" w:line="127" w:lineRule="exact"/>
        <w:rPr>
          <w:sz w:val="20"/>
          <w:szCs w:val="20"/>
          <w:color w:val="auto"/>
        </w:rPr>
      </w:pPr>
    </w:p>
    <w:p>
      <w:pPr>
        <w:ind w:left="700" w:right="1020" w:firstLine="1500"/>
        <w:spacing w:after="0" w:line="286" w:lineRule="auto"/>
        <w:rPr>
          <w:sz w:val="20"/>
          <w:szCs w:val="20"/>
          <w:color w:val="auto"/>
        </w:rPr>
      </w:pPr>
      <w:r>
        <w:rPr>
          <w:rFonts w:ascii="Times New Roman" w:cs="Times New Roman" w:eastAsia="Times New Roman" w:hAnsi="Times New Roman"/>
          <w:sz w:val="19"/>
          <w:szCs w:val="19"/>
          <w:color w:val="auto"/>
        </w:rPr>
        <w:t>(vi)Control Agreement. A control agreement, duly executed and delivered by the Borrower, the Administrative Agent and State Street Bank and Trust Company.</w:t>
      </w:r>
    </w:p>
    <w:p>
      <w:pPr>
        <w:spacing w:after="0" w:line="127" w:lineRule="exact"/>
        <w:rPr>
          <w:sz w:val="20"/>
          <w:szCs w:val="20"/>
          <w:color w:val="auto"/>
        </w:rPr>
      </w:pPr>
    </w:p>
    <w:p>
      <w:pPr>
        <w:ind w:left="700" w:right="40" w:firstLine="1500"/>
        <w:spacing w:after="0" w:line="286" w:lineRule="auto"/>
        <w:rPr>
          <w:sz w:val="20"/>
          <w:szCs w:val="20"/>
          <w:color w:val="auto"/>
        </w:rPr>
      </w:pPr>
      <w:r>
        <w:rPr>
          <w:rFonts w:ascii="Times New Roman" w:cs="Times New Roman" w:eastAsia="Times New Roman" w:hAnsi="Times New Roman"/>
          <w:sz w:val="19"/>
          <w:szCs w:val="19"/>
          <w:color w:val="auto"/>
        </w:rPr>
        <w:t>(vii)Borrowing Base Certificate. A Borrowing Base Certificate showing a calculation of the Borrowing Base as of December 31, 2022.</w:t>
      </w:r>
    </w:p>
    <w:p>
      <w:pPr>
        <w:spacing w:after="0" w:line="127" w:lineRule="exact"/>
        <w:rPr>
          <w:sz w:val="20"/>
          <w:szCs w:val="20"/>
          <w:color w:val="auto"/>
        </w:rPr>
      </w:pPr>
    </w:p>
    <w:p>
      <w:pPr>
        <w:ind w:left="100" w:firstLine="1416"/>
        <w:spacing w:after="0" w:line="257" w:lineRule="auto"/>
        <w:rPr>
          <w:sz w:val="20"/>
          <w:szCs w:val="20"/>
          <w:color w:val="auto"/>
        </w:rPr>
      </w:pPr>
      <w:r>
        <w:rPr>
          <w:rFonts w:ascii="Times New Roman" w:cs="Times New Roman" w:eastAsia="Times New Roman" w:hAnsi="Times New Roman"/>
          <w:sz w:val="19"/>
          <w:szCs w:val="19"/>
          <w:color w:val="auto"/>
        </w:rPr>
        <w:t>(b)Liens. The Administrative Agent shall have received results of a recent lien search in each relevant jurisdiction with respect to the Borrower and the Subsidiary Guarantors, confirming that each financing statement in respect of the Liens in favor of the Collateral Agent created pursuant to the Security Documents is otherwise prior to all other financing statements or other interests reflected therein (other than any financing statement or interest in respect of liens permitted under Section 6.02 or Liens to be discharged on or prior to the Effective Date pursuant to documentation satisfactory to the Administrative Agent). All UCC financing statements and similar documents required to be filed in order to create in favor of the Collateral Agent, for the</w:t>
      </w:r>
    </w:p>
    <w:p>
      <w:pPr>
        <w:spacing w:after="0" w:line="155" w:lineRule="exact"/>
        <w:rPr>
          <w:sz w:val="20"/>
          <w:szCs w:val="20"/>
          <w:color w:val="auto"/>
        </w:rPr>
      </w:pPr>
    </w:p>
    <w:p>
      <w:pPr>
        <w:ind w:left="1020" w:hanging="810"/>
        <w:spacing w:after="0"/>
        <w:tabs>
          <w:tab w:leader="none" w:pos="1020"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11" w:name="page212"/>
    <w:bookmarkEnd w:id="211"/>
    <w:p>
      <w:pPr>
        <w:spacing w:after="0" w:line="269" w:lineRule="exact"/>
        <w:rPr>
          <w:sz w:val="20"/>
          <w:szCs w:val="20"/>
          <w:color w:val="auto"/>
        </w:rPr>
      </w:pPr>
    </w:p>
    <w:p>
      <w:pPr>
        <w:ind w:left="100" w:right="20"/>
        <w:spacing w:after="0" w:line="268" w:lineRule="auto"/>
        <w:rPr>
          <w:sz w:val="20"/>
          <w:szCs w:val="20"/>
          <w:color w:val="auto"/>
        </w:rPr>
      </w:pPr>
      <w:r>
        <w:rPr>
          <w:rFonts w:ascii="Times New Roman" w:cs="Times New Roman" w:eastAsia="Times New Roman" w:hAnsi="Times New Roman"/>
          <w:sz w:val="19"/>
          <w:szCs w:val="19"/>
          <w:color w:val="auto"/>
        </w:rPr>
        <w:t>benefit of the Lenders, a first priority perfected security interest in the Collateral (to the extent that such a security interest may be perfected by a filing under the Uniform Commercial Code) shall have been properly filed in each jurisdiction required (or arrangements for such filings acceptable to the Administrative Agent and the Collateral Agent shall have been made).</w:t>
      </w:r>
    </w:p>
    <w:p>
      <w:pPr>
        <w:spacing w:after="0" w:line="144" w:lineRule="exact"/>
        <w:rPr>
          <w:sz w:val="20"/>
          <w:szCs w:val="20"/>
          <w:color w:val="auto"/>
        </w:rPr>
      </w:pPr>
    </w:p>
    <w:p>
      <w:pPr>
        <w:ind w:left="100" w:right="140" w:firstLine="1416"/>
        <w:spacing w:after="0" w:line="257" w:lineRule="auto"/>
        <w:rPr>
          <w:sz w:val="20"/>
          <w:szCs w:val="20"/>
          <w:color w:val="auto"/>
        </w:rPr>
      </w:pPr>
      <w:r>
        <w:rPr>
          <w:rFonts w:ascii="Times New Roman" w:cs="Times New Roman" w:eastAsia="Times New Roman" w:hAnsi="Times New Roman"/>
          <w:sz w:val="19"/>
          <w:szCs w:val="19"/>
          <w:color w:val="auto"/>
        </w:rPr>
        <w:t>(c)Consents. The Borrower shall have obtained and delivered to the Administrative Agent certified copies of all consents, approvals, authorizations, registrations, or filings required to be made or obtained by the Borrower and all Subsidiary Guarantors in connection with the Transactions and any transaction being financed with the proceeds of the Loans, and such consents, approvals, authorizations, registrations, filings and orders shall be in full force and effect and all applicable waiting periods shall have expired and no investigation or inquiry by any Governmental Authority regarding the Transactions or any transaction being financed with the proceeds of the Loans shall be ongoing.</w:t>
      </w:r>
    </w:p>
    <w:p>
      <w:pPr>
        <w:spacing w:after="0" w:line="157" w:lineRule="exact"/>
        <w:rPr>
          <w:sz w:val="20"/>
          <w:szCs w:val="20"/>
          <w:color w:val="auto"/>
        </w:rPr>
      </w:pPr>
    </w:p>
    <w:p>
      <w:pPr>
        <w:ind w:left="100" w:right="20" w:firstLine="1416"/>
        <w:spacing w:after="0" w:line="286" w:lineRule="auto"/>
        <w:rPr>
          <w:sz w:val="20"/>
          <w:szCs w:val="20"/>
          <w:color w:val="auto"/>
        </w:rPr>
      </w:pPr>
      <w:r>
        <w:rPr>
          <w:rFonts w:ascii="Times New Roman" w:cs="Times New Roman" w:eastAsia="Times New Roman" w:hAnsi="Times New Roman"/>
          <w:sz w:val="19"/>
          <w:szCs w:val="19"/>
          <w:color w:val="auto"/>
        </w:rPr>
        <w:t>(d)Fees and Expenses. The Borrower shall have paid in full to the Administrative Agent and the Lenders all fees and expenses related to this Agreement and the other Loan Documents owing on the Effective Date.</w:t>
      </w:r>
    </w:p>
    <w:p>
      <w:pPr>
        <w:spacing w:after="0" w:line="127" w:lineRule="exact"/>
        <w:rPr>
          <w:sz w:val="20"/>
          <w:szCs w:val="20"/>
          <w:color w:val="auto"/>
        </w:rPr>
      </w:pPr>
    </w:p>
    <w:p>
      <w:pPr>
        <w:ind w:left="100" w:right="80" w:firstLine="1416"/>
        <w:spacing w:after="0" w:line="236" w:lineRule="exact"/>
        <w:rPr>
          <w:sz w:val="20"/>
          <w:szCs w:val="20"/>
          <w:color w:val="auto"/>
        </w:rPr>
      </w:pPr>
      <w:r>
        <w:rPr>
          <w:rFonts w:ascii="Times New Roman" w:cs="Times New Roman" w:eastAsia="Times New Roman" w:hAnsi="Times New Roman"/>
          <w:sz w:val="19"/>
          <w:szCs w:val="19"/>
          <w:color w:val="auto"/>
        </w:rPr>
        <w:t>(e)Patriot Act. The Administrative Agent and the Lenders shall have received, sufficiently in advance of the Effective Date, upon the reasonable request of the Lenders at least ten (10) Business Days prior to the Effective Date, documentation and other information required by bank regulatory authorities under applicable “know your customer” and anti-money laundering rules and regulations, including the USA PATRIOT Act (Title III of Pub. L. 107</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56 (signed into law October 26, 2001)).</w:t>
      </w:r>
    </w:p>
    <w:p>
      <w:pPr>
        <w:spacing w:after="0" w:line="161" w:lineRule="exact"/>
        <w:rPr>
          <w:sz w:val="20"/>
          <w:szCs w:val="20"/>
          <w:color w:val="auto"/>
        </w:rPr>
      </w:pPr>
    </w:p>
    <w:p>
      <w:pPr>
        <w:ind w:right="220" w:firstLine="1404"/>
        <w:spacing w:after="0" w:line="268" w:lineRule="auto"/>
        <w:rPr>
          <w:sz w:val="20"/>
          <w:szCs w:val="20"/>
          <w:color w:val="auto"/>
        </w:rPr>
      </w:pPr>
      <w:r>
        <w:rPr>
          <w:rFonts w:ascii="Times New Roman" w:cs="Times New Roman" w:eastAsia="Times New Roman" w:hAnsi="Times New Roman"/>
          <w:sz w:val="19"/>
          <w:szCs w:val="19"/>
          <w:color w:val="0000FF"/>
        </w:rPr>
        <w:t xml:space="preserve">SECTION 4.02. </w:t>
      </w:r>
      <w:r>
        <w:rPr>
          <w:rFonts w:ascii="Times New Roman" w:cs="Times New Roman" w:eastAsia="Times New Roman" w:hAnsi="Times New Roman"/>
          <w:sz w:val="19"/>
          <w:szCs w:val="19"/>
          <w:color w:val="000000"/>
        </w:rPr>
        <w:t>Each Credit Event. The obligation of each Lender to make any Loan (including, on the Second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Amendment Effective Date, the Initial Term Loan), and of each Issuing Bank to issue, amend, renew or extend any Letter of Credit, is additionally subject to the satisfaction of the following conditions:</w:t>
      </w:r>
    </w:p>
    <w:p>
      <w:pPr>
        <w:spacing w:after="0" w:line="144" w:lineRule="exact"/>
        <w:rPr>
          <w:sz w:val="20"/>
          <w:szCs w:val="20"/>
          <w:color w:val="auto"/>
        </w:rPr>
      </w:pPr>
    </w:p>
    <w:p>
      <w:pPr>
        <w:ind w:right="140" w:firstLine="1404"/>
        <w:spacing w:after="0" w:line="259" w:lineRule="auto"/>
        <w:rPr>
          <w:sz w:val="20"/>
          <w:szCs w:val="20"/>
          <w:color w:val="auto"/>
        </w:rPr>
      </w:pPr>
      <w:r>
        <w:rPr>
          <w:rFonts w:ascii="Times New Roman" w:cs="Times New Roman" w:eastAsia="Times New Roman" w:hAnsi="Times New Roman"/>
          <w:sz w:val="19"/>
          <w:szCs w:val="19"/>
          <w:color w:val="auto"/>
        </w:rPr>
        <w:t>(a)the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54" w:lineRule="exact"/>
        <w:rPr>
          <w:sz w:val="20"/>
          <w:szCs w:val="20"/>
          <w:color w:val="auto"/>
        </w:rPr>
      </w:pPr>
    </w:p>
    <w:p>
      <w:pPr>
        <w:ind w:firstLine="1404"/>
        <w:spacing w:after="0" w:line="286" w:lineRule="auto"/>
        <w:rPr>
          <w:sz w:val="20"/>
          <w:szCs w:val="20"/>
          <w:color w:val="auto"/>
        </w:rPr>
      </w:pPr>
      <w:r>
        <w:rPr>
          <w:rFonts w:ascii="Times New Roman" w:cs="Times New Roman" w:eastAsia="Times New Roman" w:hAnsi="Times New Roman"/>
          <w:sz w:val="19"/>
          <w:szCs w:val="19"/>
          <w:color w:val="auto"/>
        </w:rPr>
        <w:t>(b)at the time of and immediately after giving effect to such Loan or the issuance, amendment, renewal or extension of such Letter of Credit, as applicable, no Default shall have occurred and be continuing; and</w:t>
      </w:r>
    </w:p>
    <w:p>
      <w:pPr>
        <w:spacing w:after="0" w:line="127" w:lineRule="exact"/>
        <w:rPr>
          <w:sz w:val="20"/>
          <w:szCs w:val="20"/>
          <w:color w:val="auto"/>
        </w:rPr>
      </w:pPr>
    </w:p>
    <w:p>
      <w:pPr>
        <w:ind w:right="180" w:firstLine="1404"/>
        <w:spacing w:after="0" w:line="259" w:lineRule="auto"/>
        <w:rPr>
          <w:sz w:val="20"/>
          <w:szCs w:val="20"/>
          <w:color w:val="auto"/>
        </w:rPr>
      </w:pPr>
      <w:r>
        <w:rPr>
          <w:rFonts w:ascii="Times New Roman" w:cs="Times New Roman" w:eastAsia="Times New Roman" w:hAnsi="Times New Roman"/>
          <w:sz w:val="19"/>
          <w:szCs w:val="19"/>
          <w:color w:val="auto"/>
        </w:rPr>
        <w:t>(c)either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w:t>
      </w:r>
    </w:p>
    <w:p>
      <w:pPr>
        <w:spacing w:after="0" w:line="152" w:lineRule="exact"/>
        <w:rPr>
          <w:sz w:val="20"/>
          <w:szCs w:val="20"/>
          <w:color w:val="auto"/>
        </w:rPr>
      </w:pPr>
    </w:p>
    <w:p>
      <w:pPr>
        <w:ind w:left="1020" w:hanging="810"/>
        <w:spacing w:after="0"/>
        <w:tabs>
          <w:tab w:leader="none" w:pos="1020"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12" w:name="page213"/>
    <w:bookmarkEnd w:id="212"/>
    <w:p>
      <w:pPr>
        <w:spacing w:after="0" w:line="26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auto"/>
        </w:rPr>
        <w:t>or payment of outstanding Loans or Other Covered Indebtedness or any other Indebtedness that is included in the Covered Debt Amount at such time.</w:t>
      </w:r>
    </w:p>
    <w:p>
      <w:pPr>
        <w:spacing w:after="0" w:line="127" w:lineRule="exact"/>
        <w:rPr>
          <w:sz w:val="20"/>
          <w:szCs w:val="20"/>
          <w:color w:val="auto"/>
        </w:rPr>
      </w:pPr>
    </w:p>
    <w:p>
      <w:pPr>
        <w:ind w:right="40" w:firstLine="1404"/>
        <w:spacing w:after="0" w:line="268" w:lineRule="auto"/>
        <w:rPr>
          <w:sz w:val="20"/>
          <w:szCs w:val="20"/>
          <w:color w:val="auto"/>
        </w:rPr>
      </w:pPr>
      <w:r>
        <w:rPr>
          <w:rFonts w:ascii="Times New Roman" w:cs="Times New Roman" w:eastAsia="Times New Roman" w:hAnsi="Times New Roman"/>
          <w:sz w:val="19"/>
          <w:szCs w:val="19"/>
          <w:color w:val="auto"/>
        </w:rPr>
        <w:t>Each Borrowing (but, for the avoidance of doubt, not a continuation or conversion thereof) and each issuance, renewal or extension of a Letter of Credit shall be deemed to constitute a representation and warranty by the Borrower on the date thereof as to the matters specified in the preceding sentence.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ARTICLE V</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AFFIRMATIVE COVENANTS</w:t>
      </w:r>
    </w:p>
    <w:p>
      <w:pPr>
        <w:spacing w:after="0" w:line="202" w:lineRule="exact"/>
        <w:rPr>
          <w:sz w:val="20"/>
          <w:szCs w:val="20"/>
          <w:color w:val="auto"/>
        </w:rPr>
      </w:pPr>
    </w:p>
    <w:p>
      <w:pPr>
        <w:ind w:right="40" w:firstLine="1404"/>
        <w:spacing w:after="0" w:line="262" w:lineRule="auto"/>
        <w:rPr>
          <w:sz w:val="20"/>
          <w:szCs w:val="20"/>
          <w:color w:val="auto"/>
        </w:rPr>
      </w:pPr>
      <w:r>
        <w:rPr>
          <w:rFonts w:ascii="Times New Roman" w:cs="Times New Roman" w:eastAsia="Times New Roman" w:hAnsi="Times New Roman"/>
          <w:sz w:val="19"/>
          <w:szCs w:val="19"/>
          <w:color w:val="auto"/>
        </w:rPr>
        <w:t>Until the Commitments have expired or been terminated and the principal of and accrued interest on each Loan and all fees payable hereunder (other than Unasserted Contingent Obligations) shall have been paid in full and all Letters of Credit shall have expired, been terminated, Cash Collateralized or backstopped and all LC Disbursements shall have been reimbursed, the Borrower covenants and agrees with the Lenders that:</w:t>
      </w:r>
    </w:p>
    <w:p>
      <w:pPr>
        <w:spacing w:after="0" w:line="150" w:lineRule="exact"/>
        <w:rPr>
          <w:sz w:val="20"/>
          <w:szCs w:val="20"/>
          <w:color w:val="auto"/>
        </w:rPr>
      </w:pPr>
    </w:p>
    <w:p>
      <w:pPr>
        <w:ind w:right="60" w:firstLine="1404"/>
        <w:spacing w:after="0" w:line="286" w:lineRule="auto"/>
        <w:rPr>
          <w:sz w:val="20"/>
          <w:szCs w:val="20"/>
          <w:color w:val="auto"/>
        </w:rPr>
      </w:pPr>
      <w:r>
        <w:rPr>
          <w:rFonts w:ascii="Times New Roman" w:cs="Times New Roman" w:eastAsia="Times New Roman" w:hAnsi="Times New Roman"/>
          <w:sz w:val="19"/>
          <w:szCs w:val="19"/>
          <w:color w:val="0000FF"/>
        </w:rPr>
        <w:t xml:space="preserve">SECTION 5.01. </w:t>
      </w:r>
      <w:r>
        <w:rPr>
          <w:rFonts w:ascii="Times New Roman" w:cs="Times New Roman" w:eastAsia="Times New Roman" w:hAnsi="Times New Roman"/>
          <w:sz w:val="19"/>
          <w:szCs w:val="19"/>
          <w:color w:val="000000"/>
        </w:rPr>
        <w:t>Financial Statements and Other Information. The Borrower will furnish to the Administrative Agent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(for distribution to each Lender):</w:t>
      </w:r>
    </w:p>
    <w:p>
      <w:pPr>
        <w:spacing w:after="0" w:line="127" w:lineRule="exact"/>
        <w:rPr>
          <w:sz w:val="20"/>
          <w:szCs w:val="20"/>
          <w:color w:val="auto"/>
        </w:rPr>
      </w:pPr>
    </w:p>
    <w:p>
      <w:pPr>
        <w:ind w:left="100" w:firstLine="1416"/>
        <w:spacing w:after="0" w:line="254" w:lineRule="auto"/>
        <w:rPr>
          <w:sz w:val="20"/>
          <w:szCs w:val="20"/>
          <w:color w:val="auto"/>
        </w:rPr>
      </w:pPr>
      <w:r>
        <w:rPr>
          <w:rFonts w:ascii="Times New Roman" w:cs="Times New Roman" w:eastAsia="Times New Roman" w:hAnsi="Times New Roman"/>
          <w:sz w:val="19"/>
          <w:szCs w:val="19"/>
          <w:color w:val="auto"/>
        </w:rPr>
        <w:t>(a)within 90 days after the end of each fiscal year of the Borrower (or such longer period permitted pursuant to any orders, declarations, laws, regulations or letters issued by the Securities and Exchange Commission or any other government or regulatory authority, not to exceed one hundred twenty (120) days after the end of each fiscal year of the Borrower), commencing with the fiscal year ending December 31, 2022,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(except as disclosed therein) consistently applied; provided that the requirements set forth in this clause (a) may be fulfilled by providing to the Administrative Agent the report of the Borrower to the SEC on Form 10-K for the applicable fiscal year;</w:t>
      </w:r>
    </w:p>
    <w:p>
      <w:pPr>
        <w:spacing w:after="0" w:line="160" w:lineRule="exact"/>
        <w:rPr>
          <w:sz w:val="20"/>
          <w:szCs w:val="20"/>
          <w:color w:val="auto"/>
        </w:rPr>
      </w:pPr>
    </w:p>
    <w:p>
      <w:pPr>
        <w:ind w:left="100" w:right="100" w:firstLine="1416"/>
        <w:spacing w:after="0" w:line="255" w:lineRule="auto"/>
        <w:rPr>
          <w:sz w:val="20"/>
          <w:szCs w:val="20"/>
          <w:color w:val="auto"/>
        </w:rPr>
      </w:pPr>
      <w:r>
        <w:rPr>
          <w:rFonts w:ascii="Times New Roman" w:cs="Times New Roman" w:eastAsia="Times New Roman" w:hAnsi="Times New Roman"/>
          <w:sz w:val="19"/>
          <w:szCs w:val="19"/>
          <w:color w:val="auto"/>
        </w:rPr>
        <w:t>(b)within 45 days after the end of each of the first three fiscal quarters of each fiscal year of the Borrower (or such longer period permitted pursuant to any orders, declarations, laws, regulations or letters issued by the SEC or any other government or regulatory authority, not to exceed seventy-five (75) days after the end of each of the first three (3)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w:t>
      </w:r>
    </w:p>
    <w:p>
      <w:pPr>
        <w:spacing w:after="0" w:line="158" w:lineRule="exact"/>
        <w:rPr>
          <w:sz w:val="20"/>
          <w:szCs w:val="20"/>
          <w:color w:val="auto"/>
        </w:rPr>
      </w:pPr>
    </w:p>
    <w:p>
      <w:pPr>
        <w:ind w:left="1020" w:hanging="810"/>
        <w:spacing w:after="0"/>
        <w:tabs>
          <w:tab w:leader="none" w:pos="102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3" w:name="page214"/>
    <w:bookmarkEnd w:id="213"/>
    <w:p>
      <w:pPr>
        <w:spacing w:after="0" w:line="269" w:lineRule="exact"/>
        <w:rPr>
          <w:sz w:val="20"/>
          <w:szCs w:val="20"/>
          <w:color w:val="auto"/>
        </w:rPr>
      </w:pPr>
    </w:p>
    <w:p>
      <w:pPr>
        <w:ind w:left="100" w:right="360"/>
        <w:spacing w:after="0" w:line="262" w:lineRule="auto"/>
        <w:rPr>
          <w:sz w:val="20"/>
          <w:szCs w:val="20"/>
          <w:color w:val="auto"/>
        </w:rPr>
      </w:pPr>
      <w:r>
        <w:rPr>
          <w:rFonts w:ascii="Times New Roman" w:cs="Times New Roman" w:eastAsia="Times New Roman" w:hAnsi="Times New Roman"/>
          <w:sz w:val="19"/>
          <w:szCs w:val="19"/>
          <w:color w:val="auto"/>
        </w:rPr>
        <w:t>Borrower and its Subsidiaries on a consolidated basis in accordance with GAAP (except as disclosed therein) consistently applied, subject to normal year-end audit adjustments and the absence of footnotes; provided that the requirements set forth in this clause (b) may be fulfilled by providing to the Administrative Agent the report of the Borrower to the SEC on Form 10-Q for the applicable quarterly period;</w:t>
      </w:r>
    </w:p>
    <w:p>
      <w:pPr>
        <w:spacing w:after="0" w:line="150" w:lineRule="exact"/>
        <w:rPr>
          <w:sz w:val="20"/>
          <w:szCs w:val="20"/>
          <w:color w:val="auto"/>
        </w:rPr>
      </w:pPr>
    </w:p>
    <w:p>
      <w:pPr>
        <w:ind w:left="100" w:right="100" w:firstLine="1416"/>
        <w:spacing w:after="0" w:line="254" w:lineRule="auto"/>
        <w:rPr>
          <w:sz w:val="20"/>
          <w:szCs w:val="20"/>
          <w:color w:val="auto"/>
        </w:rPr>
      </w:pPr>
      <w:r>
        <w:rPr>
          <w:rFonts w:ascii="Times New Roman" w:cs="Times New Roman" w:eastAsia="Times New Roman" w:hAnsi="Times New Roman"/>
          <w:sz w:val="19"/>
          <w:szCs w:val="19"/>
          <w:color w:val="auto"/>
        </w:rPr>
        <w:t>(c)concurrently with any delivery of financial statements under clause (a) or (b) of this Section, a certificate of a Financial Officer of the Borrower (i) certifying as to whether the Borrower has knowledge that a Default has occurred during the applicable period and, if a Default has occurred and is continuing, specifying the details thereof and any action taken or proposed to be taken with respect thereto, (ii) setting forth reasonably detailed calculations demonstrating compliance with Sections 6.01, 6.02, 6.04 and 6.07 and (iii) stating whether any change in GAAP as applied by (or in the application of GAAP by) the Borrower has occurred since the Effective Date (but only if the Borrower has not previously reported such change to the Administrative Agent and if such change has had a material effect on the financial statements) and, if any such change has occurred, specifying the effect (unless such effect has been previously reported) as determined by the Borrower of such change on the financial statements accompanying such certificate; provided that the requirements set forth in this clause (c)(iii) may be fulfilled by providing to the Administrative Agent the report of the Borrower to the SEC on Form 10-Q for the applicable quarterly period;</w:t>
      </w:r>
    </w:p>
    <w:p>
      <w:pPr>
        <w:spacing w:after="0" w:line="160" w:lineRule="exact"/>
        <w:rPr>
          <w:sz w:val="20"/>
          <w:szCs w:val="20"/>
          <w:color w:val="auto"/>
        </w:rPr>
      </w:pPr>
    </w:p>
    <w:p>
      <w:pPr>
        <w:ind w:right="40" w:firstLine="1404"/>
        <w:spacing w:after="0" w:line="257" w:lineRule="auto"/>
        <w:rPr>
          <w:sz w:val="20"/>
          <w:szCs w:val="20"/>
          <w:color w:val="auto"/>
        </w:rPr>
      </w:pPr>
      <w:r>
        <w:rPr>
          <w:rFonts w:ascii="Times New Roman" w:cs="Times New Roman" w:eastAsia="Times New Roman" w:hAnsi="Times New Roman"/>
          <w:sz w:val="19"/>
          <w:szCs w:val="19"/>
          <w:color w:val="auto"/>
        </w:rPr>
        <w:t>(d)as soon as available and in any event not later than 20 days after the end of each monthly accounting period (ending on the last day of each calendar month) of the Borrower and its Subsidiaries, a Borrowing Base Certificate as at the last day of such accounting period which shall include the ratio of the Borrowing Base to the Combined Debt Amount (showing the components of the Combined Debt Amount); provided that if during such monthly accounting period the Borrower had declared or made any Restricted Payment pursuant to Section 6.05(d), such Borrowing Base Certificate shall certify that the condition set forth in Section 6.05(d)(x) was satisfied on the date of each such Restricted Payment;</w:t>
      </w:r>
    </w:p>
    <w:p>
      <w:pPr>
        <w:spacing w:after="0" w:line="157"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(e)promptly but no later than five (5)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of the Borrower obtained knowledge of such deficiency and the amount of the Borrowing Base Deficiency as of the date not earlier than one Business Day prior to the date the Borrowing Base Certificate is delivered pursuant to this paragraph;</w:t>
      </w:r>
    </w:p>
    <w:p>
      <w:pPr>
        <w:spacing w:after="0" w:line="154" w:lineRule="exact"/>
        <w:rPr>
          <w:sz w:val="20"/>
          <w:szCs w:val="20"/>
          <w:color w:val="auto"/>
        </w:rPr>
      </w:pPr>
    </w:p>
    <w:p>
      <w:pPr>
        <w:ind w:left="100" w:right="100" w:firstLine="1416"/>
        <w:spacing w:after="0" w:line="259" w:lineRule="auto"/>
        <w:rPr>
          <w:sz w:val="20"/>
          <w:szCs w:val="20"/>
          <w:color w:val="auto"/>
        </w:rPr>
      </w:pPr>
      <w:r>
        <w:rPr>
          <w:rFonts w:ascii="Times New Roman" w:cs="Times New Roman" w:eastAsia="Times New Roman" w:hAnsi="Times New Roman"/>
          <w:sz w:val="19"/>
          <w:szCs w:val="19"/>
          <w:color w:val="auto"/>
        </w:rPr>
        <w:t>(f)promptly upon receipt thereof, copies of all significant written reports submitted to management or the board of directors of the Borrower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 (other than the periodic reports that the Borrower’s independent auditors provide, in the ordinary course, to the audit committee of the Borrower’s board of directors);</w:t>
      </w:r>
    </w:p>
    <w:p>
      <w:pPr>
        <w:spacing w:after="0" w:line="152" w:lineRule="exact"/>
        <w:rPr>
          <w:sz w:val="20"/>
          <w:szCs w:val="20"/>
          <w:color w:val="auto"/>
        </w:rPr>
      </w:pPr>
    </w:p>
    <w:p>
      <w:pPr>
        <w:ind w:left="1020" w:hanging="810"/>
        <w:spacing w:after="0"/>
        <w:tabs>
          <w:tab w:leader="none" w:pos="102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4" w:name="page215"/>
    <w:bookmarkEnd w:id="214"/>
    <w:p>
      <w:pPr>
        <w:spacing w:after="0" w:line="269" w:lineRule="exact"/>
        <w:rPr>
          <w:sz w:val="20"/>
          <w:szCs w:val="20"/>
          <w:color w:val="auto"/>
        </w:rPr>
      </w:pPr>
    </w:p>
    <w:p>
      <w:pPr>
        <w:ind w:right="260" w:firstLine="1404"/>
        <w:spacing w:after="0" w:line="262" w:lineRule="auto"/>
        <w:rPr>
          <w:sz w:val="20"/>
          <w:szCs w:val="20"/>
          <w:color w:val="auto"/>
        </w:rPr>
      </w:pPr>
      <w:r>
        <w:rPr>
          <w:rFonts w:ascii="Times New Roman" w:cs="Times New Roman" w:eastAsia="Times New Roman" w:hAnsi="Times New Roman"/>
          <w:sz w:val="19"/>
          <w:szCs w:val="19"/>
          <w:color w:val="auto"/>
        </w:rPr>
        <w:t>(g)promptly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pacing w:after="0" w:line="150" w:lineRule="exact"/>
        <w:rPr>
          <w:sz w:val="20"/>
          <w:szCs w:val="20"/>
          <w:color w:val="auto"/>
        </w:rPr>
      </w:pPr>
    </w:p>
    <w:p>
      <w:pPr>
        <w:ind w:right="500" w:firstLine="1404"/>
        <w:spacing w:after="0" w:line="268" w:lineRule="auto"/>
        <w:rPr>
          <w:sz w:val="20"/>
          <w:szCs w:val="20"/>
          <w:color w:val="auto"/>
        </w:rPr>
      </w:pPr>
      <w:r>
        <w:rPr>
          <w:rFonts w:ascii="Times New Roman" w:cs="Times New Roman" w:eastAsia="Times New Roman" w:hAnsi="Times New Roman"/>
          <w:sz w:val="19"/>
          <w:szCs w:val="19"/>
          <w:color w:val="auto"/>
        </w:rPr>
        <w:t>(h)promptly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(acting through the Administrative Agent) may reasonably request.</w:t>
      </w:r>
    </w:p>
    <w:p>
      <w:pPr>
        <w:spacing w:after="0" w:line="144"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(i)Borrower and each Lender acknowledge that certain of the Lenders may be Public Lenders and, if documents or notices required to be delivered pursuant to this Section 5.01 or otherwise are being distributed through IntraLinks/IntraAgency, SyndTrak or another relevant website or other information platform (the “Platform”),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Section 5.01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Section 5.13 of this Agreement).</w:t>
      </w:r>
    </w:p>
    <w:p>
      <w:pPr>
        <w:spacing w:after="0" w:line="15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(j)Notwithstanding anything to the contrary herein, the requirements to deliver documents set forth in Section 5.01(a),</w:t>
      </w:r>
    </w:p>
    <w:p>
      <w:pPr>
        <w:spacing w:after="0" w:line="32" w:lineRule="exact"/>
        <w:rPr>
          <w:sz w:val="20"/>
          <w:szCs w:val="20"/>
          <w:color w:val="auto"/>
        </w:rPr>
      </w:pPr>
    </w:p>
    <w:p>
      <w:pPr>
        <w:jc w:val="both"/>
        <w:ind w:right="220" w:firstLine="6"/>
        <w:spacing w:after="0" w:line="256" w:lineRule="auto"/>
        <w:tabs>
          <w:tab w:leader="none" w:pos="276"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(g) will be fulfilled by filing by the Borrower of the applicable documents for public availability on the SEC’s Electronic Data Gathering and Retrieval system; provided, that the Borrower shall notify the Administrative Agent (by telecopier or electronic mail) of the posting of any such documents.</w:t>
      </w:r>
    </w:p>
    <w:p>
      <w:pPr>
        <w:spacing w:after="0" w:line="155" w:lineRule="exact"/>
        <w:rPr>
          <w:sz w:val="20"/>
          <w:szCs w:val="20"/>
          <w:color w:val="auto"/>
        </w:rPr>
      </w:pPr>
    </w:p>
    <w:p>
      <w:pPr>
        <w:ind w:right="140" w:firstLine="1404"/>
        <w:spacing w:after="0" w:line="286" w:lineRule="auto"/>
        <w:rPr>
          <w:sz w:val="20"/>
          <w:szCs w:val="20"/>
          <w:color w:val="auto"/>
        </w:rPr>
      </w:pPr>
      <w:r>
        <w:rPr>
          <w:rFonts w:ascii="Times New Roman" w:cs="Times New Roman" w:eastAsia="Times New Roman" w:hAnsi="Times New Roman"/>
          <w:sz w:val="19"/>
          <w:szCs w:val="19"/>
          <w:color w:val="0000FF"/>
        </w:rPr>
        <w:t xml:space="preserve">SECTION 5.02. </w:t>
      </w:r>
      <w:r>
        <w:rPr>
          <w:rFonts w:ascii="Times New Roman" w:cs="Times New Roman" w:eastAsia="Times New Roman" w:hAnsi="Times New Roman"/>
          <w:sz w:val="19"/>
          <w:szCs w:val="19"/>
          <w:color w:val="000000"/>
        </w:rPr>
        <w:t>Notices of Material Events. The Borrower will furnish to the Administrative Agent (for distribution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to each Lender) prompt written notice upon any Responsible Officer obtaining knowledge of the following:</w:t>
      </w:r>
    </w:p>
    <w:p>
      <w:pPr>
        <w:spacing w:after="0" w:line="1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(a)the occurrence of any Default;</w:t>
      </w:r>
    </w:p>
    <w:p>
      <w:pPr>
        <w:spacing w:after="0" w:line="202"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auto"/>
        </w:rPr>
        <w:t>(b)the filing or commencement of any action, suit or proceeding by or before any arbitrator or Governmental Authority against the Borrower or any of its Subsidiaries that, if adversely determined, would reasonably be expected to result in a Material Adverse Effect;</w:t>
      </w:r>
    </w:p>
    <w:p>
      <w:pPr>
        <w:spacing w:after="0" w:line="144" w:lineRule="exact"/>
        <w:rPr>
          <w:sz w:val="20"/>
          <w:szCs w:val="20"/>
          <w:color w:val="auto"/>
        </w:rPr>
      </w:pPr>
    </w:p>
    <w:p>
      <w:pPr>
        <w:ind w:right="280" w:firstLine="1404"/>
        <w:spacing w:after="0" w:line="268" w:lineRule="auto"/>
        <w:rPr>
          <w:sz w:val="20"/>
          <w:szCs w:val="20"/>
          <w:color w:val="auto"/>
        </w:rPr>
      </w:pPr>
      <w:r>
        <w:rPr>
          <w:rFonts w:ascii="Times New Roman" w:cs="Times New Roman" w:eastAsia="Times New Roman" w:hAnsi="Times New Roman"/>
          <w:sz w:val="19"/>
          <w:szCs w:val="19"/>
          <w:color w:val="auto"/>
        </w:rPr>
        <w:t>(c)the occurrence of any ERISA Event that, alone or together with any other ERISA Events that have occurred after the Effective Date, would reasonably be expected to result in liability of the Borrower and its Subsidiaries in an aggregate amount exceeding $50,000,000; and</w:t>
      </w:r>
    </w:p>
    <w:p>
      <w:pPr>
        <w:spacing w:after="0" w:line="142" w:lineRule="exact"/>
        <w:rPr>
          <w:sz w:val="20"/>
          <w:szCs w:val="20"/>
          <w:color w:val="auto"/>
        </w:rPr>
      </w:pPr>
    </w:p>
    <w:p>
      <w:pPr>
        <w:ind w:left="1020" w:hanging="810"/>
        <w:spacing w:after="0"/>
        <w:tabs>
          <w:tab w:leader="none" w:pos="102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5" w:name="page216"/>
    <w:bookmarkEnd w:id="215"/>
    <w:p>
      <w:pPr>
        <w:spacing w:after="0" w:line="269" w:lineRule="exact"/>
        <w:rPr>
          <w:sz w:val="20"/>
          <w:szCs w:val="20"/>
          <w:color w:val="auto"/>
        </w:rPr>
      </w:pPr>
    </w:p>
    <w:p>
      <w:pPr>
        <w:ind w:right="40" w:firstLine="1404"/>
        <w:spacing w:after="0" w:line="268" w:lineRule="auto"/>
        <w:rPr>
          <w:sz w:val="20"/>
          <w:szCs w:val="20"/>
          <w:color w:val="auto"/>
        </w:rPr>
      </w:pPr>
      <w:r>
        <w:rPr>
          <w:rFonts w:ascii="Times New Roman" w:cs="Times New Roman" w:eastAsia="Times New Roman" w:hAnsi="Times New Roman"/>
          <w:sz w:val="19"/>
          <w:szCs w:val="19"/>
          <w:color w:val="auto"/>
        </w:rPr>
        <w:t>(d)any other development (excluding matters of a general economic, financial or political nature to the extent that they could not reasonably be expected to have a disproportionate effect on the Borrower) that results in, or would reasonably be expected to result in, a Material Adverse Effect.</w:t>
      </w:r>
    </w:p>
    <w:p>
      <w:pPr>
        <w:spacing w:after="0" w:line="144" w:lineRule="exact"/>
        <w:rPr>
          <w:sz w:val="20"/>
          <w:szCs w:val="20"/>
          <w:color w:val="auto"/>
        </w:rPr>
      </w:pPr>
    </w:p>
    <w:p>
      <w:pPr>
        <w:jc w:val="both"/>
        <w:ind w:right="60" w:firstLine="1404"/>
        <w:spacing w:after="0" w:line="268" w:lineRule="auto"/>
        <w:rPr>
          <w:sz w:val="20"/>
          <w:szCs w:val="20"/>
          <w:color w:val="auto"/>
        </w:rPr>
      </w:pPr>
      <w:r>
        <w:rPr>
          <w:rFonts w:ascii="Times New Roman" w:cs="Times New Roman" w:eastAsia="Times New Roman" w:hAnsi="Times New Roman"/>
          <w:sz w:val="19"/>
          <w:szCs w:val="19"/>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44" w:lineRule="exact"/>
        <w:rPr>
          <w:sz w:val="20"/>
          <w:szCs w:val="20"/>
          <w:color w:val="auto"/>
        </w:rPr>
      </w:pPr>
    </w:p>
    <w:p>
      <w:pPr>
        <w:ind w:right="100" w:firstLine="1404"/>
        <w:spacing w:after="0" w:line="262" w:lineRule="auto"/>
        <w:rPr>
          <w:sz w:val="20"/>
          <w:szCs w:val="20"/>
          <w:color w:val="auto"/>
        </w:rPr>
      </w:pPr>
      <w:r>
        <w:rPr>
          <w:rFonts w:ascii="Times New Roman" w:cs="Times New Roman" w:eastAsia="Times New Roman" w:hAnsi="Times New Roman"/>
          <w:sz w:val="19"/>
          <w:szCs w:val="19"/>
          <w:color w:val="0000FF"/>
        </w:rPr>
        <w:t xml:space="preserve">SECTION 5.03. </w:t>
      </w:r>
      <w:r>
        <w:rPr>
          <w:rFonts w:ascii="Times New Roman" w:cs="Times New Roman" w:eastAsia="Times New Roman" w:hAnsi="Times New Roman"/>
          <w:sz w:val="19"/>
          <w:szCs w:val="19"/>
          <w:color w:val="000000"/>
        </w:rPr>
        <w:t>Existence: Conduct of Business. The Borrower will, and will cause each of its Subsidiaries (other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than Immaterial Subsidiaries) to, do or cause to be done all things necessary to preserve, renew and keep in full force and effect its legal existence and the rights, licenses, permits, privileges and franchises material to the conduct of its business; provided that the foregoing shall not prohibit any merger, consolidation, liquidation or dissolution not prohibited under Section 6.03.</w:t>
      </w:r>
    </w:p>
    <w:p>
      <w:pPr>
        <w:spacing w:after="0" w:line="150" w:lineRule="exact"/>
        <w:rPr>
          <w:sz w:val="20"/>
          <w:szCs w:val="20"/>
          <w:color w:val="auto"/>
        </w:rPr>
      </w:pPr>
    </w:p>
    <w:p>
      <w:pPr>
        <w:ind w:right="20" w:firstLine="1404"/>
        <w:spacing w:after="0" w:line="257" w:lineRule="auto"/>
        <w:rPr>
          <w:sz w:val="20"/>
          <w:szCs w:val="20"/>
          <w:color w:val="auto"/>
        </w:rPr>
      </w:pPr>
      <w:r>
        <w:rPr>
          <w:rFonts w:ascii="Times New Roman" w:cs="Times New Roman" w:eastAsia="Times New Roman" w:hAnsi="Times New Roman"/>
          <w:sz w:val="19"/>
          <w:szCs w:val="19"/>
          <w:color w:val="0000FF"/>
        </w:rPr>
        <w:t xml:space="preserve">SECTION 5.04. </w:t>
      </w:r>
      <w:r>
        <w:rPr>
          <w:rFonts w:ascii="Times New Roman" w:cs="Times New Roman" w:eastAsia="Times New Roman" w:hAnsi="Times New Roman"/>
          <w:sz w:val="19"/>
          <w:szCs w:val="19"/>
          <w:color w:val="000000"/>
        </w:rPr>
        <w:t>Payment of Obligations. The Borrower will, and will cause each of its Subsidiaries to, pay its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57" w:lineRule="exact"/>
        <w:rPr>
          <w:sz w:val="20"/>
          <w:szCs w:val="20"/>
          <w:color w:val="auto"/>
        </w:rPr>
      </w:pPr>
    </w:p>
    <w:p>
      <w:pPr>
        <w:ind w:right="140" w:firstLine="1404"/>
        <w:spacing w:after="0" w:line="256" w:lineRule="auto"/>
        <w:rPr>
          <w:sz w:val="20"/>
          <w:szCs w:val="20"/>
          <w:color w:val="auto"/>
        </w:rPr>
      </w:pPr>
      <w:r>
        <w:rPr>
          <w:rFonts w:ascii="Times New Roman" w:cs="Times New Roman" w:eastAsia="Times New Roman" w:hAnsi="Times New Roman"/>
          <w:sz w:val="19"/>
          <w:szCs w:val="19"/>
          <w:color w:val="0000FF"/>
        </w:rPr>
        <w:t xml:space="preserve">SECTION 5.05. </w:t>
      </w:r>
      <w:r>
        <w:rPr>
          <w:rFonts w:ascii="Times New Roman" w:cs="Times New Roman" w:eastAsia="Times New Roman" w:hAnsi="Times New Roman"/>
          <w:sz w:val="19"/>
          <w:szCs w:val="19"/>
          <w:color w:val="000000"/>
        </w:rPr>
        <w:t>Maintenance of Properties; Insurance. The Borrower will, and will cause each of its Subsidiaries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(other than Immaterial Subsidiaries) to, (a) keep and maintain all property material to the conduct of its business in good working order and condition, ordinary wear and tear excepted except where failure to keep or maintain would not reasonably be expected to result in a Material Adverse Effect; provided that the foregoing shall not prohibit any merger, consolidation, liquidation or dissolution not prohibited under Section 6.03,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57"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0000FF"/>
        </w:rPr>
        <w:t xml:space="preserve">SECTION 5.06. </w:t>
      </w:r>
      <w:r>
        <w:rPr>
          <w:rFonts w:ascii="Times New Roman" w:cs="Times New Roman" w:eastAsia="Times New Roman" w:hAnsi="Times New Roman"/>
          <w:sz w:val="19"/>
          <w:szCs w:val="19"/>
          <w:color w:val="000000"/>
        </w:rPr>
        <w:t>Books and Records; Inspection and Audit Rights. The Borrower will, and will cause each of its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Subsidiaries to, keep books of record and account in accordance with GAAP in all material respects. The Borrower will, and will cause each other Obligor to, permit any representatives designated by the Administrative Agent or any Lender, upon reasonable prior notice, to visit and inspect its properties during business hours, to examine and make extracts from its books and records (but only to the extent the Borrower is not prohibited from disclosing such information or providing access to such information pursuant to applicable law or an agreement any Obligor entered into with a third party in the ordinary course of its business), and to discuss its affairs, finances and condition with its officers and independent accountants, all at such reasonable times and as often as reasonably requested, in each case, to the extent such inspection or requests for such information are reasonable and such information can</w:t>
      </w:r>
    </w:p>
    <w:p>
      <w:pPr>
        <w:spacing w:after="0" w:line="158" w:lineRule="exact"/>
        <w:rPr>
          <w:sz w:val="20"/>
          <w:szCs w:val="20"/>
          <w:color w:val="auto"/>
        </w:rPr>
      </w:pPr>
    </w:p>
    <w:p>
      <w:pPr>
        <w:ind w:left="1020" w:hanging="810"/>
        <w:spacing w:after="0"/>
        <w:tabs>
          <w:tab w:leader="none" w:pos="102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6" w:name="page217"/>
    <w:bookmarkEnd w:id="216"/>
    <w:p>
      <w:pPr>
        <w:spacing w:after="0" w:line="2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be provided or discussed without violation of law, rule, regulation or contract; provided that (i) the Borrower or such Obligor shall be entitled to have its representatives and advisors present during any inspection of its books and records and (ii) unless an Event of Default shall have occurred and be continuing, the Borrower’s obligation to reimburse any costs and expenses incurred by the Administrative Agent and the Lenders in connection with any such inspection shall be limited to one inspection per calendar year.</w:t>
      </w:r>
    </w:p>
    <w:p>
      <w:pPr>
        <w:spacing w:after="0" w:line="150"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0000FF"/>
        </w:rPr>
        <w:t xml:space="preserve">SECTION 5.07. </w:t>
      </w:r>
      <w:r>
        <w:rPr>
          <w:rFonts w:ascii="Times New Roman" w:cs="Times New Roman" w:eastAsia="Times New Roman" w:hAnsi="Times New Roman"/>
          <w:sz w:val="19"/>
          <w:szCs w:val="19"/>
          <w:color w:val="000000"/>
        </w:rPr>
        <w:t>Compliance with Laws. The Borrower will, and will cause each of its Subsidiaries to, comply with</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all laws, rules, regulations, including the Investment Company Act and the Outbound Investment Rules,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5.08. </w:t>
      </w:r>
      <w:r>
        <w:rPr>
          <w:rFonts w:ascii="Times New Roman" w:cs="Times New Roman" w:eastAsia="Times New Roman" w:hAnsi="Times New Roman"/>
          <w:sz w:val="19"/>
          <w:szCs w:val="19"/>
          <w:color w:val="000000"/>
        </w:rPr>
        <w:t>Certain Obligations Respecting Subsidiaries; Further Assurances.</w:t>
      </w:r>
    </w:p>
    <w:p>
      <w:pPr>
        <w:spacing w:after="0" w:line="202" w:lineRule="exact"/>
        <w:rPr>
          <w:sz w:val="20"/>
          <w:szCs w:val="20"/>
          <w:color w:val="auto"/>
        </w:rPr>
      </w:pPr>
    </w:p>
    <w:p>
      <w:pPr>
        <w:ind w:left="100" w:right="40" w:firstLine="1416"/>
        <w:spacing w:after="0" w:line="254" w:lineRule="auto"/>
        <w:rPr>
          <w:sz w:val="20"/>
          <w:szCs w:val="20"/>
          <w:color w:val="auto"/>
        </w:rPr>
      </w:pPr>
      <w:r>
        <w:rPr>
          <w:rFonts w:ascii="Times New Roman" w:cs="Times New Roman" w:eastAsia="Times New Roman" w:hAnsi="Times New Roman"/>
          <w:sz w:val="19"/>
          <w:szCs w:val="19"/>
          <w:color w:val="auto"/>
        </w:rPr>
        <w:t>(a)Subsidiary Guarantors. In the event that (i) the Borrower or any the Subsidiary Guarantors shall form or acquire any new Subsidiary (other than a Financing Subsidiary, a Foreign Subsidiary, an Immaterial Subsidiary or a Subsidiary of a Foreign Subsidiary) or (ii) any Financing Subsidiary, Foreign Subsidiary, Immaterial Subsidiary or Subsidiary of a Foreign Subsidiary shall not longer constitute a “Financing Subsidiary”, “Foreign Subsidiary”, “Immaterial Subsidiary” or “Subsidiary of a Foreign Subsidiary”, as applicable, pursuant to the definition thereof (in which case such Person shall be deemed to be a “new” Subsidiary for purposes of Section 5.08 as of such date),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(unless waived by the Administrative Agent) and other documents as is consistent with those delivered by the Borrower pursuant to Section 4.01 upon the Effective Date or as the Administrative Agent shall have reasonably requested.</w:t>
      </w:r>
    </w:p>
    <w:p>
      <w:pPr>
        <w:spacing w:after="0" w:line="160" w:lineRule="exact"/>
        <w:rPr>
          <w:sz w:val="20"/>
          <w:szCs w:val="20"/>
          <w:color w:val="auto"/>
        </w:rPr>
      </w:pPr>
    </w:p>
    <w:p>
      <w:pPr>
        <w:ind w:right="300" w:firstLine="1404"/>
        <w:spacing w:after="0" w:line="286" w:lineRule="auto"/>
        <w:rPr>
          <w:sz w:val="20"/>
          <w:szCs w:val="20"/>
          <w:color w:val="auto"/>
        </w:rPr>
      </w:pPr>
      <w:r>
        <w:rPr>
          <w:rFonts w:ascii="Times New Roman" w:cs="Times New Roman" w:eastAsia="Times New Roman" w:hAnsi="Times New Roman"/>
          <w:sz w:val="19"/>
          <w:szCs w:val="19"/>
          <w:color w:val="auto"/>
        </w:rPr>
        <w:t>(b)Ownership of Subsidiaries. The Borrower will, and will cause each of its Subsidiaries to, take such action from time to time as shall be necessary to ensure that each of its Subsidiaries is a wholly owned Subsidiary.</w:t>
      </w:r>
    </w:p>
    <w:p>
      <w:pPr>
        <w:spacing w:after="0" w:line="127"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(c)Further Assurances.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w:t>
      </w:r>
    </w:p>
    <w:p>
      <w:pPr>
        <w:spacing w:after="0" w:line="152" w:lineRule="exact"/>
        <w:rPr>
          <w:sz w:val="20"/>
          <w:szCs w:val="20"/>
          <w:color w:val="auto"/>
        </w:rPr>
      </w:pPr>
    </w:p>
    <w:p>
      <w:pPr>
        <w:ind w:left="1020" w:hanging="810"/>
        <w:spacing w:after="0"/>
        <w:tabs>
          <w:tab w:leader="none" w:pos="102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17" w:name="page218"/>
    <w:bookmarkEnd w:id="217"/>
    <w:p>
      <w:pPr>
        <w:spacing w:after="0" w:line="269" w:lineRule="exact"/>
        <w:rPr>
          <w:sz w:val="20"/>
          <w:szCs w:val="20"/>
          <w:color w:val="auto"/>
        </w:rPr>
      </w:pPr>
    </w:p>
    <w:p>
      <w:pPr>
        <w:ind w:left="700" w:right="80" w:firstLine="744"/>
        <w:spacing w:after="0" w:line="262" w:lineRule="auto"/>
        <w:rPr>
          <w:sz w:val="20"/>
          <w:szCs w:val="20"/>
          <w:color w:val="auto"/>
        </w:rPr>
      </w:pPr>
      <w:r>
        <w:rPr>
          <w:rFonts w:ascii="Times New Roman" w:cs="Times New Roman" w:eastAsia="Times New Roman" w:hAnsi="Times New Roman"/>
          <w:sz w:val="19"/>
          <w:szCs w:val="19"/>
          <w:color w:val="auto"/>
        </w:rPr>
        <w:t>(i)to create, in favor of the Collateral Agent for the benefit of the Lenders (and any affiliate thereof that is a party to any Hedging Agreement entered into with the Borrower) and the holders of any Secured Longer- Term Indebtedness or Secured Shorter-Term Indebtedness, perfected security interests and Liens in the Collateral; provided that any such security interest or Lien shall be subject to the relevant requirements of the Security Documents;</w:t>
      </w:r>
    </w:p>
    <w:p>
      <w:pPr>
        <w:spacing w:after="0" w:line="150" w:lineRule="exact"/>
        <w:rPr>
          <w:sz w:val="20"/>
          <w:szCs w:val="20"/>
          <w:color w:val="auto"/>
        </w:rPr>
      </w:pPr>
    </w:p>
    <w:p>
      <w:pPr>
        <w:ind w:left="700" w:right="100" w:firstLine="744"/>
        <w:spacing w:after="0" w:line="262" w:lineRule="auto"/>
        <w:rPr>
          <w:sz w:val="20"/>
          <w:szCs w:val="20"/>
          <w:color w:val="auto"/>
        </w:rPr>
      </w:pPr>
      <w:r>
        <w:rPr>
          <w:rFonts w:ascii="Times New Roman" w:cs="Times New Roman" w:eastAsia="Times New Roman" w:hAnsi="Times New Roman"/>
          <w:sz w:val="19"/>
          <w:szCs w:val="19"/>
          <w:color w:val="auto"/>
        </w:rPr>
        <w:t>(ii)in the case of any portfolio investment held by a Financing Subsidiary or an Immaterial Subsidiary, including any cash collection related thereto, ensure that such portfolio investment shall not be held in the account of any Obligor subject to a control agreement among the Obligor, the Collateral Agent and the Custodian delivered in connection with this Agreement or any other Loan Document;</w:t>
      </w:r>
    </w:p>
    <w:p>
      <w:pPr>
        <w:spacing w:after="0" w:line="150" w:lineRule="exact"/>
        <w:rPr>
          <w:sz w:val="20"/>
          <w:szCs w:val="20"/>
          <w:color w:val="auto"/>
        </w:rPr>
      </w:pPr>
    </w:p>
    <w:p>
      <w:pPr>
        <w:ind w:left="700" w:firstLine="744"/>
        <w:spacing w:after="0" w:line="255" w:lineRule="auto"/>
        <w:rPr>
          <w:sz w:val="20"/>
          <w:szCs w:val="20"/>
          <w:color w:val="auto"/>
        </w:rPr>
      </w:pPr>
      <w:r>
        <w:rPr>
          <w:rFonts w:ascii="Times New Roman" w:cs="Times New Roman" w:eastAsia="Times New Roman" w:hAnsi="Times New Roman"/>
          <w:sz w:val="19"/>
          <w:szCs w:val="19"/>
          <w:color w:val="auto"/>
        </w:rPr>
        <w:t>(iii)in the case of any Portfolio Investment consisting of a Bank Loan (as defined in Section 5.13) that does not constitute all of the credit extended to the underlying borrower under the relevant underlying loan documents and a Financing Subsidiary or Immaterial Subsidiary holds any interest in the loans or other extensions of credit under such loan documents, (x) to cause such Financing Subsidiary or Immaterial Subsidiary to be party to such underlying loan documents as a “lender” having a direct interest (or a participation not acquired from an Obligor) in such underlying loan documents and the extensions of credit thereunder and (y) to ensure that all amounts owing to such Obligor, Immaterial Subsidiary or Financing Subsidiary by the underlying borrower or other obligated party are remitted by such borrower or obligated party directly to separate accounts of such Obligor, such Immaterial Subsidiary and such Financing Subsidiary;</w:t>
      </w:r>
    </w:p>
    <w:p>
      <w:pPr>
        <w:spacing w:after="0" w:line="160" w:lineRule="exact"/>
        <w:rPr>
          <w:sz w:val="20"/>
          <w:szCs w:val="20"/>
          <w:color w:val="auto"/>
        </w:rPr>
      </w:pPr>
    </w:p>
    <w:p>
      <w:pPr>
        <w:ind w:left="700" w:firstLine="744"/>
        <w:spacing w:after="0" w:line="262" w:lineRule="auto"/>
        <w:rPr>
          <w:sz w:val="20"/>
          <w:szCs w:val="20"/>
          <w:color w:val="auto"/>
        </w:rPr>
      </w:pPr>
      <w:r>
        <w:rPr>
          <w:rFonts w:ascii="Times New Roman" w:cs="Times New Roman" w:eastAsia="Times New Roman" w:hAnsi="Times New Roman"/>
          <w:sz w:val="19"/>
          <w:szCs w:val="19"/>
          <w:color w:val="auto"/>
        </w:rPr>
        <w:t>(iv)in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w:t>
      </w:r>
    </w:p>
    <w:p>
      <w:pPr>
        <w:spacing w:after="0" w:line="150" w:lineRule="exact"/>
        <w:rPr>
          <w:sz w:val="20"/>
          <w:szCs w:val="20"/>
          <w:color w:val="auto"/>
        </w:rPr>
      </w:pPr>
    </w:p>
    <w:p>
      <w:pPr>
        <w:ind w:left="700" w:right="240" w:firstLine="744"/>
        <w:spacing w:after="0" w:line="262" w:lineRule="auto"/>
        <w:rPr>
          <w:sz w:val="20"/>
          <w:szCs w:val="20"/>
          <w:color w:val="auto"/>
        </w:rPr>
      </w:pPr>
      <w:r>
        <w:rPr>
          <w:rFonts w:ascii="Times New Roman" w:cs="Times New Roman" w:eastAsia="Times New Roman" w:hAnsi="Times New Roman"/>
          <w:sz w:val="19"/>
          <w:szCs w:val="19"/>
          <w:color w:val="auto"/>
        </w:rPr>
        <w:t>(v)if an Event of Default has occurred and is continuing,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150" w:lineRule="exact"/>
        <w:rPr>
          <w:sz w:val="20"/>
          <w:szCs w:val="20"/>
          <w:color w:val="auto"/>
        </w:rPr>
      </w:pPr>
    </w:p>
    <w:p>
      <w:pPr>
        <w:ind w:right="220" w:firstLine="1404"/>
        <w:spacing w:after="0" w:line="257" w:lineRule="auto"/>
        <w:rPr>
          <w:sz w:val="20"/>
          <w:szCs w:val="20"/>
          <w:color w:val="auto"/>
        </w:rPr>
      </w:pPr>
      <w:r>
        <w:rPr>
          <w:rFonts w:ascii="Times New Roman" w:cs="Times New Roman" w:eastAsia="Times New Roman" w:hAnsi="Times New Roman"/>
          <w:sz w:val="19"/>
          <w:szCs w:val="19"/>
          <w:color w:val="0000FF"/>
        </w:rPr>
        <w:t xml:space="preserve">SECTION 5.09. </w:t>
      </w:r>
      <w:r>
        <w:rPr>
          <w:rFonts w:ascii="Times New Roman" w:cs="Times New Roman" w:eastAsia="Times New Roman" w:hAnsi="Times New Roman"/>
          <w:sz w:val="19"/>
          <w:szCs w:val="19"/>
          <w:color w:val="000000"/>
        </w:rPr>
        <w:t>Use of Proceeds. The Borrower will use the proceeds of the Loans only for general corporate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purposes of the Borrower, including the acquisition and funding (either directly or through one or more wholly-owned Subsidiaries) of leveraged loans, mezzanine loans, high-yield securities, convertible securities, preferred stock, common stock and other Portfolio Investments; provided that neither the Administrative Agent nor any Lender shall have any responsibility as to the use of any of such proceeds. No part of the proceeds of any Loan will be used in violation of (a) applicable law or, directly or indirectly, for the purpose, whether immediate, incidental or ultimate, of buying or carrying any Margin Stock or (b) Section 3.16.</w:t>
      </w:r>
    </w:p>
    <w:p>
      <w:pPr>
        <w:spacing w:after="0" w:line="155" w:lineRule="exact"/>
        <w:rPr>
          <w:sz w:val="20"/>
          <w:szCs w:val="20"/>
          <w:color w:val="auto"/>
        </w:rPr>
      </w:pPr>
    </w:p>
    <w:p>
      <w:pPr>
        <w:ind w:left="1020" w:hanging="810"/>
        <w:spacing w:after="0"/>
        <w:tabs>
          <w:tab w:leader="none" w:pos="102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8" w:name="page219"/>
    <w:bookmarkEnd w:id="218"/>
    <w:p>
      <w:pPr>
        <w:spacing w:after="0" w:line="26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9"/>
          <w:szCs w:val="19"/>
          <w:color w:val="auto"/>
        </w:rPr>
        <w:t>Margin Stock shall be purchased by the Obligors only with the proceeds of Indebtedness not directly or indirectly secured by Margin Stock, or with the proceeds of equity capital of the Borrower.</w:t>
      </w:r>
    </w:p>
    <w:p>
      <w:pPr>
        <w:spacing w:after="0" w:line="127" w:lineRule="exact"/>
        <w:rPr>
          <w:sz w:val="20"/>
          <w:szCs w:val="20"/>
          <w:color w:val="auto"/>
        </w:rPr>
      </w:pPr>
    </w:p>
    <w:p>
      <w:pPr>
        <w:jc w:val="both"/>
        <w:ind w:right="60" w:firstLine="1404"/>
        <w:spacing w:after="0" w:line="286" w:lineRule="auto"/>
        <w:rPr>
          <w:sz w:val="20"/>
          <w:szCs w:val="20"/>
          <w:color w:val="auto"/>
        </w:rPr>
      </w:pPr>
      <w:r>
        <w:rPr>
          <w:rFonts w:ascii="Times New Roman" w:cs="Times New Roman" w:eastAsia="Times New Roman" w:hAnsi="Times New Roman"/>
          <w:sz w:val="19"/>
          <w:szCs w:val="19"/>
          <w:color w:val="0000FF"/>
        </w:rPr>
        <w:t xml:space="preserve">SECTION 5.10. </w:t>
      </w:r>
      <w:r>
        <w:rPr>
          <w:rFonts w:ascii="Times New Roman" w:cs="Times New Roman" w:eastAsia="Times New Roman" w:hAnsi="Times New Roman"/>
          <w:sz w:val="19"/>
          <w:szCs w:val="19"/>
          <w:color w:val="000000"/>
        </w:rPr>
        <w:t>Status of RIC and BDC. The Borrower shall at all times, subject to applicable grace periods set forth</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in the Code, maintain its status as a RIC under the Code, and as a “business development company” under the Investment Company Act.</w:t>
      </w:r>
    </w:p>
    <w:p>
      <w:pPr>
        <w:spacing w:after="0" w:line="127" w:lineRule="exact"/>
        <w:rPr>
          <w:sz w:val="20"/>
          <w:szCs w:val="20"/>
          <w:color w:val="auto"/>
        </w:rPr>
      </w:pPr>
    </w:p>
    <w:p>
      <w:pPr>
        <w:ind w:right="40" w:firstLine="1404"/>
        <w:spacing w:after="0" w:line="286" w:lineRule="auto"/>
        <w:rPr>
          <w:sz w:val="20"/>
          <w:szCs w:val="20"/>
          <w:color w:val="auto"/>
        </w:rPr>
      </w:pPr>
      <w:r>
        <w:rPr>
          <w:rFonts w:ascii="Times New Roman" w:cs="Times New Roman" w:eastAsia="Times New Roman" w:hAnsi="Times New Roman"/>
          <w:sz w:val="19"/>
          <w:szCs w:val="19"/>
          <w:color w:val="0000FF"/>
        </w:rPr>
        <w:t xml:space="preserve">SECTION 5.11. </w:t>
      </w:r>
      <w:r>
        <w:rPr>
          <w:rFonts w:ascii="Times New Roman" w:cs="Times New Roman" w:eastAsia="Times New Roman" w:hAnsi="Times New Roman"/>
          <w:sz w:val="19"/>
          <w:szCs w:val="19"/>
          <w:color w:val="000000"/>
        </w:rPr>
        <w:t>Investment Policies. The Borrower shall at all times be in compliance in all material respects with its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Investment Policies (after giving effect to any Permitted Policy Amendments).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5.12. </w:t>
      </w:r>
      <w:r>
        <w:rPr>
          <w:rFonts w:ascii="Times New Roman" w:cs="Times New Roman" w:eastAsia="Times New Roman" w:hAnsi="Times New Roman"/>
          <w:sz w:val="19"/>
          <w:szCs w:val="19"/>
          <w:color w:val="000000"/>
        </w:rPr>
        <w:t>Portfolio Valuation and Diversification Etc.</w:t>
      </w:r>
    </w:p>
    <w:p>
      <w:pPr>
        <w:spacing w:after="0" w:line="202" w:lineRule="exact"/>
        <w:rPr>
          <w:sz w:val="20"/>
          <w:szCs w:val="20"/>
          <w:color w:val="auto"/>
        </w:rPr>
      </w:pPr>
    </w:p>
    <w:p>
      <w:pPr>
        <w:ind w:right="220" w:firstLine="1404"/>
        <w:spacing w:after="0" w:line="257" w:lineRule="auto"/>
        <w:rPr>
          <w:sz w:val="20"/>
          <w:szCs w:val="20"/>
          <w:color w:val="auto"/>
        </w:rPr>
      </w:pPr>
      <w:r>
        <w:rPr>
          <w:rFonts w:ascii="Times New Roman" w:cs="Times New Roman" w:eastAsia="Times New Roman" w:hAnsi="Times New Roman"/>
          <w:sz w:val="19"/>
          <w:szCs w:val="19"/>
          <w:color w:val="auto"/>
        </w:rPr>
        <w:t>(a)Industry Classification Groups.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(b)Portfolio Valuation Etc.</w:t>
      </w:r>
    </w:p>
    <w:p>
      <w:pPr>
        <w:spacing w:after="0" w:line="202" w:lineRule="exact"/>
        <w:rPr>
          <w:sz w:val="20"/>
          <w:szCs w:val="20"/>
          <w:color w:val="auto"/>
        </w:rPr>
      </w:pPr>
    </w:p>
    <w:p>
      <w:pPr>
        <w:ind w:left="700" w:right="60" w:firstLine="1500"/>
        <w:spacing w:after="0" w:line="259" w:lineRule="auto"/>
        <w:rPr>
          <w:sz w:val="20"/>
          <w:szCs w:val="20"/>
          <w:color w:val="auto"/>
        </w:rPr>
      </w:pPr>
      <w:r>
        <w:rPr>
          <w:rFonts w:ascii="Times New Roman" w:cs="Times New Roman" w:eastAsia="Times New Roman" w:hAnsi="Times New Roman"/>
          <w:sz w:val="19"/>
          <w:szCs w:val="19"/>
          <w:color w:val="auto"/>
        </w:rPr>
        <w:t>(i)Settlement Date Basis.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provided that no such investment shall be included as a Portfolio Investment to the extent it has not been paid for in full.</w:t>
      </w:r>
    </w:p>
    <w:p>
      <w:pPr>
        <w:spacing w:after="0" w:line="15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(ii)Determination of Values. The Borrower will conduct reviews of the value to be assigned to each of its</w:t>
      </w:r>
    </w:p>
    <w:p>
      <w:pPr>
        <w:spacing w:after="0" w:line="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Portfolio Investments as follows:</w:t>
      </w:r>
    </w:p>
    <w:p>
      <w:pPr>
        <w:spacing w:after="0" w:line="180" w:lineRule="exact"/>
        <w:rPr>
          <w:sz w:val="20"/>
          <w:szCs w:val="20"/>
          <w:color w:val="auto"/>
        </w:rPr>
      </w:pPr>
    </w:p>
    <w:p>
      <w:pPr>
        <w:ind w:left="1420" w:firstLine="1620"/>
        <w:spacing w:after="0" w:line="262" w:lineRule="auto"/>
        <w:rPr>
          <w:sz w:val="20"/>
          <w:szCs w:val="20"/>
          <w:color w:val="auto"/>
        </w:rPr>
      </w:pPr>
      <w:r>
        <w:rPr>
          <w:rFonts w:ascii="Times New Roman" w:cs="Times New Roman" w:eastAsia="Times New Roman" w:hAnsi="Times New Roman"/>
          <w:sz w:val="19"/>
          <w:szCs w:val="19"/>
          <w:color w:val="auto"/>
        </w:rPr>
        <w:t>(A)Quoted Investments - External Review.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150" w:lineRule="exact"/>
        <w:rPr>
          <w:sz w:val="20"/>
          <w:szCs w:val="20"/>
          <w:color w:val="auto"/>
        </w:rPr>
      </w:pPr>
    </w:p>
    <w:p>
      <w:pPr>
        <w:ind w:left="2120" w:right="200" w:firstLine="875"/>
        <w:spacing w:after="0" w:line="286" w:lineRule="auto"/>
        <w:tabs>
          <w:tab w:leader="none" w:pos="3311"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public and 144A securities, the average of the bid prices as determined by two Approved Dealers selected by the Borrower,</w:t>
      </w:r>
    </w:p>
    <w:p>
      <w:pPr>
        <w:spacing w:after="0" w:line="126" w:lineRule="exact"/>
        <w:rPr>
          <w:sz w:val="20"/>
          <w:szCs w:val="20"/>
          <w:color w:val="auto"/>
        </w:rPr>
      </w:pPr>
    </w:p>
    <w:p>
      <w:pPr>
        <w:ind w:left="1020" w:hanging="810"/>
        <w:spacing w:after="0"/>
        <w:tabs>
          <w:tab w:leader="none" w:pos="102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9" w:name="page220"/>
    <w:bookmarkEnd w:id="219"/>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(x) in the case of Bank Loans, the bid price as determined by one Approved Dealer selected by the</w:t>
      </w:r>
    </w:p>
    <w:p>
      <w:pPr>
        <w:spacing w:after="0" w:line="32" w:lineRule="exact"/>
        <w:rPr>
          <w:sz w:val="20"/>
          <w:szCs w:val="20"/>
          <w:color w:val="auto"/>
        </w:rPr>
      </w:pPr>
    </w:p>
    <w:p>
      <w:pPr>
        <w:ind w:left="1910"/>
        <w:spacing w:after="0"/>
        <w:rPr>
          <w:sz w:val="20"/>
          <w:szCs w:val="20"/>
          <w:color w:val="auto"/>
        </w:rPr>
      </w:pPr>
      <w:r>
        <w:rPr>
          <w:rFonts w:ascii="Times New Roman" w:cs="Times New Roman" w:eastAsia="Times New Roman" w:hAnsi="Times New Roman"/>
          <w:sz w:val="19"/>
          <w:szCs w:val="19"/>
          <w:color w:val="auto"/>
        </w:rPr>
        <w:t>Borrower,</w:t>
      </w:r>
    </w:p>
    <w:p>
      <w:pPr>
        <w:spacing w:after="0" w:line="180" w:lineRule="exact"/>
        <w:rPr>
          <w:sz w:val="20"/>
          <w:szCs w:val="20"/>
          <w:color w:val="auto"/>
        </w:rPr>
      </w:pPr>
    </w:p>
    <w:p>
      <w:pPr>
        <w:ind w:left="1910" w:right="520" w:firstLine="875"/>
        <w:spacing w:after="0" w:line="286" w:lineRule="auto"/>
        <w:tabs>
          <w:tab w:leader="none" w:pos="3058"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Portfolio Investment traded on an exchange, the closing price for such Portfolio Investment most recently posted on such exchange, and</w:t>
      </w:r>
    </w:p>
    <w:p>
      <w:pPr>
        <w:spacing w:after="0" w:line="127" w:lineRule="exact"/>
        <w:rPr>
          <w:rFonts w:ascii="Times New Roman" w:cs="Times New Roman" w:eastAsia="Times New Roman" w:hAnsi="Times New Roman"/>
          <w:sz w:val="19"/>
          <w:szCs w:val="19"/>
          <w:color w:val="auto"/>
        </w:rPr>
      </w:pPr>
    </w:p>
    <w:p>
      <w:pPr>
        <w:ind w:left="1910" w:right="20" w:firstLine="875"/>
        <w:spacing w:after="0" w:line="286" w:lineRule="auto"/>
        <w:tabs>
          <w:tab w:leader="none" w:pos="3047"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any other Portfolio Investment, the fair market value thereof as determined by an Approved Pricing Service selected by the Borrower; and</w:t>
      </w:r>
    </w:p>
    <w:p>
      <w:pPr>
        <w:spacing w:after="0" w:line="127" w:lineRule="exact"/>
        <w:rPr>
          <w:sz w:val="20"/>
          <w:szCs w:val="20"/>
          <w:color w:val="auto"/>
        </w:rPr>
      </w:pPr>
    </w:p>
    <w:p>
      <w:pPr>
        <w:ind w:left="1210" w:firstLine="1620"/>
        <w:spacing w:after="0" w:line="257" w:lineRule="auto"/>
        <w:rPr>
          <w:sz w:val="20"/>
          <w:szCs w:val="20"/>
          <w:color w:val="auto"/>
        </w:rPr>
      </w:pPr>
      <w:r>
        <w:rPr>
          <w:rFonts w:ascii="Times New Roman" w:cs="Times New Roman" w:eastAsia="Times New Roman" w:hAnsi="Times New Roman"/>
          <w:sz w:val="19"/>
          <w:szCs w:val="19"/>
          <w:color w:val="auto"/>
        </w:rPr>
        <w:t>(B)Unquoted Investments- External Review. With respect to each Portfolio Investment for which market quotations are not readily available, the Borrower shall request an Approved Third-Party Appraiser to assist the board of directors of the Borrower in determining the fair market value of such Portfolio Investment, as at the last day of two non- consecutive fiscal quarters each calendar year in each case, and with respect to each calendar year, as selected by the Borrower in its sole discretion (with respect to such Portfolio Investment) (each, a “Testing Quarter”); provided that:</w:t>
      </w:r>
    </w:p>
    <w:p>
      <w:pPr>
        <w:spacing w:after="0" w:line="157" w:lineRule="exact"/>
        <w:rPr>
          <w:sz w:val="20"/>
          <w:szCs w:val="20"/>
          <w:color w:val="auto"/>
        </w:rPr>
      </w:pPr>
    </w:p>
    <w:p>
      <w:pPr>
        <w:ind w:left="1910" w:right="120" w:firstLine="875"/>
        <w:spacing w:after="0" w:line="259" w:lineRule="auto"/>
        <w:tabs>
          <w:tab w:leader="none" w:pos="3058"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Value of any such Portfolio Investment (i.e., a Portfolio Investment for which market quotations are not readily available) acquired shall be deemed to be equal to the cost of such Portfolio Investment until such time as the fair market value of such Portfolio Investment is determined in accordance with the foregoing provisions of this sub-clause (B) as at the last day of the next succeeding Testing Quarter with respect to such Portfolio Investment;</w:t>
      </w:r>
    </w:p>
    <w:p>
      <w:pPr>
        <w:spacing w:after="0" w:line="153" w:lineRule="exact"/>
        <w:rPr>
          <w:rFonts w:ascii="Times New Roman" w:cs="Times New Roman" w:eastAsia="Times New Roman" w:hAnsi="Times New Roman"/>
          <w:sz w:val="19"/>
          <w:szCs w:val="19"/>
          <w:color w:val="auto"/>
        </w:rPr>
      </w:pPr>
    </w:p>
    <w:p>
      <w:pPr>
        <w:ind w:left="1910" w:right="40" w:firstLine="875"/>
        <w:spacing w:after="0" w:line="254" w:lineRule="auto"/>
        <w:tabs>
          <w:tab w:leader="none" w:pos="3058"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 to such Portfolio Investment shall be deemed to be zero as at the last day of the immediately succeeding Testing Quarter with respect to such Portfolio Investment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160" w:lineRule="exact"/>
        <w:rPr>
          <w:rFonts w:ascii="Times New Roman" w:cs="Times New Roman" w:eastAsia="Times New Roman" w:hAnsi="Times New Roman"/>
          <w:sz w:val="19"/>
          <w:szCs w:val="19"/>
          <w:color w:val="auto"/>
        </w:rPr>
      </w:pPr>
    </w:p>
    <w:p>
      <w:pPr>
        <w:ind w:left="1910" w:right="220" w:firstLine="875"/>
        <w:spacing w:after="0" w:line="286" w:lineRule="auto"/>
        <w:tabs>
          <w:tab w:leader="none" w:pos="3047"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Testing Quarter with respect to any Portfolio Investment for which market quotations are not readily available shall end more than six</w:t>
      </w:r>
    </w:p>
    <w:p>
      <w:pPr>
        <w:spacing w:after="0" w:line="126" w:lineRule="exact"/>
        <w:rPr>
          <w:sz w:val="20"/>
          <w:szCs w:val="20"/>
          <w:color w:val="auto"/>
        </w:rPr>
      </w:pPr>
    </w:p>
    <w:p>
      <w:pPr>
        <w:ind w:left="810" w:hanging="810"/>
        <w:spacing w:after="0"/>
        <w:tabs>
          <w:tab w:leader="none" w:pos="81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672465</wp:posOffset>
            </wp:positionV>
            <wp:extent cx="6732905"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50"/>
          </w:cols>
          <w:pgMar w:left="870" w:top="1440" w:right="680" w:bottom="1440" w:gutter="0" w:footer="0" w:header="0"/>
        </w:sectPr>
      </w:pPr>
    </w:p>
    <w:bookmarkStart w:id="220" w:name="page221"/>
    <w:bookmarkEnd w:id="220"/>
    <w:p>
      <w:pPr>
        <w:spacing w:after="0" w:line="269" w:lineRule="exact"/>
        <w:rPr>
          <w:sz w:val="20"/>
          <w:szCs w:val="20"/>
          <w:color w:val="auto"/>
        </w:rPr>
      </w:pPr>
    </w:p>
    <w:p>
      <w:pPr>
        <w:ind w:left="1910"/>
        <w:spacing w:after="0"/>
        <w:rPr>
          <w:sz w:val="20"/>
          <w:szCs w:val="20"/>
          <w:color w:val="auto"/>
        </w:rPr>
      </w:pPr>
      <w:r>
        <w:rPr>
          <w:rFonts w:ascii="Times New Roman" w:cs="Times New Roman" w:eastAsia="Times New Roman" w:hAnsi="Times New Roman"/>
          <w:sz w:val="19"/>
          <w:szCs w:val="19"/>
          <w:color w:val="auto"/>
        </w:rPr>
        <w:t>months following the end of the immediately preceding Testing Quarter for such Portfolio Investment.</w:t>
      </w:r>
    </w:p>
    <w:p>
      <w:pPr>
        <w:spacing w:after="0" w:line="202" w:lineRule="exact"/>
        <w:rPr>
          <w:sz w:val="20"/>
          <w:szCs w:val="20"/>
          <w:color w:val="auto"/>
        </w:rPr>
      </w:pPr>
    </w:p>
    <w:p>
      <w:pPr>
        <w:ind w:left="1210" w:right="20" w:firstLine="1620"/>
        <w:spacing w:after="0" w:line="254" w:lineRule="auto"/>
        <w:rPr>
          <w:sz w:val="20"/>
          <w:szCs w:val="20"/>
          <w:color w:val="auto"/>
        </w:rPr>
      </w:pPr>
      <w:r>
        <w:rPr>
          <w:rFonts w:ascii="Times New Roman" w:cs="Times New Roman" w:eastAsia="Times New Roman" w:hAnsi="Times New Roman"/>
          <w:sz w:val="19"/>
          <w:szCs w:val="19"/>
          <w:color w:val="auto"/>
        </w:rPr>
        <w:t>(C)Internal Review.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Section 5.12(b)(ii)(C) is lower than the value of such Portfolio Investment as most recently determined pursuant to Section 5.12(b)(ii)(A) and (B), such lower value shall be deemed to be the “Value” of such Portfolio Investment for purposes hereof; provided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157" w:lineRule="exact"/>
        <w:rPr>
          <w:sz w:val="20"/>
          <w:szCs w:val="20"/>
          <w:color w:val="auto"/>
        </w:rPr>
      </w:pPr>
    </w:p>
    <w:p>
      <w:pPr>
        <w:jc w:val="both"/>
        <w:ind w:left="1210" w:firstLine="1620"/>
        <w:spacing w:after="0" w:line="268" w:lineRule="auto"/>
        <w:rPr>
          <w:sz w:val="20"/>
          <w:szCs w:val="20"/>
          <w:color w:val="auto"/>
        </w:rPr>
      </w:pPr>
      <w:r>
        <w:rPr>
          <w:rFonts w:ascii="Times New Roman" w:cs="Times New Roman" w:eastAsia="Times New Roman" w:hAnsi="Times New Roman"/>
          <w:sz w:val="19"/>
          <w:szCs w:val="19"/>
          <w:color w:val="auto"/>
        </w:rPr>
        <w:t>(D)Failure to Determine Values. If the Borrower shall fail to determine the value of any Portfolio Investment as at any date pursuant to the requirements of the foregoing sub-clauses (A), (B) or (C), then the “Value” of such Portfolio Investment as at such date shall be deemed to be zero.</w:t>
      </w:r>
    </w:p>
    <w:p>
      <w:pPr>
        <w:spacing w:after="0" w:line="144" w:lineRule="exact"/>
        <w:rPr>
          <w:sz w:val="20"/>
          <w:szCs w:val="20"/>
          <w:color w:val="auto"/>
        </w:rPr>
      </w:pPr>
    </w:p>
    <w:p>
      <w:pPr>
        <w:ind w:left="2830"/>
        <w:spacing w:after="0"/>
        <w:rPr>
          <w:sz w:val="20"/>
          <w:szCs w:val="20"/>
          <w:color w:val="auto"/>
        </w:rPr>
      </w:pPr>
      <w:r>
        <w:rPr>
          <w:rFonts w:ascii="Times New Roman" w:cs="Times New Roman" w:eastAsia="Times New Roman" w:hAnsi="Times New Roman"/>
          <w:sz w:val="19"/>
          <w:szCs w:val="19"/>
          <w:color w:val="auto"/>
        </w:rPr>
        <w:t>(E)Testing of Values.</w:t>
      </w:r>
    </w:p>
    <w:p>
      <w:pPr>
        <w:spacing w:after="0" w:line="202" w:lineRule="exact"/>
        <w:rPr>
          <w:sz w:val="20"/>
          <w:szCs w:val="20"/>
          <w:color w:val="auto"/>
        </w:rPr>
      </w:pPr>
    </w:p>
    <w:p>
      <w:pPr>
        <w:ind w:left="1910" w:right="100" w:firstLine="875"/>
        <w:spacing w:after="0" w:line="255" w:lineRule="auto"/>
        <w:tabs>
          <w:tab w:leader="none" w:pos="3106"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second calendar month immediately following the end of each fiscal quarter (the last such fiscal quarter is referred to herein as, the “Testing Period”),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Period. If there is a difference between the Borrower’s valuation and the Approved Third-Party Appraiser’s valuation of any Unquoted Investment, the Value of such Unquoted Investment for Borrowing Base purposes shall be established as set forth in sub-clause (F) below.</w:t>
      </w:r>
    </w:p>
    <w:p>
      <w:pPr>
        <w:spacing w:after="0" w:line="155" w:lineRule="exact"/>
        <w:rPr>
          <w:rFonts w:ascii="Times New Roman" w:cs="Times New Roman" w:eastAsia="Times New Roman" w:hAnsi="Times New Roman"/>
          <w:sz w:val="19"/>
          <w:szCs w:val="19"/>
          <w:color w:val="auto"/>
        </w:rPr>
      </w:pPr>
    </w:p>
    <w:p>
      <w:pPr>
        <w:ind w:left="1910" w:right="120" w:firstLine="875"/>
        <w:spacing w:after="0" w:line="259" w:lineRule="auto"/>
        <w:tabs>
          <w:tab w:leader="none" w:pos="3058"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“Administrative Agent Appraisal Testing Period”) and would be reflected in the Borrowing Base Certificate for such month (provided that such Approved Third-Party Appraiser delivers such</w:t>
      </w:r>
    </w:p>
    <w:p>
      <w:pPr>
        <w:spacing w:after="0" w:line="152" w:lineRule="exact"/>
        <w:rPr>
          <w:sz w:val="20"/>
          <w:szCs w:val="20"/>
          <w:color w:val="auto"/>
        </w:rPr>
      </w:pPr>
    </w:p>
    <w:p>
      <w:pPr>
        <w:ind w:left="810" w:hanging="810"/>
        <w:spacing w:after="0"/>
        <w:tabs>
          <w:tab w:leader="none" w:pos="81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672465</wp:posOffset>
            </wp:positionV>
            <wp:extent cx="673290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50"/>
          </w:cols>
          <w:pgMar w:left="870" w:top="1440" w:right="680" w:bottom="1440" w:gutter="0" w:footer="0" w:header="0"/>
        </w:sectPr>
      </w:pPr>
    </w:p>
    <w:bookmarkStart w:id="221" w:name="page222"/>
    <w:bookmarkEnd w:id="221"/>
    <w:p>
      <w:pPr>
        <w:spacing w:after="0" w:line="269" w:lineRule="exact"/>
        <w:rPr>
          <w:sz w:val="20"/>
          <w:szCs w:val="20"/>
          <w:color w:val="auto"/>
        </w:rPr>
      </w:pPr>
    </w:p>
    <w:p>
      <w:pPr>
        <w:ind w:left="2120" w:right="40"/>
        <w:spacing w:after="0" w:line="239" w:lineRule="auto"/>
        <w:rPr>
          <w:sz w:val="20"/>
          <w:szCs w:val="20"/>
          <w:color w:val="auto"/>
        </w:rPr>
      </w:pPr>
      <w:r>
        <w:rPr>
          <w:rFonts w:ascii="Times New Roman" w:cs="Times New Roman" w:eastAsia="Times New Roman" w:hAnsi="Times New Roman"/>
          <w:sz w:val="19"/>
          <w:szCs w:val="19"/>
          <w:color w:val="auto"/>
        </w:rPr>
        <w:t>valuation at least seven (7) Business Days before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2022, then (A) the Administrative Agent would initiate the testing of Values (using the December 31, 2022 Calculation Values for purposes of determining the scope of the testing under clauses (E)</w:t>
      </w:r>
    </w:p>
    <w:p>
      <w:pPr>
        <w:spacing w:after="0" w:line="5" w:lineRule="exact"/>
        <w:rPr>
          <w:sz w:val="20"/>
          <w:szCs w:val="20"/>
          <w:color w:val="auto"/>
        </w:rPr>
      </w:pPr>
    </w:p>
    <w:p>
      <w:pPr>
        <w:ind w:left="2120" w:right="120" w:hanging="1"/>
        <w:spacing w:after="0" w:line="252" w:lineRule="auto"/>
        <w:tabs>
          <w:tab w:leader="none" w:pos="2392"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month of February with the anticipation of receiving the valuations from the applicable Approved Third-Party Appraiser(s) on or after February 28, 2023 and (B)(xx) if such valuations were received before the 7th Business Day before March 20, 2023, such valuations would be included in the March 20, 2023 Borrowing Base Certificate covering the month of February, or (yy) if such valuations were received after such time, they would be included in the April 20, 2023 Borrowing Base Certificate for the month of March.</w:t>
      </w:r>
    </w:p>
    <w:p>
      <w:pPr>
        <w:spacing w:after="0" w:line="162" w:lineRule="exact"/>
        <w:rPr>
          <w:sz w:val="20"/>
          <w:szCs w:val="20"/>
          <w:color w:val="auto"/>
        </w:rPr>
      </w:pPr>
    </w:p>
    <w:p>
      <w:pPr>
        <w:ind w:left="2120" w:right="860"/>
        <w:spacing w:after="0" w:line="286" w:lineRule="auto"/>
        <w:rPr>
          <w:sz w:val="20"/>
          <w:szCs w:val="20"/>
          <w:color w:val="auto"/>
        </w:rPr>
      </w:pPr>
      <w:r>
        <w:rPr>
          <w:rFonts w:ascii="Times New Roman" w:cs="Times New Roman" w:eastAsia="Times New Roman" w:hAnsi="Times New Roman"/>
          <w:sz w:val="19"/>
          <w:szCs w:val="19"/>
          <w:color w:val="auto"/>
        </w:rPr>
        <w:t>For the avoidance of doubt, all calculations of value pursuant to this Section 5.12(b)(ii)(E) shall be determined without application of the Advance Rates.</w:t>
      </w:r>
    </w:p>
    <w:p>
      <w:pPr>
        <w:spacing w:after="0" w:line="127" w:lineRule="exact"/>
        <w:rPr>
          <w:sz w:val="20"/>
          <w:szCs w:val="20"/>
          <w:color w:val="auto"/>
        </w:rPr>
      </w:pPr>
    </w:p>
    <w:p>
      <w:pPr>
        <w:ind w:left="1420" w:firstLine="1620"/>
        <w:spacing w:after="0" w:line="253" w:lineRule="auto"/>
        <w:rPr>
          <w:sz w:val="20"/>
          <w:szCs w:val="20"/>
          <w:color w:val="auto"/>
        </w:rPr>
      </w:pPr>
      <w:r>
        <w:rPr>
          <w:rFonts w:ascii="Times New Roman" w:cs="Times New Roman" w:eastAsia="Times New Roman" w:hAnsi="Times New Roman"/>
          <w:sz w:val="19"/>
          <w:szCs w:val="19"/>
          <w:color w:val="auto"/>
        </w:rPr>
        <w:t>(F)Valuation Dispute Resolution.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Section 5.12(b)(ii)(B) and the valuation of any Approved Third- Party Appraiser selected by the Administrative Agent pursuant to Section 5.12(b)(ii)(E) or (F)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165" w:lineRule="exact"/>
        <w:rPr>
          <w:sz w:val="20"/>
          <w:szCs w:val="20"/>
          <w:color w:val="auto"/>
        </w:rPr>
      </w:pPr>
    </w:p>
    <w:p>
      <w:pPr>
        <w:ind w:right="100" w:firstLine="1404"/>
        <w:spacing w:after="0" w:line="268" w:lineRule="auto"/>
        <w:rPr>
          <w:sz w:val="20"/>
          <w:szCs w:val="20"/>
          <w:color w:val="auto"/>
        </w:rPr>
      </w:pPr>
      <w:r>
        <w:rPr>
          <w:rFonts w:ascii="Times New Roman" w:cs="Times New Roman" w:eastAsia="Times New Roman" w:hAnsi="Times New Roman"/>
          <w:sz w:val="19"/>
          <w:szCs w:val="19"/>
          <w:color w:val="auto"/>
        </w:rPr>
        <w:t>(c)RIC Diversification Requirements.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spacing w:after="0" w:line="142" w:lineRule="exact"/>
        <w:rPr>
          <w:sz w:val="20"/>
          <w:szCs w:val="20"/>
          <w:color w:val="auto"/>
        </w:rPr>
      </w:pPr>
    </w:p>
    <w:p>
      <w:pPr>
        <w:ind w:left="1020" w:hanging="810"/>
        <w:spacing w:after="0"/>
        <w:tabs>
          <w:tab w:leader="none" w:pos="1020"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2" w:name="page223"/>
    <w:bookmarkEnd w:id="222"/>
    <w:p>
      <w:pPr>
        <w:spacing w:after="0" w:line="269" w:lineRule="exact"/>
        <w:rPr>
          <w:sz w:val="20"/>
          <w:szCs w:val="20"/>
          <w:color w:val="auto"/>
        </w:rPr>
      </w:pPr>
    </w:p>
    <w:p>
      <w:pPr>
        <w:ind w:right="300" w:firstLine="1404"/>
        <w:spacing w:after="0" w:line="262" w:lineRule="auto"/>
        <w:rPr>
          <w:sz w:val="20"/>
          <w:szCs w:val="20"/>
          <w:color w:val="auto"/>
        </w:rPr>
      </w:pPr>
      <w:r>
        <w:rPr>
          <w:rFonts w:ascii="Times New Roman" w:cs="Times New Roman" w:eastAsia="Times New Roman" w:hAnsi="Times New Roman"/>
          <w:sz w:val="19"/>
          <w:szCs w:val="19"/>
          <w:color w:val="auto"/>
        </w:rPr>
        <w:t>(d)Participation Interests. The Value attributable to any Participation Interest shall be the Value determined with respect to the underlying portfolio investment related to such Participation Interest in accordance with this Section 5.12, provided any participation interest that does not satisfy the definition of Participation Interest shall have a Value of zero (0) for purposes of this Agreement.</w:t>
      </w:r>
    </w:p>
    <w:p>
      <w:pPr>
        <w:spacing w:after="0" w:line="150" w:lineRule="exact"/>
        <w:rPr>
          <w:sz w:val="20"/>
          <w:szCs w:val="20"/>
          <w:color w:val="auto"/>
        </w:rPr>
      </w:pPr>
    </w:p>
    <w:p>
      <w:pPr>
        <w:ind w:right="200" w:firstLine="1404"/>
        <w:spacing w:after="0" w:line="268" w:lineRule="auto"/>
        <w:rPr>
          <w:sz w:val="20"/>
          <w:szCs w:val="20"/>
          <w:color w:val="auto"/>
        </w:rPr>
      </w:pPr>
      <w:r>
        <w:rPr>
          <w:rFonts w:ascii="Times New Roman" w:cs="Times New Roman" w:eastAsia="Times New Roman" w:hAnsi="Times New Roman"/>
          <w:sz w:val="19"/>
          <w:szCs w:val="19"/>
          <w:color w:val="0000FF"/>
        </w:rPr>
        <w:t xml:space="preserve">SECTION 5.13. </w:t>
      </w:r>
      <w:r>
        <w:rPr>
          <w:rFonts w:ascii="Times New Roman" w:cs="Times New Roman" w:eastAsia="Times New Roman" w:hAnsi="Times New Roman"/>
          <w:sz w:val="19"/>
          <w:szCs w:val="19"/>
          <w:color w:val="000000"/>
        </w:rPr>
        <w:t>Calculation of Borrowing Base. For purposes of this Agreement, the “Borrowing Base” shall be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determined, as at any date of determination, as the sum of the Advance Rates of the Value of each Portfolio Investment (excluding any Cash Collateral held by the Administrative Agent pursuant to Section 2.05(k) or the last paragraph of Section 2.09(a)); provided that:</w:t>
      </w:r>
    </w:p>
    <w:p>
      <w:pPr>
        <w:spacing w:after="0" w:line="372" w:lineRule="exact"/>
        <w:rPr>
          <w:sz w:val="20"/>
          <w:szCs w:val="20"/>
          <w:color w:val="auto"/>
        </w:rPr>
      </w:pPr>
    </w:p>
    <w:p>
      <w:pPr>
        <w:ind w:right="140" w:firstLine="1404"/>
        <w:spacing w:after="0" w:line="262" w:lineRule="auto"/>
        <w:rPr>
          <w:sz w:val="20"/>
          <w:szCs w:val="20"/>
          <w:color w:val="auto"/>
        </w:rPr>
      </w:pPr>
      <w:r>
        <w:rPr>
          <w:rFonts w:ascii="Times New Roman" w:cs="Times New Roman" w:eastAsia="Times New Roman" w:hAnsi="Times New Roman"/>
          <w:sz w:val="19"/>
          <w:szCs w:val="19"/>
          <w:color w:val="auto"/>
        </w:rPr>
        <w:t>(a)the Advance Rate applicable to that portion of the aggregate Value of the Portfolio Investments of all issuers in a consolidated group of corporations or other entities (collectively, a “Consolidated Group”), in accordance with GAAP, that exceeds 6% of the aggregate Value of all Portfolio Investments in the Collateral Pool as of the end of the most recent quarter shall be 50% of the Advance Rate otherwise applicable;</w:t>
      </w:r>
    </w:p>
    <w:p>
      <w:pPr>
        <w:spacing w:after="0" w:line="150" w:lineRule="exact"/>
        <w:rPr>
          <w:sz w:val="20"/>
          <w:szCs w:val="20"/>
          <w:color w:val="auto"/>
        </w:rPr>
      </w:pPr>
    </w:p>
    <w:p>
      <w:pPr>
        <w:jc w:val="both"/>
        <w:ind w:right="220" w:firstLine="1404"/>
        <w:spacing w:after="0" w:line="268" w:lineRule="auto"/>
        <w:rPr>
          <w:sz w:val="20"/>
          <w:szCs w:val="20"/>
          <w:color w:val="auto"/>
        </w:rPr>
      </w:pPr>
      <w:r>
        <w:rPr>
          <w:rFonts w:ascii="Times New Roman" w:cs="Times New Roman" w:eastAsia="Times New Roman" w:hAnsi="Times New Roman"/>
          <w:sz w:val="19"/>
          <w:szCs w:val="19"/>
          <w:color w:val="auto"/>
        </w:rPr>
        <w:t>(b)the Advance Rate applicable to that portion of the aggregate Value of the Portfolio Investments of all issuers in a Consolidated Group exceeding 12% of the aggregate Value of all Portfolio Investments in the Collateral Pool as of the end of the most recent quarter shall be 0%;</w:t>
      </w:r>
    </w:p>
    <w:p>
      <w:pPr>
        <w:spacing w:after="0" w:line="144"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(c)the Advance Rate applicable to that portion of the aggregate Value of the Portfolio Investments in any single Industry Classification Group that exceeds 25% of the aggregate Value of all Portfolio Investments in the Collateral Pool as of the end of the most recent quarter shall be 0%; provided that, with respect to the Portfolio Investments in a single Industry Classification Group from time to time designated by the Borrower to the Administrative Agent such 25% figure shall be increased to 30% and, accordingly, only to the extent that the Value for such single Industry Classification Group exceeds 30% of the aggregate Value of all Portfolio Investments in the Collateral Pool as of the end of the most recent quarter shall the Advance Rate applicable to such excess Value be 0%;</w:t>
      </w:r>
    </w:p>
    <w:p>
      <w:pPr>
        <w:spacing w:after="0" w:line="157" w:lineRule="exact"/>
        <w:rPr>
          <w:sz w:val="20"/>
          <w:szCs w:val="20"/>
          <w:color w:val="auto"/>
        </w:rPr>
      </w:pPr>
    </w:p>
    <w:p>
      <w:pPr>
        <w:ind w:right="160" w:firstLine="1404"/>
        <w:spacing w:after="0" w:line="262" w:lineRule="auto"/>
        <w:rPr>
          <w:sz w:val="20"/>
          <w:szCs w:val="20"/>
          <w:color w:val="auto"/>
        </w:rPr>
      </w:pPr>
      <w:r>
        <w:rPr>
          <w:rFonts w:ascii="Times New Roman" w:cs="Times New Roman" w:eastAsia="Times New Roman" w:hAnsi="Times New Roman"/>
          <w:sz w:val="19"/>
          <w:szCs w:val="19"/>
          <w:color w:val="auto"/>
        </w:rPr>
        <w:t>(d)no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50" w:lineRule="exact"/>
        <w:rPr>
          <w:sz w:val="20"/>
          <w:szCs w:val="20"/>
          <w:color w:val="auto"/>
        </w:rPr>
      </w:pPr>
    </w:p>
    <w:p>
      <w:pPr>
        <w:ind w:right="420" w:firstLine="1404"/>
        <w:spacing w:after="0" w:line="286" w:lineRule="auto"/>
        <w:rPr>
          <w:sz w:val="20"/>
          <w:szCs w:val="20"/>
          <w:color w:val="auto"/>
        </w:rPr>
      </w:pPr>
      <w:r>
        <w:rPr>
          <w:rFonts w:ascii="Times New Roman" w:cs="Times New Roman" w:eastAsia="Times New Roman" w:hAnsi="Times New Roman"/>
          <w:sz w:val="19"/>
          <w:szCs w:val="19"/>
          <w:color w:val="auto"/>
        </w:rPr>
        <w:t>(e)the portion of the Borrowing Base attributable to Performing Non -Cash Pay High Yield Securities, Performing Non-Cash Pay Mezzanine Investments, Equity Interests and Non-Performing Portfolio Investments shall not exceed 20%;</w:t>
      </w:r>
    </w:p>
    <w:p>
      <w:pPr>
        <w:spacing w:after="0" w:line="127" w:lineRule="exact"/>
        <w:rPr>
          <w:sz w:val="20"/>
          <w:szCs w:val="20"/>
          <w:color w:val="auto"/>
        </w:rPr>
      </w:pPr>
    </w:p>
    <w:p>
      <w:pPr>
        <w:ind w:right="140" w:firstLine="1404"/>
        <w:spacing w:after="0" w:line="286" w:lineRule="auto"/>
        <w:rPr>
          <w:sz w:val="20"/>
          <w:szCs w:val="20"/>
          <w:color w:val="auto"/>
        </w:rPr>
      </w:pPr>
      <w:r>
        <w:rPr>
          <w:rFonts w:ascii="Times New Roman" w:cs="Times New Roman" w:eastAsia="Times New Roman" w:hAnsi="Times New Roman"/>
          <w:sz w:val="19"/>
          <w:szCs w:val="19"/>
          <w:color w:val="auto"/>
        </w:rPr>
        <w:t>(f)the portion of the Borrowing Base attributable to Equity Interests shall not exceed 10% (it being understood that in no event shall Equity Interests of Financing Subsidiaries be included in the Borrowing Base);</w:t>
      </w:r>
    </w:p>
    <w:p>
      <w:pPr>
        <w:spacing w:after="0" w:line="126" w:lineRule="exact"/>
        <w:rPr>
          <w:sz w:val="20"/>
          <w:szCs w:val="20"/>
          <w:color w:val="auto"/>
        </w:rPr>
      </w:pPr>
    </w:p>
    <w:p>
      <w:pPr>
        <w:ind w:left="1020" w:hanging="810"/>
        <w:spacing w:after="0"/>
        <w:tabs>
          <w:tab w:leader="none" w:pos="1020" w:val="left"/>
        </w:tabs>
        <w:numPr>
          <w:ilvl w:val="0"/>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3" w:name="page224"/>
    <w:bookmarkEnd w:id="223"/>
    <w:p>
      <w:pPr>
        <w:spacing w:after="0" w:line="269" w:lineRule="exact"/>
        <w:rPr>
          <w:sz w:val="20"/>
          <w:szCs w:val="20"/>
          <w:color w:val="auto"/>
        </w:rPr>
      </w:pPr>
    </w:p>
    <w:p>
      <w:pPr>
        <w:jc w:val="both"/>
        <w:ind w:right="40" w:firstLine="1404"/>
        <w:spacing w:after="0" w:line="268" w:lineRule="auto"/>
        <w:rPr>
          <w:sz w:val="20"/>
          <w:szCs w:val="20"/>
          <w:color w:val="auto"/>
        </w:rPr>
      </w:pPr>
      <w:r>
        <w:rPr>
          <w:rFonts w:ascii="Times New Roman" w:cs="Times New Roman" w:eastAsia="Times New Roman" w:hAnsi="Times New Roman"/>
          <w:sz w:val="19"/>
          <w:szCs w:val="19"/>
          <w:color w:val="auto"/>
        </w:rPr>
        <w:t>(g)the portion of the Borrowing Base attributable to Non- Performing Portfolio Investments shall not exceed 15% and the portion of the Borrowing Base attributable to Portfolio Investments that were Non-Performing Portfolio Investments at the time such Portfolio Investments were acquired shall not exceed 5%;</w:t>
      </w:r>
    </w:p>
    <w:p>
      <w:pPr>
        <w:spacing w:after="0" w:line="144" w:lineRule="exact"/>
        <w:rPr>
          <w:sz w:val="20"/>
          <w:szCs w:val="20"/>
          <w:color w:val="auto"/>
        </w:rPr>
      </w:pPr>
    </w:p>
    <w:p>
      <w:pPr>
        <w:jc w:val="both"/>
        <w:ind w:right="40" w:firstLine="1404"/>
        <w:spacing w:after="0" w:line="268" w:lineRule="auto"/>
        <w:rPr>
          <w:sz w:val="20"/>
          <w:szCs w:val="20"/>
          <w:color w:val="auto"/>
        </w:rPr>
      </w:pPr>
      <w:r>
        <w:rPr>
          <w:rFonts w:ascii="Times New Roman" w:cs="Times New Roman" w:eastAsia="Times New Roman" w:hAnsi="Times New Roman"/>
          <w:sz w:val="19"/>
          <w:szCs w:val="19"/>
          <w:color w:val="auto"/>
        </w:rPr>
        <w:t>(h)the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spacing w:after="0" w:line="144"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(i)at any time the Borrower Asset Coverage Ratio as of the end of the most recent fiscal quarter is greater than or equal to 2.00 to 1.00, but less than 2.25 to 1.00, the portion of the Borrowing Base attributable to Portfolio Investments other than Performing First Lien Bank Loans shall not exceed 62.5%;</w:t>
      </w:r>
    </w:p>
    <w:p>
      <w:pPr>
        <w:spacing w:after="0" w:line="144"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(j)at any time the Borrower Asset Coverage Ratio as of the end of the most recent fiscal quarter is greater than or equal to 2.25 to 1.00, the portion of the Borrowing Base attributable to Portfolio Investments other than Performing First Lien Bank Loans shall not exceed 67.5%;</w:t>
      </w:r>
    </w:p>
    <w:p>
      <w:pPr>
        <w:spacing w:after="0" w:line="144" w:lineRule="exact"/>
        <w:rPr>
          <w:sz w:val="20"/>
          <w:szCs w:val="20"/>
          <w:color w:val="auto"/>
        </w:rPr>
      </w:pPr>
    </w:p>
    <w:p>
      <w:pPr>
        <w:ind w:right="360" w:firstLine="1404"/>
        <w:spacing w:after="0" w:line="286" w:lineRule="auto"/>
        <w:rPr>
          <w:sz w:val="20"/>
          <w:szCs w:val="20"/>
          <w:color w:val="auto"/>
        </w:rPr>
      </w:pPr>
      <w:r>
        <w:rPr>
          <w:rFonts w:ascii="Times New Roman" w:cs="Times New Roman" w:eastAsia="Times New Roman" w:hAnsi="Times New Roman"/>
          <w:sz w:val="19"/>
          <w:szCs w:val="19"/>
          <w:color w:val="auto"/>
        </w:rPr>
        <w:t>(k)no Participation Interest may be included in the Borrowing Base for more than ninety (90) days (or such longer period as the Administrative Agent may agree); and</w:t>
      </w:r>
    </w:p>
    <w:p>
      <w:pPr>
        <w:spacing w:after="0" w:line="127" w:lineRule="exact"/>
        <w:rPr>
          <w:sz w:val="20"/>
          <w:szCs w:val="20"/>
          <w:color w:val="auto"/>
        </w:rPr>
      </w:pPr>
    </w:p>
    <w:p>
      <w:pPr>
        <w:jc w:val="both"/>
        <w:ind w:right="120" w:firstLine="1404"/>
        <w:spacing w:after="0" w:line="268" w:lineRule="auto"/>
        <w:rPr>
          <w:sz w:val="20"/>
          <w:szCs w:val="20"/>
          <w:color w:val="auto"/>
        </w:rPr>
      </w:pPr>
      <w:r>
        <w:rPr>
          <w:rFonts w:ascii="Times New Roman" w:cs="Times New Roman" w:eastAsia="Times New Roman" w:hAnsi="Times New Roman"/>
          <w:sz w:val="19"/>
          <w:szCs w:val="19"/>
          <w:color w:val="auto"/>
        </w:rPr>
        <w:t>(l)no Portfolio Investment may be included in the Borrowing Base if, to the Borrower’s “knowledge”, the foreclosure by the Collateral Agent in respect of the Collateral Agent’s Lien on such Portfolio Investment would constitute a “covered transaction” (as such terms are defined in the Outbound Investment Rules).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used herein, the following terms have the following meanings: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“Advance Rate” means, as to any Portfolio Investment and subject to adjustment as provided in Section 5.13(a), (b)</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(c), the following percentages with respect to such Portfolio Investment:</w:t>
      </w:r>
    </w:p>
    <w:p>
      <w:pPr>
        <w:spacing w:after="0" w:line="204" w:lineRule="exact"/>
        <w:rPr>
          <w:sz w:val="20"/>
          <w:szCs w:val="20"/>
          <w:color w:val="auto"/>
        </w:rPr>
      </w:pPr>
    </w:p>
    <w:tbl>
      <w:tblPr>
        <w:tblLayout w:type="fixed"/>
        <w:tblInd w:w="1060" w:type="dxa"/>
        <w:tblCellMar>
          <w:top w:w="0" w:type="dxa"/>
          <w:left w:w="0" w:type="dxa"/>
          <w:bottom w:w="0" w:type="dxa"/>
          <w:right w:w="0" w:type="dxa"/>
        </w:tblCellMar>
      </w:tblPr>
      <w:tr>
        <w:trPr>
          <w:trHeight w:val="228"/>
        </w:trPr>
        <w:tc>
          <w:tcPr>
            <w:tcW w:w="5080" w:type="dxa"/>
            <w:vAlign w:val="bottom"/>
          </w:tcPr>
          <w:p>
            <w:pPr>
              <w:ind w:left="2100"/>
              <w:spacing w:after="0"/>
              <w:rPr>
                <w:sz w:val="20"/>
                <w:szCs w:val="20"/>
                <w:color w:val="auto"/>
              </w:rPr>
            </w:pPr>
            <w:r>
              <w:rPr>
                <w:rFonts w:ascii="Times New Roman" w:cs="Times New Roman" w:eastAsia="Times New Roman" w:hAnsi="Times New Roman"/>
                <w:sz w:val="19"/>
                <w:szCs w:val="19"/>
                <w:color w:val="auto"/>
              </w:rPr>
              <w:t>Portfolio Investment</w:t>
            </w:r>
          </w:p>
        </w:tc>
        <w:tc>
          <w:tcPr>
            <w:tcW w:w="2300" w:type="dxa"/>
            <w:vAlign w:val="bottom"/>
          </w:tcPr>
          <w:p>
            <w:pPr>
              <w:ind w:left="1180"/>
              <w:spacing w:after="0"/>
              <w:rPr>
                <w:sz w:val="20"/>
                <w:szCs w:val="20"/>
                <w:color w:val="auto"/>
              </w:rPr>
            </w:pPr>
            <w:r>
              <w:rPr>
                <w:rFonts w:ascii="Times New Roman" w:cs="Times New Roman" w:eastAsia="Times New Roman" w:hAnsi="Times New Roman"/>
                <w:sz w:val="19"/>
                <w:szCs w:val="19"/>
                <w:color w:val="auto"/>
              </w:rPr>
              <w:t>Quoted</w:t>
            </w:r>
          </w:p>
        </w:tc>
        <w:tc>
          <w:tcPr>
            <w:tcW w:w="1340" w:type="dxa"/>
            <w:vAlign w:val="bottom"/>
          </w:tcPr>
          <w:p>
            <w:pPr>
              <w:ind w:left="580"/>
              <w:spacing w:after="0"/>
              <w:rPr>
                <w:sz w:val="20"/>
                <w:szCs w:val="20"/>
                <w:color w:val="auto"/>
              </w:rPr>
            </w:pPr>
            <w:r>
              <w:rPr>
                <w:rFonts w:ascii="Times New Roman" w:cs="Times New Roman" w:eastAsia="Times New Roman" w:hAnsi="Times New Roman"/>
                <w:sz w:val="19"/>
                <w:szCs w:val="19"/>
                <w:color w:val="auto"/>
                <w:w w:val="98"/>
              </w:rPr>
              <w:t>Unquoted</w:t>
            </w: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Cash, Cash Equivalents and</w:t>
            </w:r>
          </w:p>
        </w:tc>
        <w:tc>
          <w:tcPr>
            <w:tcW w:w="2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8"/>
        </w:trPr>
        <w:tc>
          <w:tcPr>
            <w:tcW w:w="508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Short-Term U.S. Government Securities</w:t>
            </w:r>
          </w:p>
        </w:tc>
        <w:tc>
          <w:tcPr>
            <w:tcW w:w="2300" w:type="dxa"/>
            <w:vAlign w:val="bottom"/>
          </w:tcPr>
          <w:p>
            <w:pPr>
              <w:jc w:val="center"/>
              <w:ind w:left="524"/>
              <w:spacing w:after="0"/>
              <w:rPr>
                <w:sz w:val="20"/>
                <w:szCs w:val="20"/>
                <w:color w:val="auto"/>
              </w:rPr>
            </w:pPr>
            <w:r>
              <w:rPr>
                <w:rFonts w:ascii="Times New Roman" w:cs="Times New Roman" w:eastAsia="Times New Roman" w:hAnsi="Times New Roman"/>
                <w:sz w:val="19"/>
                <w:szCs w:val="19"/>
                <w:color w:val="auto"/>
                <w:w w:val="99"/>
              </w:rPr>
              <w:t>100%</w:t>
            </w:r>
          </w:p>
        </w:tc>
        <w:tc>
          <w:tcPr>
            <w:tcW w:w="134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rPr>
              <w:t>0%</w:t>
            </w: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Long-Term U.S. Government Securities</w:t>
            </w:r>
          </w:p>
        </w:tc>
        <w:tc>
          <w:tcPr>
            <w:tcW w:w="2300" w:type="dxa"/>
            <w:vAlign w:val="bottom"/>
          </w:tcPr>
          <w:p>
            <w:pPr>
              <w:jc w:val="center"/>
              <w:ind w:left="524"/>
              <w:spacing w:after="0"/>
              <w:rPr>
                <w:sz w:val="20"/>
                <w:szCs w:val="20"/>
                <w:color w:val="auto"/>
              </w:rPr>
            </w:pPr>
            <w:r>
              <w:rPr>
                <w:rFonts w:ascii="Times New Roman" w:cs="Times New Roman" w:eastAsia="Times New Roman" w:hAnsi="Times New Roman"/>
                <w:sz w:val="19"/>
                <w:szCs w:val="19"/>
                <w:color w:val="auto"/>
              </w:rPr>
              <w:t>95%</w:t>
            </w:r>
          </w:p>
        </w:tc>
        <w:tc>
          <w:tcPr>
            <w:tcW w:w="134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rPr>
              <w:t>0%</w:t>
            </w: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Performing First Lien Bank Loans</w:t>
            </w:r>
          </w:p>
        </w:tc>
        <w:tc>
          <w:tcPr>
            <w:tcW w:w="2300" w:type="dxa"/>
            <w:vAlign w:val="bottom"/>
          </w:tcPr>
          <w:p>
            <w:pPr>
              <w:jc w:val="center"/>
              <w:ind w:left="524"/>
              <w:spacing w:after="0"/>
              <w:rPr>
                <w:sz w:val="20"/>
                <w:szCs w:val="20"/>
                <w:color w:val="auto"/>
              </w:rPr>
            </w:pPr>
            <w:r>
              <w:rPr>
                <w:rFonts w:ascii="Times New Roman" w:cs="Times New Roman" w:eastAsia="Times New Roman" w:hAnsi="Times New Roman"/>
                <w:sz w:val="19"/>
                <w:szCs w:val="19"/>
                <w:color w:val="auto"/>
              </w:rPr>
              <w:t>85%</w:t>
            </w:r>
          </w:p>
        </w:tc>
        <w:tc>
          <w:tcPr>
            <w:tcW w:w="134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7"/>
              </w:rPr>
              <w:t>75%</w:t>
            </w: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Performing Unitranche Loans</w:t>
            </w:r>
          </w:p>
        </w:tc>
        <w:tc>
          <w:tcPr>
            <w:tcW w:w="2300" w:type="dxa"/>
            <w:vAlign w:val="bottom"/>
          </w:tcPr>
          <w:p>
            <w:pPr>
              <w:jc w:val="center"/>
              <w:ind w:left="524"/>
              <w:spacing w:after="0"/>
              <w:rPr>
                <w:sz w:val="20"/>
                <w:szCs w:val="20"/>
                <w:color w:val="auto"/>
              </w:rPr>
            </w:pPr>
            <w:r>
              <w:rPr>
                <w:rFonts w:ascii="Times New Roman" w:cs="Times New Roman" w:eastAsia="Times New Roman" w:hAnsi="Times New Roman"/>
                <w:sz w:val="19"/>
                <w:szCs w:val="19"/>
                <w:color w:val="auto"/>
              </w:rPr>
              <w:t>80%</w:t>
            </w:r>
          </w:p>
        </w:tc>
        <w:tc>
          <w:tcPr>
            <w:tcW w:w="134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7"/>
              </w:rPr>
              <w:t>70%</w:t>
            </w: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Performing Second Lien Bank Loans</w:t>
            </w:r>
          </w:p>
        </w:tc>
        <w:tc>
          <w:tcPr>
            <w:tcW w:w="2300" w:type="dxa"/>
            <w:vAlign w:val="bottom"/>
          </w:tcPr>
          <w:p>
            <w:pPr>
              <w:jc w:val="center"/>
              <w:ind w:left="524"/>
              <w:spacing w:after="0"/>
              <w:rPr>
                <w:sz w:val="20"/>
                <w:szCs w:val="20"/>
                <w:color w:val="auto"/>
              </w:rPr>
            </w:pPr>
            <w:r>
              <w:rPr>
                <w:rFonts w:ascii="Times New Roman" w:cs="Times New Roman" w:eastAsia="Times New Roman" w:hAnsi="Times New Roman"/>
                <w:sz w:val="19"/>
                <w:szCs w:val="19"/>
                <w:color w:val="auto"/>
              </w:rPr>
              <w:t>75%</w:t>
            </w:r>
          </w:p>
        </w:tc>
        <w:tc>
          <w:tcPr>
            <w:tcW w:w="134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7"/>
              </w:rPr>
              <w:t>65%</w:t>
            </w: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Performing Cash Pay High Yield Securities</w:t>
            </w:r>
          </w:p>
        </w:tc>
        <w:tc>
          <w:tcPr>
            <w:tcW w:w="2300" w:type="dxa"/>
            <w:vAlign w:val="bottom"/>
          </w:tcPr>
          <w:p>
            <w:pPr>
              <w:jc w:val="center"/>
              <w:ind w:left="524"/>
              <w:spacing w:after="0"/>
              <w:rPr>
                <w:sz w:val="20"/>
                <w:szCs w:val="20"/>
                <w:color w:val="auto"/>
              </w:rPr>
            </w:pPr>
            <w:r>
              <w:rPr>
                <w:rFonts w:ascii="Times New Roman" w:cs="Times New Roman" w:eastAsia="Times New Roman" w:hAnsi="Times New Roman"/>
                <w:sz w:val="19"/>
                <w:szCs w:val="19"/>
                <w:color w:val="auto"/>
              </w:rPr>
              <w:t>70%</w:t>
            </w:r>
          </w:p>
        </w:tc>
        <w:tc>
          <w:tcPr>
            <w:tcW w:w="134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7"/>
              </w:rPr>
              <w:t>60%</w:t>
            </w: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Performing Cash Pay Mezzanine Investments</w:t>
            </w:r>
          </w:p>
        </w:tc>
        <w:tc>
          <w:tcPr>
            <w:tcW w:w="2300" w:type="dxa"/>
            <w:vAlign w:val="bottom"/>
          </w:tcPr>
          <w:p>
            <w:pPr>
              <w:jc w:val="center"/>
              <w:ind w:left="524"/>
              <w:spacing w:after="0"/>
              <w:rPr>
                <w:sz w:val="20"/>
                <w:szCs w:val="20"/>
                <w:color w:val="auto"/>
              </w:rPr>
            </w:pPr>
            <w:r>
              <w:rPr>
                <w:rFonts w:ascii="Times New Roman" w:cs="Times New Roman" w:eastAsia="Times New Roman" w:hAnsi="Times New Roman"/>
                <w:sz w:val="19"/>
                <w:szCs w:val="19"/>
                <w:color w:val="auto"/>
              </w:rPr>
              <w:t>65%</w:t>
            </w:r>
          </w:p>
        </w:tc>
        <w:tc>
          <w:tcPr>
            <w:tcW w:w="134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7"/>
              </w:rPr>
              <w:t>55%</w:t>
            </w: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Performing Non-Cash Pay High Yield Securities</w:t>
            </w:r>
          </w:p>
        </w:tc>
        <w:tc>
          <w:tcPr>
            <w:tcW w:w="2300" w:type="dxa"/>
            <w:vAlign w:val="bottom"/>
          </w:tcPr>
          <w:p>
            <w:pPr>
              <w:jc w:val="center"/>
              <w:ind w:left="524"/>
              <w:spacing w:after="0"/>
              <w:rPr>
                <w:sz w:val="20"/>
                <w:szCs w:val="20"/>
                <w:color w:val="auto"/>
              </w:rPr>
            </w:pPr>
            <w:r>
              <w:rPr>
                <w:rFonts w:ascii="Times New Roman" w:cs="Times New Roman" w:eastAsia="Times New Roman" w:hAnsi="Times New Roman"/>
                <w:sz w:val="19"/>
                <w:szCs w:val="19"/>
                <w:color w:val="auto"/>
              </w:rPr>
              <w:t>60%</w:t>
            </w:r>
          </w:p>
        </w:tc>
        <w:tc>
          <w:tcPr>
            <w:tcW w:w="134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7"/>
              </w:rPr>
              <w:t>50%</w:t>
            </w: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Performing Non-Cash Pay Mezzanine Investments</w:t>
            </w:r>
          </w:p>
        </w:tc>
        <w:tc>
          <w:tcPr>
            <w:tcW w:w="2300" w:type="dxa"/>
            <w:vAlign w:val="bottom"/>
          </w:tcPr>
          <w:p>
            <w:pPr>
              <w:jc w:val="center"/>
              <w:ind w:left="524"/>
              <w:spacing w:after="0"/>
              <w:rPr>
                <w:sz w:val="20"/>
                <w:szCs w:val="20"/>
                <w:color w:val="auto"/>
              </w:rPr>
            </w:pPr>
            <w:r>
              <w:rPr>
                <w:rFonts w:ascii="Times New Roman" w:cs="Times New Roman" w:eastAsia="Times New Roman" w:hAnsi="Times New Roman"/>
                <w:sz w:val="19"/>
                <w:szCs w:val="19"/>
                <w:color w:val="auto"/>
              </w:rPr>
              <w:t>55%</w:t>
            </w:r>
          </w:p>
        </w:tc>
        <w:tc>
          <w:tcPr>
            <w:tcW w:w="134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7"/>
              </w:rPr>
              <w:t>45%</w:t>
            </w:r>
          </w:p>
        </w:tc>
      </w:tr>
      <w:tr>
        <w:trPr>
          <w:trHeight w:val="228"/>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First Lien Bank Loans</w:t>
            </w:r>
          </w:p>
        </w:tc>
        <w:tc>
          <w:tcPr>
            <w:tcW w:w="2300" w:type="dxa"/>
            <w:vAlign w:val="bottom"/>
          </w:tcPr>
          <w:p>
            <w:pPr>
              <w:jc w:val="center"/>
              <w:ind w:left="524"/>
              <w:spacing w:after="0"/>
              <w:rPr>
                <w:sz w:val="20"/>
                <w:szCs w:val="20"/>
                <w:color w:val="auto"/>
              </w:rPr>
            </w:pPr>
            <w:r>
              <w:rPr>
                <w:rFonts w:ascii="Times New Roman" w:cs="Times New Roman" w:eastAsia="Times New Roman" w:hAnsi="Times New Roman"/>
                <w:sz w:val="19"/>
                <w:szCs w:val="19"/>
                <w:color w:val="auto"/>
              </w:rPr>
              <w:t>45%</w:t>
            </w:r>
          </w:p>
        </w:tc>
        <w:tc>
          <w:tcPr>
            <w:tcW w:w="134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7"/>
              </w:rPr>
              <w:t>45%</w:t>
            </w:r>
          </w:p>
        </w:tc>
      </w:tr>
      <w:tr>
        <w:trPr>
          <w:trHeight w:val="246"/>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Unitranche Loans</w:t>
            </w:r>
          </w:p>
        </w:tc>
        <w:tc>
          <w:tcPr>
            <w:tcW w:w="2300" w:type="dxa"/>
            <w:vAlign w:val="bottom"/>
          </w:tcPr>
          <w:p>
            <w:pPr>
              <w:jc w:val="center"/>
              <w:ind w:left="524"/>
              <w:spacing w:after="0"/>
              <w:rPr>
                <w:sz w:val="20"/>
                <w:szCs w:val="20"/>
                <w:color w:val="auto"/>
              </w:rPr>
            </w:pPr>
            <w:r>
              <w:rPr>
                <w:rFonts w:ascii="Times New Roman" w:cs="Times New Roman" w:eastAsia="Times New Roman" w:hAnsi="Times New Roman"/>
                <w:sz w:val="19"/>
                <w:szCs w:val="19"/>
                <w:color w:val="auto"/>
              </w:rPr>
              <w:t>40%</w:t>
            </w:r>
          </w:p>
        </w:tc>
        <w:tc>
          <w:tcPr>
            <w:tcW w:w="1340" w:type="dxa"/>
            <w:vAlign w:val="bottom"/>
          </w:tcPr>
          <w:p>
            <w:pPr>
              <w:jc w:val="center"/>
              <w:ind w:left="464"/>
              <w:spacing w:after="0"/>
              <w:rPr>
                <w:sz w:val="20"/>
                <w:szCs w:val="20"/>
                <w:color w:val="auto"/>
              </w:rPr>
            </w:pPr>
            <w:r>
              <w:rPr>
                <w:rFonts w:ascii="Times New Roman" w:cs="Times New Roman" w:eastAsia="Times New Roman" w:hAnsi="Times New Roman"/>
                <w:sz w:val="19"/>
                <w:szCs w:val="19"/>
                <w:color w:val="auto"/>
                <w:w w:val="97"/>
              </w:rPr>
              <w:t>40%</w:t>
            </w:r>
          </w:p>
        </w:tc>
      </w:tr>
    </w:tbl>
    <w:p>
      <w:pPr>
        <w:ind w:left="1020" w:hanging="810"/>
        <w:spacing w:after="0"/>
        <w:tabs>
          <w:tab w:leader="none" w:pos="1020"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659765</wp:posOffset>
            </wp:positionV>
            <wp:extent cx="6732905"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24" w:name="page225"/>
    <w:bookmarkEnd w:id="224"/>
    <w:p>
      <w:pPr>
        <w:spacing w:after="0" w:line="293" w:lineRule="exact"/>
        <w:rPr>
          <w:sz w:val="20"/>
          <w:szCs w:val="20"/>
          <w:color w:val="auto"/>
        </w:rPr>
      </w:pPr>
    </w:p>
    <w:tbl>
      <w:tblPr>
        <w:tblLayout w:type="fixed"/>
        <w:tblInd w:w="1060" w:type="dxa"/>
        <w:tblCellMar>
          <w:top w:w="0" w:type="dxa"/>
          <w:left w:w="0" w:type="dxa"/>
          <w:bottom w:w="0" w:type="dxa"/>
          <w:right w:w="0" w:type="dxa"/>
        </w:tblCellMar>
      </w:tblP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Second Lien Bank Loans</w:t>
            </w:r>
          </w:p>
        </w:tc>
        <w:tc>
          <w:tcPr>
            <w:tcW w:w="2280" w:type="dxa"/>
            <w:vAlign w:val="bottom"/>
          </w:tcPr>
          <w:p>
            <w:pPr>
              <w:jc w:val="center"/>
              <w:ind w:left="384"/>
              <w:spacing w:after="0"/>
              <w:rPr>
                <w:sz w:val="20"/>
                <w:szCs w:val="20"/>
                <w:color w:val="auto"/>
              </w:rPr>
            </w:pPr>
            <w:r>
              <w:rPr>
                <w:rFonts w:ascii="Times New Roman" w:cs="Times New Roman" w:eastAsia="Times New Roman" w:hAnsi="Times New Roman"/>
                <w:sz w:val="19"/>
                <w:szCs w:val="19"/>
                <w:color w:val="auto"/>
              </w:rPr>
              <w:t>40%</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7"/>
              </w:rPr>
              <w:t>30%</w:t>
            </w: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High Yield Securities</w:t>
            </w:r>
          </w:p>
        </w:tc>
        <w:tc>
          <w:tcPr>
            <w:tcW w:w="2280" w:type="dxa"/>
            <w:vAlign w:val="bottom"/>
          </w:tcPr>
          <w:p>
            <w:pPr>
              <w:jc w:val="center"/>
              <w:ind w:left="384"/>
              <w:spacing w:after="0"/>
              <w:rPr>
                <w:sz w:val="20"/>
                <w:szCs w:val="20"/>
                <w:color w:val="auto"/>
              </w:rPr>
            </w:pPr>
            <w:r>
              <w:rPr>
                <w:rFonts w:ascii="Times New Roman" w:cs="Times New Roman" w:eastAsia="Times New Roman" w:hAnsi="Times New Roman"/>
                <w:sz w:val="19"/>
                <w:szCs w:val="19"/>
                <w:color w:val="auto"/>
              </w:rPr>
              <w:t>30%</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7"/>
              </w:rPr>
              <w:t>30%</w:t>
            </w: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Cash Pay Mezzanine Investments</w:t>
            </w:r>
          </w:p>
        </w:tc>
        <w:tc>
          <w:tcPr>
            <w:tcW w:w="2280" w:type="dxa"/>
            <w:vAlign w:val="bottom"/>
          </w:tcPr>
          <w:p>
            <w:pPr>
              <w:jc w:val="center"/>
              <w:ind w:left="384"/>
              <w:spacing w:after="0"/>
              <w:rPr>
                <w:sz w:val="20"/>
                <w:szCs w:val="20"/>
                <w:color w:val="auto"/>
              </w:rPr>
            </w:pPr>
            <w:r>
              <w:rPr>
                <w:rFonts w:ascii="Times New Roman" w:cs="Times New Roman" w:eastAsia="Times New Roman" w:hAnsi="Times New Roman"/>
                <w:sz w:val="19"/>
                <w:szCs w:val="19"/>
                <w:color w:val="auto"/>
              </w:rPr>
              <w:t>30%</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7"/>
              </w:rPr>
              <w:t>25%</w:t>
            </w: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Performing Common Equity (and zero cost or</w:t>
            </w:r>
          </w:p>
        </w:tc>
        <w:tc>
          <w:tcPr>
            <w:tcW w:w="2280" w:type="dxa"/>
            <w:vAlign w:val="bottom"/>
          </w:tcPr>
          <w:p>
            <w:pPr>
              <w:jc w:val="center"/>
              <w:ind w:left="384"/>
              <w:spacing w:after="0"/>
              <w:rPr>
                <w:sz w:val="20"/>
                <w:szCs w:val="20"/>
                <w:color w:val="auto"/>
              </w:rPr>
            </w:pPr>
            <w:r>
              <w:rPr>
                <w:rFonts w:ascii="Times New Roman" w:cs="Times New Roman" w:eastAsia="Times New Roman" w:hAnsi="Times New Roman"/>
                <w:sz w:val="19"/>
                <w:szCs w:val="19"/>
                <w:color w:val="auto"/>
              </w:rPr>
              <w:t>30%</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w w:val="97"/>
              </w:rPr>
              <w:t>20%</w:t>
            </w:r>
          </w:p>
        </w:tc>
      </w:tr>
      <w:tr>
        <w:trPr>
          <w:trHeight w:val="228"/>
        </w:trPr>
        <w:tc>
          <w:tcPr>
            <w:tcW w:w="516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penny warrants with performing debt)</w:t>
            </w:r>
          </w:p>
        </w:tc>
        <w:tc>
          <w:tcPr>
            <w:tcW w:w="2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Non-Performing Common Equity</w:t>
            </w:r>
          </w:p>
        </w:tc>
        <w:tc>
          <w:tcPr>
            <w:tcW w:w="2280" w:type="dxa"/>
            <w:vAlign w:val="bottom"/>
          </w:tcPr>
          <w:p>
            <w:pPr>
              <w:jc w:val="center"/>
              <w:ind w:left="384"/>
              <w:spacing w:after="0"/>
              <w:rPr>
                <w:sz w:val="20"/>
                <w:szCs w:val="20"/>
                <w:color w:val="auto"/>
              </w:rPr>
            </w:pPr>
            <w:r>
              <w:rPr>
                <w:rFonts w:ascii="Times New Roman" w:cs="Times New Roman" w:eastAsia="Times New Roman" w:hAnsi="Times New Roman"/>
                <w:sz w:val="19"/>
                <w:szCs w:val="19"/>
                <w:color w:val="auto"/>
                <w:w w:val="94"/>
              </w:rPr>
              <w:t>0%</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0%</w:t>
            </w:r>
          </w:p>
        </w:tc>
      </w:tr>
      <w:tr>
        <w:trPr>
          <w:trHeight w:val="251"/>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Structured Finance Obligations and Finance Leases</w:t>
            </w:r>
          </w:p>
        </w:tc>
        <w:tc>
          <w:tcPr>
            <w:tcW w:w="2280" w:type="dxa"/>
            <w:vAlign w:val="bottom"/>
          </w:tcPr>
          <w:p>
            <w:pPr>
              <w:jc w:val="center"/>
              <w:ind w:left="384"/>
              <w:spacing w:after="0"/>
              <w:rPr>
                <w:sz w:val="20"/>
                <w:szCs w:val="20"/>
                <w:color w:val="auto"/>
              </w:rPr>
            </w:pPr>
            <w:r>
              <w:rPr>
                <w:rFonts w:ascii="Times New Roman" w:cs="Times New Roman" w:eastAsia="Times New Roman" w:hAnsi="Times New Roman"/>
                <w:sz w:val="19"/>
                <w:szCs w:val="19"/>
                <w:color w:val="auto"/>
                <w:w w:val="94"/>
              </w:rPr>
              <w:t>0%</w:t>
            </w:r>
          </w:p>
        </w:tc>
        <w:tc>
          <w:tcPr>
            <w:tcW w:w="1060" w:type="dxa"/>
            <w:vAlign w:val="bottom"/>
          </w:tcPr>
          <w:p>
            <w:pPr>
              <w:jc w:val="center"/>
              <w:ind w:left="624"/>
              <w:spacing w:after="0"/>
              <w:rPr>
                <w:sz w:val="20"/>
                <w:szCs w:val="20"/>
                <w:color w:val="auto"/>
              </w:rPr>
            </w:pPr>
            <w:r>
              <w:rPr>
                <w:rFonts w:ascii="Times New Roman" w:cs="Times New Roman" w:eastAsia="Times New Roman" w:hAnsi="Times New Roman"/>
                <w:sz w:val="19"/>
                <w:szCs w:val="19"/>
                <w:color w:val="auto"/>
              </w:rPr>
              <w:t>0%</w:t>
            </w:r>
          </w:p>
        </w:tc>
      </w:tr>
    </w:tbl>
    <w:p>
      <w:pPr>
        <w:spacing w:after="0" w:line="205" w:lineRule="exact"/>
        <w:rPr>
          <w:sz w:val="20"/>
          <w:szCs w:val="20"/>
          <w:color w:val="auto"/>
        </w:rPr>
      </w:pPr>
    </w:p>
    <w:p>
      <w:pPr>
        <w:ind w:right="80" w:firstLine="1404"/>
        <w:spacing w:after="0" w:line="262" w:lineRule="auto"/>
        <w:rPr>
          <w:sz w:val="20"/>
          <w:szCs w:val="20"/>
          <w:color w:val="auto"/>
        </w:rPr>
      </w:pPr>
      <w:r>
        <w:rPr>
          <w:rFonts w:ascii="Times New Roman" w:cs="Times New Roman" w:eastAsia="Times New Roman" w:hAnsi="Times New Roman"/>
          <w:sz w:val="19"/>
          <w:szCs w:val="19"/>
          <w:color w:val="auto"/>
        </w:rPr>
        <w:t>“Bank Loans” means debt obligations (including term loans, notes, revolving loans, debtor -in-possession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p>
    <w:p>
      <w:pPr>
        <w:spacing w:after="0" w:line="150" w:lineRule="exact"/>
        <w:rPr>
          <w:sz w:val="20"/>
          <w:szCs w:val="20"/>
          <w:color w:val="auto"/>
        </w:rPr>
      </w:pPr>
    </w:p>
    <w:p>
      <w:pPr>
        <w:ind w:right="80" w:firstLine="1404"/>
        <w:spacing w:after="0" w:line="268" w:lineRule="auto"/>
        <w:rPr>
          <w:sz w:val="20"/>
          <w:szCs w:val="20"/>
          <w:color w:val="auto"/>
        </w:rPr>
      </w:pPr>
      <w:r>
        <w:rPr>
          <w:rFonts w:ascii="Times New Roman" w:cs="Times New Roman" w:eastAsia="Times New Roman" w:hAnsi="Times New Roman"/>
          <w:sz w:val="19"/>
          <w:szCs w:val="19"/>
          <w:color w:val="auto"/>
        </w:rPr>
        <w:t>“Capital Stock”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“Cash” has the meaning assigned to such term in Section 1.01 of this Agreement.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“Cash Equivalents” has the meaning assigned to such term in Section 1.01 of this Agreement.</w:t>
      </w:r>
    </w:p>
    <w:p>
      <w:pPr>
        <w:spacing w:after="0" w:line="202" w:lineRule="exact"/>
        <w:rPr>
          <w:sz w:val="20"/>
          <w:szCs w:val="20"/>
          <w:color w:val="auto"/>
        </w:rPr>
      </w:pPr>
    </w:p>
    <w:p>
      <w:pPr>
        <w:ind w:right="300" w:firstLine="1404"/>
        <w:spacing w:after="0" w:line="286" w:lineRule="auto"/>
        <w:rPr>
          <w:sz w:val="20"/>
          <w:szCs w:val="20"/>
          <w:color w:val="auto"/>
        </w:rPr>
      </w:pPr>
      <w:r>
        <w:rPr>
          <w:rFonts w:ascii="Times New Roman" w:cs="Times New Roman" w:eastAsia="Times New Roman" w:hAnsi="Times New Roman"/>
          <w:sz w:val="19"/>
          <w:szCs w:val="19"/>
          <w:color w:val="auto"/>
        </w:rPr>
        <w:t>“Finance Lease” means any transaction representing the obligation of a lessee to pay rent or other amounts under a lease which is required to be classified and accounted for as a capital lease on the balance sheet of such lessee under GAAP.</w:t>
      </w:r>
    </w:p>
    <w:p>
      <w:pPr>
        <w:spacing w:after="0" w:line="127" w:lineRule="exact"/>
        <w:rPr>
          <w:sz w:val="20"/>
          <w:szCs w:val="20"/>
          <w:color w:val="auto"/>
        </w:rPr>
      </w:pPr>
    </w:p>
    <w:p>
      <w:pPr>
        <w:ind w:right="440" w:firstLine="1404"/>
        <w:spacing w:after="0" w:line="268" w:lineRule="auto"/>
        <w:rPr>
          <w:sz w:val="20"/>
          <w:szCs w:val="20"/>
          <w:color w:val="auto"/>
        </w:rPr>
      </w:pPr>
      <w:r>
        <w:rPr>
          <w:rFonts w:ascii="Times New Roman" w:cs="Times New Roman" w:eastAsia="Times New Roman" w:hAnsi="Times New Roman"/>
          <w:sz w:val="19"/>
          <w:szCs w:val="19"/>
          <w:color w:val="auto"/>
        </w:rPr>
        <w:t>“First Lien Bank Loan”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“High Yield Securities” means debt Securities and Preferred Stock, in each case (a) issued by public or private issuers,</w:t>
      </w:r>
    </w:p>
    <w:p>
      <w:pPr>
        <w:spacing w:after="0" w:line="32" w:lineRule="exact"/>
        <w:rPr>
          <w:sz w:val="20"/>
          <w:szCs w:val="20"/>
          <w:color w:val="auto"/>
        </w:rPr>
      </w:pPr>
    </w:p>
    <w:p>
      <w:pPr>
        <w:ind w:right="160" w:firstLine="6"/>
        <w:spacing w:after="0" w:line="262" w:lineRule="auto"/>
        <w:tabs>
          <w:tab w:leader="none" w:pos="272"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49" w:lineRule="exact"/>
        <w:rPr>
          <w:sz w:val="20"/>
          <w:szCs w:val="20"/>
          <w:color w:val="auto"/>
        </w:rPr>
      </w:pPr>
    </w:p>
    <w:p>
      <w:pPr>
        <w:ind w:right="140" w:firstLine="1404"/>
        <w:spacing w:after="0" w:line="286" w:lineRule="auto"/>
        <w:rPr>
          <w:sz w:val="20"/>
          <w:szCs w:val="20"/>
          <w:color w:val="auto"/>
        </w:rPr>
      </w:pPr>
      <w:r>
        <w:rPr>
          <w:rFonts w:ascii="Times New Roman" w:cs="Times New Roman" w:eastAsia="Times New Roman" w:hAnsi="Times New Roman"/>
          <w:sz w:val="19"/>
          <w:szCs w:val="19"/>
          <w:color w:val="auto"/>
        </w:rPr>
        <w:t>“Long-Term U.S. Government Securities” means U.S. Government Securities maturing more than one year from the applicable date of determination.</w:t>
      </w:r>
    </w:p>
    <w:p>
      <w:pPr>
        <w:spacing w:after="0" w:line="127" w:lineRule="exact"/>
        <w:rPr>
          <w:sz w:val="20"/>
          <w:szCs w:val="20"/>
          <w:color w:val="auto"/>
        </w:rPr>
      </w:pPr>
    </w:p>
    <w:p>
      <w:pPr>
        <w:jc w:val="both"/>
        <w:ind w:right="20" w:firstLine="1404"/>
        <w:spacing w:after="0" w:line="262" w:lineRule="auto"/>
        <w:rPr>
          <w:sz w:val="20"/>
          <w:szCs w:val="20"/>
          <w:color w:val="auto"/>
        </w:rPr>
      </w:pPr>
      <w:r>
        <w:rPr>
          <w:rFonts w:ascii="Times New Roman" w:cs="Times New Roman" w:eastAsia="Times New Roman" w:hAnsi="Times New Roman"/>
          <w:sz w:val="19"/>
          <w:szCs w:val="19"/>
          <w:color w:val="auto"/>
        </w:rPr>
        <w:t>“Mezzanine Investments”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48" w:lineRule="exact"/>
        <w:rPr>
          <w:sz w:val="20"/>
          <w:szCs w:val="20"/>
          <w:color w:val="auto"/>
        </w:rPr>
      </w:pPr>
    </w:p>
    <w:p>
      <w:pPr>
        <w:ind w:left="1020" w:hanging="810"/>
        <w:spacing w:after="0"/>
        <w:tabs>
          <w:tab w:leader="none" w:pos="1020"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25" w:name="page226"/>
    <w:bookmarkEnd w:id="225"/>
    <w:p>
      <w:pPr>
        <w:spacing w:after="0" w:line="269" w:lineRule="exact"/>
        <w:rPr>
          <w:sz w:val="20"/>
          <w:szCs w:val="20"/>
          <w:color w:val="auto"/>
        </w:rPr>
      </w:pPr>
    </w:p>
    <w:p>
      <w:pPr>
        <w:ind w:right="20" w:firstLine="1404"/>
        <w:spacing w:after="0" w:line="286" w:lineRule="auto"/>
        <w:rPr>
          <w:sz w:val="20"/>
          <w:szCs w:val="20"/>
          <w:color w:val="auto"/>
        </w:rPr>
      </w:pPr>
      <w:r>
        <w:rPr>
          <w:rFonts w:ascii="Times New Roman" w:cs="Times New Roman" w:eastAsia="Times New Roman" w:hAnsi="Times New Roman"/>
          <w:sz w:val="19"/>
          <w:szCs w:val="19"/>
          <w:color w:val="auto"/>
        </w:rPr>
        <w:t>“Non-Performing Common Equity” means Capital Stock (other than Preferred Stock) and warrants of an issuer having any debt outstanding that is non-Performing.</w:t>
      </w:r>
    </w:p>
    <w:p>
      <w:pPr>
        <w:spacing w:after="0" w:line="127" w:lineRule="exact"/>
        <w:rPr>
          <w:sz w:val="20"/>
          <w:szCs w:val="20"/>
          <w:color w:val="auto"/>
        </w:rPr>
      </w:pPr>
    </w:p>
    <w:p>
      <w:pPr>
        <w:ind w:left="1420" w:right="80"/>
        <w:spacing w:after="0" w:line="399" w:lineRule="auto"/>
        <w:rPr>
          <w:sz w:val="20"/>
          <w:szCs w:val="20"/>
          <w:color w:val="auto"/>
        </w:rPr>
      </w:pPr>
      <w:r>
        <w:rPr>
          <w:rFonts w:ascii="Times New Roman" w:cs="Times New Roman" w:eastAsia="Times New Roman" w:hAnsi="Times New Roman"/>
          <w:sz w:val="19"/>
          <w:szCs w:val="19"/>
          <w:color w:val="auto"/>
        </w:rPr>
        <w:t>“Non-Performing First Lien Bank Loans” means First Lien Bank Loans other than Performing First Lien Bank Loans. “Non-Performing High Yield Securities” means High Yield Securities other than Performing High Yield Securities. “Non-Performing Mezzanine Investments” means Mezzanine Investments other than Performing Mezzanine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Investments.</w:t>
      </w:r>
    </w:p>
    <w:p>
      <w:pPr>
        <w:spacing w:after="0" w:line="180" w:lineRule="exact"/>
        <w:rPr>
          <w:sz w:val="20"/>
          <w:szCs w:val="20"/>
          <w:color w:val="auto"/>
        </w:rPr>
      </w:pPr>
    </w:p>
    <w:p>
      <w:pPr>
        <w:ind w:right="60" w:firstLine="1404"/>
        <w:spacing w:after="0" w:line="286" w:lineRule="auto"/>
        <w:rPr>
          <w:sz w:val="20"/>
          <w:szCs w:val="20"/>
          <w:color w:val="auto"/>
        </w:rPr>
      </w:pPr>
      <w:r>
        <w:rPr>
          <w:rFonts w:ascii="Times New Roman" w:cs="Times New Roman" w:eastAsia="Times New Roman" w:hAnsi="Times New Roman"/>
          <w:sz w:val="19"/>
          <w:szCs w:val="19"/>
          <w:color w:val="auto"/>
        </w:rPr>
        <w:t>“Non -Performing Portfolio Investment” means Portfolio Investments for which the issuer is in default of any payment obligations of principal or interest in respect thereof after the expiration of any applicable grace period.</w:t>
      </w:r>
    </w:p>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“Non-Performing Second Lien Bank Loans” means Second Lien Bank Loans other than Performing Second Lien Bank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Loans.</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“Non-Performing Unitranche Loans” means Unitranche Loans other than Performing Unitranche Loans.</w:t>
      </w:r>
    </w:p>
    <w:p>
      <w:pPr>
        <w:spacing w:after="0" w:line="202" w:lineRule="exact"/>
        <w:rPr>
          <w:sz w:val="20"/>
          <w:szCs w:val="20"/>
          <w:color w:val="auto"/>
        </w:rPr>
      </w:pPr>
    </w:p>
    <w:p>
      <w:pPr>
        <w:ind w:right="40" w:firstLine="1404"/>
        <w:spacing w:after="0" w:line="259" w:lineRule="auto"/>
        <w:rPr>
          <w:sz w:val="20"/>
          <w:szCs w:val="20"/>
          <w:color w:val="auto"/>
        </w:rPr>
      </w:pPr>
      <w:r>
        <w:rPr>
          <w:rFonts w:ascii="Times New Roman" w:cs="Times New Roman" w:eastAsia="Times New Roman" w:hAnsi="Times New Roman"/>
          <w:sz w:val="19"/>
          <w:szCs w:val="19"/>
          <w:color w:val="auto"/>
        </w:rPr>
        <w:t>“Participation Interest” means a participation interest (excluding any sub-participation interests) in an investment that at the time of acquisition by an Obligor satisfies each of the following criteria: (a) the underlying investment would constitute a Portfolio Investment were it acquired directly by such Obligor, (b) the seller of the participation is a Financing Subsidiary, (c) the entire purchase price for such participation is paid in full at the time of its acquisition and (d) the participation provides the participant all of the economic benefit and risk of the whole or part of such portfolio investment that is the subject of such participation.</w:t>
      </w:r>
    </w:p>
    <w:p>
      <w:pPr>
        <w:spacing w:after="0" w:line="154" w:lineRule="exact"/>
        <w:rPr>
          <w:sz w:val="20"/>
          <w:szCs w:val="20"/>
          <w:color w:val="auto"/>
        </w:rPr>
      </w:pPr>
    </w:p>
    <w:p>
      <w:pPr>
        <w:ind w:right="20" w:firstLine="1404"/>
        <w:spacing w:after="0" w:line="262" w:lineRule="auto"/>
        <w:rPr>
          <w:sz w:val="20"/>
          <w:szCs w:val="20"/>
          <w:color w:val="auto"/>
        </w:rPr>
      </w:pPr>
      <w:r>
        <w:rPr>
          <w:rFonts w:ascii="Times New Roman" w:cs="Times New Roman" w:eastAsia="Times New Roman" w:hAnsi="Times New Roman"/>
          <w:sz w:val="19"/>
          <w:szCs w:val="19"/>
          <w:color w:val="auto"/>
        </w:rPr>
        <w:t>“Performing” means (a) with respect to any Portfolio Investment that is debt, the issuer of such Portfolio Investment is not in default of any payment obligations in respect thereof after the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50" w:lineRule="exact"/>
        <w:rPr>
          <w:sz w:val="20"/>
          <w:szCs w:val="20"/>
          <w:color w:val="auto"/>
        </w:rPr>
      </w:pPr>
    </w:p>
    <w:p>
      <w:pPr>
        <w:ind w:right="360" w:firstLine="1404"/>
        <w:spacing w:after="0" w:line="268" w:lineRule="auto"/>
        <w:rPr>
          <w:sz w:val="20"/>
          <w:szCs w:val="20"/>
          <w:color w:val="auto"/>
        </w:rPr>
      </w:pPr>
      <w:r>
        <w:rPr>
          <w:rFonts w:ascii="Times New Roman" w:cs="Times New Roman" w:eastAsia="Times New Roman" w:hAnsi="Times New Roman"/>
          <w:sz w:val="19"/>
          <w:szCs w:val="19"/>
          <w:color w:val="auto"/>
        </w:rPr>
        <w:t>“Performing Cash Pay High Yield Securities”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44" w:lineRule="exact"/>
        <w:rPr>
          <w:sz w:val="20"/>
          <w:szCs w:val="20"/>
          <w:color w:val="auto"/>
        </w:rPr>
      </w:pPr>
    </w:p>
    <w:p>
      <w:pPr>
        <w:ind w:right="360" w:firstLine="1404"/>
        <w:spacing w:after="0" w:line="268" w:lineRule="auto"/>
        <w:rPr>
          <w:sz w:val="20"/>
          <w:szCs w:val="20"/>
          <w:color w:val="auto"/>
        </w:rPr>
      </w:pPr>
      <w:r>
        <w:rPr>
          <w:rFonts w:ascii="Times New Roman" w:cs="Times New Roman" w:eastAsia="Times New Roman" w:hAnsi="Times New Roman"/>
          <w:sz w:val="19"/>
          <w:szCs w:val="19"/>
          <w:color w:val="auto"/>
        </w:rPr>
        <w:t>“Performing Cash Pay Mezzanine Investments”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42" w:lineRule="exact"/>
        <w:rPr>
          <w:sz w:val="20"/>
          <w:szCs w:val="20"/>
          <w:color w:val="auto"/>
        </w:rPr>
      </w:pPr>
    </w:p>
    <w:p>
      <w:pPr>
        <w:ind w:left="1020" w:hanging="810"/>
        <w:spacing w:after="0"/>
        <w:tabs>
          <w:tab w:leader="none" w:pos="1020"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6" w:name="page227"/>
    <w:bookmarkEnd w:id="226"/>
    <w:p>
      <w:pPr>
        <w:spacing w:after="0" w:line="269" w:lineRule="exact"/>
        <w:rPr>
          <w:sz w:val="20"/>
          <w:szCs w:val="20"/>
          <w:color w:val="auto"/>
        </w:rPr>
      </w:pPr>
    </w:p>
    <w:p>
      <w:pPr>
        <w:ind w:firstLine="1404"/>
        <w:spacing w:after="0" w:line="286" w:lineRule="auto"/>
        <w:rPr>
          <w:sz w:val="20"/>
          <w:szCs w:val="20"/>
          <w:color w:val="auto"/>
        </w:rPr>
      </w:pPr>
      <w:r>
        <w:rPr>
          <w:rFonts w:ascii="Times New Roman" w:cs="Times New Roman" w:eastAsia="Times New Roman" w:hAnsi="Times New Roman"/>
          <w:sz w:val="19"/>
          <w:szCs w:val="19"/>
          <w:color w:val="auto"/>
        </w:rPr>
        <w:t>“Performing Common Equity” means Capital Stock (other than Preferred Stock) and warrants of an issuer all of whose outstanding debt is Performing.</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“Performing First Lien Bank Loans” means First Lien Bank Loans which are Performing.</w:t>
      </w:r>
    </w:p>
    <w:p>
      <w:pPr>
        <w:spacing w:after="0" w:line="202" w:lineRule="exact"/>
        <w:rPr>
          <w:sz w:val="20"/>
          <w:szCs w:val="20"/>
          <w:color w:val="auto"/>
        </w:rPr>
      </w:pPr>
    </w:p>
    <w:p>
      <w:pPr>
        <w:ind w:right="320" w:firstLine="1404"/>
        <w:spacing w:after="0" w:line="286" w:lineRule="auto"/>
        <w:rPr>
          <w:sz w:val="20"/>
          <w:szCs w:val="20"/>
          <w:color w:val="auto"/>
        </w:rPr>
      </w:pPr>
      <w:r>
        <w:rPr>
          <w:rFonts w:ascii="Times New Roman" w:cs="Times New Roman" w:eastAsia="Times New Roman" w:hAnsi="Times New Roman"/>
          <w:sz w:val="19"/>
          <w:szCs w:val="19"/>
          <w:color w:val="auto"/>
        </w:rPr>
        <w:t>“Performing Non-Cash Pay High Yield Securities” means Performing High Yield Securities other than Performing Cash Pay High Yield Securities.</w:t>
      </w:r>
    </w:p>
    <w:p>
      <w:pPr>
        <w:spacing w:after="0" w:line="127" w:lineRule="exact"/>
        <w:rPr>
          <w:sz w:val="20"/>
          <w:szCs w:val="20"/>
          <w:color w:val="auto"/>
        </w:rPr>
      </w:pPr>
    </w:p>
    <w:p>
      <w:pPr>
        <w:ind w:right="20" w:firstLine="1404"/>
        <w:spacing w:after="0" w:line="286" w:lineRule="auto"/>
        <w:rPr>
          <w:sz w:val="20"/>
          <w:szCs w:val="20"/>
          <w:color w:val="auto"/>
        </w:rPr>
      </w:pPr>
      <w:r>
        <w:rPr>
          <w:rFonts w:ascii="Times New Roman" w:cs="Times New Roman" w:eastAsia="Times New Roman" w:hAnsi="Times New Roman"/>
          <w:sz w:val="19"/>
          <w:szCs w:val="19"/>
          <w:color w:val="auto"/>
        </w:rPr>
        <w:t>“Performing Non-Cash Pay Mezzanine Investments” means Performing Mezzanine Investments other than Performing Cash Pay Mezzanine Investments.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“Performing Second Lien Bank Loans” means Second Lien Bank Loans which are Performing.</w:t>
      </w:r>
    </w:p>
    <w:p>
      <w:pPr>
        <w:spacing w:after="0" w:line="202" w:lineRule="exact"/>
        <w:rPr>
          <w:sz w:val="20"/>
          <w:szCs w:val="20"/>
          <w:color w:val="auto"/>
        </w:rPr>
      </w:pPr>
    </w:p>
    <w:p>
      <w:pPr>
        <w:ind w:right="20" w:firstLine="1404"/>
        <w:spacing w:after="0" w:line="259" w:lineRule="auto"/>
        <w:rPr>
          <w:sz w:val="20"/>
          <w:szCs w:val="20"/>
          <w:color w:val="auto"/>
        </w:rPr>
      </w:pPr>
      <w:r>
        <w:rPr>
          <w:rFonts w:ascii="Times New Roman" w:cs="Times New Roman" w:eastAsia="Times New Roman" w:hAnsi="Times New Roman"/>
          <w:sz w:val="19"/>
          <w:szCs w:val="19"/>
          <w:color w:val="auto"/>
        </w:rPr>
        <w:t>“Preferred Stock,”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54" w:lineRule="exact"/>
        <w:rPr>
          <w:sz w:val="20"/>
          <w:szCs w:val="20"/>
          <w:color w:val="auto"/>
        </w:rPr>
      </w:pPr>
    </w:p>
    <w:p>
      <w:pPr>
        <w:ind w:right="180" w:firstLine="1404"/>
        <w:spacing w:after="0" w:line="268" w:lineRule="auto"/>
        <w:rPr>
          <w:sz w:val="20"/>
          <w:szCs w:val="20"/>
          <w:color w:val="auto"/>
        </w:rPr>
      </w:pPr>
      <w:r>
        <w:rPr>
          <w:rFonts w:ascii="Times New Roman" w:cs="Times New Roman" w:eastAsia="Times New Roman" w:hAnsi="Times New Roman"/>
          <w:sz w:val="19"/>
          <w:szCs w:val="19"/>
          <w:color w:val="auto"/>
        </w:rPr>
        <w:t>“Second Lien Bank Loan”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44" w:lineRule="exact"/>
        <w:rPr>
          <w:sz w:val="20"/>
          <w:szCs w:val="20"/>
          <w:color w:val="auto"/>
        </w:rPr>
      </w:pPr>
    </w:p>
    <w:p>
      <w:pPr>
        <w:ind w:right="60" w:firstLine="1404"/>
        <w:spacing w:after="0" w:line="259" w:lineRule="auto"/>
        <w:rPr>
          <w:sz w:val="20"/>
          <w:szCs w:val="20"/>
          <w:color w:val="auto"/>
        </w:rPr>
      </w:pPr>
      <w:r>
        <w:rPr>
          <w:rFonts w:ascii="Times New Roman" w:cs="Times New Roman" w:eastAsia="Times New Roman" w:hAnsi="Times New Roman"/>
          <w:sz w:val="19"/>
          <w:szCs w:val="19"/>
          <w:color w:val="auto"/>
        </w:rPr>
        <w:t>“Securities”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“Securities Act” means the United States Securities Act of 1933, as amended.</w:t>
      </w:r>
    </w:p>
    <w:p>
      <w:pPr>
        <w:spacing w:after="0" w:line="202" w:lineRule="exact"/>
        <w:rPr>
          <w:sz w:val="20"/>
          <w:szCs w:val="20"/>
          <w:color w:val="auto"/>
        </w:rPr>
      </w:pPr>
    </w:p>
    <w:p>
      <w:pPr>
        <w:ind w:right="680" w:firstLine="1404"/>
        <w:spacing w:after="0" w:line="286" w:lineRule="auto"/>
        <w:rPr>
          <w:sz w:val="20"/>
          <w:szCs w:val="20"/>
          <w:color w:val="auto"/>
        </w:rPr>
      </w:pPr>
      <w:r>
        <w:rPr>
          <w:rFonts w:ascii="Times New Roman" w:cs="Times New Roman" w:eastAsia="Times New Roman" w:hAnsi="Times New Roman"/>
          <w:sz w:val="19"/>
          <w:szCs w:val="19"/>
          <w:color w:val="auto"/>
        </w:rPr>
        <w:t>“Short-Term U.S. Government Securities” means U.S. Government Securities maturing within one year of the applicable date of determination.</w:t>
      </w:r>
    </w:p>
    <w:p>
      <w:pPr>
        <w:spacing w:after="0" w:line="127" w:lineRule="exact"/>
        <w:rPr>
          <w:sz w:val="20"/>
          <w:szCs w:val="20"/>
          <w:color w:val="auto"/>
        </w:rPr>
      </w:pPr>
    </w:p>
    <w:p>
      <w:pPr>
        <w:ind w:right="100" w:firstLine="1404"/>
        <w:spacing w:after="0" w:line="259" w:lineRule="auto"/>
        <w:rPr>
          <w:sz w:val="20"/>
          <w:szCs w:val="20"/>
          <w:color w:val="auto"/>
        </w:rPr>
      </w:pPr>
      <w:r>
        <w:rPr>
          <w:rFonts w:ascii="Times New Roman" w:cs="Times New Roman" w:eastAsia="Times New Roman" w:hAnsi="Times New Roman"/>
          <w:sz w:val="19"/>
          <w:szCs w:val="19"/>
          <w:color w:val="auto"/>
        </w:rPr>
        <w:t>“Structured Finance Obligation”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“U.S. Government Securities” has the meaning assigned to such term in Section 1.01.</w:t>
      </w:r>
    </w:p>
    <w:p>
      <w:pPr>
        <w:spacing w:after="0" w:line="200" w:lineRule="exact"/>
        <w:rPr>
          <w:sz w:val="20"/>
          <w:szCs w:val="20"/>
          <w:color w:val="auto"/>
        </w:rPr>
      </w:pPr>
    </w:p>
    <w:p>
      <w:pPr>
        <w:ind w:left="1020" w:hanging="810"/>
        <w:spacing w:after="0"/>
        <w:tabs>
          <w:tab w:leader="none" w:pos="102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7" w:name="page228"/>
    <w:bookmarkEnd w:id="227"/>
    <w:p>
      <w:pPr>
        <w:spacing w:after="0" w:line="269" w:lineRule="exact"/>
        <w:rPr>
          <w:sz w:val="20"/>
          <w:szCs w:val="20"/>
          <w:color w:val="auto"/>
        </w:rPr>
      </w:pPr>
    </w:p>
    <w:p>
      <w:pPr>
        <w:ind w:right="20" w:firstLine="1404"/>
        <w:spacing w:after="0" w:line="262" w:lineRule="auto"/>
        <w:rPr>
          <w:sz w:val="20"/>
          <w:szCs w:val="20"/>
          <w:color w:val="auto"/>
        </w:rPr>
      </w:pPr>
      <w:r>
        <w:rPr>
          <w:rFonts w:ascii="Times New Roman" w:cs="Times New Roman" w:eastAsia="Times New Roman" w:hAnsi="Times New Roman"/>
          <w:sz w:val="19"/>
          <w:szCs w:val="19"/>
          <w:color w:val="auto"/>
        </w:rPr>
        <w:t>“Unitranche Loan” 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this Agreement.</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“Value” means, with respect to any Portfolio Investment, the lower of:</w:t>
      </w:r>
    </w:p>
    <w:p>
      <w:pPr>
        <w:spacing w:after="0" w:line="202" w:lineRule="exact"/>
        <w:rPr>
          <w:sz w:val="20"/>
          <w:szCs w:val="20"/>
          <w:color w:val="auto"/>
        </w:rPr>
      </w:pPr>
    </w:p>
    <w:p>
      <w:pPr>
        <w:ind w:left="1640" w:hanging="230"/>
        <w:spacing w:after="0"/>
        <w:tabs>
          <w:tab w:leader="none" w:pos="164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most recent internal market value as determined pursuant to Section 5.12(b)(ii)(C) and</w:t>
      </w:r>
    </w:p>
    <w:p>
      <w:pPr>
        <w:spacing w:after="0" w:line="201" w:lineRule="exact"/>
        <w:rPr>
          <w:rFonts w:ascii="Times New Roman" w:cs="Times New Roman" w:eastAsia="Times New Roman" w:hAnsi="Times New Roman"/>
          <w:sz w:val="19"/>
          <w:szCs w:val="19"/>
          <w:color w:val="auto"/>
        </w:rPr>
      </w:pPr>
    </w:p>
    <w:p>
      <w:pPr>
        <w:ind w:left="1700" w:hanging="290"/>
        <w:spacing w:after="0"/>
        <w:tabs>
          <w:tab w:leader="none" w:pos="170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most recent external market value as determined pursuant to Section 5.12(b)(ii)(A) and (B).</w:t>
      </w:r>
    </w:p>
    <w:p>
      <w:pPr>
        <w:spacing w:after="0" w:line="201" w:lineRule="exact"/>
        <w:rPr>
          <w:rFonts w:ascii="Times New Roman" w:cs="Times New Roman" w:eastAsia="Times New Roman" w:hAnsi="Times New Roman"/>
          <w:sz w:val="19"/>
          <w:szCs w:val="19"/>
          <w:color w:val="auto"/>
        </w:rPr>
      </w:pPr>
    </w:p>
    <w:p>
      <w:pPr>
        <w:ind w:left="4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ARTICLE VI</w:t>
      </w:r>
    </w:p>
    <w:p>
      <w:pPr>
        <w:spacing w:after="0" w:line="2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NEGATIVE COVENANTS</w:t>
      </w:r>
    </w:p>
    <w:p>
      <w:pPr>
        <w:spacing w:after="0" w:line="202" w:lineRule="exact"/>
        <w:rPr>
          <w:sz w:val="20"/>
          <w:szCs w:val="20"/>
          <w:color w:val="auto"/>
        </w:rPr>
      </w:pPr>
    </w:p>
    <w:p>
      <w:pPr>
        <w:ind w:firstLine="1404"/>
        <w:spacing w:after="0" w:line="262" w:lineRule="auto"/>
        <w:rPr>
          <w:sz w:val="20"/>
          <w:szCs w:val="20"/>
          <w:color w:val="auto"/>
        </w:rPr>
      </w:pPr>
      <w:r>
        <w:rPr>
          <w:rFonts w:ascii="Times New Roman" w:cs="Times New Roman" w:eastAsia="Times New Roman" w:hAnsi="Times New Roman"/>
          <w:sz w:val="19"/>
          <w:szCs w:val="19"/>
          <w:color w:val="auto"/>
        </w:rPr>
        <w:t>Until the Commitments have expired or terminated and the principal of and accrued interest on each Loan and all fees payable hereunder (other than Unasserted Contingent Obligations) have been paid in full and all Letters of Credit have expired, been terminated, Cash Collateralized or backstopped and all LC Disbursements shall have been reimbursed, the Borrower covenants and agrees with the Lenders that:</w:t>
      </w:r>
    </w:p>
    <w:p>
      <w:pPr>
        <w:spacing w:after="0" w:line="150" w:lineRule="exact"/>
        <w:rPr>
          <w:sz w:val="20"/>
          <w:szCs w:val="20"/>
          <w:color w:val="auto"/>
        </w:rPr>
      </w:pPr>
    </w:p>
    <w:p>
      <w:pPr>
        <w:ind w:right="340" w:firstLine="1404"/>
        <w:spacing w:after="0" w:line="286" w:lineRule="auto"/>
        <w:rPr>
          <w:sz w:val="20"/>
          <w:szCs w:val="20"/>
          <w:color w:val="auto"/>
        </w:rPr>
      </w:pPr>
      <w:r>
        <w:rPr>
          <w:rFonts w:ascii="Times New Roman" w:cs="Times New Roman" w:eastAsia="Times New Roman" w:hAnsi="Times New Roman"/>
          <w:sz w:val="19"/>
          <w:szCs w:val="19"/>
          <w:color w:val="0000FF"/>
        </w:rPr>
        <w:t xml:space="preserve">SECTION 6.01. </w:t>
      </w:r>
      <w:r>
        <w:rPr>
          <w:rFonts w:ascii="Times New Roman" w:cs="Times New Roman" w:eastAsia="Times New Roman" w:hAnsi="Times New Roman"/>
          <w:sz w:val="19"/>
          <w:szCs w:val="19"/>
          <w:color w:val="000000"/>
        </w:rPr>
        <w:t>Indebtedness. Subject to the last sentence of this Section 6.01, the Borrower will not, nor will it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permit any of the Subsidiary Guarantors to, create, incur, assume or permit to exist any Indebtedness, except: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(a)Indebtedness created hereunder or under any other Loan Document;</w:t>
      </w:r>
    </w:p>
    <w:p>
      <w:pPr>
        <w:spacing w:after="0" w:line="202" w:lineRule="exact"/>
        <w:rPr>
          <w:sz w:val="20"/>
          <w:szCs w:val="20"/>
          <w:color w:val="auto"/>
        </w:rPr>
      </w:pPr>
    </w:p>
    <w:p>
      <w:pPr>
        <w:ind w:right="160" w:firstLine="1404"/>
        <w:spacing w:after="0" w:line="259" w:lineRule="auto"/>
        <w:rPr>
          <w:sz w:val="20"/>
          <w:szCs w:val="20"/>
          <w:color w:val="auto"/>
        </w:rPr>
      </w:pPr>
      <w:r>
        <w:rPr>
          <w:rFonts w:ascii="Times New Roman" w:cs="Times New Roman" w:eastAsia="Times New Roman" w:hAnsi="Times New Roman"/>
          <w:sz w:val="19"/>
          <w:szCs w:val="19"/>
          <w:color w:val="auto"/>
        </w:rPr>
        <w:t>(b)Secured Longer- 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Sections 6.07(c) and (d), and (iii) prior to and immediately after giving effect to the incurrence of any Secured Longer-Term Indebtedness, the Covered Debt Amount does not or would not exceed the Borrowing Base then in effect;</w:t>
      </w:r>
    </w:p>
    <w:p>
      <w:pPr>
        <w:spacing w:after="0" w:line="1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(c)Other Permitted Indebtedness;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(d)Guarantees of Indebtedness otherwise permitted hereunder;</w:t>
      </w:r>
    </w:p>
    <w:p>
      <w:pPr>
        <w:spacing w:after="0" w:line="202" w:lineRule="exact"/>
        <w:rPr>
          <w:sz w:val="20"/>
          <w:szCs w:val="20"/>
          <w:color w:val="auto"/>
        </w:rPr>
      </w:pPr>
    </w:p>
    <w:p>
      <w:pPr>
        <w:ind w:right="100" w:firstLine="1404"/>
        <w:spacing w:after="0" w:line="286" w:lineRule="auto"/>
        <w:rPr>
          <w:sz w:val="20"/>
          <w:szCs w:val="20"/>
          <w:color w:val="auto"/>
        </w:rPr>
      </w:pPr>
      <w:r>
        <w:rPr>
          <w:rFonts w:ascii="Times New Roman" w:cs="Times New Roman" w:eastAsia="Times New Roman" w:hAnsi="Times New Roman"/>
          <w:sz w:val="19"/>
          <w:szCs w:val="19"/>
          <w:color w:val="auto"/>
        </w:rPr>
        <w:t>(e)Indebtedness of any Obligor owing to any other Obligor or, if such Indebtedness is subject to subordination terms and conditions that are satisfactory to the Administrative Agent, any other Subsidiary of the Borrower;</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(f)Indebtedness of Financing Subsidiaries;</w:t>
      </w:r>
    </w:p>
    <w:p>
      <w:pPr>
        <w:spacing w:after="0" w:line="200" w:lineRule="exact"/>
        <w:rPr>
          <w:sz w:val="20"/>
          <w:szCs w:val="20"/>
          <w:color w:val="auto"/>
        </w:rPr>
      </w:pPr>
    </w:p>
    <w:p>
      <w:pPr>
        <w:ind w:left="1020" w:hanging="810"/>
        <w:spacing w:after="0"/>
        <w:tabs>
          <w:tab w:leader="none" w:pos="1020"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40" w:right="780" w:bottom="1440" w:gutter="0" w:footer="0" w:header="0"/>
        </w:sectPr>
      </w:pPr>
    </w:p>
    <w:bookmarkStart w:id="228" w:name="page229"/>
    <w:bookmarkEnd w:id="228"/>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(g)repurchase obligations arising in the ordinary course of business with respect to U.S. Government Securities;</w:t>
      </w:r>
    </w:p>
    <w:p>
      <w:pPr>
        <w:spacing w:after="0" w:line="202" w:lineRule="exact"/>
        <w:rPr>
          <w:sz w:val="20"/>
          <w:szCs w:val="20"/>
          <w:color w:val="auto"/>
        </w:rPr>
      </w:pPr>
    </w:p>
    <w:p>
      <w:pPr>
        <w:ind w:right="200" w:firstLine="1404"/>
        <w:spacing w:after="0" w:line="286" w:lineRule="auto"/>
        <w:rPr>
          <w:sz w:val="20"/>
          <w:szCs w:val="20"/>
          <w:color w:val="auto"/>
        </w:rPr>
      </w:pPr>
      <w:r>
        <w:rPr>
          <w:rFonts w:ascii="Times New Roman" w:cs="Times New Roman" w:eastAsia="Times New Roman" w:hAnsi="Times New Roman"/>
          <w:sz w:val="19"/>
          <w:szCs w:val="19"/>
          <w:color w:val="auto"/>
        </w:rPr>
        <w:t>(h)obligations payable to clearing agencies, brokers or dealers in connection with the purchase or sale of securities in the ordinary course of business;</w:t>
      </w:r>
    </w:p>
    <w:p>
      <w:pPr>
        <w:spacing w:after="0" w:line="127"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(i)Secured Shorter -Term Indebtedness so long as (i) no Default exists at the time of the incurrence thereof, (ii) the aggregate amount (determined at the time of the incurrence of such Indebtedness) of such Indebtedness does not exceed the greater of (A) $20,000,000 and (B) 5% of Shareholders’ Equity, (iii) the aggregate amount of such Indebtedness, taken together with other then-outstanding Indebtedness, does not exceed the amount required to comply with the provisions of Sections 6.07(c) and (d), and (iv) prior to and immediately after giving effect to the incurrence of any such Indebtedness, the Covered Debt Amount does not or would not exceed the Borrowing Base then in effect;</w:t>
      </w:r>
    </w:p>
    <w:p>
      <w:pPr>
        <w:spacing w:after="0" w:line="157" w:lineRule="exact"/>
        <w:rPr>
          <w:sz w:val="20"/>
          <w:szCs w:val="20"/>
          <w:color w:val="auto"/>
        </w:rPr>
      </w:pPr>
    </w:p>
    <w:p>
      <w:pPr>
        <w:ind w:left="1420" w:right="2360"/>
        <w:spacing w:after="0" w:line="461" w:lineRule="auto"/>
        <w:rPr>
          <w:sz w:val="20"/>
          <w:szCs w:val="20"/>
          <w:color w:val="auto"/>
        </w:rPr>
      </w:pPr>
      <w:r>
        <w:rPr>
          <w:rFonts w:ascii="Times New Roman" w:cs="Times New Roman" w:eastAsia="Times New Roman" w:hAnsi="Times New Roman"/>
          <w:sz w:val="19"/>
          <w:szCs w:val="19"/>
          <w:color w:val="auto"/>
        </w:rPr>
        <w:t>(j)obligations (including Guarantees) in respect of Standard Securitization Undertakings; (k)Permitted SBIC Guarantees;</w:t>
      </w:r>
    </w:p>
    <w:p>
      <w:pPr>
        <w:spacing w:after="0" w:line="1" w:lineRule="exact"/>
        <w:rPr>
          <w:sz w:val="20"/>
          <w:szCs w:val="20"/>
          <w:color w:val="auto"/>
        </w:rPr>
      </w:pPr>
    </w:p>
    <w:p>
      <w:pPr>
        <w:ind w:right="120" w:firstLine="1404"/>
        <w:spacing w:after="0" w:line="268" w:lineRule="auto"/>
        <w:rPr>
          <w:sz w:val="20"/>
          <w:szCs w:val="20"/>
          <w:color w:val="auto"/>
        </w:rPr>
      </w:pPr>
      <w:r>
        <w:rPr>
          <w:rFonts w:ascii="Times New Roman" w:cs="Times New Roman" w:eastAsia="Times New Roman" w:hAnsi="Times New Roman"/>
          <w:sz w:val="19"/>
          <w:szCs w:val="19"/>
          <w:color w:val="auto"/>
        </w:rPr>
        <w:t>(l)Indebtedness under any Capital Call Facility the aggregate principal amount of which does not exceed, at the time incurred, the Borrower’s aggregate Unused Capital Commitments (or similar defined term used for the purposes contemplated herein, in each case, as defined in each of the Borrower’s subscription agreements) of its investors; and;</w:t>
      </w:r>
    </w:p>
    <w:p>
      <w:pPr>
        <w:spacing w:after="0" w:line="144" w:lineRule="exact"/>
        <w:rPr>
          <w:sz w:val="20"/>
          <w:szCs w:val="20"/>
          <w:color w:val="auto"/>
        </w:rPr>
      </w:pPr>
    </w:p>
    <w:p>
      <w:pPr>
        <w:ind w:right="20" w:firstLine="1404"/>
        <w:spacing w:after="0" w:line="255" w:lineRule="auto"/>
        <w:rPr>
          <w:sz w:val="20"/>
          <w:szCs w:val="20"/>
          <w:color w:val="auto"/>
        </w:rPr>
      </w:pPr>
      <w:r>
        <w:rPr>
          <w:rFonts w:ascii="Times New Roman" w:cs="Times New Roman" w:eastAsia="Times New Roman" w:hAnsi="Times New Roman"/>
          <w:sz w:val="19"/>
          <w:szCs w:val="19"/>
          <w:color w:val="auto"/>
        </w:rPr>
        <w:t>(m)Unsecured Shorter-Term Indebtedness (other than Special Unsecured Indebtedness that would otherwise constitute Unsecured Shorter -Term Indebtedness) so long as (i) no Default exists at the time of the incurrence thereof, (ii) the aggregate amount (determined at the time of the incurrence of such Indebtedness) of such Indebtedness does not exceed $1,500,000,000, (iii) the aggregate amount (determined at the time of the incurrence of such Indebtedness) of such Indebtedness, taken together with then-outstanding Special Unsecured Indebtedness incurred pursuant to Section 6.01(n), does not exceed $1,500,000,000, (iv) the aggregate amount of such Indebtedness, taken together with other then-outstanding Indebtedness, does not exceed the amount required to comply with the provisions of Sections 6.07(c) and (d), and (v) prior to and immediately after giving effect to the incurrence of any such Indebtedness, the Covered Debt Amount does not or would not exceed the Borrowing Base then in effect;</w:t>
      </w:r>
    </w:p>
    <w:p>
      <w:pPr>
        <w:spacing w:after="0" w:line="160" w:lineRule="exact"/>
        <w:rPr>
          <w:sz w:val="20"/>
          <w:szCs w:val="20"/>
          <w:color w:val="auto"/>
        </w:rPr>
      </w:pPr>
    </w:p>
    <w:p>
      <w:pPr>
        <w:ind w:right="100" w:firstLine="1404"/>
        <w:spacing w:after="0" w:line="262" w:lineRule="auto"/>
        <w:rPr>
          <w:sz w:val="20"/>
          <w:szCs w:val="20"/>
          <w:color w:val="auto"/>
        </w:rPr>
      </w:pPr>
      <w:r>
        <w:rPr>
          <w:rFonts w:ascii="Times New Roman" w:cs="Times New Roman" w:eastAsia="Times New Roman" w:hAnsi="Times New Roman"/>
          <w:sz w:val="19"/>
          <w:szCs w:val="19"/>
          <w:color w:val="auto"/>
        </w:rPr>
        <w:t>(n)Special Unsecured Indebtedness so long as (i) no Default exists at the time of the incurrence thereof, (ii) the aggregate amount (determined at the time of the incurrence of such Indebtedness) of such Indebtedness does not exceed $1,500,000,000,</w:t>
      </w:r>
    </w:p>
    <w:p>
      <w:pPr>
        <w:spacing w:after="0" w:line="1" w:lineRule="exact"/>
        <w:rPr>
          <w:sz w:val="20"/>
          <w:szCs w:val="20"/>
          <w:color w:val="auto"/>
        </w:rPr>
      </w:pPr>
    </w:p>
    <w:p>
      <w:pPr>
        <w:ind w:right="20" w:firstLine="6"/>
        <w:spacing w:after="0" w:line="253" w:lineRule="auto"/>
        <w:tabs>
          <w:tab w:leader="none" w:pos="336"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amount (determined at the time of the incurrence of such Indebtedness) of such Indebtedness, taken together with then-outstanding Unsecured Shorter-Term Indebtedness incurred pursuant to Section 6.01(m), does not exceed $1,500,000,000, (iv) the aggregate amount of such Indebtedness, taken together with other then-outstanding Indebtedness, does not exceed the amount required to comply with the provisions of Sections 6.07(c) and (d), and (v) prior to and immediately after giving effect to the incurrence of any such Indebtedness, the Covered Debt Amount does not or would not exceed the Borrowing Base then in effect;</w:t>
      </w:r>
    </w:p>
    <w:p>
      <w:pPr>
        <w:spacing w:after="0" w:line="157" w:lineRule="exact"/>
        <w:rPr>
          <w:sz w:val="20"/>
          <w:szCs w:val="20"/>
          <w:color w:val="auto"/>
        </w:rPr>
      </w:pPr>
    </w:p>
    <w:p>
      <w:pPr>
        <w:ind w:left="1020" w:hanging="810"/>
        <w:spacing w:after="0"/>
        <w:tabs>
          <w:tab w:leader="none" w:pos="1020"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29" w:name="page230"/>
    <w:bookmarkEnd w:id="229"/>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(o)other Indebtedness not to exceed the greater of (i) $25,000,000 and (ii) 5% of Shareholders’ Equity at any time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outstanding; and</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(p)Indebtedness incurred pursuant to the 2029 Notes, the 2030A Notes and the 2030B Notes.</w:t>
      </w:r>
    </w:p>
    <w:p>
      <w:pPr>
        <w:spacing w:after="0" w:line="202" w:lineRule="exact"/>
        <w:rPr>
          <w:sz w:val="20"/>
          <w:szCs w:val="20"/>
          <w:color w:val="auto"/>
        </w:rPr>
      </w:pPr>
    </w:p>
    <w:p>
      <w:pPr>
        <w:ind w:right="240" w:firstLine="1404"/>
        <w:spacing w:after="0" w:line="268" w:lineRule="auto"/>
        <w:rPr>
          <w:sz w:val="20"/>
          <w:szCs w:val="20"/>
          <w:color w:val="auto"/>
        </w:rPr>
      </w:pPr>
      <w:r>
        <w:rPr>
          <w:rFonts w:ascii="Times New Roman" w:cs="Times New Roman" w:eastAsia="Times New Roman" w:hAnsi="Times New Roman"/>
          <w:sz w:val="19"/>
          <w:szCs w:val="19"/>
          <w:color w:val="0000FF"/>
        </w:rPr>
        <w:t xml:space="preserve">SECTION 6.02. </w:t>
      </w:r>
      <w:r>
        <w:rPr>
          <w:rFonts w:ascii="Times New Roman" w:cs="Times New Roman" w:eastAsia="Times New Roman" w:hAnsi="Times New Roman"/>
          <w:sz w:val="19"/>
          <w:szCs w:val="19"/>
          <w:color w:val="000000"/>
        </w:rPr>
        <w:t>Liens. The Borrower will not, nor will it permit any of the Subsidiary Guarantors to, create, incur,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assume or permit to exist any Lien on any property or asset now owned or hereafter acquired by it, or assign or sell any income or revenues (including accounts receivable) or rights in respect of any thereof except:</w:t>
      </w:r>
    </w:p>
    <w:p>
      <w:pPr>
        <w:spacing w:after="0" w:line="144"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(a)any Lien on any property or asset of the Borrower existing on the Effective Date and set forth in Part B of Schedule 3.11; provided that (i) no such Lien shall extend to any other property or asset of the Borrower or any of the Subsidiary Guarantors (other than proceeds thereof of accessions thereto), and (ii) any such Lien shall secure only those obligations which it secures on the Effective Date and extensions, renewals and replacements thereof that do not increase the outstanding principal amount thereof except to the extent not prohibited hereunder;</w:t>
      </w:r>
    </w:p>
    <w:p>
      <w:pPr>
        <w:spacing w:after="0" w:line="154" w:lineRule="exact"/>
        <w:rPr>
          <w:sz w:val="20"/>
          <w:szCs w:val="20"/>
          <w:color w:val="auto"/>
        </w:rPr>
      </w:pPr>
    </w:p>
    <w:p>
      <w:pPr>
        <w:ind w:right="380" w:firstLine="1404"/>
        <w:spacing w:after="0" w:line="286" w:lineRule="auto"/>
        <w:rPr>
          <w:sz w:val="20"/>
          <w:szCs w:val="20"/>
          <w:color w:val="auto"/>
        </w:rPr>
      </w:pPr>
      <w:r>
        <w:rPr>
          <w:rFonts w:ascii="Times New Roman" w:cs="Times New Roman" w:eastAsia="Times New Roman" w:hAnsi="Times New Roman"/>
          <w:sz w:val="19"/>
          <w:szCs w:val="19"/>
          <w:color w:val="auto"/>
        </w:rPr>
        <w:t>(b)Liens created pursuant to this Agreement (including Section 2.19) or any of the Security Documents (including Liens in favor of the Designated Indebtedness Holders (as defined in the Guarantee and Security Agreement));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(c)Liens on the assets of a Financing Subsidiary securing obligations of such Financing Subsidiary;</w:t>
      </w:r>
    </w:p>
    <w:p>
      <w:pPr>
        <w:spacing w:after="0" w:line="202" w:lineRule="exact"/>
        <w:rPr>
          <w:sz w:val="20"/>
          <w:szCs w:val="20"/>
          <w:color w:val="auto"/>
        </w:rPr>
      </w:pPr>
    </w:p>
    <w:p>
      <w:pPr>
        <w:ind w:right="540" w:firstLine="1404"/>
        <w:spacing w:after="0" w:line="286" w:lineRule="auto"/>
        <w:rPr>
          <w:sz w:val="20"/>
          <w:szCs w:val="20"/>
          <w:color w:val="auto"/>
        </w:rPr>
      </w:pPr>
      <w:r>
        <w:rPr>
          <w:rFonts w:ascii="Times New Roman" w:cs="Times New Roman" w:eastAsia="Times New Roman" w:hAnsi="Times New Roman"/>
          <w:sz w:val="19"/>
          <w:szCs w:val="19"/>
          <w:color w:val="auto"/>
        </w:rPr>
        <w:t>(d)Liens on Special Equity Interests included in the Portfolio Investments of the Borrower but only to the extent securing obligations in the manner provided in the definition of “Special Equity Interests” in Section 1.01;</w:t>
      </w:r>
    </w:p>
    <w:p>
      <w:pPr>
        <w:spacing w:after="0" w:line="127" w:lineRule="exact"/>
        <w:rPr>
          <w:sz w:val="20"/>
          <w:szCs w:val="20"/>
          <w:color w:val="auto"/>
        </w:rPr>
      </w:pPr>
    </w:p>
    <w:p>
      <w:pPr>
        <w:ind w:right="220" w:firstLine="1404"/>
        <w:spacing w:after="0" w:line="257" w:lineRule="auto"/>
        <w:rPr>
          <w:sz w:val="20"/>
          <w:szCs w:val="20"/>
          <w:color w:val="auto"/>
        </w:rPr>
      </w:pPr>
      <w:r>
        <w:rPr>
          <w:rFonts w:ascii="Times New Roman" w:cs="Times New Roman" w:eastAsia="Times New Roman" w:hAnsi="Times New Roman"/>
          <w:sz w:val="19"/>
          <w:szCs w:val="19"/>
          <w:color w:val="auto"/>
        </w:rPr>
        <w:t>(e)Liens securing Indebtedness or other obligations in an aggregate principal amount not exceeding the greater of (i) $25,000,000 and (ii) 5% of Shareholders’ Equity at any one time outstanding (which may cover Portfolio Investments, but only to the extent released from, or otherwise not covered by, the Lien in favor of the Collateral Agent pursuant to Section 10.03 of the Guarantee and Security Agreement), so long as at the time of incurrence of such Indebtedness or other obligations, the aggregate outstanding principal amount of Indebtedness permitted under clauses (a), (b), (i), (m) and (n) of Section 6.01, does not exceed the lesser of (i) the Borrowing Base and (ii) the amount required to comply with the provisions of Sections 6.07(c) and (d);</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(f)Permitted Liens;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(g)Liens on Equity Interests in any SBIC Subsidiary created in favor of the SBA;</w:t>
      </w:r>
    </w:p>
    <w:p>
      <w:pPr>
        <w:spacing w:after="0" w:line="202" w:lineRule="exact"/>
        <w:rPr>
          <w:sz w:val="20"/>
          <w:szCs w:val="20"/>
          <w:color w:val="auto"/>
        </w:rPr>
      </w:pPr>
    </w:p>
    <w:p>
      <w:pPr>
        <w:ind w:right="360" w:firstLine="1404"/>
        <w:spacing w:after="0" w:line="268" w:lineRule="auto"/>
        <w:rPr>
          <w:sz w:val="20"/>
          <w:szCs w:val="20"/>
          <w:color w:val="auto"/>
        </w:rPr>
      </w:pPr>
      <w:r>
        <w:rPr>
          <w:rFonts w:ascii="Times New Roman" w:cs="Times New Roman" w:eastAsia="Times New Roman" w:hAnsi="Times New Roman"/>
          <w:sz w:val="19"/>
          <w:szCs w:val="19"/>
          <w:color w:val="auto"/>
        </w:rPr>
        <w:t>(h)Liens on the capital commitments of the equity holders of the Borrower and assets related thereto in connection with any Indebtedness permitted under Section 6.01(l) (including any account pledged to the agent or lenders in respect to such Indebtedness but excluding any Portfolio Investments, any proceeds of any Portfolio Investments and any cash or</w:t>
      </w:r>
    </w:p>
    <w:p>
      <w:pPr>
        <w:spacing w:after="0" w:line="142" w:lineRule="exact"/>
        <w:rPr>
          <w:sz w:val="20"/>
          <w:szCs w:val="20"/>
          <w:color w:val="auto"/>
        </w:rPr>
      </w:pPr>
    </w:p>
    <w:p>
      <w:pPr>
        <w:ind w:left="1020" w:hanging="810"/>
        <w:spacing w:after="0"/>
        <w:tabs>
          <w:tab w:leader="none" w:pos="1020"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0" w:name="page231"/>
    <w:bookmarkEnd w:id="230"/>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property that has been credited to Pledged Account (as defined in the Guarantee and Security Agreement);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(i)(x) Liens securing Hedging Agreements permitted under Section 6.04(c) and not otherwise permitted under clause</w:t>
      </w:r>
    </w:p>
    <w:p>
      <w:pPr>
        <w:spacing w:after="0" w:line="32" w:lineRule="exact"/>
        <w:rPr>
          <w:sz w:val="20"/>
          <w:szCs w:val="20"/>
          <w:color w:val="auto"/>
        </w:rPr>
      </w:pPr>
    </w:p>
    <w:p>
      <w:pPr>
        <w:ind w:firstLine="6"/>
        <w:spacing w:after="0" w:line="251" w:lineRule="auto"/>
        <w:tabs>
          <w:tab w:leader="none" w:pos="276"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above in an aggregate amount not to exceed $15,000,000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sub-clause (y) even if such Lender has assigned all of its Loans and other interests in this Agreement and thus has ceased to be a Lender hereunder); provided that in no event shall any Obligor be permitted to create, incur or assume any Lien pursuant to this clause (i) or increase the aggregate amount of collateral securing any Liens previously permitted under this clause (i) unless 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 and</w:t>
      </w:r>
    </w:p>
    <w:p>
      <w:pPr>
        <w:spacing w:after="0" w:line="16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(j)Liens securing repurchase obligations arising in the ordinary course of business with respect to U.S. Government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Securities.</w:t>
      </w:r>
    </w:p>
    <w:p>
      <w:pPr>
        <w:spacing w:after="0" w:line="180"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0000FF"/>
        </w:rPr>
        <w:t xml:space="preserve">SECTION 6.03. </w:t>
      </w:r>
      <w:r>
        <w:rPr>
          <w:rFonts w:ascii="Times New Roman" w:cs="Times New Roman" w:eastAsia="Times New Roman" w:hAnsi="Times New Roman"/>
          <w:sz w:val="19"/>
          <w:szCs w:val="19"/>
          <w:color w:val="000000"/>
        </w:rPr>
        <w:t>Fundamental Changes. The Borrower will not, nor will it permit any of the Subsidiary Guarantors to,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 day business activities of the Borrower and its Subsidiaries) and (y) subject to the provisions of clauses (d) and (e) below, Portfolio Investments.</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Notwithstanding the foregoing provisions of this Section:</w:t>
      </w:r>
    </w:p>
    <w:p>
      <w:pPr>
        <w:spacing w:after="0" w:line="202" w:lineRule="exact"/>
        <w:rPr>
          <w:sz w:val="20"/>
          <w:szCs w:val="20"/>
          <w:color w:val="auto"/>
        </w:rPr>
      </w:pPr>
    </w:p>
    <w:p>
      <w:pPr>
        <w:ind w:right="260" w:firstLine="1404"/>
        <w:spacing w:after="0" w:line="268" w:lineRule="auto"/>
        <w:rPr>
          <w:sz w:val="20"/>
          <w:szCs w:val="20"/>
          <w:color w:val="auto"/>
        </w:rPr>
      </w:pPr>
      <w:r>
        <w:rPr>
          <w:rFonts w:ascii="Times New Roman" w:cs="Times New Roman" w:eastAsia="Times New Roman" w:hAnsi="Times New Roman"/>
          <w:sz w:val="19"/>
          <w:szCs w:val="19"/>
          <w:color w:val="auto"/>
        </w:rPr>
        <w:t>(a)any Subsidiary Guarantor of the Borrower may be merged or consolidated with or into the Borrower or any other Subsidiary Guarantor; provided that if any such transaction shall be between a Subsidiary Guarantor and a wholly owned Subsidiary Guarantor, the wholly owned Subsidiary Guarantor shall be the continuing or surviving entity;</w:t>
      </w:r>
    </w:p>
    <w:p>
      <w:pPr>
        <w:spacing w:after="0" w:line="144" w:lineRule="exact"/>
        <w:rPr>
          <w:sz w:val="20"/>
          <w:szCs w:val="20"/>
          <w:color w:val="auto"/>
        </w:rPr>
      </w:pPr>
    </w:p>
    <w:p>
      <w:pPr>
        <w:ind w:right="200" w:firstLine="1404"/>
        <w:spacing w:after="0" w:line="268" w:lineRule="auto"/>
        <w:rPr>
          <w:sz w:val="20"/>
          <w:szCs w:val="20"/>
          <w:color w:val="auto"/>
        </w:rPr>
      </w:pPr>
      <w:r>
        <w:rPr>
          <w:rFonts w:ascii="Times New Roman" w:cs="Times New Roman" w:eastAsia="Times New Roman" w:hAnsi="Times New Roman"/>
          <w:sz w:val="19"/>
          <w:szCs w:val="19"/>
          <w:color w:val="auto"/>
        </w:rPr>
        <w:t>(b)any Subsidiary Guarantor of the Borrower may sell, lease, transfer (including a deemed transfer resulting from a division or plan of division) or otherwise dispose of any or all of its assets (upon voluntary liquidation or otherwise) to the Borrower or any wholly owned Subsidiary Guarantor of the Borrower;</w:t>
      </w:r>
    </w:p>
    <w:p>
      <w:pPr>
        <w:spacing w:after="0" w:line="142" w:lineRule="exact"/>
        <w:rPr>
          <w:sz w:val="20"/>
          <w:szCs w:val="20"/>
          <w:color w:val="auto"/>
        </w:rPr>
      </w:pPr>
    </w:p>
    <w:p>
      <w:pPr>
        <w:ind w:left="1020" w:hanging="810"/>
        <w:spacing w:after="0"/>
        <w:tabs>
          <w:tab w:leader="none" w:pos="1020" w:val="left"/>
        </w:tabs>
        <w:numPr>
          <w:ilvl w:val="0"/>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31" w:name="page232"/>
    <w:bookmarkEnd w:id="231"/>
    <w:p>
      <w:pPr>
        <w:spacing w:after="0" w:line="269" w:lineRule="exact"/>
        <w:rPr>
          <w:sz w:val="20"/>
          <w:szCs w:val="20"/>
          <w:color w:val="auto"/>
        </w:rPr>
      </w:pPr>
    </w:p>
    <w:p>
      <w:pPr>
        <w:ind w:right="160" w:firstLine="1404"/>
        <w:spacing w:after="0" w:line="268" w:lineRule="auto"/>
        <w:rPr>
          <w:sz w:val="20"/>
          <w:szCs w:val="20"/>
          <w:color w:val="auto"/>
        </w:rPr>
      </w:pPr>
      <w:r>
        <w:rPr>
          <w:rFonts w:ascii="Times New Roman" w:cs="Times New Roman" w:eastAsia="Times New Roman" w:hAnsi="Times New Roman"/>
          <w:sz w:val="19"/>
          <w:szCs w:val="19"/>
          <w:color w:val="auto"/>
        </w:rPr>
        <w:t>(c)the capital stock of any Subsidiary of the Borrower may be sold, transferred (including a deemed transfer resulting from a division or plan of division) or otherwise disposed of to the Borrower or any wholly owned Subsidiary Guarantor of the Borrower;</w:t>
      </w:r>
    </w:p>
    <w:p>
      <w:pPr>
        <w:spacing w:after="0" w:line="144" w:lineRule="exact"/>
        <w:rPr>
          <w:sz w:val="20"/>
          <w:szCs w:val="20"/>
          <w:color w:val="auto"/>
        </w:rPr>
      </w:pPr>
    </w:p>
    <w:p>
      <w:pPr>
        <w:ind w:right="80" w:firstLine="1404"/>
        <w:spacing w:after="0" w:line="259" w:lineRule="auto"/>
        <w:rPr>
          <w:sz w:val="20"/>
          <w:szCs w:val="20"/>
          <w:color w:val="auto"/>
        </w:rPr>
      </w:pPr>
      <w:r>
        <w:rPr>
          <w:rFonts w:ascii="Times New Roman" w:cs="Times New Roman" w:eastAsia="Times New Roman" w:hAnsi="Times New Roman"/>
          <w:sz w:val="19"/>
          <w:szCs w:val="19"/>
          <w:color w:val="auto"/>
        </w:rPr>
        <w:t>(d)the Obligors may sell, transfer (including a deemed transfer resulting from a division or plan of division) or otherwise dispose of Portfolio Investments (other than to a Subsidiary that is not a Subsidiary Guarantor) so long as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w:t>
      </w:r>
    </w:p>
    <w:p>
      <w:pPr>
        <w:spacing w:after="0" w:line="154"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(e)the Obligors may sell, transfer (including a deemed transfer resulting from a division or plan of division) or otherwise dispose of Portfolio Investments to a Subsidiary that is not a Subsidiary Guarantor so long as (i)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 and the Borrower delivers to the Administrative Agent a certificate of a Financial Officer to such effect and</w:t>
      </w:r>
    </w:p>
    <w:p>
      <w:pPr>
        <w:spacing w:after="0" w:line="2" w:lineRule="exact"/>
        <w:rPr>
          <w:sz w:val="20"/>
          <w:szCs w:val="20"/>
          <w:color w:val="auto"/>
        </w:rPr>
      </w:pPr>
    </w:p>
    <w:p>
      <w:pPr>
        <w:ind w:right="300" w:firstLine="6"/>
        <w:spacing w:after="0" w:line="256" w:lineRule="auto"/>
        <w:tabs>
          <w:tab w:leader="none" w:pos="282"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55"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auto"/>
        </w:rPr>
        <w:t>(f)the Borrower may merge or consolidate with, or acquire all or substantially all of the assets of, any other Person so long as (i) the Borrower is the continuing or surviving entity in such transaction and (ii) at the time thereof and after giving effect thereto, no Default shall have occurred or be continuing;</w:t>
      </w:r>
    </w:p>
    <w:p>
      <w:pPr>
        <w:spacing w:after="0" w:line="144" w:lineRule="exact"/>
        <w:rPr>
          <w:sz w:val="20"/>
          <w:szCs w:val="20"/>
          <w:color w:val="auto"/>
        </w:rPr>
      </w:pPr>
    </w:p>
    <w:p>
      <w:pPr>
        <w:ind w:right="120" w:firstLine="1404"/>
        <w:spacing w:after="0" w:line="262" w:lineRule="auto"/>
        <w:rPr>
          <w:sz w:val="20"/>
          <w:szCs w:val="20"/>
          <w:color w:val="auto"/>
        </w:rPr>
      </w:pPr>
      <w:r>
        <w:rPr>
          <w:rFonts w:ascii="Times New Roman" w:cs="Times New Roman" w:eastAsia="Times New Roman" w:hAnsi="Times New Roman"/>
          <w:sz w:val="19"/>
          <w:szCs w:val="19"/>
          <w:color w:val="auto"/>
        </w:rPr>
        <w:t>(g)the Borrower and each of the Subsidiary Guarantors may sell, lease, transfer (including a deemed transfer resulting from a division or plan of division) or otherwise dispose of equipment or other property or assets that do not consist of Portfolio Investments so long as the aggregate amount of all such sales, leases, transfer and dispositions does not exceed $5,000,000 in any fiscal year; and</w:t>
      </w:r>
    </w:p>
    <w:p>
      <w:pPr>
        <w:spacing w:after="0" w:line="150" w:lineRule="exact"/>
        <w:rPr>
          <w:sz w:val="20"/>
          <w:szCs w:val="20"/>
          <w:color w:val="auto"/>
        </w:rPr>
      </w:pPr>
    </w:p>
    <w:p>
      <w:pPr>
        <w:ind w:right="140" w:firstLine="1404"/>
        <w:spacing w:after="0" w:line="262" w:lineRule="auto"/>
        <w:rPr>
          <w:sz w:val="20"/>
          <w:szCs w:val="20"/>
          <w:color w:val="auto"/>
        </w:rPr>
      </w:pPr>
      <w:r>
        <w:rPr>
          <w:rFonts w:ascii="Times New Roman" w:cs="Times New Roman" w:eastAsia="Times New Roman" w:hAnsi="Times New Roman"/>
          <w:sz w:val="19"/>
          <w:szCs w:val="19"/>
          <w:color w:val="auto"/>
        </w:rPr>
        <w:t>(h)the Borrower and each of the Subsidiary Guarantors may dissolve or liquidate (i) any Immaterial Subsidiary or (ii) any other Subsidiary so long as, with respect to this clause (ii), (A) in connection with such dissolution or liquidation, any and all of the assets of such Subsidiary shall be distributed or otherwise transferred to an Obligor and (B) such dissolution or liquidation is not materially adverse to the Lenders and the Borrower determines in good faith that such dissolution or liquidation is in its best interests.</w:t>
      </w:r>
    </w:p>
    <w:p>
      <w:pPr>
        <w:spacing w:after="0" w:line="150" w:lineRule="exact"/>
        <w:rPr>
          <w:sz w:val="20"/>
          <w:szCs w:val="20"/>
          <w:color w:val="auto"/>
        </w:rPr>
      </w:pPr>
    </w:p>
    <w:p>
      <w:pPr>
        <w:ind w:right="140" w:firstLine="1404"/>
        <w:spacing w:after="0" w:line="286" w:lineRule="auto"/>
        <w:rPr>
          <w:sz w:val="20"/>
          <w:szCs w:val="20"/>
          <w:color w:val="auto"/>
        </w:rPr>
      </w:pPr>
      <w:r>
        <w:rPr>
          <w:rFonts w:ascii="Times New Roman" w:cs="Times New Roman" w:eastAsia="Times New Roman" w:hAnsi="Times New Roman"/>
          <w:sz w:val="19"/>
          <w:szCs w:val="19"/>
          <w:color w:val="0000FF"/>
        </w:rPr>
        <w:t xml:space="preserve">SECTION 6.04. </w:t>
      </w:r>
      <w:r>
        <w:rPr>
          <w:rFonts w:ascii="Times New Roman" w:cs="Times New Roman" w:eastAsia="Times New Roman" w:hAnsi="Times New Roman"/>
          <w:sz w:val="19"/>
          <w:szCs w:val="19"/>
          <w:color w:val="000000"/>
        </w:rPr>
        <w:t>Investments. The Borrower will not, nor will it permit any of the Subsidiary Guarantors to, acquire,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make or enter into, or hold, any Investments except: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(a)operating deposit accounts with banks;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(b)Investments by the Borrower and the Subsidiary Guarantors in the Borrower and the Subsidiary Guarantors;</w:t>
      </w:r>
    </w:p>
    <w:p>
      <w:pPr>
        <w:spacing w:after="0" w:line="200" w:lineRule="exact"/>
        <w:rPr>
          <w:sz w:val="20"/>
          <w:szCs w:val="20"/>
          <w:color w:val="auto"/>
        </w:rPr>
      </w:pPr>
    </w:p>
    <w:p>
      <w:pPr>
        <w:ind w:left="1020" w:hanging="810"/>
        <w:spacing w:after="0"/>
        <w:tabs>
          <w:tab w:leader="none" w:pos="1020" w:val="left"/>
        </w:tabs>
        <w:numPr>
          <w:ilvl w:val="0"/>
          <w:numId w:val="18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32" w:name="page233"/>
    <w:bookmarkEnd w:id="232"/>
    <w:p>
      <w:pPr>
        <w:spacing w:after="0" w:line="269" w:lineRule="exact"/>
        <w:rPr>
          <w:sz w:val="20"/>
          <w:szCs w:val="20"/>
          <w:color w:val="auto"/>
        </w:rPr>
      </w:pPr>
    </w:p>
    <w:p>
      <w:pPr>
        <w:ind w:right="860" w:firstLine="1404"/>
        <w:spacing w:after="0" w:line="286" w:lineRule="auto"/>
        <w:rPr>
          <w:sz w:val="20"/>
          <w:szCs w:val="20"/>
          <w:color w:val="auto"/>
        </w:rPr>
      </w:pPr>
      <w:r>
        <w:rPr>
          <w:rFonts w:ascii="Times New Roman" w:cs="Times New Roman" w:eastAsia="Times New Roman" w:hAnsi="Times New Roman"/>
          <w:sz w:val="19"/>
          <w:szCs w:val="19"/>
          <w:color w:val="auto"/>
        </w:rPr>
        <w:t>(c)Hedging Agreements entered into in the ordinary course of the Borrower’s financial planning and not for speculative purposes;</w:t>
      </w:r>
    </w:p>
    <w:p>
      <w:pPr>
        <w:spacing w:after="0" w:line="127" w:lineRule="exact"/>
        <w:rPr>
          <w:sz w:val="20"/>
          <w:szCs w:val="20"/>
          <w:color w:val="auto"/>
        </w:rPr>
      </w:pPr>
    </w:p>
    <w:p>
      <w:pPr>
        <w:ind w:right="240" w:firstLine="1404"/>
        <w:spacing w:after="0" w:line="268" w:lineRule="auto"/>
        <w:rPr>
          <w:sz w:val="20"/>
          <w:szCs w:val="20"/>
          <w:color w:val="auto"/>
        </w:rPr>
      </w:pPr>
      <w:r>
        <w:rPr>
          <w:rFonts w:ascii="Times New Roman" w:cs="Times New Roman" w:eastAsia="Times New Roman" w:hAnsi="Times New Roman"/>
          <w:sz w:val="19"/>
          <w:szCs w:val="19"/>
          <w:color w:val="auto"/>
        </w:rPr>
        <w:t>(d)Portfolio Investments by the Borrower and its Subsidiaries to the extent such Portfolio Investments are permitted under the Investment Company Act and the Borrower’s Investment Policies as in effect as of the date such Portfolio Investments are acquired;</w:t>
      </w:r>
    </w:p>
    <w:p>
      <w:pPr>
        <w:spacing w:after="0" w:line="144" w:lineRule="exact"/>
        <w:rPr>
          <w:sz w:val="20"/>
          <w:szCs w:val="20"/>
          <w:color w:val="auto"/>
        </w:rPr>
      </w:pPr>
    </w:p>
    <w:p>
      <w:pPr>
        <w:ind w:right="140" w:firstLine="1404"/>
        <w:spacing w:after="0" w:line="262" w:lineRule="auto"/>
        <w:rPr>
          <w:sz w:val="20"/>
          <w:szCs w:val="20"/>
          <w:color w:val="auto"/>
        </w:rPr>
      </w:pPr>
      <w:r>
        <w:rPr>
          <w:rFonts w:ascii="Times New Roman" w:cs="Times New Roman" w:eastAsia="Times New Roman" w:hAnsi="Times New Roman"/>
          <w:sz w:val="19"/>
          <w:szCs w:val="19"/>
          <w:color w:val="auto"/>
        </w:rPr>
        <w:t>(e)Investments in Financing Subsidiaries so long as, (i) after giving effect to such Investment, the Covered Debt Amount does not exceed the Borrowing Base and (ii) the sum of (x) all Investments under this clause (e) that occur after the Commitment Termination Date and (y) all Investments under clause (f) below that occur after the Commitment Termination Date, shall not exceed $10,000,000 in the aggregate;</w:t>
      </w:r>
    </w:p>
    <w:p>
      <w:pPr>
        <w:spacing w:after="0" w:line="150" w:lineRule="exact"/>
        <w:rPr>
          <w:sz w:val="20"/>
          <w:szCs w:val="20"/>
          <w:color w:val="auto"/>
        </w:rPr>
      </w:pPr>
    </w:p>
    <w:p>
      <w:pPr>
        <w:ind w:right="160" w:firstLine="1404"/>
        <w:spacing w:after="0" w:line="268" w:lineRule="auto"/>
        <w:rPr>
          <w:sz w:val="20"/>
          <w:szCs w:val="20"/>
          <w:color w:val="auto"/>
        </w:rPr>
      </w:pPr>
      <w:r>
        <w:rPr>
          <w:rFonts w:ascii="Times New Roman" w:cs="Times New Roman" w:eastAsia="Times New Roman" w:hAnsi="Times New Roman"/>
          <w:sz w:val="19"/>
          <w:szCs w:val="19"/>
          <w:color w:val="auto"/>
        </w:rPr>
        <w:t>(f)additional Investments up to but not exceeding $15,000,000 in the aggregate; provided that the sum of (x) all Investments under this clause (f) that occur after the Commitment Termination Date and (y) all Investments under clause (e) above that occur after the Commitment Termination Date, shall not exceed $10,000,000 in the aggregate;</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(g)Investments in Cash and Cash Equivalents;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(h)Investments described on Schedule 3.12(b);</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(i)Investments by a Financing Subsidiary; and</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(j)Investments in the form of Guarantees permitted pursuant to Section 6.01.</w:t>
      </w:r>
    </w:p>
    <w:p>
      <w:pPr>
        <w:spacing w:after="0" w:line="202"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For purposes of clause (f)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minus (B) the aggregate amount of dividends, distributions or other payments received in cash in respect of such Investment; provided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57" w:lineRule="exact"/>
        <w:rPr>
          <w:sz w:val="20"/>
          <w:szCs w:val="20"/>
          <w:color w:val="auto"/>
        </w:rPr>
      </w:pPr>
    </w:p>
    <w:p>
      <w:pPr>
        <w:jc w:val="both"/>
        <w:ind w:right="140" w:firstLine="1404"/>
        <w:spacing w:after="0" w:line="286" w:lineRule="auto"/>
        <w:rPr>
          <w:sz w:val="20"/>
          <w:szCs w:val="20"/>
          <w:color w:val="auto"/>
        </w:rPr>
      </w:pPr>
      <w:r>
        <w:rPr>
          <w:rFonts w:ascii="Times New Roman" w:cs="Times New Roman" w:eastAsia="Times New Roman" w:hAnsi="Times New Roman"/>
          <w:sz w:val="19"/>
          <w:szCs w:val="19"/>
          <w:color w:val="0000FF"/>
        </w:rPr>
        <w:t xml:space="preserve">SECTION 6.05. </w:t>
      </w:r>
      <w:r>
        <w:rPr>
          <w:rFonts w:ascii="Times New Roman" w:cs="Times New Roman" w:eastAsia="Times New Roman" w:hAnsi="Times New Roman"/>
          <w:sz w:val="19"/>
          <w:szCs w:val="19"/>
          <w:color w:val="000000"/>
        </w:rPr>
        <w:t>Restricted Payments. The Borrower will not, nor will it permit any of the Subsidiary Guarantors to,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declare or make, or agree to pay or make, directly or indirectly, any Restricted Payment, except that the Borrower may declare and pay:</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(a)dividends with respect to the capital stock of the Borrower payable solely in additional shares of the Borrower’s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common stock;</w:t>
      </w:r>
    </w:p>
    <w:p>
      <w:pPr>
        <w:spacing w:after="0" w:line="180" w:lineRule="exact"/>
        <w:rPr>
          <w:sz w:val="20"/>
          <w:szCs w:val="20"/>
          <w:color w:val="auto"/>
        </w:rPr>
      </w:pPr>
    </w:p>
    <w:p>
      <w:pPr>
        <w:ind w:right="480" w:firstLine="1404"/>
        <w:spacing w:after="0" w:line="262" w:lineRule="auto"/>
        <w:rPr>
          <w:sz w:val="20"/>
          <w:szCs w:val="20"/>
          <w:color w:val="auto"/>
        </w:rPr>
      </w:pPr>
      <w:r>
        <w:rPr>
          <w:rFonts w:ascii="Times New Roman" w:cs="Times New Roman" w:eastAsia="Times New Roman" w:hAnsi="Times New Roman"/>
          <w:sz w:val="19"/>
          <w:szCs w:val="19"/>
          <w:color w:val="auto"/>
        </w:rPr>
        <w:t>(b)dividends and distributions in either case in cash or other property (excluding for this purpose the Borrower’s common stock) in any 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spacing w:after="0" w:line="148" w:lineRule="exact"/>
        <w:rPr>
          <w:sz w:val="20"/>
          <w:szCs w:val="20"/>
          <w:color w:val="auto"/>
        </w:rPr>
      </w:pPr>
    </w:p>
    <w:p>
      <w:pPr>
        <w:ind w:left="1020" w:hanging="810"/>
        <w:spacing w:after="0"/>
        <w:tabs>
          <w:tab w:leader="none" w:pos="1020"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3" w:name="page234"/>
    <w:bookmarkEnd w:id="233"/>
    <w:p>
      <w:pPr>
        <w:spacing w:after="0" w:line="269" w:lineRule="exact"/>
        <w:rPr>
          <w:sz w:val="20"/>
          <w:szCs w:val="20"/>
          <w:color w:val="auto"/>
        </w:rPr>
      </w:pPr>
    </w:p>
    <w:p>
      <w:pPr>
        <w:ind w:right="140" w:firstLine="1404"/>
        <w:spacing w:after="0" w:line="268" w:lineRule="auto"/>
        <w:rPr>
          <w:sz w:val="20"/>
          <w:szCs w:val="20"/>
          <w:color w:val="auto"/>
        </w:rPr>
      </w:pPr>
      <w:r>
        <w:rPr>
          <w:rFonts w:ascii="Times New Roman" w:cs="Times New Roman" w:eastAsia="Times New Roman" w:hAnsi="Times New Roman"/>
          <w:sz w:val="19"/>
          <w:szCs w:val="19"/>
          <w:color w:val="auto"/>
        </w:rPr>
        <w:t>(c)dividends and distributions in each case in cash or other property (excluding for this purpose the Borrower’s common stock) in addition to the dividends and distributions permitted under the foregoing clauses (a) and (b), so long as on the date of such Restricted Payment and after giving effect thereto:</w:t>
      </w:r>
    </w:p>
    <w:p>
      <w:pPr>
        <w:spacing w:after="0" w:line="1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(i)no Default shall have occurred and be continuing or would result therefrom; and</w:t>
      </w:r>
    </w:p>
    <w:p>
      <w:pPr>
        <w:spacing w:after="0" w:line="202" w:lineRule="exact"/>
        <w:rPr>
          <w:sz w:val="20"/>
          <w:szCs w:val="20"/>
          <w:color w:val="auto"/>
        </w:rPr>
      </w:pPr>
    </w:p>
    <w:p>
      <w:pPr>
        <w:ind w:left="700" w:right="60" w:firstLine="1500"/>
        <w:spacing w:after="0" w:line="258" w:lineRule="auto"/>
        <w:rPr>
          <w:sz w:val="20"/>
          <w:szCs w:val="20"/>
          <w:color w:val="auto"/>
        </w:rPr>
      </w:pPr>
      <w:r>
        <w:rPr>
          <w:rFonts w:ascii="Times New Roman" w:cs="Times New Roman" w:eastAsia="Times New Roman" w:hAnsi="Times New Roman"/>
          <w:sz w:val="19"/>
          <w:szCs w:val="19"/>
          <w:color w:val="auto"/>
        </w:rPr>
        <w:t>(ii)the aggregate amount of Restricted Payments made during any taxable year of the Borrower after the date hereof under this clause (c) shall not exceed the difference of (x) an amount equal to 10% of the taxable income of the Borrower for such taxable year determined under section 852(b)(2) of the Code, but without regard to subparagraphs (A), (B) or</w:t>
      </w:r>
    </w:p>
    <w:p>
      <w:pPr>
        <w:spacing w:after="0" w:line="2" w:lineRule="exact"/>
        <w:rPr>
          <w:sz w:val="20"/>
          <w:szCs w:val="20"/>
          <w:color w:val="auto"/>
        </w:rPr>
      </w:pPr>
    </w:p>
    <w:p>
      <w:pPr>
        <w:jc w:val="both"/>
        <w:ind w:left="700" w:right="160" w:firstLine="2"/>
        <w:spacing w:after="0" w:line="254" w:lineRule="auto"/>
        <w:tabs>
          <w:tab w:leader="none" w:pos="1012"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thereof, minus (y) the amount, if any, by which dividends and distributions made during such taxable year pursuant to the foregoing clause (b) (whether in respect of such taxable year or the previous taxable year) based upon the Borrower’s estimate of taxable income exceeded the actual amounts specified in subclauses (i) and (ii) of such foregoing clause (b) for such taxable year.</w:t>
      </w:r>
    </w:p>
    <w:p>
      <w:pPr>
        <w:spacing w:after="0" w:line="157" w:lineRule="exact"/>
        <w:rPr>
          <w:sz w:val="20"/>
          <w:szCs w:val="20"/>
          <w:color w:val="auto"/>
        </w:rPr>
      </w:pPr>
    </w:p>
    <w:p>
      <w:pPr>
        <w:ind w:right="40" w:firstLine="1404"/>
        <w:spacing w:after="0" w:line="268" w:lineRule="auto"/>
        <w:rPr>
          <w:sz w:val="20"/>
          <w:szCs w:val="20"/>
          <w:color w:val="auto"/>
        </w:rPr>
      </w:pPr>
      <w:r>
        <w:rPr>
          <w:rFonts w:ascii="Times New Roman" w:cs="Times New Roman" w:eastAsia="Times New Roman" w:hAnsi="Times New Roman"/>
          <w:sz w:val="19"/>
          <w:szCs w:val="19"/>
          <w:color w:val="auto"/>
        </w:rPr>
        <w:t>(d)other Restricted Payments so long as on the date of such other Restricted Payment and after giving effect thereto (x) the Covered Debt Amount does not exceed 90% of the Borrowing Base and (y) no Default shall have occurred and be continuing or would result therefrom.</w:t>
      </w:r>
    </w:p>
    <w:p>
      <w:pPr>
        <w:spacing w:after="0" w:line="144"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Nothing herein shall be deemed to prohibit the payment of Restricted Payments by any Subsidiary of the Borrower to the Borrower or to any other Subsidiary Guarantor.</w:t>
      </w:r>
    </w:p>
    <w:p>
      <w:pPr>
        <w:spacing w:after="0" w:line="127"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0000FF"/>
        </w:rPr>
        <w:t xml:space="preserve">SECTION 6.06. </w:t>
      </w:r>
      <w:r>
        <w:rPr>
          <w:rFonts w:ascii="Times New Roman" w:cs="Times New Roman" w:eastAsia="Times New Roman" w:hAnsi="Times New Roman"/>
          <w:sz w:val="19"/>
          <w:szCs w:val="19"/>
          <w:color w:val="000000"/>
        </w:rPr>
        <w:t>Certain Restrictions on Subsidiaries. The Borrower will not permit any of its Subsidiaries (other than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provided 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6.07. </w:t>
      </w:r>
      <w:r>
        <w:rPr>
          <w:rFonts w:ascii="Times New Roman" w:cs="Times New Roman" w:eastAsia="Times New Roman" w:hAnsi="Times New Roman"/>
          <w:sz w:val="19"/>
          <w:szCs w:val="19"/>
          <w:color w:val="000000"/>
        </w:rPr>
        <w:t>Certain Financial Covenants.</w:t>
      </w:r>
    </w:p>
    <w:p>
      <w:pPr>
        <w:spacing w:after="0" w:line="202" w:lineRule="exact"/>
        <w:rPr>
          <w:sz w:val="20"/>
          <w:szCs w:val="20"/>
          <w:color w:val="auto"/>
        </w:rPr>
      </w:pPr>
    </w:p>
    <w:p>
      <w:pPr>
        <w:ind w:right="340" w:firstLine="1404"/>
        <w:spacing w:after="0" w:line="268" w:lineRule="auto"/>
        <w:rPr>
          <w:sz w:val="20"/>
          <w:szCs w:val="20"/>
          <w:color w:val="auto"/>
        </w:rPr>
      </w:pPr>
      <w:r>
        <w:rPr>
          <w:rFonts w:ascii="Times New Roman" w:cs="Times New Roman" w:eastAsia="Times New Roman" w:hAnsi="Times New Roman"/>
          <w:sz w:val="19"/>
          <w:szCs w:val="19"/>
          <w:color w:val="auto"/>
        </w:rPr>
        <w:t>(a)Minimum Shareholders’ Equity. The Borrower will not permit Shareholders’ Equity at the last day of any fiscal quarter of the Borrower to be less than (i) $2,420,000,000, plus (ii) 25% of the net proceeds of the sale of Equity Interests by the Borrower</w:t>
      </w:r>
    </w:p>
    <w:p>
      <w:pPr>
        <w:spacing w:after="0" w:line="142" w:lineRule="exact"/>
        <w:rPr>
          <w:sz w:val="20"/>
          <w:szCs w:val="20"/>
          <w:color w:val="auto"/>
        </w:rPr>
      </w:pPr>
    </w:p>
    <w:p>
      <w:pPr>
        <w:ind w:left="1020" w:hanging="810"/>
        <w:spacing w:after="0"/>
        <w:tabs>
          <w:tab w:leader="none" w:pos="1020" w:val="left"/>
        </w:tabs>
        <w:numPr>
          <w:ilvl w:val="0"/>
          <w:numId w:val="18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34" w:name="page235"/>
    <w:bookmarkEnd w:id="234"/>
    <w:p>
      <w:pPr>
        <w:spacing w:after="0" w:line="26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9"/>
          <w:szCs w:val="19"/>
          <w:color w:val="auto"/>
        </w:rPr>
        <w:t>and its Subsidiaries after the Third Amendment Effective Date (other than proceeds of sales of Equity Interests by and among the Borrower and its Subsidiaries).</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(b)[Reserved].</w:t>
      </w:r>
    </w:p>
    <w:p>
      <w:pPr>
        <w:spacing w:after="0" w:line="202"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(c)Borrower Asset Coverage Ratio. The Borrower will not permit the Borrower Asset Coverage Ratio at the last day of any fiscal quarter of the Borrower to be less than 2.00 to 1 at any time.</w:t>
      </w:r>
    </w:p>
    <w:p>
      <w:pPr>
        <w:spacing w:after="0" w:line="127" w:lineRule="exact"/>
        <w:rPr>
          <w:sz w:val="20"/>
          <w:szCs w:val="20"/>
          <w:color w:val="auto"/>
        </w:rPr>
      </w:pPr>
    </w:p>
    <w:p>
      <w:pPr>
        <w:ind w:right="260" w:firstLine="1404"/>
        <w:spacing w:after="0" w:line="286" w:lineRule="auto"/>
        <w:rPr>
          <w:sz w:val="20"/>
          <w:szCs w:val="20"/>
          <w:color w:val="auto"/>
        </w:rPr>
      </w:pPr>
      <w:r>
        <w:rPr>
          <w:rFonts w:ascii="Times New Roman" w:cs="Times New Roman" w:eastAsia="Times New Roman" w:hAnsi="Times New Roman"/>
          <w:sz w:val="19"/>
          <w:szCs w:val="19"/>
          <w:color w:val="auto"/>
        </w:rPr>
        <w:t>(d)Consolidated Asset Coverage Ratio. The Borrower will not permit the Consolidated Asset Coverage Ratio at the last day of any fiscal quarter of the Borrower to be less than 1.50 to 1 at any time.</w:t>
      </w:r>
    </w:p>
    <w:p>
      <w:pPr>
        <w:spacing w:after="0" w:line="127" w:lineRule="exact"/>
        <w:rPr>
          <w:sz w:val="20"/>
          <w:szCs w:val="20"/>
          <w:color w:val="auto"/>
        </w:rPr>
      </w:pPr>
    </w:p>
    <w:p>
      <w:pPr>
        <w:ind w:right="40" w:firstLine="1404"/>
        <w:spacing w:after="0" w:line="254" w:lineRule="auto"/>
        <w:rPr>
          <w:sz w:val="20"/>
          <w:szCs w:val="20"/>
          <w:color w:val="auto"/>
        </w:rPr>
      </w:pPr>
      <w:r>
        <w:rPr>
          <w:rFonts w:ascii="Times New Roman" w:cs="Times New Roman" w:eastAsia="Times New Roman" w:hAnsi="Times New Roman"/>
          <w:sz w:val="19"/>
          <w:szCs w:val="19"/>
          <w:color w:val="0000FF"/>
        </w:rPr>
        <w:t xml:space="preserve">SECTION 6.08. </w:t>
      </w:r>
      <w:r>
        <w:rPr>
          <w:rFonts w:ascii="Times New Roman" w:cs="Times New Roman" w:eastAsia="Times New Roman" w:hAnsi="Times New Roman"/>
          <w:sz w:val="19"/>
          <w:szCs w:val="19"/>
          <w:color w:val="000000"/>
        </w:rPr>
        <w:t>Transactions with Affiliates. The Borrower will not, and will not permit any of its Subsidiaries to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enter into any transactions with any of its Affiliates, even if otherwise permitted under this Agreement, except (a) transactions at prices and on terms and conditions not materially less favorable to the Borrower or such Subsidiary (other than a SBIC Subsidiary) than could be obtained on an arm’s -length basis from unrelated third parties, (b) transactions between or among the Borrower and its Subsidiaries not involving any other Affiliate, (c) Restricted Payments permitted by Section 6.05, (d) the Affiliate Agreements and the transactions provided in the Affiliate Agreements, (e) transactions described on Schedule 6.08,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could be obtained at the time on an arm’s-length basis from unrelated third parties.</w:t>
      </w:r>
    </w:p>
    <w:p>
      <w:pPr>
        <w:spacing w:after="0" w:line="160" w:lineRule="exact"/>
        <w:rPr>
          <w:sz w:val="20"/>
          <w:szCs w:val="20"/>
          <w:color w:val="auto"/>
        </w:rPr>
      </w:pPr>
    </w:p>
    <w:p>
      <w:pPr>
        <w:ind w:right="300" w:firstLine="1404"/>
        <w:spacing w:after="0" w:line="262" w:lineRule="auto"/>
        <w:rPr>
          <w:sz w:val="20"/>
          <w:szCs w:val="20"/>
          <w:color w:val="auto"/>
        </w:rPr>
      </w:pPr>
      <w:r>
        <w:rPr>
          <w:rFonts w:ascii="Times New Roman" w:cs="Times New Roman" w:eastAsia="Times New Roman" w:hAnsi="Times New Roman"/>
          <w:sz w:val="19"/>
          <w:szCs w:val="19"/>
          <w:color w:val="0000FF"/>
        </w:rPr>
        <w:t xml:space="preserve">SECTION 6.09. </w:t>
      </w:r>
      <w:r>
        <w:rPr>
          <w:rFonts w:ascii="Times New Roman" w:cs="Times New Roman" w:eastAsia="Times New Roman" w:hAnsi="Times New Roman"/>
          <w:sz w:val="19"/>
          <w:szCs w:val="19"/>
          <w:color w:val="000000"/>
        </w:rPr>
        <w:t>Lines of Business. The Borrower will not, nor will it permit any of its Subsidiaries (other than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50"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0000FF"/>
        </w:rPr>
        <w:t xml:space="preserve">SECTION 6.10. </w:t>
      </w:r>
      <w:r>
        <w:rPr>
          <w:rFonts w:ascii="Times New Roman" w:cs="Times New Roman" w:eastAsia="Times New Roman" w:hAnsi="Times New Roman"/>
          <w:sz w:val="19"/>
          <w:szCs w:val="19"/>
          <w:color w:val="000000"/>
        </w:rPr>
        <w:t>No Further Negative Pledge. The Borrower will not, and will not permit any of the Subsidiary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Guarantors to, enter into any agreement, instrument, deed or lease which prohibits or limits in any material respect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w:t>
      </w:r>
    </w:p>
    <w:p>
      <w:pPr>
        <w:spacing w:after="0" w:line="2" w:lineRule="exact"/>
        <w:rPr>
          <w:sz w:val="20"/>
          <w:szCs w:val="20"/>
          <w:color w:val="auto"/>
        </w:rPr>
      </w:pPr>
    </w:p>
    <w:p>
      <w:pPr>
        <w:ind w:right="40" w:firstLine="6"/>
        <w:spacing w:after="0" w:line="252" w:lineRule="auto"/>
        <w:tabs>
          <w:tab w:leader="none" w:pos="261"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the other Loan Documents and documents with respect to Indebtedness permitted under Section 6.01(b), (i), (m) or (n); (b) covenants in documents creating Liens permitted by Section 6.02 (including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in any manner (directly or indirectly) Liens created pursuant to the Loan Documents on any</w:t>
      </w:r>
    </w:p>
    <w:p>
      <w:pPr>
        <w:spacing w:after="0" w:line="159" w:lineRule="exact"/>
        <w:rPr>
          <w:sz w:val="20"/>
          <w:szCs w:val="20"/>
          <w:color w:val="auto"/>
        </w:rPr>
      </w:pPr>
    </w:p>
    <w:p>
      <w:pPr>
        <w:ind w:left="1020" w:hanging="810"/>
        <w:spacing w:after="0"/>
        <w:tabs>
          <w:tab w:leader="none" w:pos="1020" w:val="left"/>
        </w:tabs>
        <w:numPr>
          <w:ilvl w:val="0"/>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35" w:name="page236"/>
    <w:bookmarkEnd w:id="235"/>
    <w:p>
      <w:pPr>
        <w:spacing w:after="0" w:line="269"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9"/>
          <w:szCs w:val="19"/>
          <w:color w:val="auto"/>
        </w:rPr>
        <w:t>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44" w:lineRule="exact"/>
        <w:rPr>
          <w:sz w:val="20"/>
          <w:szCs w:val="20"/>
          <w:color w:val="auto"/>
        </w:rPr>
      </w:pPr>
    </w:p>
    <w:p>
      <w:pPr>
        <w:ind w:right="460" w:firstLine="1404"/>
        <w:spacing w:after="0" w:line="286" w:lineRule="auto"/>
        <w:rPr>
          <w:sz w:val="20"/>
          <w:szCs w:val="20"/>
          <w:color w:val="auto"/>
        </w:rPr>
      </w:pPr>
      <w:r>
        <w:rPr>
          <w:rFonts w:ascii="Times New Roman" w:cs="Times New Roman" w:eastAsia="Times New Roman" w:hAnsi="Times New Roman"/>
          <w:sz w:val="19"/>
          <w:szCs w:val="19"/>
          <w:color w:val="0000FF"/>
        </w:rPr>
        <w:t xml:space="preserve">SECTION 6.11. </w:t>
      </w:r>
      <w:r>
        <w:rPr>
          <w:rFonts w:ascii="Times New Roman" w:cs="Times New Roman" w:eastAsia="Times New Roman" w:hAnsi="Times New Roman"/>
          <w:sz w:val="19"/>
          <w:szCs w:val="19"/>
          <w:color w:val="000000"/>
        </w:rPr>
        <w:t>Modifications of Longer-Term Indebtedness Documents. The Borrower will not consent to 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modification, supplement or waiver of:</w:t>
      </w:r>
    </w:p>
    <w:p>
      <w:pPr>
        <w:spacing w:after="0" w:line="127"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(a)any of the provisions of any agreement, instrument or other document evidencing or relating to any Secured Longer-Term Indebtedness or Unsecured Longer-Term Indebtedness that would result in such Indebtedness not meeting the requirements of the definition of “Secured Longer-Term Indebtedness” and “Unsecured Longer-Term Indebtedness”, as applicable, set forth in Section 1.01 of this Agreement, unless (i) in the case of Secured Longer-Term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60" w:lineRule="exact"/>
        <w:rPr>
          <w:sz w:val="20"/>
          <w:szCs w:val="20"/>
          <w:color w:val="auto"/>
        </w:rPr>
      </w:pPr>
    </w:p>
    <w:p>
      <w:pPr>
        <w:jc w:val="both"/>
        <w:ind w:right="140" w:firstLine="1404"/>
        <w:spacing w:after="0" w:line="268" w:lineRule="auto"/>
        <w:rPr>
          <w:sz w:val="20"/>
          <w:szCs w:val="20"/>
          <w:color w:val="auto"/>
        </w:rPr>
      </w:pPr>
      <w:r>
        <w:rPr>
          <w:rFonts w:ascii="Times New Roman" w:cs="Times New Roman" w:eastAsia="Times New Roman" w:hAnsi="Times New Roman"/>
          <w:sz w:val="19"/>
          <w:szCs w:val="19"/>
          <w:color w:val="auto"/>
        </w:rPr>
        <w:t>(b)any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44" w:lineRule="exact"/>
        <w:rPr>
          <w:sz w:val="20"/>
          <w:szCs w:val="20"/>
          <w:color w:val="auto"/>
        </w:rPr>
      </w:pPr>
    </w:p>
    <w:p>
      <w:pPr>
        <w:ind w:right="100" w:firstLine="1404"/>
        <w:spacing w:after="0" w:line="255" w:lineRule="auto"/>
        <w:rPr>
          <w:sz w:val="20"/>
          <w:szCs w:val="20"/>
          <w:color w:val="auto"/>
        </w:rPr>
      </w:pPr>
      <w:r>
        <w:rPr>
          <w:rFonts w:ascii="Times New Roman" w:cs="Times New Roman" w:eastAsia="Times New Roman" w:hAnsi="Times New Roman"/>
          <w:sz w:val="19"/>
          <w:szCs w:val="19"/>
          <w:color w:val="0000FF"/>
        </w:rPr>
        <w:t xml:space="preserve">SECTION 6.12. </w:t>
      </w:r>
      <w:r>
        <w:rPr>
          <w:rFonts w:ascii="Times New Roman" w:cs="Times New Roman" w:eastAsia="Times New Roman" w:hAnsi="Times New Roman"/>
          <w:sz w:val="19"/>
          <w:szCs w:val="19"/>
          <w:color w:val="000000"/>
        </w:rPr>
        <w:t>Payments of Longer-Term Indebtedness, the 2029 Notes, the 2030A Notes and the 2030B Notes.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 -Term Indebtedness, Special Unsecured Indebtedness, the 2029 Notes, the 2030A Notes or the 2030B Notes (other than the refinancing of Secured Longer -Term Indebtedness, Unsecured Longer-Term Indebtedness, Special Unsecured Indebtedness, the 2029 Notes, the 2030A Notes or the 2030B Notes with Indebtedness permitted under Section 6.01), except for</w:t>
      </w:r>
    </w:p>
    <w:p>
      <w:pPr>
        <w:spacing w:after="0" w:line="160" w:lineRule="exact"/>
        <w:rPr>
          <w:sz w:val="20"/>
          <w:szCs w:val="20"/>
          <w:color w:val="auto"/>
        </w:rPr>
      </w:pPr>
    </w:p>
    <w:p>
      <w:pPr>
        <w:ind w:right="200" w:firstLine="1404"/>
        <w:spacing w:after="0" w:line="259" w:lineRule="auto"/>
        <w:rPr>
          <w:sz w:val="20"/>
          <w:szCs w:val="20"/>
          <w:color w:val="auto"/>
        </w:rPr>
      </w:pPr>
      <w:r>
        <w:rPr>
          <w:rFonts w:ascii="Times New Roman" w:cs="Times New Roman" w:eastAsia="Times New Roman" w:hAnsi="Times New Roman"/>
          <w:sz w:val="19"/>
          <w:szCs w:val="19"/>
          <w:color w:val="auto"/>
        </w:rPr>
        <w:t>(a)regularly scheduled payments, prepayments or redemptions of principal and interest in respect thereof required pursuant to the instruments evidencing such Indebtedness (it being understood that: (w) the conversion features into Permitted Equity Interests under convertible notes; (x) the triggering of such conversion and/or settlement thereof solely with Permitted Equity Interests; and (y) any cash payment on account of interest or expenses on such convertible notes made by the Borrower in respect of such triggering and/or settlement thereof shall be permitted under this clause (a));</w:t>
      </w:r>
    </w:p>
    <w:p>
      <w:pPr>
        <w:spacing w:after="0" w:line="152" w:lineRule="exact"/>
        <w:rPr>
          <w:sz w:val="20"/>
          <w:szCs w:val="20"/>
          <w:color w:val="auto"/>
        </w:rPr>
      </w:pPr>
    </w:p>
    <w:p>
      <w:pPr>
        <w:ind w:left="1020" w:hanging="810"/>
        <w:spacing w:after="0"/>
        <w:tabs>
          <w:tab w:leader="none" w:pos="102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36" w:name="page237"/>
    <w:bookmarkEnd w:id="236"/>
    <w:p>
      <w:pPr>
        <w:spacing w:after="0" w:line="269" w:lineRule="exact"/>
        <w:rPr>
          <w:sz w:val="20"/>
          <w:szCs w:val="20"/>
          <w:color w:val="auto"/>
        </w:rPr>
      </w:pPr>
    </w:p>
    <w:p>
      <w:pPr>
        <w:ind w:right="120" w:firstLine="1404"/>
        <w:spacing w:after="0" w:line="286" w:lineRule="auto"/>
        <w:rPr>
          <w:sz w:val="20"/>
          <w:szCs w:val="20"/>
          <w:color w:val="auto"/>
        </w:rPr>
      </w:pPr>
      <w:r>
        <w:rPr>
          <w:rFonts w:ascii="Times New Roman" w:cs="Times New Roman" w:eastAsia="Times New Roman" w:hAnsi="Times New Roman"/>
          <w:sz w:val="19"/>
          <w:szCs w:val="19"/>
          <w:color w:val="auto"/>
        </w:rPr>
        <w:t>(b)so long as no Default shall exist or be continuing, any payment that, if treated as a Restricted Payment for purposes of Section 6.05(d), would be permitted to be made pursuant to the provisions set forth in Section 6.05(d);</w:t>
      </w:r>
    </w:p>
    <w:p>
      <w:pPr>
        <w:spacing w:after="0" w:line="127" w:lineRule="exact"/>
        <w:rPr>
          <w:sz w:val="20"/>
          <w:szCs w:val="20"/>
          <w:color w:val="auto"/>
        </w:rPr>
      </w:pPr>
    </w:p>
    <w:p>
      <w:pPr>
        <w:ind w:right="160" w:firstLine="1404"/>
        <w:spacing w:after="0" w:line="268" w:lineRule="auto"/>
        <w:rPr>
          <w:sz w:val="20"/>
          <w:szCs w:val="20"/>
          <w:color w:val="auto"/>
        </w:rPr>
      </w:pPr>
      <w:r>
        <w:rPr>
          <w:rFonts w:ascii="Times New Roman" w:cs="Times New Roman" w:eastAsia="Times New Roman" w:hAnsi="Times New Roman"/>
          <w:sz w:val="19"/>
          <w:szCs w:val="19"/>
          <w:color w:val="auto"/>
        </w:rPr>
        <w:t>(c)voluntary payments or prepayments of Secured Longer-Term Indebtedness, so long as both before and after giving effect to such voluntary payment or prepayment (i) the Borrower is in pro forma compliance with the financial covenants set forth in Section 6.07 and (ii) no Default shall exist or be continuing;</w:t>
      </w:r>
    </w:p>
    <w:p>
      <w:pPr>
        <w:spacing w:after="0" w:line="144"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(d)mandatory payments, required prepayments or mandatory redemptions of convertible notes constituting Unsecured Longer-Term Indebtedness or Special Unsecured Indebtedness in Cash (including any cash payment elected to be paid in connection with the settlement by the Borrower of any conversion at the option of any holder of convertible notes pursuant to the conversion features thereunder), the 2029 Notes, the 2030A Notes and the 2030B Notes so long as both before and after giving effect to such payment (i) no Event of Default shall exist or be continuing and (ii) the Covered Debt Amount does not exceed the Borrowing Base; and</w:t>
      </w:r>
    </w:p>
    <w:p>
      <w:pPr>
        <w:spacing w:after="0" w:line="154" w:lineRule="exact"/>
        <w:rPr>
          <w:sz w:val="20"/>
          <w:szCs w:val="20"/>
          <w:color w:val="auto"/>
        </w:rPr>
      </w:pPr>
    </w:p>
    <w:p>
      <w:pPr>
        <w:ind w:right="120" w:firstLine="1404"/>
        <w:spacing w:after="0" w:line="268" w:lineRule="auto"/>
        <w:rPr>
          <w:sz w:val="20"/>
          <w:szCs w:val="20"/>
          <w:color w:val="auto"/>
        </w:rPr>
      </w:pPr>
      <w:r>
        <w:rPr>
          <w:rFonts w:ascii="Times New Roman" w:cs="Times New Roman" w:eastAsia="Times New Roman" w:hAnsi="Times New Roman"/>
          <w:sz w:val="19"/>
          <w:szCs w:val="19"/>
          <w:color w:val="auto"/>
        </w:rPr>
        <w:t>(e)payments or prepayments of Secured Longer -Term Indebtedness, Unsecured Longer-Term Indebtedness or Special Unsecured Indebtedness solely from the proceeds of any issuance of Equity Interests, so long as both before and after giving effect to such payment (i) no Default shall exist or be continuing and (ii) the Covered Debt Amount does not exceed the Borrowing Base.</w:t>
      </w:r>
    </w:p>
    <w:p>
      <w:pPr>
        <w:spacing w:after="0" w:line="14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9"/>
          <w:szCs w:val="19"/>
          <w:color w:val="auto"/>
        </w:rPr>
        <w:t>Notwithstanding anything herein to the contrary, in no event shall any Obligor be permitted to prepay or settle (whether as a result of a mandatory redemption, conversion or otherwise) any such Indebtedness if, immediately after giving effect thereto, the Covered Debt Amount would exceed the Borrowing Base.</w:t>
      </w:r>
    </w:p>
    <w:p>
      <w:pPr>
        <w:spacing w:after="0" w:line="144" w:lineRule="exact"/>
        <w:rPr>
          <w:sz w:val="20"/>
          <w:szCs w:val="20"/>
          <w:color w:val="auto"/>
        </w:rPr>
      </w:pPr>
    </w:p>
    <w:p>
      <w:pPr>
        <w:jc w:val="both"/>
        <w:ind w:right="140" w:firstLine="1404"/>
        <w:spacing w:after="0" w:line="268" w:lineRule="auto"/>
        <w:rPr>
          <w:sz w:val="20"/>
          <w:szCs w:val="20"/>
          <w:color w:val="auto"/>
        </w:rPr>
      </w:pPr>
      <w:r>
        <w:rPr>
          <w:rFonts w:ascii="Times New Roman" w:cs="Times New Roman" w:eastAsia="Times New Roman" w:hAnsi="Times New Roman"/>
          <w:sz w:val="19"/>
          <w:szCs w:val="19"/>
          <w:color w:val="0000FF"/>
        </w:rPr>
        <w:t xml:space="preserve">SECTION 6.13. </w:t>
      </w:r>
      <w:r>
        <w:rPr>
          <w:rFonts w:ascii="Times New Roman" w:cs="Times New Roman" w:eastAsia="Times New Roman" w:hAnsi="Times New Roman"/>
          <w:sz w:val="19"/>
          <w:szCs w:val="19"/>
          <w:color w:val="000000"/>
        </w:rPr>
        <w:t>Accounting Changes. The Borrower will not, nor will it permit any of its Subsidiaries to, make 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change in (a) accounting policies or reporting practices, except as permitted under GAAP or required by law or rule or regulation of any Governmental Authority, or (b) its fiscal year.</w:t>
      </w:r>
    </w:p>
    <w:p>
      <w:pPr>
        <w:spacing w:after="0" w:line="144" w:lineRule="exact"/>
        <w:rPr>
          <w:sz w:val="20"/>
          <w:szCs w:val="20"/>
          <w:color w:val="auto"/>
        </w:rPr>
      </w:pPr>
    </w:p>
    <w:p>
      <w:pPr>
        <w:ind w:right="100" w:firstLine="1404"/>
        <w:spacing w:after="0" w:line="286" w:lineRule="auto"/>
        <w:rPr>
          <w:sz w:val="20"/>
          <w:szCs w:val="20"/>
          <w:color w:val="auto"/>
        </w:rPr>
      </w:pPr>
      <w:r>
        <w:rPr>
          <w:rFonts w:ascii="Times New Roman" w:cs="Times New Roman" w:eastAsia="Times New Roman" w:hAnsi="Times New Roman"/>
          <w:sz w:val="19"/>
          <w:szCs w:val="19"/>
          <w:color w:val="0000FF"/>
        </w:rPr>
        <w:t xml:space="preserve">SECTION 6.14. </w:t>
      </w:r>
      <w:r>
        <w:rPr>
          <w:rFonts w:ascii="Times New Roman" w:cs="Times New Roman" w:eastAsia="Times New Roman" w:hAnsi="Times New Roman"/>
          <w:sz w:val="19"/>
          <w:szCs w:val="19"/>
          <w:color w:val="000000"/>
        </w:rPr>
        <w:t>SBIC Guarantee. The Borrower will not, nor will it permit any of its Subsidiaries to, cause or permit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 occurrence of any event or condition that would result in any recourse to any Obligor under any Permitted SBIC Guarantee.</w:t>
      </w:r>
    </w:p>
    <w:p>
      <w:pPr>
        <w:spacing w:after="0" w:line="127" w:lineRule="exact"/>
        <w:rPr>
          <w:sz w:val="20"/>
          <w:szCs w:val="20"/>
          <w:color w:val="auto"/>
        </w:rPr>
      </w:pPr>
    </w:p>
    <w:p>
      <w:pPr>
        <w:ind w:right="80" w:firstLine="1404"/>
        <w:spacing w:after="0" w:line="257" w:lineRule="auto"/>
        <w:rPr>
          <w:sz w:val="20"/>
          <w:szCs w:val="20"/>
          <w:color w:val="auto"/>
        </w:rPr>
      </w:pPr>
      <w:r>
        <w:rPr>
          <w:rFonts w:ascii="Times New Roman" w:cs="Times New Roman" w:eastAsia="Times New Roman" w:hAnsi="Times New Roman"/>
          <w:sz w:val="19"/>
          <w:szCs w:val="19"/>
          <w:color w:val="0000FF"/>
        </w:rPr>
        <w:t>SECTION 6.15.</w:t>
      </w:r>
      <w:r>
        <w:rPr>
          <w:rFonts w:ascii="Times New Roman" w:cs="Times New Roman" w:eastAsia="Times New Roman" w:hAnsi="Times New Roman"/>
          <w:sz w:val="19"/>
          <w:szCs w:val="19"/>
          <w:color w:val="000000"/>
        </w:rPr>
        <w:t>Capital Call Facility. The Borrower will not, nor will it permit any other Obligor to, make 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payment or prepayment of the principal or any other amount owing in respect of any Capital Call Facility from the proceeds of the Collateral, except (a) regularly scheduled payments of principal and interest and (b) any other payment if (i) no Default or Event of Default shall have occurred and be continuing and (ii) the Covered Debt Amount does not exceed the Borrowing Base after giving effect to such payment. For avoidance of doubt, there shall be no restriction on payment or prepayment of any Capital Call Facility from amounts that do not constitute Collateral.</w:t>
      </w:r>
    </w:p>
    <w:p>
      <w:pPr>
        <w:spacing w:after="0" w:line="155" w:lineRule="exact"/>
        <w:rPr>
          <w:sz w:val="20"/>
          <w:szCs w:val="20"/>
          <w:color w:val="auto"/>
        </w:rPr>
      </w:pPr>
    </w:p>
    <w:p>
      <w:pPr>
        <w:ind w:left="1020" w:hanging="810"/>
        <w:spacing w:after="0"/>
        <w:tabs>
          <w:tab w:leader="none" w:pos="1020"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37" w:name="page238"/>
    <w:bookmarkEnd w:id="237"/>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ARTICLE VII</w:t>
      </w:r>
    </w:p>
    <w:p>
      <w:pPr>
        <w:spacing w:after="0" w:line="23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EVENTS OF DEFAULT</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If any of the following events (“Events of Default”) shall occur and be continuing:</w:t>
      </w:r>
    </w:p>
    <w:p>
      <w:pPr>
        <w:spacing w:after="0" w:line="202" w:lineRule="exact"/>
        <w:rPr>
          <w:sz w:val="20"/>
          <w:szCs w:val="20"/>
          <w:color w:val="auto"/>
        </w:rPr>
      </w:pPr>
    </w:p>
    <w:p>
      <w:pPr>
        <w:ind w:right="160" w:firstLine="1404"/>
        <w:spacing w:after="0" w:line="262" w:lineRule="auto"/>
        <w:rPr>
          <w:sz w:val="20"/>
          <w:szCs w:val="20"/>
          <w:color w:val="auto"/>
        </w:rPr>
      </w:pPr>
      <w:r>
        <w:rPr>
          <w:rFonts w:ascii="Times New Roman" w:cs="Times New Roman" w:eastAsia="Times New Roman" w:hAnsi="Times New Roman"/>
          <w:sz w:val="19"/>
          <w:szCs w:val="19"/>
          <w:color w:val="auto"/>
        </w:rPr>
        <w:t>(a)the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Section 2.09(a) on the Commitment Termination Date on the date so required;</w:t>
      </w:r>
    </w:p>
    <w:p>
      <w:pPr>
        <w:spacing w:after="0" w:line="150" w:lineRule="exact"/>
        <w:rPr>
          <w:sz w:val="20"/>
          <w:szCs w:val="20"/>
          <w:color w:val="auto"/>
        </w:rPr>
      </w:pPr>
    </w:p>
    <w:p>
      <w:pPr>
        <w:ind w:right="240" w:firstLine="1404"/>
        <w:spacing w:after="0" w:line="268" w:lineRule="auto"/>
        <w:rPr>
          <w:sz w:val="20"/>
          <w:szCs w:val="20"/>
          <w:color w:val="auto"/>
        </w:rPr>
      </w:pPr>
      <w:r>
        <w:rPr>
          <w:rFonts w:ascii="Times New Roman" w:cs="Times New Roman" w:eastAsia="Times New Roman" w:hAnsi="Times New Roman"/>
          <w:sz w:val="19"/>
          <w:szCs w:val="19"/>
          <w:color w:val="auto"/>
        </w:rPr>
        <w:t>(b)the Borrower shall fail to pay any interest on any Loan or any fee or any other amount (other than an amount referred to in clause (a) of this Article) payable under this Agreement or under any other Loan Document, when and as the same shall become due and payable, and such failure shall continue unremedied for a period of five (5) or more Business Days;</w:t>
      </w:r>
    </w:p>
    <w:p>
      <w:pPr>
        <w:spacing w:after="0" w:line="144" w:lineRule="exact"/>
        <w:rPr>
          <w:sz w:val="20"/>
          <w:szCs w:val="20"/>
          <w:color w:val="auto"/>
        </w:rPr>
      </w:pPr>
    </w:p>
    <w:p>
      <w:pPr>
        <w:ind w:left="100" w:firstLine="1416"/>
        <w:spacing w:after="0" w:line="256" w:lineRule="auto"/>
        <w:rPr>
          <w:sz w:val="20"/>
          <w:szCs w:val="20"/>
          <w:color w:val="auto"/>
        </w:rPr>
      </w:pPr>
      <w:r>
        <w:rPr>
          <w:rFonts w:ascii="Times New Roman" w:cs="Times New Roman" w:eastAsia="Times New Roman" w:hAnsi="Times New Roman"/>
          <w:sz w:val="19"/>
          <w:szCs w:val="19"/>
          <w:color w:val="auto"/>
        </w:rPr>
        <w:t>(c)any representation, warranty or certification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 and such failure shall continue unremedied for a period of ten (10) or more Business Days after the earlier of the Borrower obtaining actual knowledge thereof or receiving notice thereof from the Administrative Agent (given at the request of any Lender);</w:t>
      </w:r>
    </w:p>
    <w:p>
      <w:pPr>
        <w:spacing w:after="0" w:line="157" w:lineRule="exact"/>
        <w:rPr>
          <w:sz w:val="20"/>
          <w:szCs w:val="20"/>
          <w:color w:val="auto"/>
        </w:rPr>
      </w:pPr>
    </w:p>
    <w:p>
      <w:pPr>
        <w:ind w:right="60" w:firstLine="1404"/>
        <w:spacing w:after="0" w:line="259" w:lineRule="auto"/>
        <w:rPr>
          <w:sz w:val="20"/>
          <w:szCs w:val="20"/>
          <w:color w:val="auto"/>
        </w:rPr>
      </w:pPr>
      <w:r>
        <w:rPr>
          <w:rFonts w:ascii="Times New Roman" w:cs="Times New Roman" w:eastAsia="Times New Roman" w:hAnsi="Times New Roman"/>
          <w:sz w:val="19"/>
          <w:szCs w:val="19"/>
          <w:color w:val="auto"/>
        </w:rPr>
        <w:t>(d)the Borrower shall fail to observe or perform any covenant, condition or agreement contained in (i) Section 5.03 (with respect to the Borrower’s existence) or Sections 5.08(a) and (b) or in Article VI or any Obligor shall default in the performance of any of its obligations contained in Sections 3 and 7 of the Guarantee and Security Agreement or (ii) Sections 5.01(d) and (e) or Section 5.02 and such failure shall continue unremedied for a period of five (5) or more days after notice thereof by the Administrative Agent (given at the request of any Lender) to the Borrower;</w:t>
      </w:r>
    </w:p>
    <w:p>
      <w:pPr>
        <w:spacing w:after="0" w:line="154"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auto"/>
        </w:rPr>
        <w:t>(e)a Borrowing Base Deficiency shall occur and continue unremedied for a period of five or more Business Days after delivery of a Borrowing Base Certificate demonstrating such Borrowing Base Deficiency pursuant to Section 5.01(e); provided that it shall not be an Event of Default hereunder if the Borrower shall present the Administrative Agent with a reasonably feasible plan acceptable to the Administrative Agent in its sole discretion to enable such Borrowing Base Deficiency to be cured within 30 Business Days (which 30- Business Day period shall include the five (5) Business Days permitted for delivery of such plan), so long as such Borrowing Base Deficiency is cured within such 30-Business Day period;</w:t>
      </w:r>
    </w:p>
    <w:p>
      <w:pPr>
        <w:spacing w:after="0" w:line="157" w:lineRule="exact"/>
        <w:rPr>
          <w:sz w:val="20"/>
          <w:szCs w:val="20"/>
          <w:color w:val="auto"/>
        </w:rPr>
      </w:pPr>
    </w:p>
    <w:p>
      <w:pPr>
        <w:ind w:right="80" w:firstLine="1404"/>
        <w:spacing w:after="0" w:line="268" w:lineRule="auto"/>
        <w:rPr>
          <w:sz w:val="20"/>
          <w:szCs w:val="20"/>
          <w:color w:val="auto"/>
        </w:rPr>
      </w:pPr>
      <w:r>
        <w:rPr>
          <w:rFonts w:ascii="Times New Roman" w:cs="Times New Roman" w:eastAsia="Times New Roman" w:hAnsi="Times New Roman"/>
          <w:sz w:val="19"/>
          <w:szCs w:val="19"/>
          <w:color w:val="auto"/>
        </w:rPr>
        <w:t>(f)the Borrower or any Obligor, as applicable, shall fail to observe or perform any covenant, condition or agreement contained in this Agreement (other than those specified in clause (a), (b), (d), (e) or (s) of this Article) or any other Loan Document and such failure shall</w:t>
      </w:r>
    </w:p>
    <w:p>
      <w:pPr>
        <w:spacing w:after="0" w:line="142" w:lineRule="exact"/>
        <w:rPr>
          <w:sz w:val="20"/>
          <w:szCs w:val="20"/>
          <w:color w:val="auto"/>
        </w:rPr>
      </w:pPr>
    </w:p>
    <w:p>
      <w:pPr>
        <w:ind w:left="1020" w:hanging="810"/>
        <w:spacing w:after="0"/>
        <w:tabs>
          <w:tab w:leader="none" w:pos="1020"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238" w:name="page239"/>
    <w:bookmarkEnd w:id="238"/>
    <w:p>
      <w:pPr>
        <w:spacing w:after="0" w:line="26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9"/>
          <w:szCs w:val="19"/>
          <w:color w:val="auto"/>
        </w:rPr>
        <w:t>continue unremedied for a period of 30 or more days after notice thereof from the Administrative Agent (given at the request of any Lender) to the Borrower;</w:t>
      </w:r>
    </w:p>
    <w:p>
      <w:pPr>
        <w:spacing w:after="0" w:line="127" w:lineRule="exact"/>
        <w:rPr>
          <w:sz w:val="20"/>
          <w:szCs w:val="20"/>
          <w:color w:val="auto"/>
        </w:rPr>
      </w:pPr>
    </w:p>
    <w:p>
      <w:pPr>
        <w:ind w:right="120" w:firstLine="1404"/>
        <w:spacing w:after="0" w:line="268" w:lineRule="auto"/>
        <w:rPr>
          <w:sz w:val="20"/>
          <w:szCs w:val="20"/>
          <w:color w:val="auto"/>
        </w:rPr>
      </w:pPr>
      <w:r>
        <w:rPr>
          <w:rFonts w:ascii="Times New Roman" w:cs="Times New Roman" w:eastAsia="Times New Roman" w:hAnsi="Times New Roman"/>
          <w:sz w:val="19"/>
          <w:szCs w:val="19"/>
          <w:color w:val="auto"/>
        </w:rPr>
        <w:t>(g)the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44"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auto"/>
        </w:rPr>
        <w:t>(h)any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other than as permitted under Section 6.12 and that is not a result of a breach, default or other violation or failure in respect of such Material Indebtedness by the Borrower or any of its Subsidiaries after giving effect to any applicable grace period); provided that this clause (h) 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pacing w:after="0" w:line="155"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(i)an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57" w:lineRule="exact"/>
        <w:rPr>
          <w:sz w:val="20"/>
          <w:szCs w:val="20"/>
          <w:color w:val="auto"/>
        </w:rPr>
      </w:pPr>
    </w:p>
    <w:p>
      <w:pPr>
        <w:ind w:right="20" w:firstLine="1404"/>
        <w:spacing w:after="0" w:line="255" w:lineRule="auto"/>
        <w:rPr>
          <w:sz w:val="20"/>
          <w:szCs w:val="20"/>
          <w:color w:val="auto"/>
        </w:rPr>
      </w:pPr>
      <w:r>
        <w:rPr>
          <w:rFonts w:ascii="Times New Roman" w:cs="Times New Roman" w:eastAsia="Times New Roman" w:hAnsi="Times New Roman"/>
          <w:sz w:val="19"/>
          <w:szCs w:val="19"/>
          <w:color w:val="auto"/>
        </w:rPr>
        <w:t>(j)the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(i)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60" w:lineRule="exact"/>
        <w:rPr>
          <w:sz w:val="20"/>
          <w:szCs w:val="20"/>
          <w:color w:val="auto"/>
        </w:rPr>
      </w:pPr>
    </w:p>
    <w:p>
      <w:pPr>
        <w:ind w:right="180" w:firstLine="1404"/>
        <w:spacing w:after="0" w:line="286" w:lineRule="auto"/>
        <w:rPr>
          <w:sz w:val="20"/>
          <w:szCs w:val="20"/>
          <w:color w:val="auto"/>
        </w:rPr>
      </w:pPr>
      <w:r>
        <w:rPr>
          <w:rFonts w:ascii="Times New Roman" w:cs="Times New Roman" w:eastAsia="Times New Roman" w:hAnsi="Times New Roman"/>
          <w:sz w:val="19"/>
          <w:szCs w:val="19"/>
          <w:color w:val="auto"/>
        </w:rPr>
        <w:t>(k)the Borrower or any of its Subsidiaries (other than Immaterial Subsidiaries) shall become unable, admit in writing its inability or fail generally to pay its debts as they become due;</w:t>
      </w:r>
    </w:p>
    <w:p>
      <w:pPr>
        <w:spacing w:after="0" w:line="126" w:lineRule="exact"/>
        <w:rPr>
          <w:sz w:val="20"/>
          <w:szCs w:val="20"/>
          <w:color w:val="auto"/>
        </w:rPr>
      </w:pPr>
    </w:p>
    <w:p>
      <w:pPr>
        <w:ind w:left="1020" w:hanging="810"/>
        <w:spacing w:after="0"/>
        <w:tabs>
          <w:tab w:leader="none" w:pos="1020"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9" w:name="page240"/>
    <w:bookmarkEnd w:id="239"/>
    <w:p>
      <w:pPr>
        <w:spacing w:after="0" w:line="269"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(l)one or more judgments for the payment of money in an aggregate amount in excess of $50,000,000 shall be rendered against the Borrower or any of its Subsidiaries (other than Immaterial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54" w:lineRule="exact"/>
        <w:rPr>
          <w:sz w:val="20"/>
          <w:szCs w:val="20"/>
          <w:color w:val="auto"/>
        </w:rPr>
      </w:pPr>
    </w:p>
    <w:p>
      <w:pPr>
        <w:ind w:right="380" w:firstLine="1404"/>
        <w:spacing w:after="0" w:line="286" w:lineRule="auto"/>
        <w:rPr>
          <w:sz w:val="20"/>
          <w:szCs w:val="20"/>
          <w:color w:val="auto"/>
        </w:rPr>
      </w:pPr>
      <w:r>
        <w:rPr>
          <w:rFonts w:ascii="Times New Roman" w:cs="Times New Roman" w:eastAsia="Times New Roman" w:hAnsi="Times New Roman"/>
          <w:sz w:val="19"/>
          <w:szCs w:val="19"/>
          <w:color w:val="auto"/>
        </w:rPr>
        <w:t>(m)an ERISA Event shall have occurred that, in the opinion of the Required Lenders, when taken together with all other ERISA Events that have occurred, would reasonably be expected to result in a Material Adverse Effect;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(n)a Change in Control shall occur;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(o)the Borrower shall cease to be managed by the External Manager or an Affiliate thereof;</w:t>
      </w:r>
    </w:p>
    <w:p>
      <w:pPr>
        <w:spacing w:after="0" w:line="202" w:lineRule="exact"/>
        <w:rPr>
          <w:sz w:val="20"/>
          <w:szCs w:val="20"/>
          <w:color w:val="auto"/>
        </w:rPr>
      </w:pPr>
    </w:p>
    <w:p>
      <w:pPr>
        <w:ind w:left="100" w:right="240" w:firstLine="1416"/>
        <w:spacing w:after="0" w:line="257" w:lineRule="auto"/>
        <w:rPr>
          <w:sz w:val="20"/>
          <w:szCs w:val="20"/>
          <w:color w:val="auto"/>
        </w:rPr>
      </w:pPr>
      <w:r>
        <w:rPr>
          <w:rFonts w:ascii="Times New Roman" w:cs="Times New Roman" w:eastAsia="Times New Roman" w:hAnsi="Times New Roman"/>
          <w:sz w:val="19"/>
          <w:szCs w:val="19"/>
          <w:color w:val="auto"/>
        </w:rPr>
        <w:t>(p)if, prior to the Final Maturity Date, fewer than four of Brian D’Arcy, Joshua Easterly, Mike Griffin, Michael Fishman, Bo Stanley, David Stiepleman and Alan Waxman, fail to devote substantially all of their business time and attention to the investment activities of the Borrower and the other investment vehicles managed by TSSP Management Holdings, L.P. and its Affiliates;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pacing w:after="0" w:line="157" w:lineRule="exact"/>
        <w:rPr>
          <w:sz w:val="20"/>
          <w:szCs w:val="20"/>
          <w:color w:val="auto"/>
        </w:rPr>
      </w:pPr>
    </w:p>
    <w:p>
      <w:pPr>
        <w:ind w:right="20" w:firstLine="1404"/>
        <w:spacing w:after="0" w:line="253" w:lineRule="auto"/>
        <w:rPr>
          <w:sz w:val="20"/>
          <w:szCs w:val="20"/>
          <w:color w:val="auto"/>
        </w:rPr>
      </w:pPr>
      <w:r>
        <w:rPr>
          <w:rFonts w:ascii="Times New Roman" w:cs="Times New Roman" w:eastAsia="Times New Roman" w:hAnsi="Times New Roman"/>
          <w:sz w:val="19"/>
          <w:szCs w:val="19"/>
          <w:color w:val="auto"/>
        </w:rPr>
        <w:t>(q)the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Collateral Agent, free and clear of all other Liens (other than Liens permitted under Section 6.02 or under the respective Security Documents) except to the extent that any such loss of perfection results from the failure of the Collateral Agent to maintain possession of the certificates representing the securities pledged under the Loan Documents; provided that, with respect to any Liens created by the Security Documents that are perfected by the filing of a UCC financing statement, if such default is as a result of any action of the Administrative Agent or the Collateral Agent or a failure of the Administrative Agent or the Collateral Agent to take any action that it has agreed to take pursuant to this Agreement or the Guarantee and Security Agreement, then there shall be no Default or Event of Default hereunder unless such default shall continue unremedied for a period of ten (10) consecutive Business Days after such Borrower receives written notice of such default thereof from the Administrative Agent unless the continuance thereof is a result of a failure of the Administrative Agent or the Collateral Agent to take an action that it has agreed to take pursuant to this Agreement or the Guarantee and Security Agreement;</w:t>
      </w:r>
    </w:p>
    <w:p>
      <w:pPr>
        <w:spacing w:after="0" w:line="165" w:lineRule="exact"/>
        <w:rPr>
          <w:sz w:val="20"/>
          <w:szCs w:val="20"/>
          <w:color w:val="auto"/>
        </w:rPr>
      </w:pPr>
    </w:p>
    <w:p>
      <w:pPr>
        <w:ind w:right="740" w:firstLine="1404"/>
        <w:spacing w:after="0" w:line="286" w:lineRule="auto"/>
        <w:rPr>
          <w:sz w:val="20"/>
          <w:szCs w:val="20"/>
          <w:color w:val="auto"/>
        </w:rPr>
      </w:pPr>
      <w:r>
        <w:rPr>
          <w:rFonts w:ascii="Times New Roman" w:cs="Times New Roman" w:eastAsia="Times New Roman" w:hAnsi="Times New Roman"/>
          <w:sz w:val="19"/>
          <w:szCs w:val="19"/>
          <w:color w:val="auto"/>
        </w:rPr>
        <w:t>(r)except for expiration in accordance with its terms, any of the Loan Documents shall for whatever reason be terminated or cease to be in full force and effect in any</w:t>
      </w:r>
    </w:p>
    <w:p>
      <w:pPr>
        <w:spacing w:after="0" w:line="126" w:lineRule="exact"/>
        <w:rPr>
          <w:sz w:val="20"/>
          <w:szCs w:val="20"/>
          <w:color w:val="auto"/>
        </w:rPr>
      </w:pPr>
    </w:p>
    <w:p>
      <w:pPr>
        <w:ind w:left="1020" w:hanging="810"/>
        <w:spacing w:after="0"/>
        <w:tabs>
          <w:tab w:leader="none" w:pos="1020"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0" w:name="page241"/>
    <w:bookmarkEnd w:id="240"/>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material respect, or the enforceability thereof shall be contested by the Borrower or any other Obligor;</w:t>
      </w:r>
    </w:p>
    <w:p>
      <w:pPr>
        <w:spacing w:after="0" w:line="202"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(s)the Obligors shall at any time, without the consent of the Required Lenders fail to comply with the covenant contained in Section 5.11, and such failure shall continue unremedied for a period of 30 or more days after the earlier of notice thereof by the Administrative Agent (given at the request of any Lender) to the Borrower or knowledge thereof by a Financial Officer; or</w:t>
      </w:r>
    </w:p>
    <w:p>
      <w:pPr>
        <w:spacing w:after="0" w:line="144" w:lineRule="exact"/>
        <w:rPr>
          <w:sz w:val="20"/>
          <w:szCs w:val="20"/>
          <w:color w:val="auto"/>
        </w:rPr>
      </w:pPr>
    </w:p>
    <w:p>
      <w:pPr>
        <w:ind w:right="360" w:firstLine="1404"/>
        <w:spacing w:after="0" w:line="286" w:lineRule="auto"/>
        <w:rPr>
          <w:sz w:val="20"/>
          <w:szCs w:val="20"/>
          <w:color w:val="auto"/>
        </w:rPr>
      </w:pPr>
      <w:r>
        <w:rPr>
          <w:rFonts w:ascii="Times New Roman" w:cs="Times New Roman" w:eastAsia="Times New Roman" w:hAnsi="Times New Roman"/>
          <w:sz w:val="19"/>
          <w:szCs w:val="19"/>
          <w:color w:val="auto"/>
        </w:rPr>
        <w:t>(t)the Borrower or any of its Subsidiaries shall cause or permit the occurrence of any condition or event that would result in any recourse to any Obligor under any Permitted SBIC Guarantee;</w:t>
      </w:r>
    </w:p>
    <w:p>
      <w:pPr>
        <w:spacing w:after="0" w:line="1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color w:val="auto"/>
        </w:rPr>
        <w:t>then, and in every such event (other than an event with respect to the Borrower described in clause (i) or (j)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clause (i) or (j)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65" w:lineRule="exact"/>
        <w:rPr>
          <w:sz w:val="20"/>
          <w:szCs w:val="20"/>
          <w:color w:val="auto"/>
        </w:rPr>
      </w:pPr>
    </w:p>
    <w:p>
      <w:pPr>
        <w:ind w:right="100" w:firstLine="1404"/>
        <w:spacing w:after="0" w:line="256" w:lineRule="auto"/>
        <w:rPr>
          <w:sz w:val="20"/>
          <w:szCs w:val="20"/>
          <w:color w:val="auto"/>
        </w:rPr>
      </w:pPr>
      <w:r>
        <w:rPr>
          <w:rFonts w:ascii="Times New Roman" w:cs="Times New Roman" w:eastAsia="Times New Roman" w:hAnsi="Times New Roman"/>
          <w:sz w:val="19"/>
          <w:szCs w:val="19"/>
          <w:color w:val="auto"/>
        </w:rPr>
        <w:t>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plus any accrued and unpaid interest thereon; provided that the obligation to deposit such cash shall become effective immediately, and such deposit shall become immediately due and payable, without demand or other notice of any kind, upon the occurrence of any Event of Default with respect to the Borrower described in clause (i) or (j) of this Article.</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ARTICLE VIII</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THE ADMINISTRATIVE AGENT</w:t>
      </w:r>
    </w:p>
    <w:p>
      <w:pPr>
        <w:spacing w:after="0" w:line="202" w:lineRule="exact"/>
        <w:rPr>
          <w:sz w:val="20"/>
          <w:szCs w:val="20"/>
          <w:color w:val="auto"/>
        </w:rPr>
      </w:pPr>
    </w:p>
    <w:p>
      <w:pPr>
        <w:ind w:right="620" w:firstLine="1404"/>
        <w:spacing w:after="0" w:line="286" w:lineRule="auto"/>
        <w:rPr>
          <w:sz w:val="20"/>
          <w:szCs w:val="20"/>
          <w:color w:val="auto"/>
        </w:rPr>
      </w:pPr>
      <w:r>
        <w:rPr>
          <w:rFonts w:ascii="Times New Roman" w:cs="Times New Roman" w:eastAsia="Times New Roman" w:hAnsi="Times New Roman"/>
          <w:sz w:val="19"/>
          <w:szCs w:val="19"/>
          <w:color w:val="0000FF"/>
        </w:rPr>
        <w:t xml:space="preserve">SECTION 8.01. </w:t>
      </w:r>
      <w:r>
        <w:rPr>
          <w:rFonts w:ascii="Times New Roman" w:cs="Times New Roman" w:eastAsia="Times New Roman" w:hAnsi="Times New Roman"/>
          <w:sz w:val="19"/>
          <w:szCs w:val="19"/>
          <w:color w:val="000000"/>
        </w:rPr>
        <w:t>Appointment of the Administrative Agent. Each of the Lenders and the Issuing Banks hereby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irrevocably appoints the Administrative Agent as its agent</w:t>
      </w:r>
    </w:p>
    <w:p>
      <w:pPr>
        <w:spacing w:after="0" w:line="126" w:lineRule="exact"/>
        <w:rPr>
          <w:sz w:val="20"/>
          <w:szCs w:val="20"/>
          <w:color w:val="auto"/>
        </w:rPr>
      </w:pPr>
    </w:p>
    <w:p>
      <w:pPr>
        <w:ind w:left="1020" w:hanging="810"/>
        <w:spacing w:after="0"/>
        <w:tabs>
          <w:tab w:leader="none" w:pos="1020" w:val="left"/>
        </w:tabs>
        <w:numPr>
          <w:ilvl w:val="0"/>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1" w:name="page242"/>
    <w:bookmarkEnd w:id="241"/>
    <w:p>
      <w:pPr>
        <w:spacing w:after="0" w:line="2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Banks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 The Collateral Agent shall be a third-party beneficiary of this Section 8.01 and shall have all of the rights, benefits and privileges of a third-party beneficiary, including an independent right of action to enforce such rights, benefits and privileges directly, without the consent or joinder of any other Person.</w:t>
      </w:r>
    </w:p>
    <w:p>
      <w:pPr>
        <w:spacing w:after="0" w:line="160"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0000FF"/>
        </w:rPr>
        <w:t xml:space="preserve">SECTION 8.02. </w:t>
      </w:r>
      <w:r>
        <w:rPr>
          <w:rFonts w:ascii="Times New Roman" w:cs="Times New Roman" w:eastAsia="Times New Roman" w:hAnsi="Times New Roman"/>
          <w:sz w:val="19"/>
          <w:szCs w:val="19"/>
          <w:color w:val="000000"/>
        </w:rPr>
        <w:t>Capacity as Lender. The Person serving as the Administrative Agent hereunder shall have the same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50" w:lineRule="exact"/>
        <w:rPr>
          <w:sz w:val="20"/>
          <w:szCs w:val="20"/>
          <w:color w:val="auto"/>
        </w:rPr>
      </w:pPr>
    </w:p>
    <w:p>
      <w:pPr>
        <w:ind w:right="20" w:firstLine="1404"/>
        <w:spacing w:after="0" w:line="252" w:lineRule="auto"/>
        <w:rPr>
          <w:sz w:val="20"/>
          <w:szCs w:val="20"/>
          <w:color w:val="auto"/>
        </w:rPr>
      </w:pPr>
      <w:r>
        <w:rPr>
          <w:rFonts w:ascii="Times New Roman" w:cs="Times New Roman" w:eastAsia="Times New Roman" w:hAnsi="Times New Roman"/>
          <w:sz w:val="19"/>
          <w:szCs w:val="19"/>
          <w:color w:val="0000FF"/>
        </w:rPr>
        <w:t xml:space="preserve">SECTION 8.03. </w:t>
      </w:r>
      <w:r>
        <w:rPr>
          <w:rFonts w:ascii="Times New Roman" w:cs="Times New Roman" w:eastAsia="Times New Roman" w:hAnsi="Times New Roman"/>
          <w:sz w:val="19"/>
          <w:szCs w:val="19"/>
          <w:color w:val="000000"/>
        </w:rPr>
        <w:t>Limitation of Duties; Exculpation. The Administrative Agent shall not have any duties or obligations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Article IV or elsewhere herein or therein, other than to confirm receipt of items expressly required to be delivered to the Administrative Agent.</w:t>
      </w:r>
    </w:p>
    <w:p>
      <w:pPr>
        <w:spacing w:after="0" w:line="168" w:lineRule="exact"/>
        <w:rPr>
          <w:sz w:val="20"/>
          <w:szCs w:val="20"/>
          <w:color w:val="auto"/>
        </w:rPr>
      </w:pPr>
    </w:p>
    <w:p>
      <w:pPr>
        <w:ind w:right="260" w:firstLine="1404"/>
        <w:spacing w:after="0" w:line="286" w:lineRule="auto"/>
        <w:rPr>
          <w:sz w:val="20"/>
          <w:szCs w:val="20"/>
          <w:color w:val="auto"/>
        </w:rPr>
      </w:pPr>
      <w:r>
        <w:rPr>
          <w:rFonts w:ascii="Times New Roman" w:cs="Times New Roman" w:eastAsia="Times New Roman" w:hAnsi="Times New Roman"/>
          <w:sz w:val="19"/>
          <w:szCs w:val="19"/>
          <w:color w:val="0000FF"/>
        </w:rPr>
        <w:t xml:space="preserve">SECTION 8.04. </w:t>
      </w:r>
      <w:r>
        <w:rPr>
          <w:rFonts w:ascii="Times New Roman" w:cs="Times New Roman" w:eastAsia="Times New Roman" w:hAnsi="Times New Roman"/>
          <w:sz w:val="19"/>
          <w:szCs w:val="19"/>
          <w:color w:val="000000"/>
        </w:rPr>
        <w:t>Reliance. The Administrative Agent shall be entitled to rely upon, and shall not incur any liability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for relying upon, any notice, request, certificate, consent,</w:t>
      </w:r>
    </w:p>
    <w:p>
      <w:pPr>
        <w:spacing w:after="0" w:line="126" w:lineRule="exact"/>
        <w:rPr>
          <w:sz w:val="20"/>
          <w:szCs w:val="20"/>
          <w:color w:val="auto"/>
        </w:rPr>
      </w:pPr>
    </w:p>
    <w:p>
      <w:pPr>
        <w:ind w:left="1020" w:hanging="810"/>
        <w:spacing w:after="0"/>
        <w:tabs>
          <w:tab w:leader="none" w:pos="1020" w:val="left"/>
        </w:tabs>
        <w:numPr>
          <w:ilvl w:val="0"/>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2" w:name="page243"/>
    <w:bookmarkEnd w:id="242"/>
    <w:p>
      <w:pPr>
        <w:spacing w:after="0" w:line="26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9"/>
          <w:szCs w:val="19"/>
          <w:color w:val="auto"/>
        </w:rPr>
        <w:t>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7" w:lineRule="exact"/>
        <w:rPr>
          <w:sz w:val="20"/>
          <w:szCs w:val="20"/>
          <w:color w:val="auto"/>
        </w:rPr>
      </w:pPr>
    </w:p>
    <w:p>
      <w:pPr>
        <w:ind w:right="160" w:firstLine="1404"/>
        <w:spacing w:after="0" w:line="255" w:lineRule="auto"/>
        <w:rPr>
          <w:sz w:val="20"/>
          <w:szCs w:val="20"/>
          <w:color w:val="auto"/>
        </w:rPr>
      </w:pPr>
      <w:r>
        <w:rPr>
          <w:rFonts w:ascii="Times New Roman" w:cs="Times New Roman" w:eastAsia="Times New Roman" w:hAnsi="Times New Roman"/>
          <w:sz w:val="19"/>
          <w:szCs w:val="19"/>
          <w:color w:val="0000FF"/>
        </w:rPr>
        <w:t xml:space="preserve">SECTION 8.05. </w:t>
      </w:r>
      <w:r>
        <w:rPr>
          <w:rFonts w:ascii="Times New Roman" w:cs="Times New Roman" w:eastAsia="Times New Roman" w:hAnsi="Times New Roman"/>
          <w:sz w:val="19"/>
          <w:szCs w:val="19"/>
          <w:color w:val="000000"/>
        </w:rPr>
        <w:t>Sub-Agents. The Administrative Agent may perform any and all of its duties and exercise its rights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and powers by or through any one or more sub- 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judgment that the Administrative Agent acted with fraud, gross negligence or willful misconduct in the selection of such sub-agents.</w:t>
      </w:r>
    </w:p>
    <w:p>
      <w:pPr>
        <w:spacing w:after="0" w:line="160"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0000FF"/>
        </w:rPr>
        <w:t xml:space="preserve">SECTION 8.06. </w:t>
      </w:r>
      <w:r>
        <w:rPr>
          <w:rFonts w:ascii="Times New Roman" w:cs="Times New Roman" w:eastAsia="Times New Roman" w:hAnsi="Times New Roman"/>
          <w:sz w:val="19"/>
          <w:szCs w:val="19"/>
          <w:color w:val="000000"/>
        </w:rPr>
        <w:t>Resignation; Successor Administrative Agent. The Administrative Agent may resign by providing</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not less than thirty (30) days advance written notice to the Lenders, the Issuing Banks and the Borrower. Upon any such notice of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at the end of such thirty (30) day period (except that in the case of any collateral security held by the Administrative Agent on behalf of the Lenders or the Issuing Bank under any of the Loan Documents, the retiring or removed Administrative Agent shall continue to hold such collateral security until such time as a successor Administrative Agent is appointed)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Section 9.03 shall continue in effect for its benefit in respect of any actions taken or omitted to be taken by it while it was acting as Administrative Agent.</w:t>
      </w:r>
    </w:p>
    <w:p>
      <w:pPr>
        <w:spacing w:after="0" w:line="165" w:lineRule="exact"/>
        <w:rPr>
          <w:sz w:val="20"/>
          <w:szCs w:val="20"/>
          <w:color w:val="auto"/>
        </w:rPr>
      </w:pPr>
    </w:p>
    <w:p>
      <w:pPr>
        <w:ind w:left="1020" w:hanging="810"/>
        <w:spacing w:after="0"/>
        <w:tabs>
          <w:tab w:leader="none" w:pos="1020"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3" w:name="page244"/>
    <w:bookmarkEnd w:id="243"/>
    <w:p>
      <w:pPr>
        <w:spacing w:after="0" w:line="269" w:lineRule="exact"/>
        <w:rPr>
          <w:sz w:val="20"/>
          <w:szCs w:val="20"/>
          <w:color w:val="auto"/>
        </w:rPr>
      </w:pPr>
    </w:p>
    <w:p>
      <w:pPr>
        <w:ind w:right="40" w:firstLine="1404"/>
        <w:spacing w:after="0" w:line="256" w:lineRule="auto"/>
        <w:rPr>
          <w:sz w:val="20"/>
          <w:szCs w:val="20"/>
          <w:color w:val="auto"/>
        </w:rPr>
      </w:pPr>
      <w:r>
        <w:rPr>
          <w:rFonts w:ascii="Times New Roman" w:cs="Times New Roman" w:eastAsia="Times New Roman" w:hAnsi="Times New Roman"/>
          <w:sz w:val="19"/>
          <w:szCs w:val="19"/>
          <w:color w:val="auto"/>
        </w:rPr>
        <w:t>Any resignation by Truist as Administrative Agent pursuant to this Section shall also constitute its resignation as an Issuing Bank and a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57" w:lineRule="exact"/>
        <w:rPr>
          <w:sz w:val="20"/>
          <w:szCs w:val="20"/>
          <w:color w:val="auto"/>
        </w:rPr>
      </w:pPr>
    </w:p>
    <w:p>
      <w:pPr>
        <w:ind w:right="60" w:firstLine="1404"/>
        <w:spacing w:after="0" w:line="254" w:lineRule="auto"/>
        <w:rPr>
          <w:sz w:val="20"/>
          <w:szCs w:val="20"/>
          <w:color w:val="auto"/>
        </w:rPr>
      </w:pPr>
      <w:r>
        <w:rPr>
          <w:rFonts w:ascii="Times New Roman" w:cs="Times New Roman" w:eastAsia="Times New Roman" w:hAnsi="Times New Roman"/>
          <w:sz w:val="19"/>
          <w:szCs w:val="19"/>
          <w:color w:val="0000FF"/>
        </w:rPr>
        <w:t xml:space="preserve">SECTION 8.07. </w:t>
      </w:r>
      <w:r>
        <w:rPr>
          <w:rFonts w:ascii="Times New Roman" w:cs="Times New Roman" w:eastAsia="Times New Roman" w:hAnsi="Times New Roman"/>
          <w:sz w:val="19"/>
          <w:szCs w:val="19"/>
          <w:color w:val="000000"/>
        </w:rPr>
        <w:t>Reliance by Lenders. Each Lender acknowledges that it has, independently and without reliance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upon the Administrative Agent, any Joint Lead Arranger or any other Lender and based on such documents and information as it has deemed appropriate, made its own credit analysis and decision to enter into this Agreement. Each Lender also acknowledges that it will, independently and without reliance upon the Administrative Agent, any Joint Lead Arranger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60" w:lineRule="exact"/>
        <w:rPr>
          <w:sz w:val="20"/>
          <w:szCs w:val="20"/>
          <w:color w:val="auto"/>
        </w:rPr>
      </w:pPr>
    </w:p>
    <w:p>
      <w:pPr>
        <w:jc w:val="both"/>
        <w:ind w:right="140" w:firstLine="1404"/>
        <w:spacing w:after="0" w:line="268" w:lineRule="auto"/>
        <w:rPr>
          <w:sz w:val="20"/>
          <w:szCs w:val="20"/>
          <w:color w:val="auto"/>
        </w:rPr>
      </w:pPr>
      <w:r>
        <w:rPr>
          <w:rFonts w:ascii="Times New Roman" w:cs="Times New Roman" w:eastAsia="Times New Roman" w:hAnsi="Times New Roman"/>
          <w:sz w:val="19"/>
          <w:szCs w:val="19"/>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44"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0000FF"/>
        </w:rPr>
        <w:t xml:space="preserve">SECTION 8.08. </w:t>
      </w:r>
      <w:r>
        <w:rPr>
          <w:rFonts w:ascii="Times New Roman" w:cs="Times New Roman" w:eastAsia="Times New Roman" w:hAnsi="Times New Roman"/>
          <w:sz w:val="19"/>
          <w:szCs w:val="19"/>
          <w:color w:val="000000"/>
        </w:rPr>
        <w:t>Modifications to Loan Documents. Except as otherwise provided in Section 2.21 or Section 9.02(b)</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or (c) of this Agreement or the Security Documents with respect to this Agreement, the Administrative Agent may, with the prior consent of the Required Lenders (but not otherwise), consent to any modification, supplement or waiver under any of the Loan Documents, except that no such consent shall be required, and the Administrative Agent is hereby authorized, (v) to release any Subsidiary Guarantor (and any property of such Subsidiary Guarantor) from its guarantee obligations to the extent it may be released in accordance with Section 10.03(f) of the Guarantee and Security Agreement, (w) to release any Lien covering property that is the subject of either a Disposition of property (including, without limitation, any property subject to a participation or repurchase transaction) permitted hereunder or a Disposition to which the Required Lenders have consented, (x) for the avoidance of doubt, execute and deliver agreements, instruments and other documents reasonably requested by the Borrower to implement collateral sharing with respect to Secured Longer-Term Indebtedness and Secured Shorter-Term Indebtedness, (y) following the (i) cancellation, expiration or termination of any commitment to extend credit or issue Letters of Credit under this Agreement or any other Loan Document, (ii) final payment in full of all principal of and interest on each Loan, any LC Disbursements, any fees</w:t>
      </w:r>
    </w:p>
    <w:p>
      <w:pPr>
        <w:spacing w:after="0" w:line="163" w:lineRule="exact"/>
        <w:rPr>
          <w:sz w:val="20"/>
          <w:szCs w:val="20"/>
          <w:color w:val="auto"/>
        </w:rPr>
      </w:pPr>
    </w:p>
    <w:p>
      <w:pPr>
        <w:ind w:left="1020" w:hanging="810"/>
        <w:spacing w:after="0"/>
        <w:tabs>
          <w:tab w:leader="none" w:pos="1020"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4" w:name="page245"/>
    <w:bookmarkEnd w:id="244"/>
    <w:p>
      <w:pPr>
        <w:spacing w:after="0" w:line="26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9"/>
          <w:szCs w:val="19"/>
          <w:color w:val="auto"/>
        </w:rPr>
        <w:t>and any other amounts then due and owing under this Agreement or any other Loan Document and (iii) termination of this Agreement, to release all Liens and guarantees by Obligors, and (z) to allocate the Liens created under the Security Documents to any Designated Indebtedness Obligations or Hedging Agreement Obligations (as such terms are defined in the Guarantee and Security agreement) in accordance with the Guarantee and Security Agreement; provided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(except in connection with securing additional obligations equally and ratably with the Loans and other obligations hereunder in accordance with the Guarantee and Security Agreement), or alter the relative priorities of the obligations entitled to the benefits of the Liens created under the Security Documents with respect to all or substantially all of the Collateral.</w:t>
      </w:r>
    </w:p>
    <w:p>
      <w:pPr>
        <w:spacing w:after="0" w:line="1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8.09. </w:t>
      </w:r>
      <w:r>
        <w:rPr>
          <w:rFonts w:ascii="Times New Roman" w:cs="Times New Roman" w:eastAsia="Times New Roman" w:hAnsi="Times New Roman"/>
          <w:sz w:val="19"/>
          <w:szCs w:val="19"/>
          <w:color w:val="000000"/>
        </w:rPr>
        <w:t>Erroneous Payments.</w:t>
      </w:r>
    </w:p>
    <w:p>
      <w:pPr>
        <w:spacing w:after="0" w:line="202"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auto"/>
        </w:rPr>
        <w:t>(a)If the Administrative Agent notifies a Lender, an Issuing Bank or any Person who has received funds on behalf of a Lender or an Issuing Bank (any such Lender, Issuing Bank or other recipient, a “Payment Recipient”),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Bank or other Payment Recipient on its behalf) (any such funds, whether received as a payment, prepayment or repayment of principal, interest, fees, distribution or otherwise, individually and collectively, an “Erroneous Payment”) and demands in writing the return of such Erroneous Payment (or a portion thereof), such Erroneous Payment shall at all times remain the property of the Administrative Agent and shall be segregated (or earmarked) by the Payment Recipient and held in trust for the benefit of the Administrative Agent, and such Lender or Issuing Bank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71" w:lineRule="exact"/>
        <w:rPr>
          <w:sz w:val="20"/>
          <w:szCs w:val="20"/>
          <w:color w:val="auto"/>
        </w:rPr>
      </w:pPr>
    </w:p>
    <w:p>
      <w:pPr>
        <w:ind w:right="60" w:firstLine="1404"/>
        <w:spacing w:after="0" w:line="259" w:lineRule="auto"/>
        <w:rPr>
          <w:sz w:val="20"/>
          <w:szCs w:val="20"/>
          <w:color w:val="auto"/>
        </w:rPr>
      </w:pPr>
      <w:r>
        <w:rPr>
          <w:rFonts w:ascii="Times New Roman" w:cs="Times New Roman" w:eastAsia="Times New Roman" w:hAnsi="Times New Roman"/>
          <w:sz w:val="19"/>
          <w:szCs w:val="19"/>
          <w:color w:val="auto"/>
        </w:rPr>
        <w:t>(b)Without limiting immediately preceding clause (a), each Lender, Issuing Bank or any Person who has received funds on behalf of a Lender or Issuing Bank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w:t>
      </w:r>
    </w:p>
    <w:p>
      <w:pPr>
        <w:spacing w:after="0" w:line="152" w:lineRule="exact"/>
        <w:rPr>
          <w:sz w:val="20"/>
          <w:szCs w:val="20"/>
          <w:color w:val="auto"/>
        </w:rPr>
      </w:pPr>
    </w:p>
    <w:p>
      <w:pPr>
        <w:ind w:left="1020" w:hanging="810"/>
        <w:spacing w:after="0"/>
        <w:tabs>
          <w:tab w:leader="none" w:pos="1020" w:val="left"/>
        </w:tabs>
        <w:numPr>
          <w:ilvl w:val="0"/>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5" w:name="page246"/>
    <w:bookmarkEnd w:id="245"/>
    <w:p>
      <w:pPr>
        <w:spacing w:after="0" w:line="2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repayment, (y) that was not preceded or accompanied by a notice of payment, prepayment or repayment sent by the Administrative Agent (or any of its Affiliates), or (z) that such Lender, Issuing Bank or other such recipient, otherwise becomes aware was transmitted, or received, in error or by mistake (in whole or in part) in each case:</w:t>
      </w:r>
    </w:p>
    <w:p>
      <w:pPr>
        <w:spacing w:after="0" w:line="144" w:lineRule="exact"/>
        <w:rPr>
          <w:sz w:val="20"/>
          <w:szCs w:val="20"/>
          <w:color w:val="auto"/>
        </w:rPr>
      </w:pPr>
    </w:p>
    <w:p>
      <w:pPr>
        <w:ind w:left="700" w:right="100" w:firstLine="1500"/>
        <w:spacing w:after="0" w:line="268" w:lineRule="auto"/>
        <w:rPr>
          <w:sz w:val="20"/>
          <w:szCs w:val="20"/>
          <w:color w:val="auto"/>
        </w:rPr>
      </w:pPr>
      <w:r>
        <w:rPr>
          <w:rFonts w:ascii="Times New Roman" w:cs="Times New Roman" w:eastAsia="Times New Roman" w:hAnsi="Times New Roman"/>
          <w:sz w:val="19"/>
          <w:szCs w:val="19"/>
          <w:color w:val="auto"/>
        </w:rPr>
        <w:t>(i)(A)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spacing w:after="0" w:line="144" w:lineRule="exact"/>
        <w:rPr>
          <w:sz w:val="20"/>
          <w:szCs w:val="20"/>
          <w:color w:val="auto"/>
        </w:rPr>
      </w:pPr>
    </w:p>
    <w:p>
      <w:pPr>
        <w:ind w:left="700" w:right="40" w:firstLine="1500"/>
        <w:spacing w:after="0" w:line="262" w:lineRule="auto"/>
        <w:rPr>
          <w:sz w:val="20"/>
          <w:szCs w:val="20"/>
          <w:color w:val="auto"/>
        </w:rPr>
      </w:pPr>
      <w:r>
        <w:rPr>
          <w:rFonts w:ascii="Times New Roman" w:cs="Times New Roman" w:eastAsia="Times New Roman" w:hAnsi="Times New Roman"/>
          <w:sz w:val="19"/>
          <w:szCs w:val="19"/>
          <w:color w:val="auto"/>
        </w:rPr>
        <w:t>(ii)such Lender or Issuing Bank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8.09(b).</w:t>
      </w:r>
    </w:p>
    <w:p>
      <w:pPr>
        <w:spacing w:after="0" w:line="150" w:lineRule="exact"/>
        <w:rPr>
          <w:sz w:val="20"/>
          <w:szCs w:val="20"/>
          <w:color w:val="auto"/>
        </w:rPr>
      </w:pPr>
    </w:p>
    <w:p>
      <w:pPr>
        <w:ind w:right="160" w:firstLine="1404"/>
        <w:spacing w:after="0" w:line="259" w:lineRule="auto"/>
        <w:rPr>
          <w:sz w:val="20"/>
          <w:szCs w:val="20"/>
          <w:color w:val="auto"/>
        </w:rPr>
      </w:pPr>
      <w:r>
        <w:rPr>
          <w:rFonts w:ascii="Times New Roman" w:cs="Times New Roman" w:eastAsia="Times New Roman" w:hAnsi="Times New Roman"/>
          <w:sz w:val="19"/>
          <w:szCs w:val="19"/>
          <w:color w:val="auto"/>
        </w:rPr>
        <w:t>(c)Each Lender or Issuing Bank hereby authorizes the Administrative Agent to set off, net and apply any and all amounts at any time owing to such Lender or Issuing Bank under any Loan Document, or otherwise payable or distributable by the Administrative Agent to such Lender or Issuing Bank under any Loan Document with respect to any payment of principal, interest, fees or other amounts, against any amount that the Administrative Agent has demanded to be returned under immediately preceding clause (a).</w:t>
      </w:r>
    </w:p>
    <w:p>
      <w:pPr>
        <w:spacing w:after="0" w:line="154"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auto"/>
        </w:rPr>
        <w:t>(d)In the event that an Erroneous Payment (or portion thereof) is not recovered by the Administrative Agent for any reason, after demand therefor by the Administrative Agent in accordance with immediately preceding clause (a), from any Lender or Issuing Bank that has received such Erroneous Payment (or portion thereof) (and/or from any Payment Recipient who received such Erroneous Payment (or portion thereof) on its respective behalf) (such unrecovered amount, an “Erroneous Payment Return Deficiency”), upon the Administrative Agent’s notice to such Lender or Issuing Bank at any time, (i) such Lender or Issuing Bank shall be deemed to have assigned its Loans (but not its Commitments) of the relevant Class with respect to which such Erroneous Payment was made (the “Erroneous Payment Impacted Class”) in an amount equal to the Erroneous Payment Return Deficiency (or such lesser amount as the Administrative Agent may specify) (such assignment of the Loans (but not Commitments) of the Erroneous Payment Impacted Class, the “Erroneous Payment Deficiency Assignment”)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w:t>
      </w:r>
    </w:p>
    <w:p>
      <w:pPr>
        <w:spacing w:after="0" w:line="395" w:lineRule="exact"/>
        <w:rPr>
          <w:sz w:val="20"/>
          <w:szCs w:val="20"/>
          <w:color w:val="auto"/>
        </w:rPr>
      </w:pPr>
    </w:p>
    <w:p>
      <w:pPr>
        <w:ind w:left="1020" w:hanging="810"/>
        <w:spacing w:after="0"/>
        <w:tabs>
          <w:tab w:leader="none" w:pos="1020"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46" w:name="page247"/>
    <w:bookmarkEnd w:id="246"/>
    <w:p>
      <w:pPr>
        <w:spacing w:after="0" w:line="2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So long as any sale of Loans complies with the terms of Section 9.04(b),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Issuing Bank under the Loan Documents with respect to each Erroneous Payment Return Deficiency (the “Erroneous Payment Subrogation Rights”).</w:t>
      </w:r>
    </w:p>
    <w:p>
      <w:pPr>
        <w:spacing w:after="0" w:line="163" w:lineRule="exact"/>
        <w:rPr>
          <w:sz w:val="20"/>
          <w:szCs w:val="20"/>
          <w:color w:val="auto"/>
        </w:rPr>
      </w:pPr>
    </w:p>
    <w:p>
      <w:pPr>
        <w:ind w:right="80" w:firstLine="1404"/>
        <w:spacing w:after="0" w:line="255" w:lineRule="auto"/>
        <w:rPr>
          <w:sz w:val="20"/>
          <w:szCs w:val="20"/>
          <w:color w:val="auto"/>
        </w:rPr>
      </w:pPr>
      <w:r>
        <w:rPr>
          <w:rFonts w:ascii="Times New Roman" w:cs="Times New Roman" w:eastAsia="Times New Roman" w:hAnsi="Times New Roman"/>
          <w:sz w:val="19"/>
          <w:szCs w:val="19"/>
          <w:color w:val="auto"/>
        </w:rPr>
        <w:t>(e)The parties hereto agree that an Erroneous Payment shall not pay, prepay, repay, discharge or otherwise satisfy any Credit Exposure or other obligations owed by the Borrower or any other Obligor; provided that this Section 8.09(e) shall not be interpreted to increase (or accelerate the due date for), or have the effect of increasing (or accelerating the due date for), the obligations of the Borrower or any other Obligor relative to the amount (and/or timing for payment) of the obligations that would have been payable had such Erroneous Payment not been made by the Administrative Agent; provided, further, that for the avoidance of doubt, immediately preceding clause shall not apply to the extent any such Erroneous Payment is, and solely with respect to the amount of such Erroneous Payment that is, comprised of funds received by the Administrative Agent from the Borrower or any other Obligor for the purpose of making payment in respect of the Credit Exposure.</w:t>
      </w:r>
    </w:p>
    <w:p>
      <w:pPr>
        <w:spacing w:after="0" w:line="160" w:lineRule="exact"/>
        <w:rPr>
          <w:sz w:val="20"/>
          <w:szCs w:val="20"/>
          <w:color w:val="auto"/>
        </w:rPr>
      </w:pPr>
    </w:p>
    <w:p>
      <w:pPr>
        <w:ind w:right="140" w:firstLine="1404"/>
        <w:spacing w:after="0" w:line="262" w:lineRule="auto"/>
        <w:rPr>
          <w:sz w:val="20"/>
          <w:szCs w:val="20"/>
          <w:color w:val="auto"/>
        </w:rPr>
      </w:pPr>
      <w:r>
        <w:rPr>
          <w:rFonts w:ascii="Times New Roman" w:cs="Times New Roman" w:eastAsia="Times New Roman" w:hAnsi="Times New Roman"/>
          <w:sz w:val="19"/>
          <w:szCs w:val="19"/>
          <w:color w:val="auto"/>
        </w:rPr>
        <w:t>(f)To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50" w:lineRule="exact"/>
        <w:rPr>
          <w:sz w:val="20"/>
          <w:szCs w:val="20"/>
          <w:color w:val="auto"/>
        </w:rPr>
      </w:pPr>
    </w:p>
    <w:p>
      <w:pPr>
        <w:ind w:right="280" w:firstLine="1404"/>
        <w:spacing w:after="0" w:line="262" w:lineRule="auto"/>
        <w:rPr>
          <w:sz w:val="20"/>
          <w:szCs w:val="20"/>
          <w:color w:val="auto"/>
        </w:rPr>
      </w:pPr>
      <w:r>
        <w:rPr>
          <w:rFonts w:ascii="Times New Roman" w:cs="Times New Roman" w:eastAsia="Times New Roman" w:hAnsi="Times New Roman"/>
          <w:sz w:val="19"/>
          <w:szCs w:val="19"/>
          <w:color w:val="auto"/>
        </w:rPr>
        <w:t>(g)Each party’s obligations, agreements and waivers under this Section 8.09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48" w:lineRule="exact"/>
        <w:rPr>
          <w:sz w:val="20"/>
          <w:szCs w:val="20"/>
          <w:color w:val="auto"/>
        </w:rPr>
      </w:pPr>
    </w:p>
    <w:p>
      <w:pPr>
        <w:ind w:left="1020" w:hanging="810"/>
        <w:spacing w:after="0"/>
        <w:tabs>
          <w:tab w:leader="none" w:pos="1020"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7" w:name="page248"/>
    <w:bookmarkEnd w:id="247"/>
    <w:p>
      <w:pPr>
        <w:spacing w:after="0" w:line="26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9"/>
          <w:szCs w:val="19"/>
          <w:color w:val="auto"/>
        </w:rPr>
        <w:t>ARTICLE IX</w:t>
      </w:r>
    </w:p>
    <w:p>
      <w:pPr>
        <w:spacing w:after="0" w:line="23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MISCELLANEOUS</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9.01. </w:t>
      </w:r>
      <w:r>
        <w:rPr>
          <w:rFonts w:ascii="Times New Roman" w:cs="Times New Roman" w:eastAsia="Times New Roman" w:hAnsi="Times New Roman"/>
          <w:sz w:val="19"/>
          <w:szCs w:val="19"/>
          <w:color w:val="000000"/>
        </w:rPr>
        <w:t>Notices; Electronic Communications.</w:t>
      </w:r>
    </w:p>
    <w:p>
      <w:pPr>
        <w:spacing w:after="0" w:line="202"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auto"/>
        </w:rPr>
        <w:t>(a)Notices Generally. Except in the case of notices and other communications expressly permitted to be given by telephone or electronic communication, all notices and other communications provided for herein shall be in writing and shall be delivered by hand or overnight courier service, mailed by certified or registered mail or sent by telecopy, as follows:</w:t>
      </w:r>
    </w:p>
    <w:p>
      <w:pPr>
        <w:spacing w:after="0" w:line="1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(i)if to the Borrower, to it at:</w:t>
      </w:r>
    </w:p>
    <w:p>
      <w:pPr>
        <w:spacing w:after="0" w:line="20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Sixth Street Lending Partners</w:t>
      </w:r>
    </w:p>
    <w:p>
      <w:pPr>
        <w:spacing w:after="0" w:line="3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888 Seventh Avenue, 41st Floor</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New York, New York 10019</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Attention: Ian Simmonds</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Telephone:</w:t>
      </w:r>
    </w:p>
    <w:p>
      <w:pPr>
        <w:spacing w:after="0" w:line="18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(ii)if to the Administrative Agent or Truist, in its capacity as a Swingline Lender, to it at:</w:t>
      </w:r>
    </w:p>
    <w:p>
      <w:pPr>
        <w:spacing w:after="0" w:line="20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Truist Bank</w:t>
      </w:r>
    </w:p>
    <w:p>
      <w:pPr>
        <w:spacing w:after="0" w:line="3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3333 Peachtree Road, 8th Floor</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Atlanta, Georgia 30326</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Attention: Hays Wood</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Telecopy Number:</w:t>
      </w:r>
    </w:p>
    <w:p>
      <w:pPr>
        <w:spacing w:after="0" w:line="18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with a copy to:</w:t>
      </w:r>
    </w:p>
    <w:p>
      <w:pPr>
        <w:spacing w:after="0" w:line="20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Truist Bank</w:t>
      </w:r>
    </w:p>
    <w:p>
      <w:pPr>
        <w:spacing w:after="0" w:line="3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303 Peachtree Street, NE, 25th Floor</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Atlanta, GA 30308</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Attention: Karen Weich</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Email:</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Telecopy Number:</w:t>
      </w:r>
    </w:p>
    <w:p>
      <w:pPr>
        <w:spacing w:after="0" w:line="18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(iii)if to Truist, in its capacity as Issuing Bank, to it at:</w:t>
      </w:r>
    </w:p>
    <w:p>
      <w:pPr>
        <w:spacing w:after="0" w:line="20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Truist Bank</w:t>
      </w:r>
    </w:p>
    <w:p>
      <w:pPr>
        <w:spacing w:after="0" w:line="3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303 Peachtree Street, NE, 25th Floor</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Atlanta, GA 30308</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Attention: Karen Weich</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Email:</w:t>
      </w: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color w:val="auto"/>
        </w:rPr>
        <w:t>Telecopy Number:</w:t>
      </w:r>
    </w:p>
    <w:p>
      <w:pPr>
        <w:spacing w:after="0" w:line="18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(iv)if to JPMorgan Chase Bank, N.A., in its capacity as a Swingline Lender and an Issuing Bank:</w:t>
      </w:r>
    </w:p>
    <w:p>
      <w:pPr>
        <w:spacing w:after="0" w:line="200" w:lineRule="exact"/>
        <w:rPr>
          <w:sz w:val="20"/>
          <w:szCs w:val="20"/>
          <w:color w:val="auto"/>
        </w:rPr>
      </w:pPr>
    </w:p>
    <w:p>
      <w:pPr>
        <w:ind w:left="1020" w:hanging="810"/>
        <w:spacing w:after="0"/>
        <w:tabs>
          <w:tab w:leader="none" w:pos="102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40"/>
          </w:cols>
          <w:pgMar w:left="660" w:top="1440" w:right="1100" w:bottom="1440" w:gutter="0" w:footer="0" w:header="0"/>
        </w:sectPr>
      </w:pPr>
    </w:p>
    <w:bookmarkStart w:id="248" w:name="page249"/>
    <w:bookmarkEnd w:id="248"/>
    <w:p>
      <w:pPr>
        <w:spacing w:after="0" w:line="26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JPMorgan Chase Bank, N.A.</w:t>
      </w:r>
    </w:p>
    <w:p>
      <w:pPr>
        <w:spacing w:after="0" w:line="3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Ground floor, 1st to 6th floors, Platina 3, Kodbis, Floor 03</w:t>
      </w:r>
    </w:p>
    <w:p>
      <w:pPr>
        <w:spacing w:after="0" w:line="1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Bengaluru, 560 103, India</w:t>
      </w:r>
    </w:p>
    <w:p>
      <w:pPr>
        <w:spacing w:after="0" w:line="1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Attention: Sneha Machani</w:t>
      </w:r>
    </w:p>
    <w:p>
      <w:pPr>
        <w:spacing w:after="0" w:line="1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Telecopy Number:</w:t>
      </w:r>
    </w:p>
    <w:p>
      <w:pPr>
        <w:spacing w:after="0" w:line="2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(v)if to any other Lender, to it at its address (or telecopy number) set forth in its Administrative</w:t>
      </w:r>
    </w:p>
    <w:p>
      <w:pPr>
        <w:spacing w:after="0" w:line="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Questionnaire.</w:t>
      </w:r>
    </w:p>
    <w:p>
      <w:pPr>
        <w:spacing w:after="0" w:line="180" w:lineRule="exact"/>
        <w:rPr>
          <w:sz w:val="20"/>
          <w:szCs w:val="20"/>
          <w:color w:val="auto"/>
        </w:rPr>
      </w:pPr>
    </w:p>
    <w:p>
      <w:pPr>
        <w:ind w:right="180" w:firstLine="1404"/>
        <w:spacing w:after="0" w:line="262" w:lineRule="auto"/>
        <w:rPr>
          <w:sz w:val="20"/>
          <w:szCs w:val="20"/>
          <w:color w:val="auto"/>
        </w:rPr>
      </w:pPr>
      <w:r>
        <w:rPr>
          <w:rFonts w:ascii="Times New Roman" w:cs="Times New Roman" w:eastAsia="Times New Roman" w:hAnsi="Times New Roman"/>
          <w:sz w:val="19"/>
          <w:szCs w:val="19"/>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paragraph (b) below, shall be effective as provided in said paragraph (b).</w:t>
      </w:r>
    </w:p>
    <w:p>
      <w:pPr>
        <w:spacing w:after="0" w:line="150" w:lineRule="exact"/>
        <w:rPr>
          <w:sz w:val="20"/>
          <w:szCs w:val="20"/>
          <w:color w:val="auto"/>
        </w:rPr>
      </w:pPr>
    </w:p>
    <w:p>
      <w:pPr>
        <w:ind w:firstLine="1404"/>
        <w:spacing w:after="0" w:line="256" w:lineRule="auto"/>
        <w:rPr>
          <w:sz w:val="20"/>
          <w:szCs w:val="20"/>
          <w:color w:val="auto"/>
        </w:rPr>
      </w:pPr>
      <w:r>
        <w:rPr>
          <w:rFonts w:ascii="Times New Roman" w:cs="Times New Roman" w:eastAsia="Times New Roman" w:hAnsi="Times New Roman"/>
          <w:sz w:val="19"/>
          <w:szCs w:val="19"/>
          <w:color w:val="auto"/>
        </w:rPr>
        <w:t>(b)Electronic Communications. Notices and other communications to the Lenders and the Issuing Banks hereunder may be delivered or furnished by electronic communication (including e -mail and Internet or intranet websites) pursuant to procedures approved by the Administrative Agent; provided that the foregoing shall not apply to notices to any Lender or any Issuing Bank pursuant to Section 2.06 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57" w:lineRule="exact"/>
        <w:rPr>
          <w:sz w:val="20"/>
          <w:szCs w:val="20"/>
          <w:color w:val="auto"/>
        </w:rPr>
      </w:pPr>
    </w:p>
    <w:p>
      <w:pPr>
        <w:ind w:firstLine="1410"/>
        <w:spacing w:after="0" w:line="256" w:lineRule="auto"/>
        <w:tabs>
          <w:tab w:leader="none" w:pos="1634"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57" w:lineRule="exact"/>
        <w:rPr>
          <w:sz w:val="20"/>
          <w:szCs w:val="20"/>
          <w:color w:val="auto"/>
        </w:rPr>
      </w:pPr>
    </w:p>
    <w:p>
      <w:pPr>
        <w:ind w:right="100" w:firstLine="1404"/>
        <w:spacing w:after="0" w:line="256" w:lineRule="auto"/>
        <w:rPr>
          <w:sz w:val="20"/>
          <w:szCs w:val="20"/>
          <w:color w:val="auto"/>
        </w:rPr>
      </w:pPr>
      <w:r>
        <w:rPr>
          <w:rFonts w:ascii="Times New Roman" w:cs="Times New Roman" w:eastAsia="Times New Roman" w:hAnsi="Times New Roman"/>
          <w:sz w:val="19"/>
          <w:szCs w:val="19"/>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the such media or the Platform and each expressly disclaims liability</w:t>
      </w:r>
    </w:p>
    <w:p>
      <w:pPr>
        <w:spacing w:after="0" w:line="155" w:lineRule="exact"/>
        <w:rPr>
          <w:sz w:val="20"/>
          <w:szCs w:val="20"/>
          <w:color w:val="auto"/>
        </w:rPr>
      </w:pPr>
    </w:p>
    <w:p>
      <w:pPr>
        <w:ind w:left="1020" w:hanging="810"/>
        <w:spacing w:after="0"/>
        <w:tabs>
          <w:tab w:leader="none" w:pos="1020" w:val="left"/>
        </w:tabs>
        <w:numPr>
          <w:ilvl w:val="0"/>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49" w:name="page250"/>
    <w:bookmarkEnd w:id="249"/>
    <w:p>
      <w:pPr>
        <w:spacing w:after="0" w:line="2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50"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(c)Private Side Information Contacts.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60" w:lineRule="exact"/>
        <w:rPr>
          <w:sz w:val="20"/>
          <w:szCs w:val="20"/>
          <w:color w:val="auto"/>
        </w:rPr>
      </w:pPr>
    </w:p>
    <w:p>
      <w:pPr>
        <w:ind w:right="40" w:firstLine="1404"/>
        <w:spacing w:after="0" w:line="257" w:lineRule="auto"/>
        <w:rPr>
          <w:sz w:val="20"/>
          <w:szCs w:val="20"/>
          <w:color w:val="auto"/>
        </w:rPr>
      </w:pPr>
      <w:r>
        <w:rPr>
          <w:rFonts w:ascii="Times New Roman" w:cs="Times New Roman" w:eastAsia="Times New Roman" w:hAnsi="Times New Roman"/>
          <w:sz w:val="19"/>
          <w:szCs w:val="19"/>
          <w:color w:val="auto"/>
        </w:rPr>
        <w:t>(d)Documents to be Delivered under Sections 5.01 and 5.12(a). For so long as an Intralinks™ or equivalent website is available to each of the Lenders hereunder, the Borrower may satisfy its obligation to deliver documents to the Administrative Agent or the Lenders under Sections 5.01 and 5.12(a) by delivering one hard copy thereof to the Administrative Agent and either an electronic copy or a notice identifying the website where such information is located for posting by the Administrative Agent on Intralinks™ or such equivalent website; provided that the Administrative Agent shall have no responsibility to maintain access to Intralinks™ or an equivalent website.</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9.02. </w:t>
      </w:r>
      <w:r>
        <w:rPr>
          <w:rFonts w:ascii="Times New Roman" w:cs="Times New Roman" w:eastAsia="Times New Roman" w:hAnsi="Times New Roman"/>
          <w:sz w:val="19"/>
          <w:szCs w:val="19"/>
          <w:color w:val="000000"/>
        </w:rPr>
        <w:t>Waivers; Amendments.</w:t>
      </w:r>
    </w:p>
    <w:p>
      <w:pPr>
        <w:spacing w:after="0" w:line="202"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(a)No Deemed Waivers Remedies Cumulative. No failure or delay by the Administrative Agent, any Issuing Bank, any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the Swingline Lenders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any Swingline Lender, any Lender or any Issuing Bank may have had notice or knowledge of such Default at the time.</w:t>
      </w:r>
    </w:p>
    <w:p>
      <w:pPr>
        <w:spacing w:after="0" w:line="155" w:lineRule="exact"/>
        <w:rPr>
          <w:sz w:val="20"/>
          <w:szCs w:val="20"/>
          <w:color w:val="auto"/>
        </w:rPr>
      </w:pPr>
    </w:p>
    <w:p>
      <w:pPr>
        <w:ind w:left="1020" w:hanging="810"/>
        <w:spacing w:after="0"/>
        <w:tabs>
          <w:tab w:leader="none" w:pos="102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50" w:name="page251"/>
    <w:bookmarkEnd w:id="250"/>
    <w:p>
      <w:pPr>
        <w:spacing w:after="0" w:line="269" w:lineRule="exact"/>
        <w:rPr>
          <w:sz w:val="20"/>
          <w:szCs w:val="20"/>
          <w:color w:val="auto"/>
        </w:rPr>
      </w:pPr>
    </w:p>
    <w:p>
      <w:pPr>
        <w:ind w:right="40" w:firstLine="1404"/>
        <w:spacing w:after="0" w:line="262" w:lineRule="auto"/>
        <w:rPr>
          <w:sz w:val="20"/>
          <w:szCs w:val="20"/>
          <w:color w:val="auto"/>
        </w:rPr>
      </w:pPr>
      <w:r>
        <w:rPr>
          <w:rFonts w:ascii="Times New Roman" w:cs="Times New Roman" w:eastAsia="Times New Roman" w:hAnsi="Times New Roman"/>
          <w:sz w:val="19"/>
          <w:szCs w:val="19"/>
          <w:color w:val="auto"/>
        </w:rPr>
        <w:t>(b)Amendments to this Agreement. Except as provided in Section 2.21,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provided that no such agreement shall:</w:t>
      </w:r>
    </w:p>
    <w:p>
      <w:pPr>
        <w:spacing w:after="0" w:line="15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(i)increase the Commitment of any Lender without the written consent of such Lender,</w:t>
      </w:r>
    </w:p>
    <w:p>
      <w:pPr>
        <w:spacing w:after="0" w:line="202" w:lineRule="exact"/>
        <w:rPr>
          <w:sz w:val="20"/>
          <w:szCs w:val="20"/>
          <w:color w:val="auto"/>
        </w:rPr>
      </w:pPr>
    </w:p>
    <w:p>
      <w:pPr>
        <w:ind w:left="700" w:right="280" w:firstLine="1500"/>
        <w:spacing w:after="0" w:line="286" w:lineRule="auto"/>
        <w:rPr>
          <w:sz w:val="20"/>
          <w:szCs w:val="20"/>
          <w:color w:val="auto"/>
        </w:rPr>
      </w:pPr>
      <w:r>
        <w:rPr>
          <w:rFonts w:ascii="Times New Roman" w:cs="Times New Roman" w:eastAsia="Times New Roman" w:hAnsi="Times New Roman"/>
          <w:sz w:val="19"/>
          <w:szCs w:val="19"/>
          <w:color w:val="auto"/>
        </w:rPr>
        <w:t>(ii)reduce the principal amount of any Loan or LC Disbursement or reduce the rate of interest thereon, or reduce any fees payable hereunder, without the written consent of each Lender affected thereby,</w:t>
      </w:r>
    </w:p>
    <w:p>
      <w:pPr>
        <w:spacing w:after="0" w:line="127" w:lineRule="exact"/>
        <w:rPr>
          <w:sz w:val="20"/>
          <w:szCs w:val="20"/>
          <w:color w:val="auto"/>
        </w:rPr>
      </w:pPr>
    </w:p>
    <w:p>
      <w:pPr>
        <w:ind w:left="700" w:firstLine="1500"/>
        <w:spacing w:after="0" w:line="268" w:lineRule="auto"/>
        <w:rPr>
          <w:sz w:val="20"/>
          <w:szCs w:val="20"/>
          <w:color w:val="auto"/>
        </w:rPr>
      </w:pPr>
      <w:r>
        <w:rPr>
          <w:rFonts w:ascii="Times New Roman" w:cs="Times New Roman" w:eastAsia="Times New Roman" w:hAnsi="Times New Roman"/>
          <w:sz w:val="19"/>
          <w:szCs w:val="19"/>
          <w:color w:val="auto"/>
        </w:rPr>
        <w:t>(iii)postpone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144" w:lineRule="exact"/>
        <w:rPr>
          <w:sz w:val="20"/>
          <w:szCs w:val="20"/>
          <w:color w:val="auto"/>
        </w:rPr>
      </w:pPr>
    </w:p>
    <w:p>
      <w:pPr>
        <w:ind w:left="700" w:right="80" w:firstLine="1500"/>
        <w:spacing w:after="0" w:line="286" w:lineRule="auto"/>
        <w:rPr>
          <w:sz w:val="20"/>
          <w:szCs w:val="20"/>
          <w:color w:val="auto"/>
        </w:rPr>
      </w:pPr>
      <w:r>
        <w:rPr>
          <w:rFonts w:ascii="Times New Roman" w:cs="Times New Roman" w:eastAsia="Times New Roman" w:hAnsi="Times New Roman"/>
          <w:sz w:val="19"/>
          <w:szCs w:val="19"/>
          <w:color w:val="auto"/>
        </w:rPr>
        <w:t xml:space="preserve">(iv)change Section 2.17(b), (c) or (d) in a manner that would alter the pro rata sharing of payments required thereby without the written consent of each Lender affected thereby, </w:t>
      </w:r>
      <w:r>
        <w:rPr>
          <w:rFonts w:ascii="Times New Roman" w:cs="Times New Roman" w:eastAsia="Times New Roman" w:hAnsi="Times New Roman"/>
          <w:sz w:val="19"/>
          <w:szCs w:val="19"/>
          <w:color w:val="FF0000"/>
          <w:strike w:val="1"/>
        </w:rPr>
        <w:t>or</w:t>
      </w:r>
    </w:p>
    <w:p>
      <w:pPr>
        <w:spacing w:after="0" w:line="12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(v)</w:t>
      </w:r>
      <w:r>
        <w:rPr>
          <w:rFonts w:ascii="Times New Roman" w:cs="Times New Roman" w:eastAsia="Times New Roman" w:hAnsi="Times New Roman"/>
          <w:sz w:val="19"/>
          <w:szCs w:val="19"/>
          <w:color w:val="0000FF"/>
        </w:rPr>
        <w:t>change Section 9.19 without the written consent of each Lender (if any) that is subject to the GBSA, or</w:t>
      </w:r>
    </w:p>
    <w:p>
      <w:pPr>
        <w:spacing w:after="0" w:line="202" w:lineRule="exact"/>
        <w:rPr>
          <w:sz w:val="20"/>
          <w:szCs w:val="20"/>
          <w:color w:val="auto"/>
        </w:rPr>
      </w:pPr>
    </w:p>
    <w:p>
      <w:pPr>
        <w:ind w:left="700" w:right="200" w:firstLine="1500"/>
        <w:spacing w:after="0" w:line="262" w:lineRule="auto"/>
        <w:rPr>
          <w:sz w:val="20"/>
          <w:szCs w:val="20"/>
          <w:color w:val="auto"/>
        </w:rPr>
      </w:pPr>
      <w:r>
        <w:rPr>
          <w:rFonts w:ascii="Times New Roman" w:cs="Times New Roman" w:eastAsia="Times New Roman" w:hAnsi="Times New Roman"/>
          <w:sz w:val="19"/>
          <w:szCs w:val="19"/>
          <w:color w:val="auto"/>
        </w:rPr>
        <w:t>(vi)</w:t>
      </w:r>
      <w:r>
        <w:rPr>
          <w:rFonts w:ascii="Times New Roman" w:cs="Times New Roman" w:eastAsia="Times New Roman" w:hAnsi="Times New Roman"/>
          <w:sz w:val="19"/>
          <w:szCs w:val="19"/>
          <w:color w:val="FF0000"/>
          <w:strike w:val="1"/>
        </w:rPr>
        <w:t>(v)</w:t>
      </w:r>
      <w:r>
        <w:rPr>
          <w:rFonts w:ascii="Times New Roman" w:cs="Times New Roman" w:eastAsia="Times New Roman" w:hAnsi="Times New Roman"/>
          <w:sz w:val="19"/>
          <w:szCs w:val="19"/>
          <w:color w:val="auto"/>
        </w:rPr>
        <w:t xml:space="preserve"> change any of the provisions of this Section or the definition of the term “Required Lenders”, the definition of the term “Required Revolving 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provided further that (x) no such agreement shall amend, modify or otherwise affect the rights or duties of the Administrative Agent, the Issuing Banks or the Swingline Lenders hereunder without the prior written consent of the Administrative Agent, the Issuing Banks or the Swingline Lenders, as the case may be and (y) the consent of Lenders holding not less than two-thirds of the Credit Exposure and unused Commitments will be required (A) for any adverse change affecting the provisions of this Agreement relating to the determination of the Borrowing Base (excluding changes to the provisions of Section 5.12(b)(ii)(E) and (F), but including changes to the provisions of Section 5.12(c)(ii) and the definitions set forth in Section 5.13), and (B) for any release of any material portion of the Collateral other than for fair value or as otherwise permitted hereunder or under the other Loan Documents.</w:t>
      </w:r>
    </w:p>
    <w:p>
      <w:pPr>
        <w:spacing w:after="0" w:line="157" w:lineRule="exact"/>
        <w:rPr>
          <w:sz w:val="20"/>
          <w:szCs w:val="20"/>
          <w:color w:val="auto"/>
        </w:rPr>
      </w:pPr>
    </w:p>
    <w:p>
      <w:pPr>
        <w:ind w:right="60" w:firstLine="1404"/>
        <w:spacing w:after="0" w:line="262" w:lineRule="auto"/>
        <w:rPr>
          <w:sz w:val="20"/>
          <w:szCs w:val="20"/>
          <w:color w:val="auto"/>
        </w:rPr>
      </w:pPr>
      <w:r>
        <w:rPr>
          <w:rFonts w:ascii="Times New Roman" w:cs="Times New Roman" w:eastAsia="Times New Roman" w:hAnsi="Times New Roman"/>
          <w:sz w:val="19"/>
          <w:szCs w:val="19"/>
          <w:color w:val="auto"/>
        </w:rPr>
        <w:t>Anything in this Agreement to the contrary notwithstanding, (x)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(y) the Required</w:t>
      </w:r>
    </w:p>
    <w:p>
      <w:pPr>
        <w:spacing w:after="0" w:line="148" w:lineRule="exact"/>
        <w:rPr>
          <w:sz w:val="20"/>
          <w:szCs w:val="20"/>
          <w:color w:val="auto"/>
        </w:rPr>
      </w:pPr>
    </w:p>
    <w:p>
      <w:pPr>
        <w:ind w:left="1020" w:hanging="810"/>
        <w:spacing w:after="0"/>
        <w:tabs>
          <w:tab w:leader="none" w:pos="1020"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51" w:name="page252"/>
    <w:bookmarkEnd w:id="251"/>
    <w:p>
      <w:pPr>
        <w:spacing w:after="0" w:line="2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9"/>
          <w:szCs w:val="19"/>
          <w:color w:val="auto"/>
        </w:rPr>
        <w:t>Revolving Lenders may waive any condition precedent to an extension of credit under the Revolving Commitments (other than as required by Section 4.02) (which, for the avoidance of doubt, shall not constitute a waiver of any ongoing or resulting Default or Event of Default) (but the consent of no Term Lender shall be required) and (z) any Incremental Term Lender may waive any condition precedent to an extension of credit under the applicable Incremental Term Commitments (which, for the avoidance of doubt, shall not constitute a waiver of any ongoing or resulting Default or Event of Default) (but the consent of no Revolving Lender or other Term Lender shall be required).</w:t>
      </w:r>
    </w:p>
    <w:p>
      <w:pPr>
        <w:spacing w:after="0" w:line="386"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auto"/>
        </w:rPr>
        <w:t>(c)Amendments to Security Documents. No Security Document nor any provision thereof may be waived, amended or modified, nor may the Liens thereof be spread to secure any additional obligations (including any increase in Loans hereunder, but excluding any such increase pursuant to a Commitment Increase under Section 2.08(e) to an amount not greater than permitted by Section 2.08(e)(i)(B)) except pursuant to an agreement or agreements in writing entered into by the Borrower, and by the Collateral Agent with the consent of the Required Lenders, except that no such consent shall be required, and the Administrative Agent is hereby authorized (and so agrees 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the Guarantee and Security Agreement and (z) to release (and to acknowledge the release of) all Liens and guarantees of Obligors upon the termination of this Agreement (including in connection with a complete refinancing); provided 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w:t>
      </w:r>
    </w:p>
    <w:p>
      <w:pPr>
        <w:spacing w:after="0" w:line="399" w:lineRule="exact"/>
        <w:rPr>
          <w:sz w:val="20"/>
          <w:szCs w:val="20"/>
          <w:color w:val="auto"/>
        </w:rPr>
      </w:pPr>
    </w:p>
    <w:p>
      <w:pPr>
        <w:ind w:right="120" w:firstLine="1404"/>
        <w:spacing w:after="0" w:line="256" w:lineRule="auto"/>
        <w:rPr>
          <w:sz w:val="20"/>
          <w:szCs w:val="20"/>
          <w:color w:val="auto"/>
        </w:rPr>
      </w:pPr>
      <w:r>
        <w:rPr>
          <w:rFonts w:ascii="Times New Roman" w:cs="Times New Roman" w:eastAsia="Times New Roman" w:hAnsi="Times New Roman"/>
          <w:sz w:val="19"/>
          <w:szCs w:val="19"/>
          <w:color w:val="auto"/>
        </w:rPr>
        <w:t>(d)Replacement of Non- Consenting Lender. If, in connection with any proposed change, waiver, discharge or termination to any of the provisions of this Agreement as contemplated by this Section 9.02,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Section 2.18(b) so long as at the time of such replacement, each such replacement Lender consents to the proposed change, waiver, discharge or termination.</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9.03. </w:t>
      </w:r>
      <w:r>
        <w:rPr>
          <w:rFonts w:ascii="Times New Roman" w:cs="Times New Roman" w:eastAsia="Times New Roman" w:hAnsi="Times New Roman"/>
          <w:sz w:val="19"/>
          <w:szCs w:val="19"/>
          <w:color w:val="000000"/>
        </w:rPr>
        <w:t>Expenses; Indemnity; Damage Waiver.</w:t>
      </w:r>
    </w:p>
    <w:p>
      <w:pPr>
        <w:spacing w:after="0" w:line="202" w:lineRule="exact"/>
        <w:rPr>
          <w:sz w:val="20"/>
          <w:szCs w:val="20"/>
          <w:color w:val="auto"/>
        </w:rPr>
      </w:pPr>
    </w:p>
    <w:p>
      <w:pPr>
        <w:ind w:right="260" w:firstLine="1404"/>
        <w:spacing w:after="0" w:line="286" w:lineRule="auto"/>
        <w:rPr>
          <w:sz w:val="20"/>
          <w:szCs w:val="20"/>
          <w:color w:val="auto"/>
        </w:rPr>
      </w:pPr>
      <w:r>
        <w:rPr>
          <w:rFonts w:ascii="Times New Roman" w:cs="Times New Roman" w:eastAsia="Times New Roman" w:hAnsi="Times New Roman"/>
          <w:sz w:val="19"/>
          <w:szCs w:val="19"/>
          <w:color w:val="auto"/>
        </w:rPr>
        <w:t>(a)Costs and Expenses. The Borrower shall pay (i) all reasonable and documented out-of-pocket costs and expenses incurred by the Administrative Agent, the Collateral</w:t>
      </w:r>
    </w:p>
    <w:p>
      <w:pPr>
        <w:spacing w:after="0" w:line="126" w:lineRule="exact"/>
        <w:rPr>
          <w:sz w:val="20"/>
          <w:szCs w:val="20"/>
          <w:color w:val="auto"/>
        </w:rPr>
      </w:pPr>
    </w:p>
    <w:p>
      <w:pPr>
        <w:ind w:left="1020" w:hanging="810"/>
        <w:spacing w:after="0"/>
        <w:tabs>
          <w:tab w:leader="none" w:pos="1020"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252" w:name="page253"/>
    <w:bookmarkEnd w:id="252"/>
    <w:p>
      <w:pPr>
        <w:spacing w:after="0" w:line="26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color w:val="auto"/>
        </w:rPr>
        <w:t>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(iii) all documented out -of-pocket expenses incurred by the Administrative Agent, any Issuing Bank, any Swingline Lender or any Lender, including the reasonable and documented fees, charges and disbursements of one outside counsel for the Administrative Agent, each Issuing Bank and each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spacing w:after="0" w:line="161" w:lineRule="exact"/>
        <w:rPr>
          <w:sz w:val="20"/>
          <w:szCs w:val="20"/>
          <w:color w:val="auto"/>
        </w:rPr>
      </w:pPr>
    </w:p>
    <w:p>
      <w:pPr>
        <w:ind w:firstLine="1404"/>
        <w:spacing w:after="0" w:line="252" w:lineRule="auto"/>
        <w:rPr>
          <w:sz w:val="20"/>
          <w:szCs w:val="20"/>
          <w:color w:val="auto"/>
        </w:rPr>
      </w:pPr>
      <w:r>
        <w:rPr>
          <w:rFonts w:ascii="Times New Roman" w:cs="Times New Roman" w:eastAsia="Times New Roman" w:hAnsi="Times New Roman"/>
          <w:sz w:val="19"/>
          <w:szCs w:val="19"/>
          <w:color w:val="auto"/>
        </w:rPr>
        <w:t>(b)Indemnification by the Borrower. The Borrower shall indemnify the Administrative Agent, each Joint Lead Arranger, each Issuing Bank, each Swingline Lender and each Lender, and each Related Party of any of the foregoing Persons (each such Person being called an “Indemnitee”)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Section 2.16),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w:t>
      </w:r>
    </w:p>
    <w:p>
      <w:pPr>
        <w:spacing w:after="0" w:line="163" w:lineRule="exact"/>
        <w:rPr>
          <w:sz w:val="20"/>
          <w:szCs w:val="20"/>
          <w:color w:val="auto"/>
        </w:rPr>
      </w:pPr>
    </w:p>
    <w:p>
      <w:pPr>
        <w:ind w:left="1020" w:hanging="810"/>
        <w:spacing w:after="0"/>
        <w:tabs>
          <w:tab w:leader="none" w:pos="1020" w:val="left"/>
        </w:tabs>
        <w:numPr>
          <w:ilvl w:val="0"/>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3" w:name="page254"/>
    <w:bookmarkEnd w:id="253"/>
    <w:p>
      <w:pPr>
        <w:spacing w:after="0" w:line="2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whether based on contract, tort or any other theory and whether brought by the Borrower or a third party and regardless of whether any Indemnitee is a party thereto; provided that such indemnity shall not as to any Indemnitee, be available to the extent that such losses, claims, damages, liabilities or related expenses (A) are determined by a court of competent jurisdiction by final and nonappealable judgment to have resulted from the fraud, willful misconduct or gross negligence of such Indemnitee or its Related Parties, (B) result from the settlement of any such claim, investigation, litigation or other proceedings described in clause (iii) above unless the Borrower has consented to such settlement (which consent shall not be unreasonably withheld, delayed or conditioned (provided that nothing in this clause (B) shall restrict the right of any person to settle any claim for which it has waived its right of indemnity by the Borrower)) or (C) result from disputes solely among Indemnitees and not involving any act or omission of an Obligor or any of its Affiliates (other than any dispute against the Administrative Agent in its capacity as such) . Notwithstanding the foregoing, it is understood and agreed that indemnification for Taxes is subject to the provisions of Section 2.16.</w:t>
      </w:r>
    </w:p>
    <w:p>
      <w:pPr>
        <w:spacing w:after="0" w:line="160" w:lineRule="exact"/>
        <w:rPr>
          <w:sz w:val="20"/>
          <w:szCs w:val="20"/>
          <w:color w:val="auto"/>
        </w:rPr>
      </w:pPr>
    </w:p>
    <w:p>
      <w:pPr>
        <w:ind w:right="80" w:firstLine="1404"/>
        <w:spacing w:after="0" w:line="262" w:lineRule="auto"/>
        <w:rPr>
          <w:sz w:val="20"/>
          <w:szCs w:val="20"/>
          <w:color w:val="auto"/>
        </w:rPr>
      </w:pPr>
      <w:r>
        <w:rPr>
          <w:rFonts w:ascii="Times New Roman" w:cs="Times New Roman" w:eastAsia="Times New Roman" w:hAnsi="Times New Roman"/>
          <w:sz w:val="19"/>
          <w:szCs w:val="19"/>
          <w:color w:val="auto"/>
        </w:rPr>
        <w:t>The Borrower shall not be liable to any Indemnitee for any special, indirect, consequential or punitive damages arising out of, in connection with, or as a result of the Transactions asserted by an Indemnitee against the Borrower or any other Obligor; provided that the foregoing limitation shall not be deemed to impair or affect the obligations of the Borrower under the preceding provisions of this subsection.</w:t>
      </w:r>
    </w:p>
    <w:p>
      <w:pPr>
        <w:spacing w:after="0" w:line="150" w:lineRule="exact"/>
        <w:rPr>
          <w:sz w:val="20"/>
          <w:szCs w:val="20"/>
          <w:color w:val="auto"/>
        </w:rPr>
      </w:pPr>
    </w:p>
    <w:p>
      <w:pPr>
        <w:ind w:right="60" w:firstLine="1404"/>
        <w:spacing w:after="0" w:line="255" w:lineRule="auto"/>
        <w:rPr>
          <w:sz w:val="20"/>
          <w:szCs w:val="20"/>
          <w:color w:val="auto"/>
        </w:rPr>
      </w:pPr>
      <w:r>
        <w:rPr>
          <w:rFonts w:ascii="Times New Roman" w:cs="Times New Roman" w:eastAsia="Times New Roman" w:hAnsi="Times New Roman"/>
          <w:sz w:val="19"/>
          <w:szCs w:val="19"/>
          <w:color w:val="auto"/>
        </w:rPr>
        <w:t>(c)Reimbursement by Lenders. To the extent that the Borrower fails to pay any amount required to be paid by it to the Administrative Agent, any Issuing Bank or any Swingline Lender under paragraph (a) or (b) of this Section, (i) each Lender severally agrees to pay to the Administrative Agent such Lender’s Applicable Percentage (determined as of the time that the applicable unreimbursed expense or indemnity payment is sought) of such unpaid amount and (ii) each Revolving Lender severally agrees to pay to the applicable Issuing Bank or the applicable Swingline Lender, as the case may be, such Revolving Lender’s Applicable Revolving Percentage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Administrative Agent, the applicable Issuing Bank or the applicable Swingline Lender in its capacity as such.</w:t>
      </w:r>
    </w:p>
    <w:p>
      <w:pPr>
        <w:spacing w:after="0" w:line="388" w:lineRule="exact"/>
        <w:rPr>
          <w:sz w:val="20"/>
          <w:szCs w:val="20"/>
          <w:color w:val="auto"/>
        </w:rPr>
      </w:pPr>
    </w:p>
    <w:p>
      <w:pPr>
        <w:ind w:right="140" w:firstLine="1404"/>
        <w:spacing w:after="0" w:line="255" w:lineRule="auto"/>
        <w:rPr>
          <w:sz w:val="20"/>
          <w:szCs w:val="20"/>
          <w:color w:val="auto"/>
        </w:rPr>
      </w:pPr>
      <w:r>
        <w:rPr>
          <w:rFonts w:ascii="Times New Roman" w:cs="Times New Roman" w:eastAsia="Times New Roman" w:hAnsi="Times New Roman"/>
          <w:sz w:val="19"/>
          <w:szCs w:val="19"/>
          <w:color w:val="auto"/>
        </w:rPr>
        <w:t>(d)Waiver of Consequential Damages, Etc.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spacing w:after="0" w:line="158" w:lineRule="exact"/>
        <w:rPr>
          <w:sz w:val="20"/>
          <w:szCs w:val="20"/>
          <w:color w:val="auto"/>
        </w:rPr>
      </w:pPr>
    </w:p>
    <w:p>
      <w:pPr>
        <w:ind w:left="1020" w:hanging="810"/>
        <w:spacing w:after="0"/>
        <w:tabs>
          <w:tab w:leader="none" w:pos="1020"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54" w:name="page255"/>
    <w:bookmarkEnd w:id="254"/>
    <w:p>
      <w:pPr>
        <w:spacing w:after="0" w:line="26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(e)Payments. All amounts due under this Section shall be payable promptly after written demand therefor.</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9.04. </w:t>
      </w:r>
      <w:r>
        <w:rPr>
          <w:rFonts w:ascii="Times New Roman" w:cs="Times New Roman" w:eastAsia="Times New Roman" w:hAnsi="Times New Roman"/>
          <w:sz w:val="19"/>
          <w:szCs w:val="19"/>
          <w:color w:val="000000"/>
        </w:rPr>
        <w:t>Successors and Assigns.</w:t>
      </w:r>
    </w:p>
    <w:p>
      <w:pPr>
        <w:spacing w:after="0" w:line="202" w:lineRule="exact"/>
        <w:rPr>
          <w:sz w:val="20"/>
          <w:szCs w:val="20"/>
          <w:color w:val="auto"/>
        </w:rPr>
      </w:pPr>
    </w:p>
    <w:p>
      <w:pPr>
        <w:ind w:right="160" w:firstLine="1404"/>
        <w:spacing w:after="0" w:line="255" w:lineRule="auto"/>
        <w:rPr>
          <w:sz w:val="20"/>
          <w:szCs w:val="20"/>
          <w:color w:val="auto"/>
        </w:rPr>
      </w:pPr>
      <w:r>
        <w:rPr>
          <w:rFonts w:ascii="Times New Roman" w:cs="Times New Roman" w:eastAsia="Times New Roman" w:hAnsi="Times New Roman"/>
          <w:sz w:val="19"/>
          <w:szCs w:val="19"/>
          <w:color w:val="auto"/>
        </w:rPr>
        <w:t>(a)Assignments Generally.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and, to the extent expressly contemplated hereby, the Related Parties of each of the Administrative Agent, the Issuing Banks and the Lenders) any legal or equitable right, remedy or claim under or by reason of this Agreement.</w:t>
      </w:r>
    </w:p>
    <w:p>
      <w:pPr>
        <w:spacing w:after="0" w:line="15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(b)Assignments by Lenders.</w:t>
      </w:r>
    </w:p>
    <w:p>
      <w:pPr>
        <w:spacing w:after="0" w:line="202" w:lineRule="exact"/>
        <w:rPr>
          <w:sz w:val="20"/>
          <w:szCs w:val="20"/>
          <w:color w:val="auto"/>
        </w:rPr>
      </w:pPr>
    </w:p>
    <w:p>
      <w:pPr>
        <w:ind w:left="700" w:firstLine="1500"/>
        <w:spacing w:after="0" w:line="259" w:lineRule="auto"/>
        <w:rPr>
          <w:sz w:val="20"/>
          <w:szCs w:val="20"/>
          <w:color w:val="auto"/>
        </w:rPr>
      </w:pPr>
      <w:r>
        <w:rPr>
          <w:rFonts w:ascii="Times New Roman" w:cs="Times New Roman" w:eastAsia="Times New Roman" w:hAnsi="Times New Roman"/>
          <w:sz w:val="19"/>
          <w:szCs w:val="19"/>
          <w:color w:val="auto"/>
        </w:rPr>
        <w:t>(i)Assignments Generally. Subject to the conditions set forth in clause (ii) below, any Lender may assign to one or more assignees (other than natural persons (or a holding company, investments vehicle, investment vehicle or trust for, or owned and operated by or for the primary benefit of a natural Person) 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154" w:lineRule="exact"/>
        <w:rPr>
          <w:sz w:val="20"/>
          <w:szCs w:val="20"/>
          <w:color w:val="auto"/>
        </w:rPr>
      </w:pPr>
    </w:p>
    <w:p>
      <w:pPr>
        <w:ind w:left="1420" w:right="60" w:firstLine="1620"/>
        <w:spacing w:after="0" w:line="259" w:lineRule="auto"/>
        <w:rPr>
          <w:sz w:val="20"/>
          <w:szCs w:val="20"/>
          <w:color w:val="auto"/>
        </w:rPr>
      </w:pPr>
      <w:r>
        <w:rPr>
          <w:rFonts w:ascii="Times New Roman" w:cs="Times New Roman" w:eastAsia="Times New Roman" w:hAnsi="Times New Roman"/>
          <w:sz w:val="19"/>
          <w:szCs w:val="19"/>
          <w:color w:val="auto"/>
        </w:rPr>
        <w:t>(A)the Borrower; provided that no consent of the Borrower shall be required for an assignment to a Lender, an Affiliate of a Lender, or, if any Event of Default has occurred and is continuing, any other assignee; provided, further, that the Borrower shall be deemed to have consented to any such assignment unless it shall have objected thereto by written notice to the Administrative Agent within ten (10) Business Days after having received notice thereof; and</w:t>
      </w:r>
    </w:p>
    <w:p>
      <w:pPr>
        <w:spacing w:after="0" w:line="154" w:lineRule="exact"/>
        <w:rPr>
          <w:sz w:val="20"/>
          <w:szCs w:val="20"/>
          <w:color w:val="auto"/>
        </w:rPr>
      </w:pPr>
    </w:p>
    <w:p>
      <w:pPr>
        <w:ind w:left="1420" w:right="40" w:firstLine="1620"/>
        <w:spacing w:after="0" w:line="268" w:lineRule="auto"/>
        <w:rPr>
          <w:sz w:val="20"/>
          <w:szCs w:val="20"/>
          <w:color w:val="auto"/>
        </w:rPr>
      </w:pPr>
      <w:r>
        <w:rPr>
          <w:rFonts w:ascii="Times New Roman" w:cs="Times New Roman" w:eastAsia="Times New Roman" w:hAnsi="Times New Roman"/>
          <w:sz w:val="19"/>
          <w:szCs w:val="19"/>
          <w:color w:val="auto"/>
        </w:rPr>
        <w:t>(B)the Administrative Agent and, in the case of any assignment of Revolving Commitments, each Swingline Lender and each Issuing Bank: provided that no consent of the Administrative Agent, the Swingline Lenders or the Issuing Banks shall be required for an assignment by a Lender to an Affiliate of such Lender.</w:t>
      </w:r>
    </w:p>
    <w:p>
      <w:pPr>
        <w:spacing w:after="0" w:line="1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(ii)Certain Conditions to Assignments. Assignments shall be subject to the following additional conditions:</w:t>
      </w:r>
    </w:p>
    <w:p>
      <w:pPr>
        <w:spacing w:after="0" w:line="202" w:lineRule="exact"/>
        <w:rPr>
          <w:sz w:val="20"/>
          <w:szCs w:val="20"/>
          <w:color w:val="auto"/>
        </w:rPr>
      </w:pPr>
    </w:p>
    <w:p>
      <w:pPr>
        <w:ind w:left="1420" w:right="40" w:firstLine="1620"/>
        <w:spacing w:after="0" w:line="286" w:lineRule="auto"/>
        <w:rPr>
          <w:sz w:val="20"/>
          <w:szCs w:val="20"/>
          <w:color w:val="auto"/>
        </w:rPr>
      </w:pPr>
      <w:r>
        <w:rPr>
          <w:rFonts w:ascii="Times New Roman" w:cs="Times New Roman" w:eastAsia="Times New Roman" w:hAnsi="Times New Roman"/>
          <w:sz w:val="19"/>
          <w:szCs w:val="19"/>
          <w:color w:val="auto"/>
        </w:rPr>
        <w:t>(A)except in the case of an assignment to a Lender or an Affiliate of a Lender or an assignment of the entire remaining amount of the assigning Lender’s Commitment or Loans and LC Exposure of a Class, the amount</w:t>
      </w:r>
    </w:p>
    <w:p>
      <w:pPr>
        <w:spacing w:after="0" w:line="126" w:lineRule="exact"/>
        <w:rPr>
          <w:sz w:val="20"/>
          <w:szCs w:val="20"/>
          <w:color w:val="auto"/>
        </w:rPr>
      </w:pPr>
    </w:p>
    <w:p>
      <w:pPr>
        <w:ind w:left="1020" w:hanging="810"/>
        <w:spacing w:after="0"/>
        <w:tabs>
          <w:tab w:leader="none" w:pos="1020"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5" w:name="page256"/>
    <w:bookmarkEnd w:id="255"/>
    <w:p>
      <w:pPr>
        <w:spacing w:after="0" w:line="269" w:lineRule="exact"/>
        <w:rPr>
          <w:sz w:val="20"/>
          <w:szCs w:val="20"/>
          <w:color w:val="auto"/>
        </w:rPr>
      </w:pPr>
    </w:p>
    <w:p>
      <w:pPr>
        <w:ind w:left="1210" w:right="40"/>
        <w:spacing w:after="0" w:line="259" w:lineRule="auto"/>
        <w:rPr>
          <w:sz w:val="20"/>
          <w:szCs w:val="20"/>
          <w:color w:val="auto"/>
        </w:rPr>
      </w:pPr>
      <w:r>
        <w:rPr>
          <w:rFonts w:ascii="Times New Roman" w:cs="Times New Roman" w:eastAsia="Times New Roman" w:hAnsi="Times New Roman"/>
          <w:sz w:val="19"/>
          <w:szCs w:val="19"/>
          <w:color w:val="auto"/>
        </w:rPr>
        <w:t>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provided that no such consent of the Borrower shall be required if an Event of Default has occurred and is continuing;</w:t>
      </w:r>
    </w:p>
    <w:p>
      <w:pPr>
        <w:spacing w:after="0" w:line="154" w:lineRule="exact"/>
        <w:rPr>
          <w:sz w:val="20"/>
          <w:szCs w:val="20"/>
          <w:color w:val="auto"/>
        </w:rPr>
      </w:pPr>
    </w:p>
    <w:p>
      <w:pPr>
        <w:ind w:left="1210" w:right="320" w:firstLine="1620"/>
        <w:spacing w:after="0" w:line="268" w:lineRule="auto"/>
        <w:rPr>
          <w:sz w:val="20"/>
          <w:szCs w:val="20"/>
          <w:color w:val="auto"/>
        </w:rPr>
      </w:pPr>
      <w:r>
        <w:rPr>
          <w:rFonts w:ascii="Times New Roman" w:cs="Times New Roman" w:eastAsia="Times New Roman" w:hAnsi="Times New Roman"/>
          <w:sz w:val="19"/>
          <w:szCs w:val="19"/>
          <w:color w:val="auto"/>
        </w:rPr>
        <w:t>(B)each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144" w:lineRule="exact"/>
        <w:rPr>
          <w:sz w:val="20"/>
          <w:szCs w:val="20"/>
          <w:color w:val="auto"/>
        </w:rPr>
      </w:pPr>
    </w:p>
    <w:p>
      <w:pPr>
        <w:ind w:left="1210" w:right="20" w:firstLine="1620"/>
        <w:spacing w:after="0" w:line="262" w:lineRule="auto"/>
        <w:rPr>
          <w:sz w:val="20"/>
          <w:szCs w:val="20"/>
          <w:color w:val="auto"/>
        </w:rPr>
      </w:pPr>
      <w:r>
        <w:rPr>
          <w:rFonts w:ascii="Times New Roman" w:cs="Times New Roman" w:eastAsia="Times New Roman" w:hAnsi="Times New Roman"/>
          <w:sz w:val="19"/>
          <w:szCs w:val="19"/>
          <w:color w:val="auto"/>
        </w:rPr>
        <w:t>(C)the parties to each assignment shall execute and deliver to the Administrative Agent an Assignment and Assumption in substantially the form of Exhibit A hereto, together with a processing and recordation fee of U.S. $ 3,500 (which fee shall not be payable in connection with an assignment to a Lender or to an Affiliate of a Lender), for which the Borrower and the Subsidiary Guarantors shall not be obligated;</w:t>
      </w:r>
    </w:p>
    <w:p>
      <w:pPr>
        <w:spacing w:after="0" w:line="150" w:lineRule="exact"/>
        <w:rPr>
          <w:sz w:val="20"/>
          <w:szCs w:val="20"/>
          <w:color w:val="auto"/>
        </w:rPr>
      </w:pPr>
    </w:p>
    <w:p>
      <w:pPr>
        <w:ind w:left="1210" w:right="320" w:firstLine="1620"/>
        <w:spacing w:after="0" w:line="286" w:lineRule="auto"/>
        <w:rPr>
          <w:sz w:val="20"/>
          <w:szCs w:val="20"/>
          <w:color w:val="auto"/>
        </w:rPr>
      </w:pPr>
      <w:r>
        <w:rPr>
          <w:rFonts w:ascii="Times New Roman" w:cs="Times New Roman" w:eastAsia="Times New Roman" w:hAnsi="Times New Roman"/>
          <w:sz w:val="19"/>
          <w:szCs w:val="19"/>
          <w:color w:val="auto"/>
        </w:rPr>
        <w:t>(D)the assignee, if it shall not already be a Lender of the applicable Class, shall deliver to the Administrative Agent an Administrative Questionnaire; and</w:t>
      </w:r>
    </w:p>
    <w:p>
      <w:pPr>
        <w:spacing w:after="0" w:line="127" w:lineRule="exact"/>
        <w:rPr>
          <w:sz w:val="20"/>
          <w:szCs w:val="20"/>
          <w:color w:val="auto"/>
        </w:rPr>
      </w:pPr>
    </w:p>
    <w:p>
      <w:pPr>
        <w:ind w:left="1210" w:right="380" w:firstLine="1620"/>
        <w:spacing w:after="0" w:line="286" w:lineRule="auto"/>
        <w:rPr>
          <w:sz w:val="20"/>
          <w:szCs w:val="20"/>
          <w:color w:val="auto"/>
        </w:rPr>
      </w:pPr>
      <w:r>
        <w:rPr>
          <w:rFonts w:ascii="Times New Roman" w:cs="Times New Roman" w:eastAsia="Times New Roman" w:hAnsi="Times New Roman"/>
          <w:sz w:val="19"/>
          <w:szCs w:val="19"/>
          <w:color w:val="auto"/>
        </w:rPr>
        <w:t>(E)the assignee shall deliver to the Borrower and the Administrative Agent those documents specified in Section 2.16(f).</w:t>
      </w:r>
    </w:p>
    <w:p>
      <w:pPr>
        <w:spacing w:after="0" w:line="127" w:lineRule="exact"/>
        <w:rPr>
          <w:sz w:val="20"/>
          <w:szCs w:val="20"/>
          <w:color w:val="auto"/>
        </w:rPr>
      </w:pPr>
    </w:p>
    <w:p>
      <w:pPr>
        <w:ind w:left="490" w:firstLine="1500"/>
        <w:spacing w:after="0" w:line="252" w:lineRule="auto"/>
        <w:rPr>
          <w:sz w:val="20"/>
          <w:szCs w:val="20"/>
          <w:color w:val="auto"/>
        </w:rPr>
      </w:pPr>
      <w:r>
        <w:rPr>
          <w:rFonts w:ascii="Times New Roman" w:cs="Times New Roman" w:eastAsia="Times New Roman" w:hAnsi="Times New Roman"/>
          <w:sz w:val="19"/>
          <w:szCs w:val="19"/>
          <w:color w:val="auto"/>
        </w:rPr>
        <w:t>(iii)Effectiveness of Assignments. Subject to acceptance and recording thereof pursuant to paragraph (c)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9.03 with respect to facts and circumstances occurring prior to the effective date of such assignment).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(e) of this Section. Notwithstanding anything to the contrary herein, in connection with any assignment of rights and obligations of any Defaulting Lender hereunder, no such assignment shall be effective unless and until, in addition to the other conditions set forth in Section 9.04(b)(ii)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w:t>
      </w:r>
    </w:p>
    <w:p>
      <w:pPr>
        <w:spacing w:after="0" w:line="169" w:lineRule="exact"/>
        <w:rPr>
          <w:sz w:val="20"/>
          <w:szCs w:val="20"/>
          <w:color w:val="auto"/>
        </w:rPr>
      </w:pPr>
    </w:p>
    <w:p>
      <w:pPr>
        <w:ind w:left="810" w:hanging="810"/>
        <w:spacing w:after="0"/>
        <w:tabs>
          <w:tab w:leader="none" w:pos="810"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672465</wp:posOffset>
            </wp:positionV>
            <wp:extent cx="6732905" cy="406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90"/>
          </w:cols>
          <w:pgMar w:left="870" w:top="1440" w:right="740" w:bottom="1440" w:gutter="0" w:footer="0" w:header="0"/>
        </w:sectPr>
      </w:pPr>
    </w:p>
    <w:bookmarkStart w:id="256" w:name="page257"/>
    <w:bookmarkEnd w:id="256"/>
    <w:p>
      <w:pPr>
        <w:spacing w:after="0" w:line="269" w:lineRule="exact"/>
        <w:rPr>
          <w:sz w:val="20"/>
          <w:szCs w:val="20"/>
          <w:color w:val="auto"/>
        </w:rPr>
      </w:pPr>
    </w:p>
    <w:p>
      <w:pPr>
        <w:ind w:left="700" w:right="40"/>
        <w:spacing w:after="0" w:line="255" w:lineRule="auto"/>
        <w:rPr>
          <w:sz w:val="20"/>
          <w:szCs w:val="20"/>
          <w:color w:val="auto"/>
        </w:rPr>
      </w:pPr>
      <w:r>
        <w:rPr>
          <w:rFonts w:ascii="Times New Roman" w:cs="Times New Roman" w:eastAsia="Times New Roman" w:hAnsi="Times New Roman"/>
          <w:sz w:val="19"/>
          <w:szCs w:val="19"/>
          <w:color w:val="auto"/>
        </w:rPr>
        <w:t>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each Issuing Bank, each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0" w:lineRule="exact"/>
        <w:rPr>
          <w:sz w:val="20"/>
          <w:szCs w:val="20"/>
          <w:color w:val="auto"/>
        </w:rPr>
      </w:pPr>
    </w:p>
    <w:p>
      <w:pPr>
        <w:ind w:right="120" w:firstLine="1404"/>
        <w:spacing w:after="0" w:line="255" w:lineRule="auto"/>
        <w:rPr>
          <w:sz w:val="20"/>
          <w:szCs w:val="20"/>
          <w:color w:val="auto"/>
        </w:rPr>
      </w:pPr>
      <w:r>
        <w:rPr>
          <w:rFonts w:ascii="Times New Roman" w:cs="Times New Roman" w:eastAsia="Times New Roman" w:hAnsi="Times New Roman"/>
          <w:sz w:val="19"/>
          <w:szCs w:val="19"/>
          <w:color w:val="auto"/>
        </w:rPr>
        <w:t>(c)Maintenance of Registers by Administrative Agent.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“Registers” and each individually, a “Register”). The entries in the Registers shall be conclusive absent manifest error, and the Borrower, the Administrative Agent, the Issuing Banks and the Lenders may treat each Person whose name is recorded in the Registers pursuant to the terms hereof as a Lender hereunder for all purposes of this Agreement, notwithstanding notice to the contrary. The Registers shall be available for inspection by the Borrower, any Issuing Bank and any Lender, at any reasonable time and from time to time upon reasonable prior notice.</w:t>
      </w:r>
    </w:p>
    <w:p>
      <w:pPr>
        <w:spacing w:after="0" w:line="155" w:lineRule="exact"/>
        <w:rPr>
          <w:sz w:val="20"/>
          <w:szCs w:val="20"/>
          <w:color w:val="auto"/>
        </w:rPr>
      </w:pPr>
    </w:p>
    <w:p>
      <w:pPr>
        <w:ind w:right="40" w:firstLine="1404"/>
        <w:spacing w:after="0" w:line="257" w:lineRule="auto"/>
        <w:rPr>
          <w:sz w:val="20"/>
          <w:szCs w:val="20"/>
          <w:color w:val="auto"/>
        </w:rPr>
      </w:pPr>
      <w:r>
        <w:rPr>
          <w:rFonts w:ascii="Times New Roman" w:cs="Times New Roman" w:eastAsia="Times New Roman" w:hAnsi="Times New Roman"/>
          <w:sz w:val="19"/>
          <w:szCs w:val="19"/>
          <w:color w:val="auto"/>
        </w:rPr>
        <w:t>(d)Acceptance of Assignments by Administrative Agent.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57"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(e)Special Purposes Vehicles. Notwithstanding anything to the contrary contained herein, any Lender (a “Granting Lender”) may grant to a special purpose funding vehicle (an “SPC”) owned or administered by such Granting Lender, identified as such in writing from time to time by the Granting Lender to the Administrative Agent and the Borrower, the option to provide all or any part of any Loan that such Granting Lender would otherwise be obligated to make; provided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Sections 2.14 (or any other increased costs protection provision), 2.15 or 2.16. Each SPC shall be conclusively presumed to have made arrangements with its Granting Lender for the exercise of voting and other rights</w:t>
      </w:r>
    </w:p>
    <w:p>
      <w:pPr>
        <w:spacing w:after="0" w:line="159" w:lineRule="exact"/>
        <w:rPr>
          <w:sz w:val="20"/>
          <w:szCs w:val="20"/>
          <w:color w:val="auto"/>
        </w:rPr>
      </w:pPr>
    </w:p>
    <w:p>
      <w:pPr>
        <w:ind w:left="1020" w:hanging="810"/>
        <w:spacing w:after="0"/>
        <w:tabs>
          <w:tab w:leader="none" w:pos="1020" w:val="left"/>
        </w:tabs>
        <w:numPr>
          <w:ilvl w:val="0"/>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57" w:name="page258"/>
    <w:bookmarkEnd w:id="257"/>
    <w:p>
      <w:pPr>
        <w:spacing w:after="0" w:line="26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color w:val="auto"/>
        </w:rPr>
        <w:t>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50"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auto"/>
        </w:rPr>
        <w:t>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provided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provided that neither the consent of the SPC or of any such assignee shall be required for amendments or waivers hereunder except for those amendments or waivers for which the consent of participants is required under paragraph (f) below, and (ii) disclose on a confidential basis (in the same manner described in Section 9.13(b)) any non-public information relating to its Loans to any rating agency, commercial paper dealer or provider of a surety, guarantee or credit or liquidity enhancement to such SPC.</w:t>
      </w:r>
    </w:p>
    <w:p>
      <w:pPr>
        <w:spacing w:after="0" w:line="158" w:lineRule="exact"/>
        <w:rPr>
          <w:sz w:val="20"/>
          <w:szCs w:val="20"/>
          <w:color w:val="auto"/>
        </w:rPr>
      </w:pPr>
    </w:p>
    <w:p>
      <w:pPr>
        <w:ind w:right="40" w:firstLine="1404"/>
        <w:spacing w:after="0" w:line="253" w:lineRule="auto"/>
        <w:rPr>
          <w:sz w:val="20"/>
          <w:szCs w:val="20"/>
          <w:color w:val="auto"/>
        </w:rPr>
      </w:pPr>
      <w:r>
        <w:rPr>
          <w:rFonts w:ascii="Times New Roman" w:cs="Times New Roman" w:eastAsia="Times New Roman" w:hAnsi="Times New Roman"/>
          <w:sz w:val="19"/>
          <w:szCs w:val="19"/>
          <w:color w:val="auto"/>
        </w:rPr>
        <w:t>(f)Participations. Any Lender may, with the consent of the Borrower (such consent not to be unreasonably withheld or delayed), sell participations to one or more banks or other entities (other than natural persons (or a holding company, investments vehicle, investment vehicle or trust for, or owned and operated by or for the primary benefit of a natural Person)) (a “Participant”) in all or a portion of such Lender’s rights and obligations under this Agreement and the other Loan Documents (including all or a portion of its Commitments and the Loans and LC Disbursements owing to it); provided that (i) the consent of the Borrower shall not be required (x) if such Participant does not have the right to receive any non- public information that may be provided pursuant to this Agreement (and the Lender selling such participation agrees with the Borrower at the time of the sale of such participation that it will not deliver such non-public information to the Participant) or (y) for a participation to a Lender or an Affiliate of a Lender or so long as an Event of Default has occurred and is continuing, (ii) such Lender’s obligations under this Agreement and the other Loan Documents shall remain unchanged, (iii) such Lender shall remain solely responsible to the other parties hereto for the performance of such obligations, (iv) the Borrower, the Administrative Agent, the Issuing Banks and the other Lenders shall continue to deal solely and directly with such Lender in connection with such Lender’s rights and obligations under this Agreement and the other Loan Documents, and (v) the Borrower shall be deemed to have consented to any such participation unless it shall have objected thereto by written notice to the Administrative Agent within ten (10) Business Days after having received notice</w:t>
      </w:r>
    </w:p>
    <w:p>
      <w:pPr>
        <w:spacing w:after="0" w:line="159" w:lineRule="exact"/>
        <w:rPr>
          <w:sz w:val="20"/>
          <w:szCs w:val="20"/>
          <w:color w:val="auto"/>
        </w:rPr>
      </w:pPr>
    </w:p>
    <w:p>
      <w:pPr>
        <w:ind w:left="1020" w:hanging="810"/>
        <w:spacing w:after="0"/>
        <w:tabs>
          <w:tab w:leader="none" w:pos="1020"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58" w:name="page259"/>
    <w:bookmarkEnd w:id="258"/>
    <w:p>
      <w:pPr>
        <w:spacing w:after="0" w:line="2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thereof.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provided that such agreement or instrument may provide that such Lender will not, without the consent of the Participant, agree to any amendment, modification or waiver described in the first proviso to Section</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9.02(b) that affects such Participant. Subject to paragraph (g) of this Section, the Borrower agrees that each Participant shall be entitled to the benefits of Sections 2.14, 2.15 and 2.16 to the same extent as if it were a Lender and had acquired its interest by assignment pursuant to paragraph (b) of this Section; provided that such Participant shall not be entitled to receive any greater payment under Sections 2.14, 2.15 or 2.16, with respect to any participation, than its participating Lenders would have been entitled to receive, except to the extent such entitlement to receive a greater payment results from a Change in Law that occurs after the Participant acquired the applicable participation; provided, further, that no Participant shall be entitled to the benefits of Section 2.16 unless the Borrower is notified of the participation granted to such Participant and such Participant shall have complied with the requirements of Section 2.16 as if such Participant is a Lender. To the extent permitted by law, each Participant also shall be entitled to the benefits of Section 9.08 as though it were a Lender; provided such Participant agrees to be subject to Section 2.17(d)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5f.103- 1(c)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2" w:lineRule="exact"/>
        <w:rPr>
          <w:sz w:val="20"/>
          <w:szCs w:val="20"/>
          <w:color w:val="auto"/>
        </w:rPr>
      </w:pPr>
    </w:p>
    <w:p>
      <w:pPr>
        <w:ind w:right="60" w:firstLine="1404"/>
        <w:spacing w:after="0" w:line="255" w:lineRule="auto"/>
        <w:rPr>
          <w:sz w:val="20"/>
          <w:szCs w:val="20"/>
          <w:color w:val="auto"/>
        </w:rPr>
      </w:pPr>
      <w:r>
        <w:rPr>
          <w:rFonts w:ascii="Times New Roman" w:cs="Times New Roman" w:eastAsia="Times New Roman" w:hAnsi="Times New Roman"/>
          <w:sz w:val="19"/>
          <w:szCs w:val="19"/>
          <w:color w:val="auto"/>
        </w:rPr>
        <w:t>(g)Limitations on Rights of Participants. A Participant shall not be entitled to receive any greater payment under Section 2.14, 2.15 or 2.16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Section 2.16 unless the Borrower is notified of the participation sold to such Participant and such Participant agrees, for the benefit of the Borrower, to comply with paragraphs (e) and (f) of Section 2.16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54" w:lineRule="exact"/>
        <w:rPr>
          <w:sz w:val="20"/>
          <w:szCs w:val="20"/>
          <w:color w:val="auto"/>
        </w:rPr>
      </w:pPr>
    </w:p>
    <w:p>
      <w:pPr>
        <w:ind w:left="1020" w:hanging="810"/>
        <w:spacing w:after="0"/>
        <w:tabs>
          <w:tab w:leader="none" w:pos="1020"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9" w:name="page260"/>
    <w:bookmarkEnd w:id="259"/>
    <w:p>
      <w:pPr>
        <w:spacing w:after="0" w:line="269" w:lineRule="exact"/>
        <w:rPr>
          <w:sz w:val="20"/>
          <w:szCs w:val="20"/>
          <w:color w:val="auto"/>
        </w:rPr>
      </w:pPr>
    </w:p>
    <w:p>
      <w:pPr>
        <w:jc w:val="both"/>
        <w:ind w:right="100" w:firstLine="1404"/>
        <w:spacing w:after="0" w:line="259" w:lineRule="auto"/>
        <w:rPr>
          <w:sz w:val="20"/>
          <w:szCs w:val="20"/>
          <w:color w:val="auto"/>
        </w:rPr>
      </w:pPr>
      <w:r>
        <w:rPr>
          <w:rFonts w:ascii="Times New Roman" w:cs="Times New Roman" w:eastAsia="Times New Roman" w:hAnsi="Times New Roman"/>
          <w:sz w:val="19"/>
          <w:szCs w:val="19"/>
          <w:color w:val="auto"/>
        </w:rPr>
        <w:t>(h)Certain Pledges.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provided that no such pledge or assignment of a security interest shall release a Lender from any of its obligations hereunder or substitute any such assignee for such Lender as a party hereto.</w:t>
      </w:r>
    </w:p>
    <w:p>
      <w:pPr>
        <w:spacing w:after="0" w:line="154" w:lineRule="exact"/>
        <w:rPr>
          <w:sz w:val="20"/>
          <w:szCs w:val="20"/>
          <w:color w:val="auto"/>
        </w:rPr>
      </w:pPr>
    </w:p>
    <w:p>
      <w:pPr>
        <w:ind w:right="80" w:firstLine="1404"/>
        <w:spacing w:after="0" w:line="268" w:lineRule="auto"/>
        <w:rPr>
          <w:sz w:val="20"/>
          <w:szCs w:val="20"/>
          <w:color w:val="auto"/>
        </w:rPr>
      </w:pPr>
      <w:r>
        <w:rPr>
          <w:rFonts w:ascii="Times New Roman" w:cs="Times New Roman" w:eastAsia="Times New Roman" w:hAnsi="Times New Roman"/>
          <w:sz w:val="19"/>
          <w:szCs w:val="19"/>
          <w:color w:val="auto"/>
        </w:rPr>
        <w:t>(i)No Assignments to the Borrower or Affiliates.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144" w:lineRule="exact"/>
        <w:rPr>
          <w:sz w:val="20"/>
          <w:szCs w:val="20"/>
          <w:color w:val="auto"/>
        </w:rPr>
      </w:pPr>
    </w:p>
    <w:p>
      <w:pPr>
        <w:ind w:right="80" w:firstLine="1404"/>
        <w:spacing w:after="0" w:line="254" w:lineRule="auto"/>
        <w:rPr>
          <w:sz w:val="20"/>
          <w:szCs w:val="20"/>
          <w:color w:val="auto"/>
        </w:rPr>
      </w:pPr>
      <w:r>
        <w:rPr>
          <w:rFonts w:ascii="Times New Roman" w:cs="Times New Roman" w:eastAsia="Times New Roman" w:hAnsi="Times New Roman"/>
          <w:sz w:val="19"/>
          <w:szCs w:val="19"/>
          <w:color w:val="0000FF"/>
        </w:rPr>
        <w:t xml:space="preserve">SECTION 9.05. </w:t>
      </w:r>
      <w:r>
        <w:rPr>
          <w:rFonts w:ascii="Times New Roman" w:cs="Times New Roman" w:eastAsia="Times New Roman" w:hAnsi="Times New Roman"/>
          <w:sz w:val="19"/>
          <w:szCs w:val="19"/>
          <w:color w:val="000000"/>
        </w:rPr>
        <w:t>Survival. All covenants, agreements, representations and warranties made by the Borrower herein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2.14, 2.15, 2.16 and 9.03 and Article VIII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5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9.06. </w:t>
      </w:r>
      <w:r>
        <w:rPr>
          <w:rFonts w:ascii="Times New Roman" w:cs="Times New Roman" w:eastAsia="Times New Roman" w:hAnsi="Times New Roman"/>
          <w:sz w:val="19"/>
          <w:szCs w:val="19"/>
          <w:color w:val="000000"/>
        </w:rPr>
        <w:t>Counterparts; Integration; Effectiveness; Electronic Execution.</w:t>
      </w:r>
    </w:p>
    <w:p>
      <w:pPr>
        <w:spacing w:after="0" w:line="202" w:lineRule="exact"/>
        <w:rPr>
          <w:sz w:val="20"/>
          <w:szCs w:val="20"/>
          <w:color w:val="auto"/>
        </w:rPr>
      </w:pPr>
    </w:p>
    <w:p>
      <w:pPr>
        <w:ind w:firstLine="1404"/>
        <w:spacing w:after="0" w:line="254" w:lineRule="auto"/>
        <w:rPr>
          <w:sz w:val="20"/>
          <w:szCs w:val="20"/>
          <w:color w:val="auto"/>
        </w:rPr>
      </w:pPr>
      <w:r>
        <w:rPr>
          <w:rFonts w:ascii="Times New Roman" w:cs="Times New Roman" w:eastAsia="Times New Roman" w:hAnsi="Times New Roman"/>
          <w:sz w:val="19"/>
          <w:szCs w:val="19"/>
          <w:color w:val="auto"/>
        </w:rPr>
        <w:t>(a)Counterparts; Integration; Effectiveness.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159" w:lineRule="exact"/>
        <w:rPr>
          <w:sz w:val="20"/>
          <w:szCs w:val="20"/>
          <w:color w:val="auto"/>
        </w:rPr>
      </w:pPr>
    </w:p>
    <w:p>
      <w:pPr>
        <w:ind w:left="1020" w:hanging="810"/>
        <w:spacing w:after="0"/>
        <w:tabs>
          <w:tab w:leader="none" w:pos="1020"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60" w:name="page261"/>
    <w:bookmarkEnd w:id="260"/>
    <w:p>
      <w:pPr>
        <w:spacing w:after="0" w:line="269" w:lineRule="exact"/>
        <w:rPr>
          <w:sz w:val="20"/>
          <w:szCs w:val="20"/>
          <w:color w:val="auto"/>
        </w:rPr>
      </w:pPr>
    </w:p>
    <w:p>
      <w:pPr>
        <w:ind w:right="80" w:firstLine="1404"/>
        <w:spacing w:after="0" w:line="257" w:lineRule="auto"/>
        <w:rPr>
          <w:sz w:val="20"/>
          <w:szCs w:val="20"/>
          <w:color w:val="auto"/>
        </w:rPr>
      </w:pPr>
      <w:r>
        <w:rPr>
          <w:rFonts w:ascii="Times New Roman" w:cs="Times New Roman" w:eastAsia="Times New Roman" w:hAnsi="Times New Roman"/>
          <w:sz w:val="19"/>
          <w:szCs w:val="19"/>
          <w:color w:val="auto"/>
        </w:rPr>
        <w:t>(b)Electronic Execution of Assignments.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7" w:lineRule="exact"/>
        <w:rPr>
          <w:sz w:val="20"/>
          <w:szCs w:val="20"/>
          <w:color w:val="auto"/>
        </w:rPr>
      </w:pPr>
    </w:p>
    <w:p>
      <w:pPr>
        <w:ind w:right="20" w:firstLine="1404"/>
        <w:spacing w:after="0" w:line="262" w:lineRule="auto"/>
        <w:rPr>
          <w:sz w:val="20"/>
          <w:szCs w:val="20"/>
          <w:color w:val="auto"/>
        </w:rPr>
      </w:pPr>
      <w:r>
        <w:rPr>
          <w:rFonts w:ascii="Times New Roman" w:cs="Times New Roman" w:eastAsia="Times New Roman" w:hAnsi="Times New Roman"/>
          <w:sz w:val="19"/>
          <w:szCs w:val="19"/>
          <w:color w:val="0000FF"/>
        </w:rPr>
        <w:t xml:space="preserve">SECTION 9.07. </w:t>
      </w:r>
      <w:r>
        <w:rPr>
          <w:rFonts w:ascii="Times New Roman" w:cs="Times New Roman" w:eastAsia="Times New Roman" w:hAnsi="Times New Roman"/>
          <w:sz w:val="19"/>
          <w:szCs w:val="19"/>
          <w:color w:val="000000"/>
        </w:rPr>
        <w:t>Severability. Any provision of this Agreement held to be invalid, illegal or unenforceable in 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50" w:lineRule="exact"/>
        <w:rPr>
          <w:sz w:val="20"/>
          <w:szCs w:val="20"/>
          <w:color w:val="auto"/>
        </w:rPr>
      </w:pPr>
    </w:p>
    <w:p>
      <w:pPr>
        <w:ind w:firstLine="1404"/>
        <w:spacing w:after="0" w:line="253" w:lineRule="auto"/>
        <w:rPr>
          <w:sz w:val="20"/>
          <w:szCs w:val="20"/>
          <w:color w:val="auto"/>
        </w:rPr>
      </w:pPr>
      <w:r>
        <w:rPr>
          <w:rFonts w:ascii="Times New Roman" w:cs="Times New Roman" w:eastAsia="Times New Roman" w:hAnsi="Times New Roman"/>
          <w:sz w:val="19"/>
          <w:szCs w:val="19"/>
          <w:color w:val="0000FF"/>
        </w:rPr>
        <w:t xml:space="preserve">SECTION 9.08. </w:t>
      </w:r>
      <w:r>
        <w:rPr>
          <w:rFonts w:ascii="Times New Roman" w:cs="Times New Roman" w:eastAsia="Times New Roman" w:hAnsi="Times New Roman"/>
          <w:sz w:val="19"/>
          <w:szCs w:val="19"/>
          <w:color w:val="000000"/>
        </w:rPr>
        <w:t>Right of Setoff. If an Event of Default shall have occurred and be continuing, each Lender and each</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provided that in the event that any Defaulting Lender shall exercise any such right of setoff, (x) all amounts so set off shall be paid over immediately to Administrative Agent for further application in accordance with the provisions of Sections 2.17(d) and, pending such payment, shall be segregated by such Defaulting Lender from its other funds and deemed held in trust for the benefit of Administrative Agent, the Issuing Banks,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provided that the failure to give such notice shall not affect the validity of such setoff and application.</w:t>
      </w:r>
    </w:p>
    <w:p>
      <w:pPr>
        <w:spacing w:after="0" w:line="1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9.09. </w:t>
      </w:r>
      <w:r>
        <w:rPr>
          <w:rFonts w:ascii="Times New Roman" w:cs="Times New Roman" w:eastAsia="Times New Roman" w:hAnsi="Times New Roman"/>
          <w:sz w:val="19"/>
          <w:szCs w:val="19"/>
          <w:color w:val="000000"/>
        </w:rPr>
        <w:t>Governing Law; Jurisdiction; Etc.</w:t>
      </w:r>
    </w:p>
    <w:p>
      <w:pPr>
        <w:spacing w:after="0" w:line="20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(a)Governing Law. This Agreement shall be construed in accordance with and governed by the law of the State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w:t>
      </w:r>
    </w:p>
    <w:p>
      <w:pPr>
        <w:spacing w:after="0" w:line="180" w:lineRule="exact"/>
        <w:rPr>
          <w:sz w:val="20"/>
          <w:szCs w:val="20"/>
          <w:color w:val="auto"/>
        </w:rPr>
      </w:pPr>
    </w:p>
    <w:p>
      <w:pPr>
        <w:ind w:right="100" w:firstLine="1404"/>
        <w:spacing w:after="0" w:line="259" w:lineRule="auto"/>
        <w:rPr>
          <w:sz w:val="20"/>
          <w:szCs w:val="20"/>
          <w:color w:val="auto"/>
        </w:rPr>
      </w:pPr>
      <w:r>
        <w:rPr>
          <w:rFonts w:ascii="Times New Roman" w:cs="Times New Roman" w:eastAsia="Times New Roman" w:hAnsi="Times New Roman"/>
          <w:sz w:val="19"/>
          <w:szCs w:val="19"/>
          <w:color w:val="auto"/>
        </w:rPr>
        <w:t>(b)Submission to Jurisdiction. The Borrower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w:t>
      </w:r>
    </w:p>
    <w:p>
      <w:pPr>
        <w:spacing w:after="0" w:line="152" w:lineRule="exact"/>
        <w:rPr>
          <w:sz w:val="20"/>
          <w:szCs w:val="20"/>
          <w:color w:val="auto"/>
        </w:rPr>
      </w:pPr>
    </w:p>
    <w:p>
      <w:pPr>
        <w:ind w:left="1020" w:hanging="810"/>
        <w:spacing w:after="0"/>
        <w:tabs>
          <w:tab w:leader="none" w:pos="1020"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1" w:name="page262"/>
    <w:bookmarkEnd w:id="261"/>
    <w:p>
      <w:pPr>
        <w:spacing w:after="0" w:line="26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the Borrower or its properties in the courts of any jurisdiction.</w:t>
      </w:r>
    </w:p>
    <w:p>
      <w:pPr>
        <w:spacing w:after="0" w:line="154" w:lineRule="exact"/>
        <w:rPr>
          <w:sz w:val="20"/>
          <w:szCs w:val="20"/>
          <w:color w:val="auto"/>
        </w:rPr>
      </w:pPr>
    </w:p>
    <w:p>
      <w:pPr>
        <w:ind w:firstLine="1404"/>
        <w:spacing w:after="0" w:line="259" w:lineRule="auto"/>
        <w:rPr>
          <w:sz w:val="20"/>
          <w:szCs w:val="20"/>
          <w:color w:val="auto"/>
        </w:rPr>
      </w:pPr>
      <w:r>
        <w:rPr>
          <w:rFonts w:ascii="Times New Roman" w:cs="Times New Roman" w:eastAsia="Times New Roman" w:hAnsi="Times New Roman"/>
          <w:sz w:val="19"/>
          <w:szCs w:val="19"/>
          <w:color w:val="auto"/>
        </w:rPr>
        <w:t>(c)Waiver of Venue.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54" w:lineRule="exact"/>
        <w:rPr>
          <w:sz w:val="20"/>
          <w:szCs w:val="20"/>
          <w:color w:val="auto"/>
        </w:rPr>
      </w:pPr>
    </w:p>
    <w:p>
      <w:pPr>
        <w:ind w:right="200" w:firstLine="1404"/>
        <w:spacing w:after="0" w:line="259" w:lineRule="auto"/>
        <w:rPr>
          <w:sz w:val="20"/>
          <w:szCs w:val="20"/>
          <w:color w:val="auto"/>
        </w:rPr>
      </w:pPr>
      <w:r>
        <w:rPr>
          <w:rFonts w:ascii="Times New Roman" w:cs="Times New Roman" w:eastAsia="Times New Roman" w:hAnsi="Times New Roman"/>
          <w:sz w:val="19"/>
          <w:szCs w:val="19"/>
          <w:color w:val="auto"/>
        </w:rPr>
        <w:t>(d)Service of Process. Each party to this Agreement (i) irrevocably consents to service of process in the manner provided for notices in Section 9.01 and (ii) agrees that service as provided in the manner provided for notices in Section 9.01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54" w:lineRule="exact"/>
        <w:rPr>
          <w:sz w:val="20"/>
          <w:szCs w:val="20"/>
          <w:color w:val="auto"/>
        </w:rPr>
      </w:pPr>
    </w:p>
    <w:p>
      <w:pPr>
        <w:ind w:right="140" w:firstLine="1404"/>
        <w:spacing w:after="0" w:line="255" w:lineRule="auto"/>
        <w:rPr>
          <w:sz w:val="20"/>
          <w:szCs w:val="20"/>
          <w:color w:val="auto"/>
        </w:rPr>
      </w:pPr>
      <w:r>
        <w:rPr>
          <w:rFonts w:ascii="Times New Roman" w:cs="Times New Roman" w:eastAsia="Times New Roman" w:hAnsi="Times New Roman"/>
          <w:sz w:val="19"/>
          <w:szCs w:val="19"/>
          <w:color w:val="0000FF"/>
        </w:rPr>
        <w:t xml:space="preserve">SECTION 9.10. </w:t>
      </w:r>
      <w:r>
        <w:rPr>
          <w:rFonts w:ascii="Times New Roman" w:cs="Times New Roman" w:eastAsia="Times New Roman" w:hAnsi="Times New Roman"/>
          <w:sz w:val="19"/>
          <w:szCs w:val="19"/>
          <w:color w:val="000000"/>
        </w:rPr>
        <w:t>WAIVER OF JURY TRIAL. EACH PARTY HERETO HEREBY WAIVES, TO THE FULLEST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55" w:lineRule="exact"/>
        <w:rPr>
          <w:sz w:val="20"/>
          <w:szCs w:val="20"/>
          <w:color w:val="auto"/>
        </w:rPr>
      </w:pPr>
    </w:p>
    <w:p>
      <w:pPr>
        <w:ind w:right="60" w:firstLine="1404"/>
        <w:spacing w:after="0" w:line="255" w:lineRule="auto"/>
        <w:rPr>
          <w:sz w:val="20"/>
          <w:szCs w:val="20"/>
          <w:color w:val="auto"/>
        </w:rPr>
      </w:pPr>
      <w:r>
        <w:rPr>
          <w:rFonts w:ascii="Times New Roman" w:cs="Times New Roman" w:eastAsia="Times New Roman" w:hAnsi="Times New Roman"/>
          <w:sz w:val="19"/>
          <w:szCs w:val="19"/>
          <w:color w:val="0000FF"/>
        </w:rPr>
        <w:t xml:space="preserve">SECTION 9.11. </w:t>
      </w:r>
      <w:r>
        <w:rPr>
          <w:rFonts w:ascii="Times New Roman" w:cs="Times New Roman" w:eastAsia="Times New Roman" w:hAnsi="Times New Roman"/>
          <w:sz w:val="19"/>
          <w:szCs w:val="19"/>
          <w:color w:val="000000"/>
        </w:rPr>
        <w:t>Judgment Currency. This is an international loan transaction in which the specification of Dollars 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any Foreign Currency, as the case may be (the “Specified Currency”), and payment in New York City or the country of the Specified Currency, as the case may be (the “Specified Place”),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“Second Currency”), the rate of exchange that shall be applied shall be the rate at</w:t>
      </w:r>
    </w:p>
    <w:p>
      <w:pPr>
        <w:spacing w:after="0" w:line="154" w:lineRule="exact"/>
        <w:rPr>
          <w:sz w:val="20"/>
          <w:szCs w:val="20"/>
          <w:color w:val="auto"/>
        </w:rPr>
      </w:pPr>
    </w:p>
    <w:p>
      <w:pPr>
        <w:ind w:left="1020" w:hanging="810"/>
        <w:spacing w:after="0"/>
        <w:tabs>
          <w:tab w:leader="none" w:pos="1020" w:val="left"/>
        </w:tabs>
        <w:numPr>
          <w:ilvl w:val="0"/>
          <w:numId w:val="21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62" w:name="page263"/>
    <w:bookmarkEnd w:id="262"/>
    <w:p>
      <w:pPr>
        <w:spacing w:after="0" w:line="2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“Entitled Person”)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60" w:lineRule="exact"/>
        <w:rPr>
          <w:sz w:val="20"/>
          <w:szCs w:val="20"/>
          <w:color w:val="auto"/>
        </w:rPr>
      </w:pPr>
    </w:p>
    <w:p>
      <w:pPr>
        <w:ind w:firstLine="1404"/>
        <w:spacing w:after="0" w:line="268" w:lineRule="auto"/>
        <w:rPr>
          <w:sz w:val="20"/>
          <w:szCs w:val="20"/>
          <w:color w:val="auto"/>
        </w:rPr>
      </w:pPr>
      <w:r>
        <w:rPr>
          <w:rFonts w:ascii="Times New Roman" w:cs="Times New Roman" w:eastAsia="Times New Roman" w:hAnsi="Times New Roman"/>
          <w:sz w:val="19"/>
          <w:szCs w:val="19"/>
          <w:color w:val="0000FF"/>
        </w:rPr>
        <w:t xml:space="preserve">SECTION 9.12. </w:t>
      </w:r>
      <w:r>
        <w:rPr>
          <w:rFonts w:ascii="Times New Roman" w:cs="Times New Roman" w:eastAsia="Times New Roman" w:hAnsi="Times New Roman"/>
          <w:sz w:val="19"/>
          <w:szCs w:val="19"/>
          <w:color w:val="000000"/>
        </w:rPr>
        <w:t>Headings. Article and Section headings and the Table of Contents used herein are for convenience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reference only, are not part of this Agreement and shall not affect the construction of, or be taken into consideration in interpreting, this Agreement.</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9.13. </w:t>
      </w:r>
      <w:r>
        <w:rPr>
          <w:rFonts w:ascii="Times New Roman" w:cs="Times New Roman" w:eastAsia="Times New Roman" w:hAnsi="Times New Roman"/>
          <w:sz w:val="19"/>
          <w:szCs w:val="19"/>
          <w:color w:val="000000"/>
        </w:rPr>
        <w:t>Treatment of Certain Information; No Fiduciary Duty; Confidentiality.</w:t>
      </w:r>
    </w:p>
    <w:p>
      <w:pPr>
        <w:spacing w:after="0" w:line="202" w:lineRule="exact"/>
        <w:rPr>
          <w:sz w:val="20"/>
          <w:szCs w:val="20"/>
          <w:color w:val="auto"/>
        </w:rPr>
      </w:pPr>
    </w:p>
    <w:p>
      <w:pPr>
        <w:ind w:right="20" w:firstLine="1404"/>
        <w:spacing w:after="0" w:line="252" w:lineRule="auto"/>
        <w:rPr>
          <w:sz w:val="20"/>
          <w:szCs w:val="20"/>
          <w:color w:val="auto"/>
        </w:rPr>
      </w:pPr>
      <w:r>
        <w:rPr>
          <w:rFonts w:ascii="Times New Roman" w:cs="Times New Roman" w:eastAsia="Times New Roman" w:hAnsi="Times New Roman"/>
          <w:sz w:val="19"/>
          <w:szCs w:val="19"/>
          <w:color w:val="auto"/>
        </w:rPr>
        <w:t>(a)Treatment of Certain Information; No Fiduciary Duty; No Conflicts.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paragraph (b)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w:t>
      </w:r>
    </w:p>
    <w:p>
      <w:pPr>
        <w:spacing w:after="0" w:line="394" w:lineRule="exact"/>
        <w:rPr>
          <w:sz w:val="20"/>
          <w:szCs w:val="20"/>
          <w:color w:val="auto"/>
        </w:rPr>
      </w:pPr>
    </w:p>
    <w:p>
      <w:pPr>
        <w:ind w:left="1020" w:hanging="810"/>
        <w:spacing w:after="0"/>
        <w:tabs>
          <w:tab w:leader="none" w:pos="1020"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3" w:name="page264"/>
    <w:bookmarkEnd w:id="263"/>
    <w:p>
      <w:pPr>
        <w:spacing w:after="0" w:line="26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160" w:lineRule="exact"/>
        <w:rPr>
          <w:sz w:val="20"/>
          <w:szCs w:val="20"/>
          <w:color w:val="auto"/>
        </w:rPr>
      </w:pPr>
    </w:p>
    <w:p>
      <w:pPr>
        <w:ind w:right="100" w:firstLine="1404"/>
        <w:spacing w:after="0" w:line="252" w:lineRule="auto"/>
        <w:rPr>
          <w:sz w:val="20"/>
          <w:szCs w:val="20"/>
          <w:color w:val="auto"/>
        </w:rPr>
      </w:pPr>
      <w:r>
        <w:rPr>
          <w:rFonts w:ascii="Times New Roman" w:cs="Times New Roman" w:eastAsia="Times New Roman" w:hAnsi="Times New Roman"/>
          <w:sz w:val="19"/>
          <w:szCs w:val="19"/>
          <w:color w:val="auto"/>
        </w:rPr>
        <w:t>(b)Confidentiality. Each of the Administrative Agent, the Lenders, the Swingline Lenders and the Issuing Banks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 -regulatory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w:t>
      </w:r>
    </w:p>
    <w:p>
      <w:pPr>
        <w:spacing w:after="0" w:line="7" w:lineRule="exact"/>
        <w:rPr>
          <w:sz w:val="20"/>
          <w:szCs w:val="20"/>
          <w:color w:val="auto"/>
        </w:rPr>
      </w:pPr>
    </w:p>
    <w:p>
      <w:pPr>
        <w:ind w:firstLine="6"/>
        <w:spacing w:after="0" w:line="251" w:lineRule="auto"/>
        <w:tabs>
          <w:tab w:leader="none" w:pos="379"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the consent of the Borrower, (viii) 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 In addition, subject to an agreement containing provisions substantially the same as those of this Section 9.13(b), the Administrative Agent and each Lender may disclose the existence of this Agreement and information about this Agreement to market data collectors, similar service providers to the lending industry and service providers to the Administrative Agent or any Lender in connection with the administration or servicing of this Agreement, the other Loan Documents and the Commitments.</w:t>
      </w:r>
    </w:p>
    <w:p>
      <w:pPr>
        <w:spacing w:after="0" w:line="166" w:lineRule="exact"/>
        <w:rPr>
          <w:sz w:val="20"/>
          <w:szCs w:val="20"/>
          <w:color w:val="auto"/>
        </w:rPr>
      </w:pPr>
    </w:p>
    <w:p>
      <w:pPr>
        <w:ind w:right="80" w:firstLine="1404"/>
        <w:spacing w:after="0" w:line="268" w:lineRule="auto"/>
        <w:rPr>
          <w:sz w:val="20"/>
          <w:szCs w:val="20"/>
          <w:color w:val="auto"/>
        </w:rPr>
      </w:pPr>
      <w:r>
        <w:rPr>
          <w:rFonts w:ascii="Times New Roman" w:cs="Times New Roman" w:eastAsia="Times New Roman" w:hAnsi="Times New Roman"/>
          <w:sz w:val="19"/>
          <w:szCs w:val="19"/>
          <w:color w:val="auto"/>
        </w:rPr>
        <w:t>For purposes of this Section, “Information” means all information received from the Borrower or any of its Subsidiaries relating to the Borrower or any of its Subsidiaries or any of their respective businesses, other than any such information that is available to the</w:t>
      </w:r>
    </w:p>
    <w:p>
      <w:pPr>
        <w:spacing w:after="0" w:line="142" w:lineRule="exact"/>
        <w:rPr>
          <w:sz w:val="20"/>
          <w:szCs w:val="20"/>
          <w:color w:val="auto"/>
        </w:rPr>
      </w:pPr>
    </w:p>
    <w:p>
      <w:pPr>
        <w:ind w:left="1020" w:hanging="810"/>
        <w:spacing w:after="0"/>
        <w:tabs>
          <w:tab w:leader="none" w:pos="1020"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64" w:name="page265"/>
    <w:bookmarkEnd w:id="264"/>
    <w:p>
      <w:pPr>
        <w:spacing w:after="0" w:line="26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Administrative Agent any Lender or any Issuing Bank on a nonconfidential basis prior to disclosure by the Borrower or any of its Subsidiaries; provided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54" w:lineRule="exact"/>
        <w:rPr>
          <w:sz w:val="20"/>
          <w:szCs w:val="20"/>
          <w:color w:val="auto"/>
        </w:rPr>
      </w:pPr>
    </w:p>
    <w:p>
      <w:pPr>
        <w:ind w:right="80" w:firstLine="1404"/>
        <w:spacing w:after="0" w:line="233" w:lineRule="exact"/>
        <w:rPr>
          <w:sz w:val="20"/>
          <w:szCs w:val="20"/>
          <w:color w:val="auto"/>
        </w:rPr>
      </w:pPr>
      <w:r>
        <w:rPr>
          <w:rFonts w:ascii="Times New Roman" w:cs="Times New Roman" w:eastAsia="Times New Roman" w:hAnsi="Times New Roman"/>
          <w:sz w:val="19"/>
          <w:szCs w:val="19"/>
          <w:color w:val="0000FF"/>
        </w:rPr>
        <w:t xml:space="preserve">SECTION 9.14. </w:t>
      </w:r>
      <w:r>
        <w:rPr>
          <w:rFonts w:ascii="Times New Roman" w:cs="Times New Roman" w:eastAsia="Times New Roman" w:hAnsi="Times New Roman"/>
          <w:sz w:val="19"/>
          <w:szCs w:val="19"/>
          <w:color w:val="000000"/>
        </w:rPr>
        <w:t>USA PATRIOT Act. Each Lender hereby notifies the Borrower that pursuant to the requirements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 USA PATRIOT Act (Title III of Pub. L. 107</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56 (signed into law October 26, 2001)), it is required to obtain, verify and record information that identifies the Borrower, each other Obligor and each designee of a Letter of Credit, which information includes the name and address of the Borrower, each other Obligor and each designee of a Letter of Credit and other information that will allow such Lender to identify Borrower, each other Obligor and each designee of a Letter of Credit in accordance with said Act.</w:t>
      </w:r>
    </w:p>
    <w:p>
      <w:pPr>
        <w:spacing w:after="0" w:line="172" w:lineRule="exact"/>
        <w:rPr>
          <w:sz w:val="20"/>
          <w:szCs w:val="20"/>
          <w:color w:val="auto"/>
        </w:rPr>
      </w:pPr>
    </w:p>
    <w:p>
      <w:pPr>
        <w:ind w:firstLine="1404"/>
        <w:spacing w:after="0" w:line="257" w:lineRule="auto"/>
        <w:rPr>
          <w:sz w:val="20"/>
          <w:szCs w:val="20"/>
          <w:color w:val="auto"/>
        </w:rPr>
      </w:pPr>
      <w:r>
        <w:rPr>
          <w:rFonts w:ascii="Times New Roman" w:cs="Times New Roman" w:eastAsia="Times New Roman" w:hAnsi="Times New Roman"/>
          <w:sz w:val="19"/>
          <w:szCs w:val="19"/>
          <w:color w:val="0000FF"/>
        </w:rPr>
        <w:t xml:space="preserve">SECTION 9.15. </w:t>
      </w:r>
      <w:r>
        <w:rPr>
          <w:rFonts w:ascii="Times New Roman" w:cs="Times New Roman" w:eastAsia="Times New Roman" w:hAnsi="Times New Roman"/>
          <w:sz w:val="19"/>
          <w:szCs w:val="19"/>
          <w:color w:val="000000"/>
        </w:rPr>
        <w:t>Acknowledgement and Consent to Bail-In of Affected Financial Institutions. Solely to the extent 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Lender that is an Affected Financial Institution is a party to this Agreement and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7" w:lineRule="exact"/>
        <w:rPr>
          <w:sz w:val="20"/>
          <w:szCs w:val="20"/>
          <w:color w:val="auto"/>
        </w:rPr>
      </w:pPr>
    </w:p>
    <w:p>
      <w:pPr>
        <w:ind w:right="420" w:firstLine="1404"/>
        <w:spacing w:after="0" w:line="286" w:lineRule="auto"/>
        <w:rPr>
          <w:sz w:val="20"/>
          <w:szCs w:val="20"/>
          <w:color w:val="auto"/>
        </w:rPr>
      </w:pPr>
      <w:r>
        <w:rPr>
          <w:rFonts w:ascii="Times New Roman" w:cs="Times New Roman" w:eastAsia="Times New Roman" w:hAnsi="Times New Roman"/>
          <w:sz w:val="19"/>
          <w:szCs w:val="19"/>
          <w:color w:val="auto"/>
        </w:rPr>
        <w:t>(a)the application of any Write-Down and Conversion Powers by the applicable Resolution Authority to any such liabilities arising hereunder which may be payable to it by any Lender that is an Affected Financial Institution; and</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(b)the effects of any Bail-In Action on any such liability, including, if applicable:</w:t>
      </w:r>
    </w:p>
    <w:p>
      <w:pPr>
        <w:spacing w:after="0" w:line="20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9"/>
          <w:szCs w:val="19"/>
          <w:color w:val="auto"/>
        </w:rPr>
        <w:t>(i)a reduction in full or in part or cancellation of any such liability;</w:t>
      </w:r>
    </w:p>
    <w:p>
      <w:pPr>
        <w:spacing w:after="0" w:line="202" w:lineRule="exact"/>
        <w:rPr>
          <w:sz w:val="20"/>
          <w:szCs w:val="20"/>
          <w:color w:val="auto"/>
        </w:rPr>
      </w:pPr>
    </w:p>
    <w:p>
      <w:pPr>
        <w:ind w:left="700" w:right="20" w:firstLine="1500"/>
        <w:spacing w:after="0" w:line="262" w:lineRule="auto"/>
        <w:rPr>
          <w:sz w:val="20"/>
          <w:szCs w:val="20"/>
          <w:color w:val="auto"/>
        </w:rPr>
      </w:pPr>
      <w:r>
        <w:rPr>
          <w:rFonts w:ascii="Times New Roman" w:cs="Times New Roman" w:eastAsia="Times New Roman" w:hAnsi="Times New Roman"/>
          <w:sz w:val="19"/>
          <w:szCs w:val="19"/>
          <w:color w:val="auto"/>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0" w:lineRule="exact"/>
        <w:rPr>
          <w:sz w:val="20"/>
          <w:szCs w:val="20"/>
          <w:color w:val="auto"/>
        </w:rPr>
      </w:pPr>
    </w:p>
    <w:p>
      <w:pPr>
        <w:ind w:left="700" w:right="620" w:firstLine="1500"/>
        <w:spacing w:after="0" w:line="286" w:lineRule="auto"/>
        <w:rPr>
          <w:sz w:val="20"/>
          <w:szCs w:val="20"/>
          <w:color w:val="auto"/>
        </w:rPr>
      </w:pPr>
      <w:r>
        <w:rPr>
          <w:rFonts w:ascii="Times New Roman" w:cs="Times New Roman" w:eastAsia="Times New Roman" w:hAnsi="Times New Roman"/>
          <w:sz w:val="19"/>
          <w:szCs w:val="19"/>
          <w:color w:val="auto"/>
        </w:rPr>
        <w:t>(iii)the variation of the terms of such liability in connection with the exercise of the Write-Down and Conversion Powers of the applicable Resolution Authority.</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0000FF"/>
        </w:rPr>
        <w:t xml:space="preserve">SECTION 9.16. </w:t>
      </w:r>
      <w:r>
        <w:rPr>
          <w:rFonts w:ascii="Times New Roman" w:cs="Times New Roman" w:eastAsia="Times New Roman" w:hAnsi="Times New Roman"/>
          <w:sz w:val="19"/>
          <w:szCs w:val="19"/>
          <w:color w:val="000000"/>
        </w:rPr>
        <w:t>Certain ERISA Matters.</w:t>
      </w:r>
    </w:p>
    <w:p>
      <w:pPr>
        <w:spacing w:after="0" w:line="200" w:lineRule="exact"/>
        <w:rPr>
          <w:sz w:val="20"/>
          <w:szCs w:val="20"/>
          <w:color w:val="auto"/>
        </w:rPr>
      </w:pPr>
    </w:p>
    <w:p>
      <w:pPr>
        <w:ind w:left="1020" w:hanging="810"/>
        <w:spacing w:after="0"/>
        <w:tabs>
          <w:tab w:leader="none" w:pos="1020"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5" w:name="page266"/>
    <w:bookmarkEnd w:id="265"/>
    <w:p>
      <w:pPr>
        <w:spacing w:after="0" w:line="269" w:lineRule="exact"/>
        <w:rPr>
          <w:sz w:val="20"/>
          <w:szCs w:val="20"/>
          <w:color w:val="auto"/>
        </w:rPr>
      </w:pPr>
    </w:p>
    <w:p>
      <w:pPr>
        <w:ind w:right="140" w:firstLine="1404"/>
        <w:spacing w:after="0" w:line="262" w:lineRule="auto"/>
        <w:rPr>
          <w:sz w:val="20"/>
          <w:szCs w:val="20"/>
          <w:color w:val="auto"/>
        </w:rPr>
      </w:pPr>
      <w:r>
        <w:rPr>
          <w:rFonts w:ascii="Times New Roman" w:cs="Times New Roman" w:eastAsia="Times New Roman" w:hAnsi="Times New Roman"/>
          <w:sz w:val="19"/>
          <w:szCs w:val="19"/>
          <w:color w:val="auto"/>
        </w:rPr>
        <w:t>(a)Each Lender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at least one of the following is and will be true:</w:t>
      </w:r>
    </w:p>
    <w:p>
      <w:pPr>
        <w:spacing w:after="0" w:line="150" w:lineRule="exact"/>
        <w:rPr>
          <w:sz w:val="20"/>
          <w:szCs w:val="20"/>
          <w:color w:val="auto"/>
        </w:rPr>
      </w:pPr>
    </w:p>
    <w:p>
      <w:pPr>
        <w:ind w:left="700" w:right="20" w:firstLine="1500"/>
        <w:spacing w:after="0" w:line="268" w:lineRule="auto"/>
        <w:rPr>
          <w:sz w:val="20"/>
          <w:szCs w:val="20"/>
          <w:color w:val="auto"/>
        </w:rPr>
      </w:pPr>
      <w:r>
        <w:rPr>
          <w:rFonts w:ascii="Times New Roman" w:cs="Times New Roman" w:eastAsia="Times New Roman" w:hAnsi="Times New Roman"/>
          <w:sz w:val="19"/>
          <w:szCs w:val="19"/>
          <w:color w:val="auto"/>
        </w:rPr>
        <w:t>(i)such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44" w:lineRule="exact"/>
        <w:rPr>
          <w:sz w:val="20"/>
          <w:szCs w:val="20"/>
          <w:color w:val="auto"/>
        </w:rPr>
      </w:pPr>
    </w:p>
    <w:p>
      <w:pPr>
        <w:ind w:left="700" w:right="20" w:firstLine="1500"/>
        <w:spacing w:after="0" w:line="256" w:lineRule="auto"/>
        <w:rPr>
          <w:sz w:val="20"/>
          <w:szCs w:val="20"/>
          <w:color w:val="auto"/>
        </w:rPr>
      </w:pPr>
      <w:r>
        <w:rPr>
          <w:rFonts w:ascii="Times New Roman" w:cs="Times New Roman" w:eastAsia="Times New Roman" w:hAnsi="Times New Roman"/>
          <w:sz w:val="19"/>
          <w:szCs w:val="19"/>
          <w:color w:val="auto"/>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91- 38 (a class exemption for certain transactions involving bank collective investment funds) or PTE 96- 23 (a class exemption for certain transactions determined by in-house asset managers), is applicable and the conditions are satisfied with respect to such Lender’s entrance into, participation in, administration of and performance of the Loans, the Letters of Credit, the Commitments and this Agreement,</w:t>
      </w:r>
    </w:p>
    <w:p>
      <w:pPr>
        <w:spacing w:after="0" w:line="157" w:lineRule="exact"/>
        <w:rPr>
          <w:sz w:val="20"/>
          <w:szCs w:val="20"/>
          <w:color w:val="auto"/>
        </w:rPr>
      </w:pPr>
    </w:p>
    <w:p>
      <w:pPr>
        <w:ind w:left="700" w:right="20" w:firstLine="1500"/>
        <w:spacing w:after="0" w:line="255" w:lineRule="auto"/>
        <w:rPr>
          <w:sz w:val="20"/>
          <w:szCs w:val="20"/>
          <w:color w:val="auto"/>
        </w:rPr>
      </w:pPr>
      <w:r>
        <w:rPr>
          <w:rFonts w:ascii="Times New Roman" w:cs="Times New Roman" w:eastAsia="Times New Roman" w:hAnsi="Times New Roman"/>
          <w:sz w:val="19"/>
          <w:szCs w:val="19"/>
          <w:color w:val="auto"/>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 -sections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60" w:lineRule="exact"/>
        <w:rPr>
          <w:sz w:val="20"/>
          <w:szCs w:val="20"/>
          <w:color w:val="auto"/>
        </w:rPr>
      </w:pPr>
    </w:p>
    <w:p>
      <w:pPr>
        <w:ind w:left="700" w:right="1180" w:firstLine="1500"/>
        <w:spacing w:after="0" w:line="286" w:lineRule="auto"/>
        <w:rPr>
          <w:sz w:val="20"/>
          <w:szCs w:val="20"/>
          <w:color w:val="auto"/>
        </w:rPr>
      </w:pPr>
      <w:r>
        <w:rPr>
          <w:rFonts w:ascii="Times New Roman" w:cs="Times New Roman" w:eastAsia="Times New Roman" w:hAnsi="Times New Roman"/>
          <w:sz w:val="19"/>
          <w:szCs w:val="19"/>
          <w:color w:val="auto"/>
        </w:rPr>
        <w:t>(iv)such other representation, warranty and covenant as may be agreed in writing between the Administrative Agent, in its sole discretion, and such Lender.</w:t>
      </w:r>
    </w:p>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(b)In addition, unless either (1) clause (i) in the immediately preceding paragraph (a) is true with respect to a Lender or</w:t>
      </w:r>
    </w:p>
    <w:p>
      <w:pPr>
        <w:spacing w:after="0" w:line="32" w:lineRule="exact"/>
        <w:rPr>
          <w:sz w:val="20"/>
          <w:szCs w:val="20"/>
          <w:color w:val="auto"/>
        </w:rPr>
      </w:pPr>
    </w:p>
    <w:p>
      <w:pPr>
        <w:ind w:right="140" w:firstLine="6"/>
        <w:spacing w:after="0" w:line="252" w:lineRule="auto"/>
        <w:tabs>
          <w:tab w:leader="none" w:pos="272"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Lender has provided another representation, warranty and covenant in accordance with clause (iv) in the immediately preceding paragraph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none of the Administrative Agent, the Joint Lead Arrangers, or any of their respective Affiliates is a fiduciary with respect to the assets of such</w:t>
      </w:r>
    </w:p>
    <w:p>
      <w:pPr>
        <w:spacing w:after="0" w:line="160" w:lineRule="exact"/>
        <w:rPr>
          <w:sz w:val="20"/>
          <w:szCs w:val="20"/>
          <w:color w:val="auto"/>
        </w:rPr>
      </w:pPr>
    </w:p>
    <w:p>
      <w:pPr>
        <w:ind w:left="1020" w:hanging="810"/>
        <w:spacing w:after="0"/>
        <w:tabs>
          <w:tab w:leader="none" w:pos="1020"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66" w:name="page267"/>
    <w:bookmarkEnd w:id="266"/>
    <w:p>
      <w:pPr>
        <w:spacing w:after="0" w:line="2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144"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0000FF"/>
        </w:rPr>
        <w:t>SECTION 9.17.</w:t>
      </w:r>
      <w:r>
        <w:rPr>
          <w:rFonts w:ascii="Times New Roman" w:cs="Times New Roman" w:eastAsia="Times New Roman" w:hAnsi="Times New Roman"/>
          <w:sz w:val="19"/>
          <w:szCs w:val="19"/>
          <w:color w:val="000000"/>
        </w:rPr>
        <w:t>Acknowledgement Regarding Any Supported QFCs. To the extent that the Loan Documents provide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support, through a guarantee or otherwise, for Hedging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0" w:lineRule="exact"/>
        <w:rPr>
          <w:sz w:val="20"/>
          <w:szCs w:val="20"/>
          <w:color w:val="auto"/>
        </w:rPr>
      </w:pPr>
    </w:p>
    <w:p>
      <w:pPr>
        <w:ind w:right="20" w:firstLine="1404"/>
        <w:spacing w:after="0" w:line="253" w:lineRule="auto"/>
        <w:rPr>
          <w:sz w:val="20"/>
          <w:szCs w:val="20"/>
          <w:color w:val="auto"/>
        </w:rPr>
      </w:pPr>
      <w:r>
        <w:rPr>
          <w:rFonts w:ascii="Times New Roman" w:cs="Times New Roman" w:eastAsia="Times New Roman" w:hAnsi="Times New Roman"/>
          <w:sz w:val="19"/>
          <w:szCs w:val="19"/>
          <w:color w:val="auto"/>
        </w:rPr>
        <w:t>(a)In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(b)As used in this Section 9.17, the following terms have the following meanings:</w:t>
      </w:r>
    </w:p>
    <w:p>
      <w:pPr>
        <w:spacing w:after="0" w:line="202" w:lineRule="exact"/>
        <w:rPr>
          <w:sz w:val="20"/>
          <w:szCs w:val="20"/>
          <w:color w:val="auto"/>
        </w:rPr>
      </w:pPr>
    </w:p>
    <w:p>
      <w:pPr>
        <w:ind w:left="700" w:right="380" w:firstLine="1503"/>
        <w:spacing w:after="0" w:line="286" w:lineRule="auto"/>
        <w:tabs>
          <w:tab w:leader="none" w:pos="2429"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“BHC Act Affiliate” of a party means an “affiliate” (as such term is defined under, and interpreted in accordance with, 12 U.S.C. 1841(k)) of such party.</w:t>
      </w:r>
    </w:p>
    <w:p>
      <w:pPr>
        <w:spacing w:after="0" w:line="127" w:lineRule="exact"/>
        <w:rPr>
          <w:rFonts w:ascii="Times New Roman" w:cs="Times New Roman" w:eastAsia="Times New Roman" w:hAnsi="Times New Roman"/>
          <w:sz w:val="19"/>
          <w:szCs w:val="19"/>
          <w:color w:val="auto"/>
        </w:rPr>
      </w:pPr>
    </w:p>
    <w:p>
      <w:pPr>
        <w:ind w:left="2480" w:hanging="277"/>
        <w:spacing w:after="0"/>
        <w:tabs>
          <w:tab w:leader="none" w:pos="248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“Covered Entity” means any of the following:</w:t>
      </w:r>
    </w:p>
    <w:p>
      <w:pPr>
        <w:spacing w:after="0" w:line="20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(A)a “covered entity” as that term is defined in, and interpreted in accordance with, 12 C.F.R. §</w:t>
      </w:r>
    </w:p>
    <w:p>
      <w:pPr>
        <w:spacing w:after="0" w:line="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252.82(b);</w:t>
      </w:r>
    </w:p>
    <w:p>
      <w:pPr>
        <w:spacing w:after="0" w:line="178" w:lineRule="exact"/>
        <w:rPr>
          <w:sz w:val="20"/>
          <w:szCs w:val="20"/>
          <w:color w:val="auto"/>
        </w:rPr>
      </w:pPr>
    </w:p>
    <w:p>
      <w:pPr>
        <w:ind w:left="1020" w:hanging="810"/>
        <w:spacing w:after="0"/>
        <w:tabs>
          <w:tab w:leader="none" w:pos="1020"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7" w:name="page268"/>
    <w:bookmarkEnd w:id="267"/>
    <w:p>
      <w:pPr>
        <w:spacing w:after="0" w:line="26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(B)a “covered bank” as that term is defined in, and interpreted in accordance with, 12 C.F.R. §</w:t>
      </w:r>
    </w:p>
    <w:p>
      <w:pPr>
        <w:spacing w:after="0" w:line="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47.3(b); or</w:t>
      </w:r>
    </w:p>
    <w:p>
      <w:pPr>
        <w:spacing w:after="0" w:line="18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color w:val="auto"/>
        </w:rPr>
        <w:t>(C)a “covered FSI” as that term is defined in, and interpreted in accordance with, 12 C.F.R. §</w:t>
      </w:r>
    </w:p>
    <w:p>
      <w:pPr>
        <w:spacing w:after="0" w:line="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382.2(b).</w:t>
      </w:r>
    </w:p>
    <w:p>
      <w:pPr>
        <w:spacing w:after="0" w:line="180" w:lineRule="exact"/>
        <w:rPr>
          <w:sz w:val="20"/>
          <w:szCs w:val="20"/>
          <w:color w:val="auto"/>
        </w:rPr>
      </w:pPr>
    </w:p>
    <w:p>
      <w:pPr>
        <w:ind w:left="700" w:firstLine="1503"/>
        <w:spacing w:after="0" w:line="286" w:lineRule="auto"/>
        <w:tabs>
          <w:tab w:leader="none" w:pos="2536"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“Default Right” has the meaning assigned to that term in, and shall be interpreted in accordance with, 12 C.F.R. §§ 252.81, 47.2 or 382.1, as applicable.</w:t>
      </w:r>
    </w:p>
    <w:p>
      <w:pPr>
        <w:spacing w:after="0" w:line="127" w:lineRule="exact"/>
        <w:rPr>
          <w:rFonts w:ascii="Times New Roman" w:cs="Times New Roman" w:eastAsia="Times New Roman" w:hAnsi="Times New Roman"/>
          <w:sz w:val="19"/>
          <w:szCs w:val="19"/>
          <w:color w:val="auto"/>
        </w:rPr>
      </w:pPr>
    </w:p>
    <w:p>
      <w:pPr>
        <w:ind w:left="700" w:right="40" w:firstLine="1503"/>
        <w:spacing w:after="0" w:line="286" w:lineRule="auto"/>
        <w:tabs>
          <w:tab w:leader="none" w:pos="2526"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“QFC” has the meaning assigned to the term “qualified financial contract” in, and shall be interpreted in accordance with, 12 U.S.C. 5390(c)(8)(D).</w:t>
      </w:r>
    </w:p>
    <w:p>
      <w:pPr>
        <w:spacing w:after="0" w:line="127" w:lineRule="exact"/>
        <w:rPr>
          <w:sz w:val="20"/>
          <w:szCs w:val="20"/>
          <w:color w:val="auto"/>
        </w:rPr>
      </w:pPr>
    </w:p>
    <w:p>
      <w:pPr>
        <w:ind w:firstLine="1404"/>
        <w:spacing w:after="0" w:line="255" w:lineRule="auto"/>
        <w:rPr>
          <w:sz w:val="20"/>
          <w:szCs w:val="20"/>
          <w:color w:val="auto"/>
        </w:rPr>
      </w:pPr>
      <w:r>
        <w:rPr>
          <w:rFonts w:ascii="Times New Roman" w:cs="Times New Roman" w:eastAsia="Times New Roman" w:hAnsi="Times New Roman"/>
          <w:sz w:val="19"/>
          <w:szCs w:val="19"/>
          <w:color w:val="0000FF"/>
        </w:rPr>
        <w:t>SECTION 9.18.</w:t>
      </w:r>
      <w:r>
        <w:rPr>
          <w:rFonts w:ascii="Times New Roman" w:cs="Times New Roman" w:eastAsia="Times New Roman" w:hAnsi="Times New Roman"/>
          <w:sz w:val="19"/>
          <w:szCs w:val="19"/>
          <w:color w:val="000000"/>
        </w:rPr>
        <w:t>Interest Rate Limitation. Notwithstanding anything to the contrary contained in any Loan Document,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0" w:lineRule="exact"/>
        <w:rPr>
          <w:sz w:val="20"/>
          <w:szCs w:val="20"/>
          <w:color w:val="auto"/>
        </w:rPr>
      </w:pPr>
    </w:p>
    <w:p>
      <w:pPr>
        <w:ind w:left="280" w:firstLine="1440"/>
        <w:spacing w:after="0" w:line="252" w:lineRule="auto"/>
        <w:rPr>
          <w:sz w:val="20"/>
          <w:szCs w:val="20"/>
          <w:color w:val="auto"/>
        </w:rPr>
      </w:pPr>
      <w:r>
        <w:rPr>
          <w:rFonts w:ascii="Times New Roman" w:cs="Times New Roman" w:eastAsia="Times New Roman" w:hAnsi="Times New Roman"/>
          <w:sz w:val="19"/>
          <w:szCs w:val="19"/>
          <w:color w:val="0000FF"/>
        </w:rPr>
        <w:t>SECTION 9.19.German Bank Separation Act. Solely for so long as Deutsche Bank AG New York Branch, or any Affiliate thereof, is a Lender, if any such Lender is subject to the GBSA (any such Lender, a “GBSA Lender”) and such GBSA Lender shall have determined in good faith (based on reasonable advice and a written opinion of counsel), which determination shall be made in consultation with the Borrower subject to the terms hereof that, due to the implementation of the German Act on the Ring-fencing of Risks and for the Recovery and Resolution Planning for Credit Institutions and Financial Groups (Gesetz zur Abschirmung von Risiken und zur Planung der Sanierung und Abwicklung von Kreditinstituten und Finanzgruppen) of 7 August 2013 (commonly referred to as the German Bank Separation Act (Trennbankengesetz) (the “GBSA”)), whether before or after the date hereof, or any corresponding European legislation (such as the proposed regulation on structural measures improving the resilience of European Union credit institutions) that may amend or replace the GBSA in the future or any regulation thereunder, or due to the promulgation of, or any change in the interpretation by, any court, tribunal or regulatory authority with competent jurisdiction of the GBSA or any corresponding future European legislation that may amend or replace the GBSA in the future or any regulation thereunder, the arrangements contemplated by this Agreement or the Loans have, or will, become illegal, prohibited or otherwise unlawful, then, and in any such event, such GBSA Lender shall give written notice to the Borrower and the Administrative Agent of such determination (which written notice shall include a reasonably detailed explanation of such illegality, prohibition or unlawfulness, including, without limitation, all evidence and calculations used in the determination thereof, a “GBSA Initial Notice”), whereupon until the tenth Business Day after the date of such GBSA Initial Notice,</w:t>
      </w:r>
    </w:p>
    <w:p>
      <w:pPr>
        <w:spacing w:after="0" w:line="169" w:lineRule="exact"/>
        <w:rPr>
          <w:sz w:val="20"/>
          <w:szCs w:val="20"/>
          <w:color w:val="auto"/>
        </w:rPr>
      </w:pPr>
    </w:p>
    <w:p>
      <w:pPr>
        <w:ind w:left="1020" w:hanging="810"/>
        <w:spacing w:after="0"/>
        <w:tabs>
          <w:tab w:leader="none" w:pos="1020" w:val="left"/>
        </w:tabs>
        <w:numPr>
          <w:ilvl w:val="0"/>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672465</wp:posOffset>
            </wp:positionV>
            <wp:extent cx="6732905" cy="406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8" w:name="page269"/>
    <w:bookmarkEnd w:id="268"/>
    <w:p>
      <w:pPr>
        <w:spacing w:after="0" w:line="269" w:lineRule="exact"/>
        <w:rPr>
          <w:sz w:val="20"/>
          <w:szCs w:val="20"/>
          <w:color w:val="auto"/>
        </w:rPr>
      </w:pPr>
    </w:p>
    <w:p>
      <w:pPr>
        <w:ind w:left="70"/>
        <w:spacing w:after="0" w:line="251" w:lineRule="auto"/>
        <w:rPr>
          <w:sz w:val="20"/>
          <w:szCs w:val="20"/>
          <w:color w:val="auto"/>
        </w:rPr>
      </w:pPr>
      <w:r>
        <w:rPr>
          <w:rFonts w:ascii="Times New Roman" w:cs="Times New Roman" w:eastAsia="Times New Roman" w:hAnsi="Times New Roman"/>
          <w:sz w:val="19"/>
          <w:szCs w:val="19"/>
          <w:color w:val="0000FF"/>
        </w:rPr>
        <w:t>such GBSA Lender shall use best efforts to transfer to the extent permitted under applicable law such arrangements, Commitments and/or Loans to an Affiliate or other third party in accordance with Section 9.04. If no such transfer is effected in accordance with the preceding sentence, such GBSA Lender shall give written notice thereof to the Borrower and the Administrative Agent (a “GBSA Final Notice”), whereupon (i) all of the obligations (including outstanding principal of its Loans and participations in LC Disbursements and Swingline Loans, accrued interest thereon, accrued fees and all other amounts payable to it hereunder, collectively, the “GBSA Obligations”) owed to such GBSA Lender hereunder and under the Loans shall become due and payable, and the Borrower shall repay the GBSA Obligations, on the tenth Business Day immediately after the date of such GBSA Final Notice (such date being the “Initial GBSA Termination Date”) and, for the avoidance of doubt, such repayment shall not be subject to the terms and conditions of Section 2.08, 2.10, 2.15, 2.17(c) or 2.17(d) to the extent that there are no outstanding amounts due and payable to the other Lenders at such date and (ii) the Commitments of such GBSA Lender shall terminate on the Initial GBSA Termination Date; provided that, notwithstanding the foregoing, prior to such Initial GBSA Termination Date and in the event the Borrower in good faith reasonably believes there is a mistake, error or omission in the grounds used to determine such illegality, prohibition or unlawfulness under the GBSA or any corresponding future European legislation that may amend or replace the GBSA in the future or any regulation thereunder, then the Borrower may provide written notice (which written notice shall include a reasonably detailed explanation of the basis of such good faith belief, including, without limitation, all evidence and calculations used in the determination thereof, a “GBSA Consultation Notice”) to that effect, at which point the GBSA Obligations owed to such GBSA Lender hereunder and under the Loans shall not become due and payable, and the Commitments of such GBSA Lender shall not terminate, until the Business Day immediately following the tenth Business Day immediately after the Initial GBSA Termination Date (and the period from, and including, the date of the GBSA Consultation Notice until the tenth Business Day immediately thereafter being the “GBSA Consultation Period”). In the event the Borrower and such GBSA Lender cannot in good faith reasonably agree during the GBSA Consultation Period whether the arrangements contemplated by this Agreement or the Loans have, or will, become illegal, prohibited or otherwise unlawful under the GBSA or any corresponding future European legislation that may amend or replace the GBSA in the future or any regulation thereunder, then all of the GBSA Obligations owed to such GBSA Lender hereunder and under the Loans shall become due and payable, and the Commitments of such GBSA Lender shall terminate, on the Business Day immediately following the last day of such GBSA Consultation Period. For the avoidance of doubt, so long as a GBSA Consultation Period has occurred and is continuing, (i) the Commitments and Revolving Credit Exposure of any GBSA Lender shall be subject to Section 2.18, and the Borrower shall have all rights to replace such GBSA Lender in accordance with Section 2.18(b), (ii) no GBSA Lender shall be required to fund its pro rata share of any Borrowing or acquire participations in any Swingline Loans under Section 2.04(c) or Letters of Credit under Section 2.05(e), (iii) each GBSA Lender shall be deemed to have an Applicable Percentage, Applicable Dollar Percentage and Applicable Multicurrency Percentage of zero for purposes of Sections</w:t>
      </w:r>
    </w:p>
    <w:p>
      <w:pPr>
        <w:spacing w:after="0" w:line="9" w:lineRule="exact"/>
        <w:rPr>
          <w:sz w:val="20"/>
          <w:szCs w:val="20"/>
          <w:color w:val="auto"/>
        </w:rPr>
      </w:pPr>
    </w:p>
    <w:p>
      <w:pPr>
        <w:jc w:val="both"/>
        <w:ind w:left="70" w:right="160"/>
        <w:spacing w:after="0" w:line="256" w:lineRule="auto"/>
        <w:rPr>
          <w:sz w:val="20"/>
          <w:szCs w:val="20"/>
          <w:color w:val="auto"/>
        </w:rPr>
      </w:pPr>
      <w:r>
        <w:rPr>
          <w:rFonts w:ascii="Times New Roman" w:cs="Times New Roman" w:eastAsia="Times New Roman" w:hAnsi="Times New Roman"/>
          <w:sz w:val="19"/>
          <w:szCs w:val="19"/>
          <w:color w:val="0000FF"/>
        </w:rPr>
        <w:t>2.02(a), 2.04(c), 2.05(e) and 2.05(f) and (iv) no GBSA Lender shall be entitled to receive any fee pursuant to Sections 2.11(a) or (b) for any day during the continuance of such GBSA Consultation Period. Notwithstanding anything to the contrary contained herein, no part of the proceeds of any extension of credit hereunder will be used to pay any GBSA Lender or</w:t>
      </w:r>
    </w:p>
    <w:p>
      <w:pPr>
        <w:spacing w:after="0" w:line="153" w:lineRule="exact"/>
        <w:rPr>
          <w:sz w:val="20"/>
          <w:szCs w:val="20"/>
          <w:color w:val="auto"/>
        </w:rPr>
      </w:pPr>
    </w:p>
    <w:p>
      <w:pPr>
        <w:ind w:left="810" w:hanging="810"/>
        <w:spacing w:after="0"/>
        <w:tabs>
          <w:tab w:leader="none" w:pos="810" w:val="left"/>
        </w:tabs>
        <w:numPr>
          <w:ilvl w:val="0"/>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672465</wp:posOffset>
            </wp:positionV>
            <wp:extent cx="6732905" cy="406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50"/>
          </w:cols>
          <w:pgMar w:left="870" w:top="1440" w:right="680" w:bottom="1440" w:gutter="0" w:footer="0" w:header="0"/>
        </w:sectPr>
      </w:pPr>
    </w:p>
    <w:bookmarkStart w:id="269" w:name="page270"/>
    <w:bookmarkEnd w:id="269"/>
    <w:p>
      <w:pPr>
        <w:spacing w:after="0" w:line="269" w:lineRule="exact"/>
        <w:rPr>
          <w:sz w:val="20"/>
          <w:szCs w:val="20"/>
          <w:color w:val="auto"/>
        </w:rPr>
      </w:pPr>
    </w:p>
    <w:p>
      <w:pPr>
        <w:ind w:left="70"/>
        <w:spacing w:after="0" w:line="257" w:lineRule="auto"/>
        <w:rPr>
          <w:sz w:val="20"/>
          <w:szCs w:val="20"/>
          <w:color w:val="auto"/>
        </w:rPr>
      </w:pPr>
      <w:r>
        <w:rPr>
          <w:rFonts w:ascii="Times New Roman" w:cs="Times New Roman" w:eastAsia="Times New Roman" w:hAnsi="Times New Roman"/>
          <w:sz w:val="19"/>
          <w:szCs w:val="19"/>
          <w:color w:val="0000FF"/>
        </w:rPr>
        <w:t>otherwise satisfy any obligation under this Section. To the extent any Swingline Exposure or LC Exposure exists at the time a GBSA Lender’s Loans are repaid in full and such GBSA Lender’s Commitment is cancelled pursuant to this Section 9.19, such Swingline Exposure or LC Exposure shall be reallocated as set forth in Section 2.19(a)(iii) or prepaid or Cash Collateralized, as applicable, as set forth in Section 2.19(a)(iv), treating for this purpose such GBSA Lender as a Defaulting Lender. Additionally, notwithstanding anything to the contrary herein, during the GBSA Consultation Period, the Revolving Credit Exposure and unused Commitments of any GBSA Lender shall be disregarded in the determination of Required Lenders or Required Lenders of a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10" w:hanging="810"/>
        <w:spacing w:after="0"/>
        <w:tabs>
          <w:tab w:leader="none" w:pos="810"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672465</wp:posOffset>
            </wp:positionV>
            <wp:extent cx="6732905" cy="406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90"/>
          </w:cols>
          <w:pgMar w:left="870" w:top="1440" w:right="640"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CEO CERTIFICATION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Joshua Easterly, certify that:</w:t>
      </w:r>
    </w:p>
    <w:p>
      <w:pPr>
        <w:spacing w:after="0" w:line="92" w:lineRule="exact"/>
        <w:rPr>
          <w:sz w:val="20"/>
          <w:szCs w:val="20"/>
          <w:color w:val="auto"/>
        </w:rPr>
      </w:pPr>
    </w:p>
    <w:p>
      <w:pPr>
        <w:ind w:left="420" w:hanging="222"/>
        <w:spacing w:after="0"/>
        <w:tabs>
          <w:tab w:leader="none" w:pos="42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Sixth Street Lending Partners;</w:t>
      </w:r>
    </w:p>
    <w:p>
      <w:pPr>
        <w:spacing w:after="0" w:line="92" w:lineRule="exact"/>
        <w:rPr>
          <w:rFonts w:ascii="Times New Roman" w:cs="Times New Roman" w:eastAsia="Times New Roman" w:hAnsi="Times New Roman"/>
          <w:sz w:val="16"/>
          <w:szCs w:val="16"/>
          <w:color w:val="auto"/>
        </w:rPr>
      </w:pPr>
    </w:p>
    <w:p>
      <w:pPr>
        <w:ind w:left="700" w:right="400" w:hanging="502"/>
        <w:spacing w:after="0" w:line="331" w:lineRule="auto"/>
        <w:tabs>
          <w:tab w:leader="none" w:pos="417"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 w:lineRule="exact"/>
        <w:rPr>
          <w:rFonts w:ascii="Times New Roman" w:cs="Times New Roman" w:eastAsia="Times New Roman" w:hAnsi="Times New Roman"/>
          <w:sz w:val="14"/>
          <w:szCs w:val="14"/>
          <w:color w:val="auto"/>
        </w:rPr>
      </w:pPr>
    </w:p>
    <w:p>
      <w:pPr>
        <w:ind w:left="700" w:right="480" w:hanging="502"/>
        <w:spacing w:after="0" w:line="259" w:lineRule="auto"/>
        <w:tabs>
          <w:tab w:leader="none" w:pos="417"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16"/>
          <w:szCs w:val="16"/>
          <w:color w:val="auto"/>
        </w:rPr>
      </w:pPr>
    </w:p>
    <w:p>
      <w:pPr>
        <w:ind w:left="700" w:right="20" w:hanging="502"/>
        <w:spacing w:after="0" w:line="247" w:lineRule="auto"/>
        <w:tabs>
          <w:tab w:leader="none" w:pos="417"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6"/>
          <w:szCs w:val="16"/>
          <w:color w:val="auto"/>
        </w:rPr>
      </w:pPr>
    </w:p>
    <w:p>
      <w:pPr>
        <w:ind w:left="1180" w:right="60" w:hanging="526"/>
        <w:spacing w:after="0" w:line="247" w:lineRule="auto"/>
        <w:tabs>
          <w:tab w:leader="none" w:pos="799" w:val="left"/>
        </w:tabs>
        <w:numPr>
          <w:ilvl w:val="1"/>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6"/>
          <w:szCs w:val="16"/>
          <w:color w:val="auto"/>
        </w:rPr>
      </w:pPr>
    </w:p>
    <w:p>
      <w:pPr>
        <w:ind w:left="1180" w:right="300" w:hanging="526"/>
        <w:spacing w:after="0" w:line="247" w:lineRule="auto"/>
        <w:tabs>
          <w:tab w:leader="none" w:pos="808" w:val="left"/>
        </w:tabs>
        <w:numPr>
          <w:ilvl w:val="1"/>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6"/>
          <w:szCs w:val="16"/>
          <w:color w:val="auto"/>
        </w:rPr>
      </w:pPr>
    </w:p>
    <w:p>
      <w:pPr>
        <w:ind w:left="1180" w:right="100" w:hanging="526"/>
        <w:spacing w:after="0" w:line="259" w:lineRule="auto"/>
        <w:tabs>
          <w:tab w:leader="none" w:pos="799" w:val="left"/>
        </w:tabs>
        <w:numPr>
          <w:ilvl w:val="1"/>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Times New Roman" w:cs="Times New Roman" w:eastAsia="Times New Roman" w:hAnsi="Times New Roman"/>
          <w:sz w:val="16"/>
          <w:szCs w:val="16"/>
          <w:color w:val="auto"/>
        </w:rPr>
      </w:pPr>
    </w:p>
    <w:p>
      <w:pPr>
        <w:ind w:left="1180" w:right="40" w:hanging="526"/>
        <w:spacing w:after="0" w:line="259" w:lineRule="auto"/>
        <w:tabs>
          <w:tab w:leader="none" w:pos="808" w:val="left"/>
        </w:tabs>
        <w:numPr>
          <w:ilvl w:val="1"/>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6"/>
          <w:szCs w:val="16"/>
          <w:color w:val="auto"/>
        </w:rPr>
      </w:pPr>
    </w:p>
    <w:p>
      <w:pPr>
        <w:ind w:left="700" w:right="240" w:hanging="502"/>
        <w:spacing w:after="0" w:line="259" w:lineRule="auto"/>
        <w:tabs>
          <w:tab w:leader="none" w:pos="417"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59" w:lineRule="exact"/>
        <w:rPr>
          <w:rFonts w:ascii="Times New Roman" w:cs="Times New Roman" w:eastAsia="Times New Roman" w:hAnsi="Times New Roman"/>
          <w:sz w:val="16"/>
          <w:szCs w:val="16"/>
          <w:color w:val="auto"/>
        </w:rPr>
      </w:pPr>
    </w:p>
    <w:p>
      <w:pPr>
        <w:ind w:left="1180" w:right="280" w:hanging="526"/>
        <w:spacing w:after="0" w:line="259" w:lineRule="auto"/>
        <w:tabs>
          <w:tab w:leader="none" w:pos="799" w:val="left"/>
        </w:tabs>
        <w:numPr>
          <w:ilvl w:val="1"/>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Times New Roman" w:cs="Times New Roman" w:eastAsia="Times New Roman" w:hAnsi="Times New Roman"/>
          <w:sz w:val="16"/>
          <w:szCs w:val="16"/>
          <w:color w:val="auto"/>
        </w:rPr>
      </w:pPr>
    </w:p>
    <w:p>
      <w:pPr>
        <w:ind w:left="1180" w:right="480" w:hanging="526"/>
        <w:spacing w:after="0" w:line="259" w:lineRule="auto"/>
        <w:tabs>
          <w:tab w:leader="none" w:pos="808" w:val="left"/>
        </w:tabs>
        <w:numPr>
          <w:ilvl w:val="1"/>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tabs>
          <w:tab w:leader="none" w:pos="6340" w:val="left"/>
          <w:tab w:leader="none" w:pos="6760" w:val="left"/>
        </w:tabs>
        <w:rPr>
          <w:sz w:val="20"/>
          <w:szCs w:val="20"/>
          <w:color w:val="auto"/>
        </w:rPr>
      </w:pPr>
      <w:r>
        <w:rPr>
          <w:rFonts w:ascii="Times New Roman" w:cs="Times New Roman" w:eastAsia="Times New Roman" w:hAnsi="Times New Roman"/>
          <w:sz w:val="16"/>
          <w:szCs w:val="16"/>
          <w:color w:val="auto"/>
        </w:rPr>
        <w:t>Date: November 5,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5715</wp:posOffset>
            </wp:positionV>
            <wp:extent cx="2408555"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2408555" cy="7620"/>
                    </a:xfrm>
                    <a:prstGeom prst="rect">
                      <a:avLst/>
                    </a:prstGeom>
                    <a:noFill/>
                  </pic:spPr>
                </pic:pic>
              </a:graphicData>
            </a:graphic>
          </wp:anchor>
        </w:drawing>
      </w:r>
    </w:p>
    <w:p>
      <w:pPr>
        <w:spacing w:after="0" w:line="1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Joshua Easterly</w:t>
      </w:r>
    </w:p>
    <w:p>
      <w:pPr>
        <w:spacing w:after="0" w:line="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Chief Executive Officer</w:t>
      </w:r>
    </w:p>
    <w:p>
      <w:pPr>
        <w:ind w:left="67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667385</wp:posOffset>
            </wp:positionV>
            <wp:extent cx="6732905" cy="406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59" w:right="660"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CFO CERTIFICATION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Ian Simmonds, certify that:</w:t>
      </w:r>
    </w:p>
    <w:p>
      <w:pPr>
        <w:spacing w:after="0" w:line="92" w:lineRule="exact"/>
        <w:rPr>
          <w:sz w:val="20"/>
          <w:szCs w:val="20"/>
          <w:color w:val="auto"/>
        </w:rPr>
      </w:pPr>
    </w:p>
    <w:p>
      <w:pPr>
        <w:ind w:left="420" w:hanging="222"/>
        <w:spacing w:after="0"/>
        <w:tabs>
          <w:tab w:leader="none" w:pos="42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Sixth Street Lending Partners (the “registrant”);</w:t>
      </w:r>
    </w:p>
    <w:p>
      <w:pPr>
        <w:spacing w:after="0" w:line="92" w:lineRule="exact"/>
        <w:rPr>
          <w:rFonts w:ascii="Times New Roman" w:cs="Times New Roman" w:eastAsia="Times New Roman" w:hAnsi="Times New Roman"/>
          <w:sz w:val="16"/>
          <w:szCs w:val="16"/>
          <w:color w:val="auto"/>
        </w:rPr>
      </w:pPr>
    </w:p>
    <w:p>
      <w:pPr>
        <w:ind w:left="700" w:right="400" w:hanging="502"/>
        <w:spacing w:after="0" w:line="331" w:lineRule="auto"/>
        <w:tabs>
          <w:tab w:leader="none" w:pos="417"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 w:lineRule="exact"/>
        <w:rPr>
          <w:rFonts w:ascii="Times New Roman" w:cs="Times New Roman" w:eastAsia="Times New Roman" w:hAnsi="Times New Roman"/>
          <w:sz w:val="14"/>
          <w:szCs w:val="14"/>
          <w:color w:val="auto"/>
        </w:rPr>
      </w:pPr>
    </w:p>
    <w:p>
      <w:pPr>
        <w:ind w:left="700" w:right="480" w:hanging="502"/>
        <w:spacing w:after="0" w:line="259" w:lineRule="auto"/>
        <w:tabs>
          <w:tab w:leader="none" w:pos="417"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Times New Roman" w:cs="Times New Roman" w:eastAsia="Times New Roman" w:hAnsi="Times New Roman"/>
          <w:sz w:val="16"/>
          <w:szCs w:val="16"/>
          <w:color w:val="auto"/>
        </w:rPr>
      </w:pPr>
    </w:p>
    <w:p>
      <w:pPr>
        <w:ind w:left="700" w:right="20" w:hanging="502"/>
        <w:spacing w:after="0" w:line="247" w:lineRule="auto"/>
        <w:tabs>
          <w:tab w:leader="none" w:pos="417"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6"/>
          <w:szCs w:val="16"/>
          <w:color w:val="auto"/>
        </w:rPr>
      </w:pPr>
    </w:p>
    <w:p>
      <w:pPr>
        <w:ind w:left="1180" w:right="60" w:hanging="526"/>
        <w:spacing w:after="0" w:line="247" w:lineRule="auto"/>
        <w:tabs>
          <w:tab w:leader="none" w:pos="799"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6"/>
          <w:szCs w:val="16"/>
          <w:color w:val="auto"/>
        </w:rPr>
      </w:pPr>
    </w:p>
    <w:p>
      <w:pPr>
        <w:ind w:left="1180" w:right="300" w:hanging="526"/>
        <w:spacing w:after="0" w:line="247" w:lineRule="auto"/>
        <w:tabs>
          <w:tab w:leader="none" w:pos="808"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6"/>
          <w:szCs w:val="16"/>
          <w:color w:val="auto"/>
        </w:rPr>
      </w:pPr>
    </w:p>
    <w:p>
      <w:pPr>
        <w:ind w:left="1180" w:right="100" w:hanging="526"/>
        <w:spacing w:after="0" w:line="259" w:lineRule="auto"/>
        <w:tabs>
          <w:tab w:leader="none" w:pos="799"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Times New Roman" w:cs="Times New Roman" w:eastAsia="Times New Roman" w:hAnsi="Times New Roman"/>
          <w:sz w:val="16"/>
          <w:szCs w:val="16"/>
          <w:color w:val="auto"/>
        </w:rPr>
      </w:pPr>
    </w:p>
    <w:p>
      <w:pPr>
        <w:ind w:left="1180" w:right="40" w:hanging="526"/>
        <w:spacing w:after="0" w:line="259" w:lineRule="auto"/>
        <w:tabs>
          <w:tab w:leader="none" w:pos="808"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6"/>
          <w:szCs w:val="16"/>
          <w:color w:val="auto"/>
        </w:rPr>
      </w:pPr>
    </w:p>
    <w:p>
      <w:pPr>
        <w:ind w:left="700" w:right="240" w:hanging="502"/>
        <w:spacing w:after="0" w:line="259" w:lineRule="auto"/>
        <w:tabs>
          <w:tab w:leader="none" w:pos="417"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59" w:lineRule="exact"/>
        <w:rPr>
          <w:rFonts w:ascii="Times New Roman" w:cs="Times New Roman" w:eastAsia="Times New Roman" w:hAnsi="Times New Roman"/>
          <w:sz w:val="16"/>
          <w:szCs w:val="16"/>
          <w:color w:val="auto"/>
        </w:rPr>
      </w:pPr>
    </w:p>
    <w:p>
      <w:pPr>
        <w:ind w:left="1180" w:right="280" w:hanging="526"/>
        <w:spacing w:after="0" w:line="259" w:lineRule="auto"/>
        <w:tabs>
          <w:tab w:leader="none" w:pos="799"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Times New Roman" w:cs="Times New Roman" w:eastAsia="Times New Roman" w:hAnsi="Times New Roman"/>
          <w:sz w:val="16"/>
          <w:szCs w:val="16"/>
          <w:color w:val="auto"/>
        </w:rPr>
      </w:pPr>
    </w:p>
    <w:p>
      <w:pPr>
        <w:ind w:left="1180" w:right="480" w:hanging="526"/>
        <w:spacing w:after="0" w:line="259" w:lineRule="auto"/>
        <w:tabs>
          <w:tab w:leader="none" w:pos="808"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spacing w:after="0"/>
        <w:tabs>
          <w:tab w:leader="none" w:pos="6340" w:val="left"/>
          <w:tab w:leader="none" w:pos="6760" w:val="left"/>
        </w:tabs>
        <w:rPr>
          <w:sz w:val="20"/>
          <w:szCs w:val="20"/>
          <w:color w:val="auto"/>
        </w:rPr>
      </w:pPr>
      <w:r>
        <w:rPr>
          <w:rFonts w:ascii="Times New Roman" w:cs="Times New Roman" w:eastAsia="Times New Roman" w:hAnsi="Times New Roman"/>
          <w:sz w:val="16"/>
          <w:szCs w:val="16"/>
          <w:color w:val="auto"/>
        </w:rPr>
        <w:t>Date: November 5,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5715</wp:posOffset>
            </wp:positionV>
            <wp:extent cx="2408555"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2408555" cy="7620"/>
                    </a:xfrm>
                    <a:prstGeom prst="rect">
                      <a:avLst/>
                    </a:prstGeom>
                    <a:noFill/>
                  </pic:spPr>
                </pic:pic>
              </a:graphicData>
            </a:graphic>
          </wp:anchor>
        </w:drawing>
      </w:r>
    </w:p>
    <w:p>
      <w:pPr>
        <w:spacing w:after="0" w:line="1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Ian Simmonds</w:t>
      </w:r>
    </w:p>
    <w:p>
      <w:pPr>
        <w:spacing w:after="0" w:line="1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663575</wp:posOffset>
            </wp:positionV>
            <wp:extent cx="6732905" cy="406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272" w:name="page273"/>
    <w:bookmarkEnd w:id="272"/>
    <w:p>
      <w:pPr>
        <w:ind w:left="9880"/>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 of CEO and CFO Pursuant to</w:t>
      </w:r>
    </w:p>
    <w:p>
      <w:pPr>
        <w:spacing w:after="0" w:line="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ind w:left="4500"/>
        <w:spacing w:after="0" w:line="234" w:lineRule="auto"/>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firstLine="468"/>
        <w:spacing w:after="0" w:line="243" w:lineRule="auto"/>
        <w:rPr>
          <w:sz w:val="20"/>
          <w:szCs w:val="20"/>
          <w:color w:val="auto"/>
        </w:rPr>
      </w:pPr>
      <w:r>
        <w:rPr>
          <w:rFonts w:ascii="Times New Roman" w:cs="Times New Roman" w:eastAsia="Times New Roman" w:hAnsi="Times New Roman"/>
          <w:sz w:val="16"/>
          <w:szCs w:val="16"/>
          <w:color w:val="auto"/>
        </w:rPr>
        <w:t>In connection with the quarterly report on Form 10-Q of Sixth Street Lending Partners (the “Company”) for the quarterly period ended September 30, 2025,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1" w:lineRule="exact"/>
        <w:rPr>
          <w:sz w:val="20"/>
          <w:szCs w:val="20"/>
          <w:color w:val="auto"/>
        </w:rPr>
      </w:pPr>
    </w:p>
    <w:p>
      <w:pPr>
        <w:ind w:left="700" w:hanging="226"/>
        <w:spacing w:after="0"/>
        <w:tabs>
          <w:tab w:leader="none" w:pos="70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92" w:lineRule="exact"/>
        <w:rPr>
          <w:rFonts w:ascii="Times New Roman" w:cs="Times New Roman" w:eastAsia="Times New Roman" w:hAnsi="Times New Roman"/>
          <w:sz w:val="16"/>
          <w:szCs w:val="16"/>
          <w:color w:val="auto"/>
        </w:rPr>
      </w:pPr>
    </w:p>
    <w:p>
      <w:pPr>
        <w:ind w:left="700" w:hanging="226"/>
        <w:spacing w:after="0"/>
        <w:tabs>
          <w:tab w:leader="none" w:pos="70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Joshua Easterly</w:t>
      </w:r>
    </w:p>
    <w:p>
      <w:pPr>
        <w:spacing w:after="0" w:line="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6"/>
          <w:szCs w:val="16"/>
          <w:color w:val="auto"/>
        </w:rPr>
        <w:t>Name:</w:t>
        <w:tab/>
        <w:t>Joshua Easterly</w:t>
      </w:r>
    </w:p>
    <w:p>
      <w:pPr>
        <w:spacing w:after="0" w:line="234" w:lineRule="auto"/>
        <w:tabs>
          <w:tab w:leader="none" w:pos="62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Chief Executive Officer</w:t>
      </w:r>
    </w:p>
    <w:p>
      <w:pPr>
        <w:ind w:left="640"/>
        <w:spacing w:after="0" w:line="235" w:lineRule="auto"/>
        <w:rPr>
          <w:sz w:val="20"/>
          <w:szCs w:val="20"/>
          <w:color w:val="auto"/>
        </w:rPr>
      </w:pPr>
      <w:r>
        <w:rPr>
          <w:rFonts w:ascii="Times New Roman" w:cs="Times New Roman" w:eastAsia="Times New Roman" w:hAnsi="Times New Roman"/>
          <w:sz w:val="16"/>
          <w:szCs w:val="16"/>
          <w:color w:val="auto"/>
        </w:rPr>
        <w:t>(Principal Executive Officer)</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November 5,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Ian Simmonds</w:t>
      </w:r>
    </w:p>
    <w:p>
      <w:pPr>
        <w:spacing w:after="0" w:line="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6"/>
          <w:szCs w:val="16"/>
          <w:color w:val="auto"/>
        </w:rPr>
        <w:t>Name:</w:t>
        <w:tab/>
        <w:t>Ian Simmonds</w:t>
      </w:r>
    </w:p>
    <w:p>
      <w:pPr>
        <w:spacing w:after="0" w:line="234" w:lineRule="auto"/>
        <w:tabs>
          <w:tab w:leader="none" w:pos="62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Chief Financial Officer</w:t>
      </w:r>
    </w:p>
    <w:p>
      <w:pPr>
        <w:ind w:left="640"/>
        <w:spacing w:after="0" w:line="235" w:lineRule="auto"/>
        <w:rPr>
          <w:sz w:val="20"/>
          <w:szCs w:val="20"/>
          <w:color w:val="auto"/>
        </w:rPr>
      </w:pPr>
      <w:r>
        <w:rPr>
          <w:rFonts w:ascii="Times New Roman" w:cs="Times New Roman" w:eastAsia="Times New Roman" w:hAnsi="Times New Roman"/>
          <w:sz w:val="16"/>
          <w:szCs w:val="16"/>
          <w:color w:val="auto"/>
        </w:rPr>
        <w:t>(Principal Financial Officer)</w:t>
      </w:r>
    </w:p>
    <w:p>
      <w:pPr>
        <w:spacing w:after="0" w:line="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November 5, 2025</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579120</wp:posOffset>
            </wp:positionV>
            <wp:extent cx="6732905" cy="406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1" w:right="640" w:bottom="1440" w:gutter="0" w:footer="0" w:header="0"/>
        </w:sectPr>
      </w:pPr>
    </w:p>
    <w:bookmarkStart w:id="273" w:name="page274"/>
    <w:bookmarkEnd w:id="27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B7AAA2"/>
    <w:multiLevelType w:val="hybridMultilevel"/>
    <w:lvl w:ilvl="0">
      <w:lvlJc w:val="left"/>
      <w:lvlText w:val="☒"/>
      <w:numFmt w:val="bullet"/>
      <w:start w:val="1"/>
    </w:lvl>
  </w:abstractNum>
  <w:abstractNum w:abstractNumId="1">
    <w:nsid w:val="2B0D8DBE"/>
    <w:multiLevelType w:val="hybridMultilevel"/>
    <w:lvl w:ilvl="0">
      <w:lvlJc w:val="left"/>
      <w:lvlText w:val="☐"/>
      <w:numFmt w:val="bullet"/>
      <w:start w:val="1"/>
    </w:lvl>
  </w:abstractNum>
  <w:abstractNum w:abstractNumId="2">
    <w:nsid w:val="6C80EC70"/>
    <w:multiLevelType w:val="hybridMultilevel"/>
    <w:lvl w:ilvl="0">
      <w:lvlJc w:val="left"/>
      <w:lvlText w:val="%1."/>
      <w:numFmt w:val="decimal"/>
      <w:start w:val="1"/>
    </w:lvl>
  </w:abstractNum>
  <w:abstractNum w:abstractNumId="3">
    <w:nsid w:val="379E21B5"/>
    <w:multiLevelType w:val="hybridMultilevel"/>
    <w:lvl w:ilvl="0">
      <w:lvlJc w:val="left"/>
      <w:lvlText w:val="%1."/>
      <w:numFmt w:val="decimal"/>
      <w:start w:val="2"/>
    </w:lvl>
  </w:abstractNum>
  <w:abstractNum w:abstractNumId="4">
    <w:nsid w:val="69E373"/>
    <w:multiLevelType w:val="hybridMultilevel"/>
    <w:lvl w:ilvl="0">
      <w:lvlJc w:val="left"/>
      <w:lvlText w:val="%1."/>
      <w:numFmt w:val="decimal"/>
      <w:start w:val="3"/>
    </w:lvl>
  </w:abstractNum>
  <w:abstractNum w:abstractNumId="5">
    <w:nsid w:val="2C27173B"/>
    <w:multiLevelType w:val="hybridMultilevel"/>
    <w:lvl w:ilvl="0">
      <w:lvlJc w:val="left"/>
      <w:lvlText w:val="%1."/>
      <w:numFmt w:val="decimal"/>
      <w:start w:val="6"/>
    </w:lvl>
  </w:abstractNum>
  <w:abstractNum w:abstractNumId="6">
    <w:nsid w:val="4C9B0904"/>
    <w:multiLevelType w:val="hybridMultilevel"/>
    <w:lvl w:ilvl="0">
      <w:lvlJc w:val="left"/>
      <w:lvlText w:val="%1."/>
      <w:numFmt w:val="decimal"/>
      <w:start w:val="7"/>
    </w:lvl>
  </w:abstractNum>
  <w:abstractNum w:abstractNumId="7">
    <w:nsid w:val="6AA7B75C"/>
    <w:multiLevelType w:val="hybridMultilevel"/>
    <w:lvl w:ilvl="0">
      <w:lvlJc w:val="left"/>
      <w:lvlText w:val="$"/>
      <w:numFmt w:val="bullet"/>
      <w:start w:val="1"/>
    </w:lvl>
  </w:abstractNum>
  <w:abstractNum w:abstractNumId="8">
    <w:nsid w:val="1DF029D3"/>
    <w:multiLevelType w:val="hybridMultilevel"/>
    <w:lvl w:ilvl="0">
      <w:lvlJc w:val="left"/>
      <w:lvlText w:val="%1."/>
      <w:numFmt w:val="decimal"/>
      <w:start w:val="8"/>
    </w:lvl>
  </w:abstractNum>
  <w:abstractNum w:abstractNumId="9">
    <w:nsid w:val="5675FF36"/>
    <w:multiLevelType w:val="hybridMultilevel"/>
    <w:lvl w:ilvl="0">
      <w:lvlJc w:val="left"/>
      <w:lvlText w:val="%1."/>
      <w:numFmt w:val="decimal"/>
      <w:start w:val="10"/>
    </w:lvl>
  </w:abstractNum>
  <w:abstractNum w:abstractNumId="10">
    <w:nsid w:val="3DD15094"/>
    <w:multiLevelType w:val="hybridMultilevel"/>
    <w:lvl w:ilvl="0">
      <w:lvlJc w:val="left"/>
      <w:lvlText w:val="%1."/>
      <w:numFmt w:val="decimal"/>
      <w:start w:val="11"/>
    </w:lvl>
  </w:abstractNum>
  <w:abstractNum w:abstractNumId="11">
    <w:nsid w:val="3DB012B3"/>
    <w:multiLevelType w:val="hybridMultilevel"/>
    <w:lvl w:ilvl="0">
      <w:lvlJc w:val="left"/>
      <w:lvlText w:val="%1"/>
      <w:numFmt w:val="decimal"/>
      <w:start w:val="32"/>
    </w:lvl>
  </w:abstractNum>
  <w:abstractNum w:abstractNumId="12">
    <w:nsid w:val="2708C9AF"/>
    <w:multiLevelType w:val="hybridMultilevel"/>
    <w:lvl w:ilvl="0">
      <w:lvlJc w:val="left"/>
      <w:lvlText w:val="%1"/>
      <w:numFmt w:val="decimal"/>
      <w:start w:val="104"/>
    </w:lvl>
  </w:abstractNum>
  <w:abstractNum w:abstractNumId="13">
    <w:nsid w:val="5B25ACE2"/>
    <w:multiLevelType w:val="hybridMultilevel"/>
    <w:lvl w:ilvl="0">
      <w:lvlJc w:val="left"/>
      <w:lvlText w:val="(%1)"/>
      <w:numFmt w:val="lowerLetter"/>
      <w:start w:val="1"/>
    </w:lvl>
  </w:abstractNum>
  <w:abstractNum w:abstractNumId="14">
    <w:nsid w:val="175DFCF0"/>
    <w:multiLevelType w:val="hybridMultilevel"/>
    <w:lvl w:ilvl="0">
      <w:lvlJc w:val="left"/>
      <w:lvlText w:val="(%1)"/>
      <w:numFmt w:val="lowerLetter"/>
      <w:start w:val="1"/>
    </w:lvl>
  </w:abstractNum>
  <w:abstractNum w:abstractNumId="15">
    <w:nsid w:val="4F97E3E4"/>
    <w:multiLevelType w:val="hybridMultilevel"/>
    <w:lvl w:ilvl="0">
      <w:lvlJc w:val="left"/>
      <w:lvlText w:val="(%1)"/>
      <w:numFmt w:val="lowerLetter"/>
      <w:start w:val="26"/>
    </w:lvl>
  </w:abstractNum>
  <w:abstractNum w:abstractNumId="16">
    <w:nsid w:val="53B0A9E"/>
    <w:multiLevelType w:val="hybridMultilevel"/>
    <w:lvl w:ilvl="0">
      <w:lvlJc w:val="left"/>
      <w:lvlText w:val="(%1)"/>
      <w:numFmt w:val="lowerLetter"/>
      <w:start w:val="2"/>
    </w:lvl>
  </w:abstractNum>
  <w:abstractNum w:abstractNumId="17">
    <w:nsid w:val="34FD6B4F"/>
    <w:multiLevelType w:val="hybridMultilevel"/>
    <w:lvl w:ilvl="0">
      <w:lvlJc w:val="left"/>
      <w:lvlText w:val="1"/>
      <w:numFmt w:val="bullet"/>
      <w:start w:val="1"/>
    </w:lvl>
  </w:abstractNum>
  <w:abstractNum w:abstractNumId="18">
    <w:nsid w:val="5915FF32"/>
    <w:multiLevelType w:val="hybridMultilevel"/>
    <w:lvl w:ilvl="0">
      <w:lvlJc w:val="left"/>
      <w:lvlText w:val="2"/>
      <w:numFmt w:val="bullet"/>
      <w:start w:val="1"/>
    </w:lvl>
  </w:abstractNum>
  <w:abstractNum w:abstractNumId="19">
    <w:nsid w:val="56438D15"/>
    <w:multiLevelType w:val="hybridMultilevel"/>
    <w:lvl w:ilvl="0">
      <w:lvlJc w:val="left"/>
      <w:lvlText w:val="3"/>
      <w:numFmt w:val="bullet"/>
      <w:start w:val="1"/>
    </w:lvl>
  </w:abstractNum>
  <w:abstractNum w:abstractNumId="20">
    <w:nsid w:val="519E3149"/>
    <w:multiLevelType w:val="hybridMultilevel"/>
    <w:lvl w:ilvl="0">
      <w:lvlJc w:val="left"/>
      <w:lvlText w:val="4"/>
      <w:numFmt w:val="bullet"/>
      <w:start w:val="1"/>
    </w:lvl>
  </w:abstractNum>
  <w:abstractNum w:abstractNumId="21">
    <w:nsid w:val="2C6E4AFD"/>
    <w:multiLevelType w:val="hybridMultilevel"/>
    <w:lvl w:ilvl="0">
      <w:lvlJc w:val="left"/>
      <w:lvlText w:val="&amp;"/>
      <w:numFmt w:val="bullet"/>
      <w:start w:val="1"/>
    </w:lvl>
  </w:abstractNum>
  <w:abstractNum w:abstractNumId="22">
    <w:nsid w:val="17A1B582"/>
    <w:multiLevelType w:val="hybridMultilevel"/>
    <w:lvl w:ilvl="0">
      <w:lvlJc w:val="left"/>
      <w:lvlText w:val="5"/>
      <w:numFmt w:val="bullet"/>
      <w:start w:val="1"/>
    </w:lvl>
  </w:abstractNum>
  <w:abstractNum w:abstractNumId="23">
    <w:nsid w:val="4DF72E4E"/>
    <w:multiLevelType w:val="hybridMultilevel"/>
    <w:lvl w:ilvl="0">
      <w:lvlJc w:val="left"/>
      <w:lvlText w:val="(%1)"/>
      <w:numFmt w:val="lowerLetter"/>
      <w:start w:val="2"/>
    </w:lvl>
  </w:abstractNum>
  <w:abstractNum w:abstractNumId="24">
    <w:nsid w:val="5046B5A9"/>
    <w:multiLevelType w:val="hybridMultilevel"/>
    <w:lvl w:ilvl="0">
      <w:lvlJc w:val="left"/>
      <w:lvlText w:val="6"/>
      <w:numFmt w:val="bullet"/>
      <w:start w:val="1"/>
    </w:lvl>
  </w:abstractNum>
  <w:abstractNum w:abstractNumId="25">
    <w:nsid w:val="5D888A08"/>
    <w:multiLevelType w:val="hybridMultilevel"/>
    <w:lvl w:ilvl="0">
      <w:lvlJc w:val="left"/>
      <w:lvlText w:val="%1"/>
      <w:numFmt w:val="lowerRoman"/>
      <w:start w:val="1"/>
    </w:lvl>
    <w:lvl w:ilvl="1">
      <w:lvlJc w:val="left"/>
      <w:lvlText w:val="(%2)"/>
      <w:numFmt w:val="decimal"/>
      <w:start w:val="1"/>
    </w:lvl>
  </w:abstractNum>
  <w:abstractNum w:abstractNumId="26">
    <w:nsid w:val="2A082C70"/>
    <w:multiLevelType w:val="hybridMultilevel"/>
    <w:lvl w:ilvl="0">
      <w:lvlJc w:val="left"/>
      <w:lvlText w:val="(%1)"/>
      <w:numFmt w:val="lowerRoman"/>
      <w:start w:val="2"/>
    </w:lvl>
    <w:lvl w:ilvl="1">
      <w:lvlJc w:val="left"/>
      <w:lvlText w:val="%2"/>
      <w:numFmt w:val="decimal"/>
      <w:start w:val="1"/>
    </w:lvl>
  </w:abstractNum>
  <w:abstractNum w:abstractNumId="27">
    <w:nsid w:val="5EC6AFD4"/>
    <w:multiLevelType w:val="hybridMultilevel"/>
    <w:lvl w:ilvl="0">
      <w:lvlJc w:val="left"/>
      <w:lvlText w:val="(%1)"/>
      <w:numFmt w:val="decimal"/>
      <w:start w:val="1"/>
    </w:lvl>
  </w:abstractNum>
  <w:abstractNum w:abstractNumId="28">
    <w:nsid w:val="19E21BB2"/>
    <w:multiLevelType w:val="hybridMultilevel"/>
    <w:lvl w:ilvl="0">
      <w:lvlJc w:val="left"/>
      <w:lvlText w:val="(%1)"/>
      <w:numFmt w:val="lowerLetter"/>
      <w:start w:val="2"/>
    </w:lvl>
  </w:abstractNum>
  <w:abstractNum w:abstractNumId="29">
    <w:nsid w:val="75E0858A"/>
    <w:multiLevelType w:val="hybridMultilevel"/>
    <w:lvl w:ilvl="0">
      <w:lvlJc w:val="left"/>
      <w:lvlText w:val="7"/>
      <w:numFmt w:val="bullet"/>
      <w:start w:val="1"/>
    </w:lvl>
  </w:abstractNum>
  <w:abstractNum w:abstractNumId="30">
    <w:nsid w:val="57A61A29"/>
    <w:multiLevelType w:val="hybridMultilevel"/>
    <w:lvl w:ilvl="0">
      <w:lvlJc w:val="left"/>
      <w:lvlText w:val="(%1)"/>
      <w:numFmt w:val="decimal"/>
      <w:start w:val="2"/>
    </w:lvl>
  </w:abstractNum>
  <w:abstractNum w:abstractNumId="31">
    <w:nsid w:val="5399C654"/>
    <w:multiLevelType w:val="hybridMultilevel"/>
    <w:lvl w:ilvl="0">
      <w:lvlJc w:val="left"/>
      <w:lvlText w:val="(%1)"/>
      <w:numFmt w:val="decimal"/>
      <w:start w:val="1"/>
    </w:lvl>
  </w:abstractNum>
  <w:abstractNum w:abstractNumId="32">
    <w:nsid w:val="20EE1348"/>
    <w:multiLevelType w:val="hybridMultilevel"/>
    <w:lvl w:ilvl="0">
      <w:lvlJc w:val="left"/>
      <w:lvlText w:val="(%1)"/>
      <w:numFmt w:val="decimal"/>
      <w:start w:val="1"/>
    </w:lvl>
  </w:abstractNum>
  <w:abstractNum w:abstractNumId="33">
    <w:nsid w:val="4427069A"/>
    <w:multiLevelType w:val="hybridMultilevel"/>
    <w:lvl w:ilvl="0">
      <w:lvlJc w:val="left"/>
      <w:lvlText w:val="8"/>
      <w:numFmt w:val="bullet"/>
      <w:start w:val="1"/>
    </w:lvl>
  </w:abstractNum>
  <w:abstractNum w:abstractNumId="34">
    <w:nsid w:val="B37E80A"/>
    <w:multiLevelType w:val="hybridMultilevel"/>
    <w:lvl w:ilvl="0">
      <w:lvlJc w:val="left"/>
      <w:lvlText w:val="(%1)"/>
      <w:numFmt w:val="lowerLetter"/>
      <w:start w:val="2"/>
    </w:lvl>
  </w:abstractNum>
  <w:abstractNum w:abstractNumId="35">
    <w:nsid w:val="2157F6BC"/>
    <w:multiLevelType w:val="hybridMultilevel"/>
    <w:lvl w:ilvl="0">
      <w:lvlJc w:val="left"/>
      <w:lvlText w:val="(%1)"/>
      <w:numFmt w:val="lowerLetter"/>
      <w:start w:val="2"/>
    </w:lvl>
  </w:abstractNum>
  <w:abstractNum w:abstractNumId="36">
    <w:nsid w:val="704E1DD5"/>
    <w:multiLevelType w:val="hybridMultilevel"/>
    <w:lvl w:ilvl="0">
      <w:lvlJc w:val="left"/>
      <w:lvlText w:val="9"/>
      <w:numFmt w:val="bullet"/>
      <w:start w:val="1"/>
    </w:lvl>
  </w:abstractNum>
  <w:abstractNum w:abstractNumId="37">
    <w:nsid w:val="57D2F10E"/>
    <w:multiLevelType w:val="hybridMultilevel"/>
    <w:lvl w:ilvl="0">
      <w:lvlJc w:val="left"/>
      <w:lvlText w:val="%1"/>
      <w:numFmt w:val="decimal"/>
      <w:start w:val="10"/>
    </w:lvl>
  </w:abstractNum>
  <w:abstractNum w:abstractNumId="38">
    <w:nsid w:val="BFFAE18"/>
    <w:multiLevelType w:val="hybridMultilevel"/>
    <w:lvl w:ilvl="0">
      <w:lvlJc w:val="left"/>
      <w:lvlText w:val="(%1)"/>
      <w:numFmt w:val="lowerLetter"/>
      <w:start w:val="1"/>
    </w:lvl>
  </w:abstractNum>
  <w:abstractNum w:abstractNumId="39">
    <w:nsid w:val="E3E47A8"/>
    <w:multiLevelType w:val="hybridMultilevel"/>
    <w:lvl w:ilvl="0">
      <w:lvlJc w:val="left"/>
      <w:lvlText w:val="%1"/>
      <w:numFmt w:val="decimal"/>
      <w:start w:val="11"/>
    </w:lvl>
  </w:abstractNum>
  <w:abstractNum w:abstractNumId="40">
    <w:nsid w:val="2E48F044"/>
    <w:multiLevelType w:val="hybridMultilevel"/>
    <w:lvl w:ilvl="0">
      <w:lvlJc w:val="left"/>
      <w:lvlText w:val="(%1)"/>
      <w:numFmt w:val="lowerLetter"/>
      <w:start w:val="5"/>
    </w:lvl>
  </w:abstractNum>
  <w:abstractNum w:abstractNumId="41">
    <w:nsid w:val="49D0FEAC"/>
    <w:multiLevelType w:val="hybridMultilevel"/>
    <w:lvl w:ilvl="0">
      <w:lvlJc w:val="left"/>
      <w:lvlText w:val="%1"/>
      <w:numFmt w:val="decimal"/>
      <w:start w:val="12"/>
    </w:lvl>
  </w:abstractNum>
  <w:abstractNum w:abstractNumId="42">
    <w:nsid w:val="4BEE5A5B"/>
    <w:multiLevelType w:val="hybridMultilevel"/>
    <w:lvl w:ilvl="0">
      <w:lvlJc w:val="left"/>
      <w:lvlText w:val="%1"/>
      <w:numFmt w:val="decimal"/>
      <w:start w:val="13"/>
    </w:lvl>
  </w:abstractNum>
  <w:abstractNum w:abstractNumId="43">
    <w:nsid w:val="5551B9F3"/>
    <w:multiLevelType w:val="hybridMultilevel"/>
    <w:lvl w:ilvl="0">
      <w:lvlJc w:val="left"/>
      <w:lvlText w:val="%1"/>
      <w:numFmt w:val="decimal"/>
      <w:start w:val="14"/>
    </w:lvl>
  </w:abstractNum>
  <w:abstractNum w:abstractNumId="44">
    <w:nsid w:val="24F6AB8E"/>
    <w:multiLevelType w:val="hybridMultilevel"/>
    <w:lvl w:ilvl="0">
      <w:lvlJc w:val="left"/>
      <w:lvlText w:val="%1"/>
      <w:numFmt w:val="decimal"/>
      <w:start w:val="15"/>
    </w:lvl>
  </w:abstractNum>
  <w:abstractNum w:abstractNumId="45">
    <w:nsid w:val="634C574C"/>
    <w:multiLevelType w:val="hybridMultilevel"/>
    <w:lvl w:ilvl="0">
      <w:lvlJc w:val="left"/>
      <w:lvlText w:val="%1"/>
      <w:numFmt w:val="decimal"/>
      <w:start w:val="16"/>
    </w:lvl>
  </w:abstractNum>
  <w:abstractNum w:abstractNumId="46">
    <w:nsid w:val="24E99DD7"/>
    <w:multiLevelType w:val="hybridMultilevel"/>
    <w:lvl w:ilvl="0">
      <w:lvlJc w:val="left"/>
      <w:lvlText w:val="(%1)"/>
      <w:numFmt w:val="lowerLetter"/>
      <w:start w:val="1"/>
    </w:lvl>
  </w:abstractNum>
  <w:abstractNum w:abstractNumId="47">
    <w:nsid w:val="2A31B62D"/>
    <w:multiLevelType w:val="hybridMultilevel"/>
    <w:lvl w:ilvl="0">
      <w:lvlJc w:val="left"/>
      <w:lvlText w:val="%1"/>
      <w:numFmt w:val="decimal"/>
      <w:start w:val="17"/>
    </w:lvl>
  </w:abstractNum>
  <w:abstractNum w:abstractNumId="48">
    <w:nsid w:val="1849C29B"/>
    <w:multiLevelType w:val="hybridMultilevel"/>
    <w:lvl w:ilvl="0">
      <w:lvlJc w:val="left"/>
      <w:lvlText w:val="%1"/>
      <w:numFmt w:val="decimal"/>
      <w:start w:val="18"/>
    </w:lvl>
  </w:abstractNum>
  <w:abstractNum w:abstractNumId="49">
    <w:nsid w:val="7DFF9D09"/>
    <w:multiLevelType w:val="hybridMultilevel"/>
    <w:lvl w:ilvl="0">
      <w:lvlJc w:val="left"/>
      <w:lvlText w:val="%1"/>
      <w:numFmt w:val="decimal"/>
      <w:start w:val="19"/>
    </w:lvl>
  </w:abstractNum>
  <w:abstractNum w:abstractNumId="50">
    <w:nsid w:val="754342"/>
    <w:multiLevelType w:val="hybridMultilevel"/>
    <w:lvl w:ilvl="0">
      <w:lvlJc w:val="left"/>
      <w:lvlText w:val="%1"/>
      <w:numFmt w:val="decimal"/>
      <w:start w:val="20"/>
    </w:lvl>
  </w:abstractNum>
  <w:abstractNum w:abstractNumId="51">
    <w:nsid w:val="69E7F3E5"/>
    <w:multiLevelType w:val="hybridMultilevel"/>
    <w:lvl w:ilvl="0">
      <w:lvlJc w:val="left"/>
      <w:lvlText w:val="%1"/>
      <w:numFmt w:val="decimal"/>
      <w:start w:val="21"/>
    </w:lvl>
  </w:abstractNum>
  <w:abstractNum w:abstractNumId="52">
    <w:nsid w:val="2A6DE806"/>
    <w:multiLevelType w:val="hybridMultilevel"/>
    <w:lvl w:ilvl="0">
      <w:lvlJc w:val="left"/>
      <w:lvlText w:val="%1"/>
      <w:numFmt w:val="decimal"/>
      <w:start w:val="22"/>
    </w:lvl>
  </w:abstractNum>
  <w:abstractNum w:abstractNumId="53">
    <w:nsid w:val="1816F8C4"/>
    <w:multiLevelType w:val="hybridMultilevel"/>
    <w:lvl w:ilvl="0">
      <w:lvlJc w:val="left"/>
      <w:lvlText w:val="%1"/>
      <w:numFmt w:val="decimal"/>
      <w:start w:val="23"/>
    </w:lvl>
  </w:abstractNum>
  <w:abstractNum w:abstractNumId="54">
    <w:nsid w:val="37DF2233"/>
    <w:multiLevelType w:val="hybridMultilevel"/>
    <w:lvl w:ilvl="0">
      <w:lvlJc w:val="left"/>
      <w:lvlText w:val="(%1)"/>
      <w:numFmt w:val="lowerLetter"/>
      <w:start w:val="26"/>
    </w:lvl>
  </w:abstractNum>
  <w:abstractNum w:abstractNumId="55">
    <w:nsid w:val="7AB49DAF"/>
    <w:multiLevelType w:val="hybridMultilevel"/>
    <w:lvl w:ilvl="0">
      <w:lvlJc w:val="left"/>
      <w:lvlText w:val="%1"/>
      <w:numFmt w:val="decimal"/>
      <w:start w:val="24"/>
    </w:lvl>
  </w:abstractNum>
  <w:abstractNum w:abstractNumId="56">
    <w:nsid w:val="759F82CD"/>
    <w:multiLevelType w:val="hybridMultilevel"/>
    <w:lvl w:ilvl="0">
      <w:lvlJc w:val="left"/>
      <w:lvlText w:val="%1"/>
      <w:numFmt w:val="decimal"/>
      <w:start w:val="25"/>
    </w:lvl>
  </w:abstractNum>
  <w:abstractNum w:abstractNumId="57">
    <w:nsid w:val="61E74EA3"/>
    <w:multiLevelType w:val="hybridMultilevel"/>
    <w:lvl w:ilvl="0">
      <w:lvlJc w:val="left"/>
      <w:lvlText w:val="%1"/>
      <w:numFmt w:val="decimal"/>
      <w:start w:val="26"/>
    </w:lvl>
  </w:abstractNum>
  <w:abstractNum w:abstractNumId="58">
    <w:nsid w:val="597B4D84"/>
    <w:multiLevelType w:val="hybridMultilevel"/>
    <w:lvl w:ilvl="0">
      <w:lvlJc w:val="left"/>
      <w:lvlText w:val="%1"/>
      <w:numFmt w:val="decimal"/>
      <w:start w:val="27"/>
    </w:lvl>
  </w:abstractNum>
  <w:abstractNum w:abstractNumId="59">
    <w:nsid w:val="F819E7F"/>
    <w:multiLevelType w:val="hybridMultilevel"/>
    <w:lvl w:ilvl="0">
      <w:lvlJc w:val="left"/>
      <w:lvlText w:val="(%1)"/>
      <w:numFmt w:val="lowerLetter"/>
      <w:start w:val="2"/>
    </w:lvl>
  </w:abstractNum>
  <w:abstractNum w:abstractNumId="60">
    <w:nsid w:val="57C7D42D"/>
    <w:multiLevelType w:val="hybridMultilevel"/>
    <w:lvl w:ilvl="0">
      <w:lvlJc w:val="left"/>
      <w:lvlText w:val="%1"/>
      <w:numFmt w:val="decimal"/>
      <w:start w:val="28"/>
    </w:lvl>
  </w:abstractNum>
  <w:abstractNum w:abstractNumId="61">
    <w:nsid w:val="312167AD"/>
    <w:multiLevelType w:val="hybridMultilevel"/>
    <w:lvl w:ilvl="0">
      <w:lvlJc w:val="left"/>
      <w:lvlText w:val="%1"/>
      <w:numFmt w:val="decimal"/>
      <w:start w:val="29"/>
    </w:lvl>
  </w:abstractNum>
  <w:abstractNum w:abstractNumId="62">
    <w:nsid w:val="631B64D4"/>
    <w:multiLevelType w:val="hybridMultilevel"/>
    <w:lvl w:ilvl="0">
      <w:lvlJc w:val="left"/>
      <w:lvlText w:val="(%1)"/>
      <w:numFmt w:val="lowerLetter"/>
      <w:start w:val="1"/>
    </w:lvl>
  </w:abstractNum>
  <w:abstractNum w:abstractNumId="63">
    <w:nsid w:val="78B5E776"/>
    <w:multiLevelType w:val="hybridMultilevel"/>
    <w:lvl w:ilvl="0">
      <w:lvlJc w:val="left"/>
      <w:lvlText w:val="%1"/>
      <w:numFmt w:val="decimal"/>
      <w:start w:val="30"/>
    </w:lvl>
  </w:abstractNum>
  <w:abstractNum w:abstractNumId="64">
    <w:nsid w:val="75486E47"/>
    <w:multiLevelType w:val="hybridMultilevel"/>
    <w:lvl w:ilvl="0">
      <w:lvlJc w:val="left"/>
      <w:lvlText w:val="%1"/>
      <w:numFmt w:val="decimal"/>
      <w:start w:val="31"/>
    </w:lvl>
  </w:abstractNum>
  <w:abstractNum w:abstractNumId="65">
    <w:nsid w:val="6E534CDE"/>
    <w:multiLevelType w:val="hybridMultilevel"/>
    <w:lvl w:ilvl="0">
      <w:lvlJc w:val="left"/>
      <w:lvlText w:val="%1"/>
      <w:numFmt w:val="decimal"/>
      <w:start w:val="32"/>
    </w:lvl>
  </w:abstractNum>
  <w:abstractNum w:abstractNumId="66">
    <w:nsid w:val="1A0DDE32"/>
    <w:multiLevelType w:val="hybridMultilevel"/>
    <w:lvl w:ilvl="0">
      <w:lvlJc w:val="left"/>
      <w:lvlText w:val="%1"/>
      <w:numFmt w:val="decimal"/>
      <w:start w:val="33"/>
    </w:lvl>
  </w:abstractNum>
  <w:abstractNum w:abstractNumId="67">
    <w:nsid w:val="65968C1C"/>
    <w:multiLevelType w:val="hybridMultilevel"/>
    <w:lvl w:ilvl="0">
      <w:lvlJc w:val="left"/>
      <w:lvlText w:val="%1"/>
      <w:numFmt w:val="decimal"/>
      <w:start w:val="34"/>
    </w:lvl>
  </w:abstractNum>
  <w:abstractNum w:abstractNumId="68">
    <w:nsid w:val="46263DEC"/>
    <w:multiLevelType w:val="hybridMultilevel"/>
    <w:lvl w:ilvl="0">
      <w:lvlJc w:val="left"/>
      <w:lvlText w:val="%1"/>
      <w:numFmt w:val="decimal"/>
      <w:start w:val="35"/>
    </w:lvl>
  </w:abstractNum>
  <w:abstractNum w:abstractNumId="69">
    <w:nsid w:val="260D8C4A"/>
    <w:multiLevelType w:val="hybridMultilevel"/>
    <w:lvl w:ilvl="0">
      <w:lvlJc w:val="left"/>
      <w:lvlText w:val="(%1)"/>
      <w:numFmt w:val="lowerRoman"/>
      <w:start w:val="10"/>
    </w:lvl>
  </w:abstractNum>
  <w:abstractNum w:abstractNumId="70">
    <w:nsid w:val="73D4D3C4"/>
    <w:multiLevelType w:val="hybridMultilevel"/>
    <w:lvl w:ilvl="0">
      <w:lvlJc w:val="left"/>
      <w:lvlText w:val="%1"/>
      <w:numFmt w:val="decimal"/>
      <w:start w:val="36"/>
    </w:lvl>
  </w:abstractNum>
  <w:abstractNum w:abstractNumId="71">
    <w:nsid w:val="746F2E30"/>
    <w:multiLevelType w:val="hybridMultilevel"/>
    <w:lvl w:ilvl="0">
      <w:lvlJc w:val="left"/>
      <w:lvlText w:val="%1"/>
      <w:numFmt w:val="decimal"/>
      <w:start w:val="37"/>
    </w:lvl>
  </w:abstractNum>
  <w:abstractNum w:abstractNumId="72">
    <w:nsid w:val="6FDE8AF6"/>
    <w:multiLevelType w:val="hybridMultilevel"/>
    <w:lvl w:ilvl="0">
      <w:lvlJc w:val="left"/>
      <w:lvlText w:val="%1"/>
      <w:numFmt w:val="decimal"/>
      <w:start w:val="38"/>
    </w:lvl>
  </w:abstractNum>
  <w:abstractNum w:abstractNumId="73">
    <w:nsid w:val="3FC32E20"/>
    <w:multiLevelType w:val="hybridMultilevel"/>
    <w:lvl w:ilvl="0">
      <w:lvlJc w:val="left"/>
      <w:lvlText w:val="%1"/>
      <w:numFmt w:val="decimal"/>
      <w:start w:val="39"/>
    </w:lvl>
  </w:abstractNum>
  <w:abstractNum w:abstractNumId="74">
    <w:nsid w:val="49C0E823"/>
    <w:multiLevelType w:val="hybridMultilevel"/>
    <w:lvl w:ilvl="0">
      <w:lvlJc w:val="left"/>
      <w:lvlText w:val="(%1)"/>
      <w:numFmt w:val="lowerLetter"/>
      <w:start w:val="1"/>
    </w:lvl>
  </w:abstractNum>
  <w:abstractNum w:abstractNumId="75">
    <w:nsid w:val="14D53685"/>
    <w:multiLevelType w:val="hybridMultilevel"/>
    <w:lvl w:ilvl="0">
      <w:lvlJc w:val="left"/>
      <w:lvlText w:val="(%1)"/>
      <w:numFmt w:val="upperLetter"/>
      <w:start w:val="1"/>
    </w:lvl>
  </w:abstractNum>
  <w:abstractNum w:abstractNumId="76">
    <w:nsid w:val="230F856C"/>
    <w:multiLevelType w:val="hybridMultilevel"/>
    <w:lvl w:ilvl="0">
      <w:lvlJc w:val="left"/>
      <w:lvlText w:val="%1"/>
      <w:numFmt w:val="decimal"/>
      <w:start w:val="40"/>
    </w:lvl>
  </w:abstractNum>
  <w:abstractNum w:abstractNumId="77">
    <w:nsid w:val="6EAA85FB"/>
    <w:multiLevelType w:val="hybridMultilevel"/>
    <w:lvl w:ilvl="0">
      <w:lvlJc w:val="left"/>
      <w:lvlText w:val="%1"/>
      <w:numFmt w:val="decimal"/>
      <w:start w:val="41"/>
    </w:lvl>
  </w:abstractNum>
  <w:abstractNum w:abstractNumId="78">
    <w:nsid w:val="3F06ECB2"/>
    <w:multiLevelType w:val="hybridMultilevel"/>
    <w:lvl w:ilvl="0">
      <w:lvlJc w:val="left"/>
      <w:lvlText w:val="(%1)"/>
      <w:numFmt w:val="lowerLetter"/>
      <w:start w:val="1"/>
    </w:lvl>
  </w:abstractNum>
  <w:abstractNum w:abstractNumId="79">
    <w:nsid w:val="3B594807"/>
    <w:multiLevelType w:val="hybridMultilevel"/>
    <w:lvl w:ilvl="0">
      <w:lvlJc w:val="left"/>
      <w:lvlText w:val="%1"/>
      <w:numFmt w:val="decimal"/>
      <w:start w:val="42"/>
    </w:lvl>
  </w:abstractNum>
  <w:abstractNum w:abstractNumId="80">
    <w:nsid w:val="6CAA2304"/>
    <w:multiLevelType w:val="hybridMultilevel"/>
    <w:lvl w:ilvl="0">
      <w:lvlJc w:val="left"/>
      <w:lvlText w:val="(%1)"/>
      <w:numFmt w:val="lowerLetter"/>
      <w:start w:val="5"/>
    </w:lvl>
  </w:abstractNum>
  <w:abstractNum w:abstractNumId="81">
    <w:nsid w:val="3F7C2FF4"/>
    <w:multiLevelType w:val="hybridMultilevel"/>
    <w:lvl w:ilvl="0">
      <w:lvlJc w:val="left"/>
      <w:lvlText w:val="(%1)"/>
      <w:numFmt w:val="lowerLetter"/>
      <w:start w:val="2"/>
    </w:lvl>
  </w:abstractNum>
  <w:abstractNum w:abstractNumId="82">
    <w:nsid w:val="25413BEC"/>
    <w:multiLevelType w:val="hybridMultilevel"/>
    <w:lvl w:ilvl="0">
      <w:lvlJc w:val="left"/>
      <w:lvlText w:val="%1"/>
      <w:numFmt w:val="decimal"/>
      <w:start w:val="43"/>
    </w:lvl>
  </w:abstractNum>
  <w:abstractNum w:abstractNumId="83">
    <w:nsid w:val="17180B0B"/>
    <w:multiLevelType w:val="hybridMultilevel"/>
    <w:lvl w:ilvl="0">
      <w:lvlJc w:val="left"/>
      <w:lvlText w:val="(%1)"/>
      <w:numFmt w:val="lowerLetter"/>
      <w:start w:val="6"/>
    </w:lvl>
  </w:abstractNum>
  <w:abstractNum w:abstractNumId="84">
    <w:nsid w:val="579328B9"/>
    <w:multiLevelType w:val="hybridMultilevel"/>
    <w:lvl w:ilvl="0">
      <w:lvlJc w:val="left"/>
      <w:lvlText w:val="(%1)"/>
      <w:numFmt w:val="lowerLetter"/>
      <w:start w:val="1"/>
    </w:lvl>
  </w:abstractNum>
  <w:abstractNum w:abstractNumId="85">
    <w:nsid w:val="5D205E20"/>
    <w:multiLevelType w:val="hybridMultilevel"/>
    <w:lvl w:ilvl="0">
      <w:lvlJc w:val="left"/>
      <w:lvlText w:val="%1"/>
      <w:numFmt w:val="decimal"/>
      <w:start w:val="44"/>
    </w:lvl>
  </w:abstractNum>
  <w:abstractNum w:abstractNumId="86">
    <w:nsid w:val="11CCA8BA"/>
    <w:multiLevelType w:val="hybridMultilevel"/>
    <w:lvl w:ilvl="0">
      <w:lvlJc w:val="left"/>
      <w:lvlText w:val="(%1)"/>
      <w:numFmt w:val="lowerLetter"/>
      <w:start w:val="2"/>
    </w:lvl>
  </w:abstractNum>
  <w:abstractNum w:abstractNumId="87">
    <w:nsid w:val="4D32AB86"/>
    <w:multiLevelType w:val="hybridMultilevel"/>
    <w:lvl w:ilvl="0">
      <w:lvlJc w:val="left"/>
      <w:lvlText w:val="(%1)"/>
      <w:numFmt w:val="lowerLetter"/>
      <w:start w:val="1"/>
    </w:lvl>
  </w:abstractNum>
  <w:abstractNum w:abstractNumId="88">
    <w:nsid w:val="3F07ACC3"/>
    <w:multiLevelType w:val="hybridMultilevel"/>
    <w:lvl w:ilvl="0">
      <w:lvlJc w:val="left"/>
      <w:lvlText w:val="%1"/>
      <w:numFmt w:val="decimal"/>
      <w:start w:val="45"/>
    </w:lvl>
  </w:abstractNum>
  <w:abstractNum w:abstractNumId="89">
    <w:nsid w:val="6B47F63E"/>
    <w:multiLevelType w:val="hybridMultilevel"/>
    <w:lvl w:ilvl="0">
      <w:lvlJc w:val="left"/>
      <w:lvlText w:val="(%1)"/>
      <w:numFmt w:val="lowerLetter"/>
      <w:start w:val="2"/>
    </w:lvl>
  </w:abstractNum>
  <w:abstractNum w:abstractNumId="90">
    <w:nsid w:val="5CB44A05"/>
    <w:multiLevelType w:val="hybridMultilevel"/>
    <w:lvl w:ilvl="0">
      <w:lvlJc w:val="left"/>
      <w:lvlText w:val="%1"/>
      <w:numFmt w:val="decimal"/>
      <w:start w:val="46"/>
    </w:lvl>
  </w:abstractNum>
  <w:abstractNum w:abstractNumId="91">
    <w:nsid w:val="16CF80F1"/>
    <w:multiLevelType w:val="hybridMultilevel"/>
    <w:lvl w:ilvl="0">
      <w:lvlJc w:val="left"/>
      <w:lvlText w:val="%1"/>
      <w:numFmt w:val="decimal"/>
      <w:start w:val="47"/>
    </w:lvl>
  </w:abstractNum>
  <w:abstractNum w:abstractNumId="92">
    <w:nsid w:val="1C695DEC"/>
    <w:multiLevelType w:val="hybridMultilevel"/>
    <w:lvl w:ilvl="0">
      <w:lvlJc w:val="left"/>
      <w:lvlText w:val="%1"/>
      <w:numFmt w:val="decimal"/>
      <w:start w:val="48"/>
    </w:lvl>
  </w:abstractNum>
  <w:abstractNum w:abstractNumId="93">
    <w:nsid w:val="3FCFAED9"/>
    <w:multiLevelType w:val="hybridMultilevel"/>
    <w:lvl w:ilvl="0">
      <w:lvlJc w:val="left"/>
      <w:lvlText w:val="%1"/>
      <w:numFmt w:val="decimal"/>
      <w:start w:val="49"/>
    </w:lvl>
  </w:abstractNum>
  <w:abstractNum w:abstractNumId="94">
    <w:nsid w:val="F856867"/>
    <w:multiLevelType w:val="hybridMultilevel"/>
    <w:lvl w:ilvl="0">
      <w:lvlJc w:val="left"/>
      <w:lvlText w:val="%1"/>
      <w:numFmt w:val="decimal"/>
      <w:start w:val="50"/>
    </w:lvl>
  </w:abstractNum>
  <w:abstractNum w:abstractNumId="95">
    <w:nsid w:val="11B1CC33"/>
    <w:multiLevelType w:val="hybridMultilevel"/>
    <w:lvl w:ilvl="0">
      <w:lvlJc w:val="left"/>
      <w:lvlText w:val="%1"/>
      <w:numFmt w:val="decimal"/>
      <w:start w:val="51"/>
    </w:lvl>
  </w:abstractNum>
  <w:abstractNum w:abstractNumId="96">
    <w:nsid w:val="2E22FBB7"/>
    <w:multiLevelType w:val="hybridMultilevel"/>
    <w:lvl w:ilvl="0">
      <w:lvlJc w:val="left"/>
      <w:lvlText w:val="%1"/>
      <w:numFmt w:val="decimal"/>
      <w:start w:val="52"/>
    </w:lvl>
  </w:abstractNum>
  <w:abstractNum w:abstractNumId="97">
    <w:nsid w:val="29934699"/>
    <w:multiLevelType w:val="hybridMultilevel"/>
    <w:lvl w:ilvl="0">
      <w:lvlJc w:val="left"/>
      <w:lvlText w:val="%1"/>
      <w:numFmt w:val="decimal"/>
      <w:start w:val="53"/>
    </w:lvl>
  </w:abstractNum>
  <w:abstractNum w:abstractNumId="98">
    <w:nsid w:val="77485850"/>
    <w:multiLevelType w:val="hybridMultilevel"/>
    <w:lvl w:ilvl="0">
      <w:lvlJc w:val="left"/>
      <w:lvlText w:val="%1"/>
      <w:numFmt w:val="decimal"/>
      <w:start w:val="54"/>
    </w:lvl>
  </w:abstractNum>
  <w:abstractNum w:abstractNumId="99">
    <w:nsid w:val="744939A3"/>
    <w:multiLevelType w:val="hybridMultilevel"/>
    <w:lvl w:ilvl="0">
      <w:lvlJc w:val="left"/>
      <w:lvlText w:val="%1"/>
      <w:numFmt w:val="decimal"/>
      <w:start w:val="55"/>
    </w:lvl>
  </w:abstractNum>
  <w:abstractNum w:abstractNumId="100">
    <w:nsid w:val="4FA0D2E3"/>
    <w:multiLevelType w:val="hybridMultilevel"/>
    <w:lvl w:ilvl="0">
      <w:lvlJc w:val="left"/>
      <w:lvlText w:val="%1"/>
      <w:numFmt w:val="decimal"/>
      <w:start w:val="56"/>
    </w:lvl>
  </w:abstractNum>
  <w:abstractNum w:abstractNumId="101">
    <w:nsid w:val="6B1D2C14"/>
    <w:multiLevelType w:val="hybridMultilevel"/>
    <w:lvl w:ilvl="0">
      <w:lvlJc w:val="left"/>
      <w:lvlText w:val="(%1)"/>
      <w:numFmt w:val="decimal"/>
      <w:start w:val="1"/>
    </w:lvl>
  </w:abstractNum>
  <w:abstractNum w:abstractNumId="102">
    <w:nsid w:val="68B867D3"/>
    <w:multiLevelType w:val="hybridMultilevel"/>
    <w:lvl w:ilvl="0">
      <w:lvlJc w:val="left"/>
      <w:lvlText w:val="%1"/>
      <w:numFmt w:val="decimal"/>
      <w:start w:val="57"/>
    </w:lvl>
  </w:abstractNum>
  <w:abstractNum w:abstractNumId="103">
    <w:nsid w:val="3F7F5DD9"/>
    <w:multiLevelType w:val="hybridMultilevel"/>
    <w:lvl w:ilvl="0">
      <w:lvlJc w:val="left"/>
      <w:lvlText w:val="%1"/>
      <w:numFmt w:val="decimal"/>
      <w:start w:val="58"/>
    </w:lvl>
  </w:abstractNum>
  <w:abstractNum w:abstractNumId="104">
    <w:nsid w:val="2AE05A34"/>
    <w:multiLevelType w:val="hybridMultilevel"/>
    <w:lvl w:ilvl="0">
      <w:lvlJc w:val="left"/>
      <w:lvlText w:val="%1"/>
      <w:numFmt w:val="decimal"/>
      <w:start w:val="59"/>
    </w:lvl>
  </w:abstractNum>
  <w:abstractNum w:abstractNumId="105">
    <w:nsid w:val="32794FF7"/>
    <w:multiLevelType w:val="hybridMultilevel"/>
    <w:lvl w:ilvl="0">
      <w:lvlJc w:val="left"/>
      <w:lvlText w:val="%1"/>
      <w:numFmt w:val="decimal"/>
      <w:start w:val="60"/>
    </w:lvl>
  </w:abstractNum>
  <w:abstractNum w:abstractNumId="106">
    <w:nsid w:val="5454945E"/>
    <w:multiLevelType w:val="hybridMultilevel"/>
    <w:lvl w:ilvl="0">
      <w:lvlJc w:val="left"/>
      <w:lvlText w:val="%1"/>
      <w:numFmt w:val="decimal"/>
      <w:start w:val="61"/>
    </w:lvl>
  </w:abstractNum>
  <w:abstractNum w:abstractNumId="107">
    <w:nsid w:val="4DEFDFA0"/>
    <w:multiLevelType w:val="hybridMultilevel"/>
    <w:lvl w:ilvl="0">
      <w:lvlJc w:val="left"/>
      <w:lvlText w:val="(%1)"/>
      <w:numFmt w:val="lowerRoman"/>
      <w:start w:val="2"/>
    </w:lvl>
  </w:abstractNum>
  <w:abstractNum w:abstractNumId="108">
    <w:nsid w:val="2123D5F2"/>
    <w:multiLevelType w:val="hybridMultilevel"/>
    <w:lvl w:ilvl="0">
      <w:lvlJc w:val="left"/>
      <w:lvlText w:val="%1"/>
      <w:numFmt w:val="decimal"/>
      <w:start w:val="62"/>
    </w:lvl>
  </w:abstractNum>
  <w:abstractNum w:abstractNumId="109">
    <w:nsid w:val="135B8110"/>
    <w:multiLevelType w:val="hybridMultilevel"/>
    <w:lvl w:ilvl="0">
      <w:lvlJc w:val="left"/>
      <w:lvlText w:val="%1"/>
      <w:numFmt w:val="decimal"/>
      <w:start w:val="63"/>
    </w:lvl>
  </w:abstractNum>
  <w:abstractNum w:abstractNumId="110">
    <w:nsid w:val="94927A8"/>
    <w:multiLevelType w:val="hybridMultilevel"/>
    <w:lvl w:ilvl="0">
      <w:lvlJc w:val="left"/>
      <w:lvlText w:val="%1"/>
      <w:numFmt w:val="decimal"/>
      <w:start w:val="64"/>
    </w:lvl>
  </w:abstractNum>
  <w:abstractNum w:abstractNumId="111">
    <w:nsid w:val="DCDF8F6"/>
    <w:multiLevelType w:val="hybridMultilevel"/>
    <w:lvl w:ilvl="0">
      <w:lvlJc w:val="left"/>
      <w:lvlText w:val="%1"/>
      <w:numFmt w:val="decimal"/>
      <w:start w:val="65"/>
    </w:lvl>
  </w:abstractNum>
  <w:abstractNum w:abstractNumId="112">
    <w:nsid w:val="52D7B105"/>
    <w:multiLevelType w:val="hybridMultilevel"/>
    <w:lvl w:ilvl="0">
      <w:lvlJc w:val="left"/>
      <w:lvlText w:val="%1"/>
      <w:numFmt w:val="decimal"/>
      <w:start w:val="66"/>
    </w:lvl>
  </w:abstractNum>
  <w:abstractNum w:abstractNumId="113">
    <w:nsid w:val="2E8A6394"/>
    <w:multiLevelType w:val="hybridMultilevel"/>
    <w:lvl w:ilvl="0">
      <w:lvlJc w:val="left"/>
      <w:lvlText w:val="(%1)"/>
      <w:numFmt w:val="lowerLetter"/>
      <w:start w:val="24"/>
    </w:lvl>
  </w:abstractNum>
  <w:abstractNum w:abstractNumId="114">
    <w:nsid w:val="24E60401"/>
    <w:multiLevelType w:val="hybridMultilevel"/>
    <w:lvl w:ilvl="0">
      <w:lvlJc w:val="left"/>
      <w:lvlText w:val="%1"/>
      <w:numFmt w:val="decimal"/>
      <w:start w:val="67"/>
    </w:lvl>
  </w:abstractNum>
  <w:abstractNum w:abstractNumId="115">
    <w:nsid w:val="2A6AD9BE"/>
    <w:multiLevelType w:val="hybridMultilevel"/>
    <w:lvl w:ilvl="0">
      <w:lvlJc w:val="left"/>
      <w:lvlText w:val="%1"/>
      <w:numFmt w:val="decimal"/>
      <w:start w:val="68"/>
    </w:lvl>
  </w:abstractNum>
  <w:abstractNum w:abstractNumId="116">
    <w:nsid w:val="BAAC1B4"/>
    <w:multiLevelType w:val="hybridMultilevel"/>
    <w:lvl w:ilvl="0">
      <w:lvlJc w:val="left"/>
      <w:lvlText w:val="%1"/>
      <w:numFmt w:val="decimal"/>
      <w:start w:val="69"/>
    </w:lvl>
  </w:abstractNum>
  <w:abstractNum w:abstractNumId="117">
    <w:nsid w:val="36B2ACBC"/>
    <w:multiLevelType w:val="hybridMultilevel"/>
    <w:lvl w:ilvl="0">
      <w:lvlJc w:val="left"/>
      <w:lvlText w:val="%1"/>
      <w:numFmt w:val="decimal"/>
      <w:start w:val="70"/>
    </w:lvl>
  </w:abstractNum>
  <w:abstractNum w:abstractNumId="118">
    <w:nsid w:val="779D8544"/>
    <w:multiLevelType w:val="hybridMultilevel"/>
    <w:lvl w:ilvl="0">
      <w:lvlJc w:val="left"/>
      <w:lvlText w:val="%1"/>
      <w:numFmt w:val="decimal"/>
      <w:start w:val="71"/>
    </w:lvl>
  </w:abstractNum>
  <w:abstractNum w:abstractNumId="119">
    <w:nsid w:val="4AB26E78"/>
    <w:multiLevelType w:val="hybridMultilevel"/>
    <w:lvl w:ilvl="0">
      <w:lvlJc w:val="left"/>
      <w:lvlText w:val="%1"/>
      <w:numFmt w:val="decimal"/>
      <w:start w:val="72"/>
    </w:lvl>
  </w:abstractNum>
  <w:abstractNum w:abstractNumId="120">
    <w:nsid w:val="21FAA2FA"/>
    <w:multiLevelType w:val="hybridMultilevel"/>
    <w:lvl w:ilvl="0">
      <w:lvlJc w:val="left"/>
      <w:lvlText w:val="%1"/>
      <w:numFmt w:val="decimal"/>
      <w:start w:val="73"/>
    </w:lvl>
  </w:abstractNum>
  <w:abstractNum w:abstractNumId="121">
    <w:nsid w:val="5451CF49"/>
    <w:multiLevelType w:val="hybridMultilevel"/>
    <w:lvl w:ilvl="0">
      <w:lvlJc w:val="left"/>
      <w:lvlText w:val="%1"/>
      <w:numFmt w:val="decimal"/>
      <w:start w:val="74"/>
    </w:lvl>
  </w:abstractNum>
  <w:abstractNum w:abstractNumId="122">
    <w:nsid w:val="6181EF69"/>
    <w:multiLevelType w:val="hybridMultilevel"/>
    <w:lvl w:ilvl="0">
      <w:lvlJc w:val="left"/>
      <w:lvlText w:val="%1"/>
      <w:numFmt w:val="decimal"/>
      <w:start w:val="75"/>
    </w:lvl>
  </w:abstractNum>
  <w:abstractNum w:abstractNumId="123">
    <w:nsid w:val="3E6400E6"/>
    <w:multiLevelType w:val="hybridMultilevel"/>
    <w:lvl w:ilvl="0">
      <w:lvlJc w:val="left"/>
      <w:lvlText w:val="(%1)"/>
      <w:numFmt w:val="lowerLetter"/>
      <w:start w:val="2"/>
    </w:lvl>
  </w:abstractNum>
  <w:abstractNum w:abstractNumId="124">
    <w:nsid w:val="14217E23"/>
    <w:multiLevelType w:val="hybridMultilevel"/>
    <w:lvl w:ilvl="0">
      <w:lvlJc w:val="left"/>
      <w:lvlText w:val="%1"/>
      <w:numFmt w:val="decimal"/>
      <w:start w:val="76"/>
    </w:lvl>
  </w:abstractNum>
  <w:abstractNum w:abstractNumId="125">
    <w:nsid w:val="710757D0"/>
    <w:multiLevelType w:val="hybridMultilevel"/>
    <w:lvl w:ilvl="0">
      <w:lvlJc w:val="left"/>
      <w:lvlText w:val="%1"/>
      <w:numFmt w:val="decimal"/>
      <w:start w:val="77"/>
    </w:lvl>
  </w:abstractNum>
  <w:abstractNum w:abstractNumId="126">
    <w:nsid w:val="5015CD1A"/>
    <w:multiLevelType w:val="hybridMultilevel"/>
    <w:lvl w:ilvl="0">
      <w:lvlJc w:val="left"/>
      <w:lvlText w:val="%1"/>
      <w:numFmt w:val="decimal"/>
      <w:start w:val="78"/>
    </w:lvl>
  </w:abstractNum>
  <w:abstractNum w:abstractNumId="127">
    <w:nsid w:val="424479DA"/>
    <w:multiLevelType w:val="hybridMultilevel"/>
    <w:lvl w:ilvl="0">
      <w:lvlJc w:val="left"/>
      <w:lvlText w:val="%1"/>
      <w:numFmt w:val="decimal"/>
      <w:start w:val="79"/>
    </w:lvl>
  </w:abstractNum>
  <w:abstractNum w:abstractNumId="128">
    <w:nsid w:val="1A9A9E69"/>
    <w:multiLevelType w:val="hybridMultilevel"/>
    <w:lvl w:ilvl="0">
      <w:lvlJc w:val="left"/>
      <w:lvlText w:val="%1"/>
      <w:numFmt w:val="decimal"/>
      <w:start w:val="80"/>
    </w:lvl>
  </w:abstractNum>
  <w:abstractNum w:abstractNumId="129">
    <w:nsid w:val="475E256A"/>
    <w:multiLevelType w:val="hybridMultilevel"/>
    <w:lvl w:ilvl="0">
      <w:lvlJc w:val="left"/>
      <w:lvlText w:val="(%1)"/>
      <w:numFmt w:val="lowerLetter"/>
      <w:start w:val="23"/>
    </w:lvl>
  </w:abstractNum>
  <w:abstractNum w:abstractNumId="130">
    <w:nsid w:val="368DB37E"/>
    <w:multiLevelType w:val="hybridMultilevel"/>
    <w:lvl w:ilvl="0">
      <w:lvlJc w:val="left"/>
      <w:lvlText w:val="%1"/>
      <w:numFmt w:val="decimal"/>
      <w:start w:val="81"/>
    </w:lvl>
  </w:abstractNum>
  <w:abstractNum w:abstractNumId="131">
    <w:nsid w:val="6A3B714C"/>
    <w:multiLevelType w:val="hybridMultilevel"/>
    <w:lvl w:ilvl="0">
      <w:lvlJc w:val="left"/>
      <w:lvlText w:val="%1"/>
      <w:numFmt w:val="decimal"/>
      <w:start w:val="82"/>
    </w:lvl>
  </w:abstractNum>
  <w:abstractNum w:abstractNumId="132">
    <w:nsid w:val="327B517E"/>
    <w:multiLevelType w:val="hybridMultilevel"/>
    <w:lvl w:ilvl="0">
      <w:lvlJc w:val="left"/>
      <w:lvlText w:val="%1"/>
      <w:numFmt w:val="decimal"/>
      <w:start w:val="83"/>
    </w:lvl>
  </w:abstractNum>
  <w:abstractNum w:abstractNumId="133">
    <w:nsid w:val="1F461B51"/>
    <w:multiLevelType w:val="hybridMultilevel"/>
    <w:lvl w:ilvl="0">
      <w:lvlJc w:val="left"/>
      <w:lvlText w:val="%1"/>
      <w:numFmt w:val="decimal"/>
      <w:start w:val="84"/>
    </w:lvl>
  </w:abstractNum>
  <w:abstractNum w:abstractNumId="134">
    <w:nsid w:val="29BACF25"/>
    <w:multiLevelType w:val="hybridMultilevel"/>
    <w:lvl w:ilvl="0">
      <w:lvlJc w:val="left"/>
      <w:lvlText w:val="%1"/>
      <w:numFmt w:val="decimal"/>
      <w:start w:val="85"/>
    </w:lvl>
  </w:abstractNum>
  <w:abstractNum w:abstractNumId="135">
    <w:nsid w:val="5D5BABB3"/>
    <w:multiLevelType w:val="hybridMultilevel"/>
    <w:lvl w:ilvl="0">
      <w:lvlJc w:val="left"/>
      <w:lvlText w:val="%1"/>
      <w:numFmt w:val="decimal"/>
      <w:start w:val="86"/>
    </w:lvl>
  </w:abstractNum>
  <w:abstractNum w:abstractNumId="136">
    <w:nsid w:val="51BF6B48"/>
    <w:multiLevelType w:val="hybridMultilevel"/>
    <w:lvl w:ilvl="0">
      <w:lvlJc w:val="left"/>
      <w:lvlText w:val="%1"/>
      <w:numFmt w:val="decimal"/>
      <w:start w:val="87"/>
    </w:lvl>
  </w:abstractNum>
  <w:abstractNum w:abstractNumId="137">
    <w:nsid w:val="7E0F6384"/>
    <w:multiLevelType w:val="hybridMultilevel"/>
    <w:lvl w:ilvl="0">
      <w:lvlJc w:val="left"/>
      <w:lvlText w:val="%1"/>
      <w:numFmt w:val="decimal"/>
      <w:start w:val="88"/>
    </w:lvl>
  </w:abstractNum>
  <w:abstractNum w:abstractNumId="138">
    <w:nsid w:val="2B4B8B53"/>
    <w:multiLevelType w:val="hybridMultilevel"/>
    <w:lvl w:ilvl="0">
      <w:lvlJc w:val="left"/>
      <w:lvlText w:val="%1"/>
      <w:numFmt w:val="decimal"/>
      <w:start w:val="89"/>
    </w:lvl>
  </w:abstractNum>
  <w:abstractNum w:abstractNumId="139">
    <w:nsid w:val="72E3413A"/>
    <w:multiLevelType w:val="hybridMultilevel"/>
    <w:lvl w:ilvl="0">
      <w:lvlJc w:val="left"/>
      <w:lvlText w:val="%1"/>
      <w:numFmt w:val="decimal"/>
      <w:start w:val="90"/>
    </w:lvl>
  </w:abstractNum>
  <w:abstractNum w:abstractNumId="140">
    <w:nsid w:val="116AE494"/>
    <w:multiLevelType w:val="hybridMultilevel"/>
    <w:lvl w:ilvl="0">
      <w:lvlJc w:val="left"/>
      <w:lvlText w:val="(%1)"/>
      <w:numFmt w:val="upperLetter"/>
      <w:start w:val="2"/>
    </w:lvl>
  </w:abstractNum>
  <w:abstractNum w:abstractNumId="141">
    <w:nsid w:val="3494B2FB"/>
    <w:multiLevelType w:val="hybridMultilevel"/>
    <w:lvl w:ilvl="0">
      <w:lvlJc w:val="left"/>
      <w:lvlText w:val="%1"/>
      <w:numFmt w:val="decimal"/>
      <w:start w:val="91"/>
    </w:lvl>
  </w:abstractNum>
  <w:abstractNum w:abstractNumId="142">
    <w:nsid w:val="B13A31"/>
    <w:multiLevelType w:val="hybridMultilevel"/>
    <w:lvl w:ilvl="0">
      <w:lvlJc w:val="left"/>
      <w:lvlText w:val="%1"/>
      <w:numFmt w:val="decimal"/>
      <w:start w:val="92"/>
    </w:lvl>
  </w:abstractNum>
  <w:abstractNum w:abstractNumId="143">
    <w:nsid w:val="64429599"/>
    <w:multiLevelType w:val="hybridMultilevel"/>
    <w:lvl w:ilvl="0">
      <w:lvlJc w:val="left"/>
      <w:lvlText w:val="%1"/>
      <w:numFmt w:val="decimal"/>
      <w:start w:val="93"/>
    </w:lvl>
  </w:abstractNum>
  <w:abstractNum w:abstractNumId="144">
    <w:nsid w:val="631F1690"/>
    <w:multiLevelType w:val="hybridMultilevel"/>
    <w:lvl w:ilvl="0">
      <w:lvlJc w:val="left"/>
      <w:lvlText w:val="%1"/>
      <w:numFmt w:val="decimal"/>
      <w:start w:val="94"/>
    </w:lvl>
  </w:abstractNum>
  <w:abstractNum w:abstractNumId="145">
    <w:nsid w:val="25973E32"/>
    <w:multiLevelType w:val="hybridMultilevel"/>
    <w:lvl w:ilvl="0">
      <w:lvlJc w:val="left"/>
      <w:lvlText w:val="%1"/>
      <w:numFmt w:val="decimal"/>
      <w:start w:val="95"/>
    </w:lvl>
  </w:abstractNum>
  <w:abstractNum w:abstractNumId="146">
    <w:nsid w:val="EAD6F57"/>
    <w:multiLevelType w:val="hybridMultilevel"/>
    <w:lvl w:ilvl="0">
      <w:lvlJc w:val="left"/>
      <w:lvlText w:val="%1"/>
      <w:numFmt w:val="decimal"/>
      <w:start w:val="96"/>
    </w:lvl>
  </w:abstractNum>
  <w:abstractNum w:abstractNumId="147">
    <w:nsid w:val="6EC9D844"/>
    <w:multiLevelType w:val="hybridMultilevel"/>
    <w:lvl w:ilvl="0">
      <w:lvlJc w:val="left"/>
      <w:lvlText w:val="%1"/>
      <w:numFmt w:val="decimal"/>
      <w:start w:val="97"/>
    </w:lvl>
  </w:abstractNum>
  <w:abstractNum w:abstractNumId="148">
    <w:nsid w:val="5C49EAEE"/>
    <w:multiLevelType w:val="hybridMultilevel"/>
    <w:lvl w:ilvl="0">
      <w:lvlJc w:val="left"/>
      <w:lvlText w:val="%1"/>
      <w:numFmt w:val="decimal"/>
      <w:start w:val="98"/>
    </w:lvl>
  </w:abstractNum>
  <w:abstractNum w:abstractNumId="149">
    <w:nsid w:val="64AF49B"/>
    <w:multiLevelType w:val="hybridMultilevel"/>
    <w:lvl w:ilvl="0">
      <w:lvlJc w:val="left"/>
      <w:lvlText w:val="%1"/>
      <w:numFmt w:val="decimal"/>
      <w:start w:val="99"/>
    </w:lvl>
  </w:abstractNum>
  <w:abstractNum w:abstractNumId="150">
    <w:nsid w:val="397C46BC"/>
    <w:multiLevelType w:val="hybridMultilevel"/>
    <w:lvl w:ilvl="0">
      <w:lvlJc w:val="left"/>
      <w:lvlText w:val="%1"/>
      <w:numFmt w:val="decimal"/>
      <w:start w:val="100"/>
    </w:lvl>
  </w:abstractNum>
  <w:abstractNum w:abstractNumId="151">
    <w:nsid w:val="7E448DE9"/>
    <w:multiLevelType w:val="hybridMultilevel"/>
    <w:lvl w:ilvl="0">
      <w:lvlJc w:val="left"/>
      <w:lvlText w:val="%1"/>
      <w:numFmt w:val="decimal"/>
      <w:start w:val="101"/>
    </w:lvl>
  </w:abstractNum>
  <w:abstractNum w:abstractNumId="152">
    <w:nsid w:val="5A9CC3E5"/>
    <w:multiLevelType w:val="hybridMultilevel"/>
    <w:lvl w:ilvl="0">
      <w:lvlJc w:val="left"/>
      <w:lvlText w:val="%1"/>
      <w:numFmt w:val="decimal"/>
      <w:start w:val="102"/>
    </w:lvl>
  </w:abstractNum>
  <w:abstractNum w:abstractNumId="153">
    <w:nsid w:val="1AFE3625"/>
    <w:multiLevelType w:val="hybridMultilevel"/>
    <w:lvl w:ilvl="0">
      <w:lvlJc w:val="left"/>
      <w:lvlText w:val="%1"/>
      <w:numFmt w:val="decimal"/>
      <w:start w:val="103"/>
    </w:lvl>
  </w:abstractNum>
  <w:abstractNum w:abstractNumId="154">
    <w:nsid w:val="3CA88ECF"/>
    <w:multiLevelType w:val="hybridMultilevel"/>
    <w:lvl w:ilvl="0">
      <w:lvlJc w:val="left"/>
      <w:lvlText w:val="(%1)"/>
      <w:numFmt w:val="lowerLetter"/>
      <w:start w:val="2"/>
    </w:lvl>
  </w:abstractNum>
  <w:abstractNum w:abstractNumId="155">
    <w:nsid w:val="6EBE4208"/>
    <w:multiLevelType w:val="hybridMultilevel"/>
    <w:lvl w:ilvl="0">
      <w:lvlJc w:val="left"/>
      <w:lvlText w:val="%1"/>
      <w:numFmt w:val="decimal"/>
      <w:start w:val="104"/>
    </w:lvl>
  </w:abstractNum>
  <w:abstractNum w:abstractNumId="156">
    <w:nsid w:val="C058DF5"/>
    <w:multiLevelType w:val="hybridMultilevel"/>
    <w:lvl w:ilvl="0">
      <w:lvlJc w:val="left"/>
      <w:lvlText w:val="%1"/>
      <w:numFmt w:val="decimal"/>
      <w:start w:val="105"/>
    </w:lvl>
  </w:abstractNum>
  <w:abstractNum w:abstractNumId="157">
    <w:nsid w:val="CBE5BE9"/>
    <w:multiLevelType w:val="hybridMultilevel"/>
    <w:lvl w:ilvl="0">
      <w:lvlJc w:val="left"/>
      <w:lvlText w:val="%1"/>
      <w:numFmt w:val="decimal"/>
      <w:start w:val="106"/>
    </w:lvl>
  </w:abstractNum>
  <w:abstractNum w:abstractNumId="158">
    <w:nsid w:val="3102BBE2"/>
    <w:multiLevelType w:val="hybridMultilevel"/>
    <w:lvl w:ilvl="0">
      <w:lvlJc w:val="left"/>
      <w:lvlText w:val="%1"/>
      <w:numFmt w:val="decimal"/>
      <w:start w:val="107"/>
    </w:lvl>
  </w:abstractNum>
  <w:abstractNum w:abstractNumId="159">
    <w:nsid w:val="26A02C5E"/>
    <w:multiLevelType w:val="hybridMultilevel"/>
    <w:lvl w:ilvl="0">
      <w:lvlJc w:val="left"/>
      <w:lvlText w:val="(%1)"/>
      <w:numFmt w:val="lowerLetter"/>
      <w:start w:val="23"/>
    </w:lvl>
  </w:abstractNum>
  <w:abstractNum w:abstractNumId="160">
    <w:nsid w:val="541C8153"/>
    <w:multiLevelType w:val="hybridMultilevel"/>
    <w:lvl w:ilvl="0">
      <w:lvlJc w:val="left"/>
      <w:lvlText w:val="%1"/>
      <w:numFmt w:val="decimal"/>
      <w:start w:val="108"/>
    </w:lvl>
  </w:abstractNum>
  <w:abstractNum w:abstractNumId="161">
    <w:nsid w:val="67906F60"/>
    <w:multiLevelType w:val="hybridMultilevel"/>
    <w:lvl w:ilvl="0">
      <w:lvlJc w:val="left"/>
      <w:lvlText w:val="(%1)"/>
      <w:numFmt w:val="lowerLetter"/>
      <w:start w:val="25"/>
    </w:lvl>
  </w:abstractNum>
  <w:abstractNum w:abstractNumId="162">
    <w:nsid w:val="10DB9DAA"/>
    <w:multiLevelType w:val="hybridMultilevel"/>
    <w:lvl w:ilvl="0">
      <w:lvlJc w:val="left"/>
      <w:lvlText w:val="(%1)"/>
      <w:numFmt w:val="lowerLetter"/>
      <w:start w:val="24"/>
    </w:lvl>
  </w:abstractNum>
  <w:abstractNum w:abstractNumId="163">
    <w:nsid w:val="697D2D2"/>
    <w:multiLevelType w:val="hybridMultilevel"/>
    <w:lvl w:ilvl="0">
      <w:lvlJc w:val="left"/>
      <w:lvlText w:val="%1"/>
      <w:numFmt w:val="decimal"/>
      <w:start w:val="109"/>
    </w:lvl>
  </w:abstractNum>
  <w:abstractNum w:abstractNumId="164">
    <w:nsid w:val="6D68AB2"/>
    <w:multiLevelType w:val="hybridMultilevel"/>
    <w:lvl w:ilvl="0">
      <w:lvlJc w:val="left"/>
      <w:lvlText w:val="(%1)"/>
      <w:numFmt w:val="lowerLetter"/>
      <w:start w:val="24"/>
    </w:lvl>
  </w:abstractNum>
  <w:abstractNum w:abstractNumId="165">
    <w:nsid w:val="3A966CD0"/>
    <w:multiLevelType w:val="hybridMultilevel"/>
    <w:lvl w:ilvl="0">
      <w:lvlJc w:val="left"/>
      <w:lvlText w:val="%1"/>
      <w:numFmt w:val="decimal"/>
      <w:start w:val="110"/>
    </w:lvl>
  </w:abstractNum>
  <w:abstractNum w:abstractNumId="166">
    <w:nsid w:val="63F37E85"/>
    <w:multiLevelType w:val="hybridMultilevel"/>
    <w:lvl w:ilvl="0">
      <w:lvlJc w:val="left"/>
      <w:lvlText w:val="(%1)"/>
      <w:numFmt w:val="lowerRoman"/>
      <w:start w:val="10"/>
    </w:lvl>
  </w:abstractNum>
  <w:abstractNum w:abstractNumId="167">
    <w:nsid w:val="5895F5FA"/>
    <w:multiLevelType w:val="hybridMultilevel"/>
    <w:lvl w:ilvl="0">
      <w:lvlJc w:val="left"/>
      <w:lvlText w:val="%1"/>
      <w:numFmt w:val="decimal"/>
      <w:start w:val="111"/>
    </w:lvl>
  </w:abstractNum>
  <w:abstractNum w:abstractNumId="168">
    <w:nsid w:val="38A5D054"/>
    <w:multiLevelType w:val="hybridMultilevel"/>
    <w:lvl w:ilvl="0">
      <w:lvlJc w:val="left"/>
      <w:lvlText w:val="%1"/>
      <w:numFmt w:val="decimal"/>
      <w:start w:val="112"/>
    </w:lvl>
  </w:abstractNum>
  <w:abstractNum w:abstractNumId="169">
    <w:nsid w:val="F3F09D8"/>
    <w:multiLevelType w:val="hybridMultilevel"/>
    <w:lvl w:ilvl="0">
      <w:lvlJc w:val="left"/>
      <w:lvlText w:val="%1"/>
      <w:numFmt w:val="decimal"/>
      <w:start w:val="113"/>
    </w:lvl>
  </w:abstractNum>
  <w:abstractNum w:abstractNumId="170">
    <w:nsid w:val="4B793735"/>
    <w:multiLevelType w:val="hybridMultilevel"/>
    <w:lvl w:ilvl="0">
      <w:lvlJc w:val="left"/>
      <w:lvlText w:val="(%1)"/>
      <w:numFmt w:val="lowerLetter"/>
      <w:start w:val="2"/>
    </w:lvl>
  </w:abstractNum>
  <w:abstractNum w:abstractNumId="171">
    <w:nsid w:val="4A10B4E8"/>
    <w:multiLevelType w:val="hybridMultilevel"/>
    <w:lvl w:ilvl="0">
      <w:lvlJc w:val="left"/>
      <w:lvlText w:val="%1"/>
      <w:numFmt w:val="decimal"/>
      <w:start w:val="114"/>
    </w:lvl>
  </w:abstractNum>
  <w:abstractNum w:abstractNumId="172">
    <w:nsid w:val="43D3BCD4"/>
    <w:multiLevelType w:val="hybridMultilevel"/>
    <w:lvl w:ilvl="0">
      <w:lvlJc w:val="left"/>
      <w:lvlText w:val="%1"/>
      <w:numFmt w:val="decimal"/>
      <w:start w:val="115"/>
    </w:lvl>
  </w:abstractNum>
  <w:abstractNum w:abstractNumId="173">
    <w:nsid w:val="4C2A7166"/>
    <w:multiLevelType w:val="hybridMultilevel"/>
    <w:lvl w:ilvl="0">
      <w:lvlJc w:val="left"/>
      <w:lvlText w:val="%1"/>
      <w:numFmt w:val="decimal"/>
      <w:start w:val="116"/>
    </w:lvl>
  </w:abstractNum>
  <w:abstractNum w:abstractNumId="174">
    <w:nsid w:val="2E534A82"/>
    <w:multiLevelType w:val="hybridMultilevel"/>
    <w:lvl w:ilvl="0">
      <w:lvlJc w:val="left"/>
      <w:lvlText w:val="(%1)"/>
      <w:numFmt w:val="lowerRoman"/>
      <w:start w:val="1"/>
    </w:lvl>
  </w:abstractNum>
  <w:abstractNum w:abstractNumId="175">
    <w:nsid w:val="26F2D364"/>
    <w:multiLevelType w:val="hybridMultilevel"/>
    <w:lvl w:ilvl="0">
      <w:lvlJc w:val="left"/>
      <w:lvlText w:val="%1"/>
      <w:numFmt w:val="decimal"/>
      <w:start w:val="117"/>
    </w:lvl>
  </w:abstractNum>
  <w:abstractNum w:abstractNumId="176">
    <w:nsid w:val="71C1AF98"/>
    <w:multiLevelType w:val="hybridMultilevel"/>
    <w:lvl w:ilvl="0">
      <w:lvlJc w:val="left"/>
      <w:lvlText w:val="(%1)"/>
      <w:numFmt w:val="lowerRoman"/>
      <w:start w:val="3"/>
    </w:lvl>
  </w:abstractNum>
  <w:abstractNum w:abstractNumId="177">
    <w:nsid w:val="3D00B9D9"/>
    <w:multiLevelType w:val="hybridMultilevel"/>
    <w:lvl w:ilvl="0">
      <w:lvlJc w:val="left"/>
      <w:lvlText w:val="%1"/>
      <w:numFmt w:val="decimal"/>
      <w:start w:val="118"/>
    </w:lvl>
  </w:abstractNum>
  <w:abstractNum w:abstractNumId="178">
    <w:nsid w:val="15BCABA8"/>
    <w:multiLevelType w:val="hybridMultilevel"/>
    <w:lvl w:ilvl="0">
      <w:lvlJc w:val="left"/>
      <w:lvlText w:val="%1"/>
      <w:numFmt w:val="decimal"/>
      <w:start w:val="119"/>
    </w:lvl>
  </w:abstractNum>
  <w:abstractNum w:abstractNumId="179">
    <w:nsid w:val="4E0B9A87"/>
    <w:multiLevelType w:val="hybridMultilevel"/>
    <w:lvl w:ilvl="0">
      <w:lvlJc w:val="left"/>
      <w:lvlText w:val="(%1)"/>
      <w:numFmt w:val="lowerLetter"/>
      <w:start w:val="2"/>
    </w:lvl>
  </w:abstractNum>
  <w:abstractNum w:abstractNumId="180">
    <w:nsid w:val="434BAE75"/>
    <w:multiLevelType w:val="hybridMultilevel"/>
    <w:lvl w:ilvl="0">
      <w:lvlJc w:val="left"/>
      <w:lvlText w:val="%1"/>
      <w:numFmt w:val="decimal"/>
      <w:start w:val="120"/>
    </w:lvl>
  </w:abstractNum>
  <w:abstractNum w:abstractNumId="181">
    <w:nsid w:val="4F38F265"/>
    <w:multiLevelType w:val="hybridMultilevel"/>
    <w:lvl w:ilvl="0">
      <w:lvlJc w:val="left"/>
      <w:lvlText w:val="(%1)"/>
      <w:numFmt w:val="lowerRoman"/>
      <w:start w:val="2"/>
    </w:lvl>
  </w:abstractNum>
  <w:abstractNum w:abstractNumId="182">
    <w:nsid w:val="4C502870"/>
    <w:multiLevelType w:val="hybridMultilevel"/>
    <w:lvl w:ilvl="0">
      <w:lvlJc w:val="left"/>
      <w:lvlText w:val="%1"/>
      <w:numFmt w:val="decimal"/>
      <w:start w:val="121"/>
    </w:lvl>
  </w:abstractNum>
  <w:abstractNum w:abstractNumId="183">
    <w:nsid w:val="1DE8725A"/>
    <w:multiLevelType w:val="hybridMultilevel"/>
    <w:lvl w:ilvl="0">
      <w:lvlJc w:val="left"/>
      <w:lvlText w:val="%1"/>
      <w:numFmt w:val="decimal"/>
      <w:start w:val="122"/>
    </w:lvl>
  </w:abstractNum>
  <w:abstractNum w:abstractNumId="184">
    <w:nsid w:val="6A37288A"/>
    <w:multiLevelType w:val="hybridMultilevel"/>
    <w:lvl w:ilvl="0">
      <w:lvlJc w:val="left"/>
      <w:lvlText w:val="(%1)"/>
      <w:numFmt w:val="upperLetter"/>
      <w:start w:val="4"/>
    </w:lvl>
  </w:abstractNum>
  <w:abstractNum w:abstractNumId="185">
    <w:nsid w:val="8F8B73F"/>
    <w:multiLevelType w:val="hybridMultilevel"/>
    <w:lvl w:ilvl="0">
      <w:lvlJc w:val="left"/>
      <w:lvlText w:val="%1"/>
      <w:numFmt w:val="decimal"/>
      <w:start w:val="123"/>
    </w:lvl>
  </w:abstractNum>
  <w:abstractNum w:abstractNumId="186">
    <w:nsid w:val="CA6B462"/>
    <w:multiLevelType w:val="hybridMultilevel"/>
    <w:lvl w:ilvl="0">
      <w:lvlJc w:val="left"/>
      <w:lvlText w:val="(%1)"/>
      <w:numFmt w:val="lowerLetter"/>
      <w:start w:val="1"/>
    </w:lvl>
  </w:abstractNum>
  <w:abstractNum w:abstractNumId="187">
    <w:nsid w:val="763CB680"/>
    <w:multiLevelType w:val="hybridMultilevel"/>
    <w:lvl w:ilvl="0">
      <w:lvlJc w:val="left"/>
      <w:lvlText w:val="%1"/>
      <w:numFmt w:val="decimal"/>
      <w:start w:val="124"/>
    </w:lvl>
  </w:abstractNum>
  <w:abstractNum w:abstractNumId="188">
    <w:nsid w:val="15B71329"/>
    <w:multiLevelType w:val="hybridMultilevel"/>
    <w:lvl w:ilvl="0">
      <w:lvlJc w:val="left"/>
      <w:lvlText w:val="%1"/>
      <w:numFmt w:val="decimal"/>
      <w:start w:val="125"/>
    </w:lvl>
  </w:abstractNum>
  <w:abstractNum w:abstractNumId="189">
    <w:nsid w:val="3DA97044"/>
    <w:multiLevelType w:val="hybridMultilevel"/>
    <w:lvl w:ilvl="0">
      <w:lvlJc w:val="left"/>
      <w:lvlText w:val="%1"/>
      <w:numFmt w:val="decimal"/>
      <w:start w:val="126"/>
    </w:lvl>
  </w:abstractNum>
  <w:abstractNum w:abstractNumId="190">
    <w:nsid w:val="1CDCE2DE"/>
    <w:multiLevelType w:val="hybridMultilevel"/>
    <w:lvl w:ilvl="0">
      <w:lvlJc w:val="left"/>
      <w:lvlText w:val="%1"/>
      <w:numFmt w:val="decimal"/>
      <w:start w:val="127"/>
    </w:lvl>
  </w:abstractNum>
  <w:abstractNum w:abstractNumId="191">
    <w:nsid w:val="69D3947C"/>
    <w:multiLevelType w:val="hybridMultilevel"/>
    <w:lvl w:ilvl="0">
      <w:lvlJc w:val="left"/>
      <w:lvlText w:val="%1"/>
      <w:numFmt w:val="decimal"/>
      <w:start w:val="128"/>
    </w:lvl>
  </w:abstractNum>
  <w:abstractNum w:abstractNumId="192">
    <w:nsid w:val="2539DFA5"/>
    <w:multiLevelType w:val="hybridMultilevel"/>
    <w:lvl w:ilvl="0">
      <w:lvlJc w:val="left"/>
      <w:lvlText w:val="%1"/>
      <w:numFmt w:val="decimal"/>
      <w:start w:val="129"/>
    </w:lvl>
  </w:abstractNum>
  <w:abstractNum w:abstractNumId="193">
    <w:nsid w:val="2DB88089"/>
    <w:multiLevelType w:val="hybridMultilevel"/>
    <w:lvl w:ilvl="0">
      <w:lvlJc w:val="left"/>
      <w:lvlText w:val="%1"/>
      <w:numFmt w:val="decimal"/>
      <w:start w:val="130"/>
    </w:lvl>
  </w:abstractNum>
  <w:abstractNum w:abstractNumId="194">
    <w:nsid w:val="706B674E"/>
    <w:multiLevelType w:val="hybridMultilevel"/>
    <w:lvl w:ilvl="0">
      <w:lvlJc w:val="left"/>
      <w:lvlText w:val="%1"/>
      <w:numFmt w:val="decimal"/>
      <w:start w:val="131"/>
    </w:lvl>
  </w:abstractNum>
  <w:abstractNum w:abstractNumId="195">
    <w:nsid w:val="2C106A57"/>
    <w:multiLevelType w:val="hybridMultilevel"/>
    <w:lvl w:ilvl="0">
      <w:lvlJc w:val="left"/>
      <w:lvlText w:val="%1"/>
      <w:numFmt w:val="decimal"/>
      <w:start w:val="132"/>
    </w:lvl>
  </w:abstractNum>
  <w:abstractNum w:abstractNumId="196">
    <w:nsid w:val="684EED59"/>
    <w:multiLevelType w:val="hybridMultilevel"/>
    <w:lvl w:ilvl="0">
      <w:lvlJc w:val="left"/>
      <w:lvlText w:val="%1"/>
      <w:numFmt w:val="decimal"/>
      <w:start w:val="133"/>
    </w:lvl>
  </w:abstractNum>
  <w:abstractNum w:abstractNumId="197">
    <w:nsid w:val="545EE5D3"/>
    <w:multiLevelType w:val="hybridMultilevel"/>
    <w:lvl w:ilvl="0">
      <w:lvlJc w:val="left"/>
      <w:lvlText w:val="%1"/>
      <w:numFmt w:val="decimal"/>
      <w:start w:val="134"/>
    </w:lvl>
  </w:abstractNum>
  <w:abstractNum w:abstractNumId="198">
    <w:nsid w:val="4A66051"/>
    <w:multiLevelType w:val="hybridMultilevel"/>
    <w:lvl w:ilvl="0">
      <w:lvlJc w:val="left"/>
      <w:lvlText w:val="%1"/>
      <w:numFmt w:val="decimal"/>
      <w:start w:val="135"/>
    </w:lvl>
  </w:abstractNum>
  <w:abstractNum w:abstractNumId="199">
    <w:nsid w:val="20F4BDAD"/>
    <w:multiLevelType w:val="hybridMultilevel"/>
    <w:lvl w:ilvl="0">
      <w:lvlJc w:val="left"/>
      <w:lvlText w:val="%1"/>
      <w:numFmt w:val="decimal"/>
      <w:start w:val="136"/>
    </w:lvl>
  </w:abstractNum>
  <w:abstractNum w:abstractNumId="200">
    <w:nsid w:val="639DEFAC"/>
    <w:multiLevelType w:val="hybridMultilevel"/>
    <w:lvl w:ilvl="0">
      <w:lvlJc w:val="left"/>
      <w:lvlText w:val="%1"/>
      <w:numFmt w:val="decimal"/>
      <w:start w:val="137"/>
    </w:lvl>
  </w:abstractNum>
  <w:abstractNum w:abstractNumId="201">
    <w:nsid w:val="501F9786"/>
    <w:multiLevelType w:val="hybridMultilevel"/>
    <w:lvl w:ilvl="0">
      <w:lvlJc w:val="left"/>
      <w:lvlText w:val="(%1)"/>
      <w:numFmt w:val="lowerRoman"/>
      <w:start w:val="1"/>
    </w:lvl>
  </w:abstractNum>
  <w:abstractNum w:abstractNumId="202">
    <w:nsid w:val="6B057295"/>
    <w:multiLevelType w:val="hybridMultilevel"/>
    <w:lvl w:ilvl="0">
      <w:lvlJc w:val="left"/>
      <w:lvlText w:val="%1"/>
      <w:numFmt w:val="decimal"/>
      <w:start w:val="138"/>
    </w:lvl>
  </w:abstractNum>
  <w:abstractNum w:abstractNumId="203">
    <w:nsid w:val="2771AC80"/>
    <w:multiLevelType w:val="hybridMultilevel"/>
    <w:lvl w:ilvl="0">
      <w:lvlJc w:val="left"/>
      <w:lvlText w:val="%1"/>
      <w:numFmt w:val="decimal"/>
      <w:start w:val="139"/>
    </w:lvl>
  </w:abstractNum>
  <w:abstractNum w:abstractNumId="204">
    <w:nsid w:val="1C4A08EC"/>
    <w:multiLevelType w:val="hybridMultilevel"/>
    <w:lvl w:ilvl="0">
      <w:lvlJc w:val="left"/>
      <w:lvlText w:val="%1"/>
      <w:numFmt w:val="decimal"/>
      <w:start w:val="140"/>
    </w:lvl>
  </w:abstractNum>
  <w:abstractNum w:abstractNumId="205">
    <w:nsid w:val="1958BD17"/>
    <w:multiLevelType w:val="hybridMultilevel"/>
    <w:lvl w:ilvl="0">
      <w:lvlJc w:val="left"/>
      <w:lvlText w:val="%1"/>
      <w:numFmt w:val="decimal"/>
      <w:start w:val="141"/>
    </w:lvl>
  </w:abstractNum>
  <w:abstractNum w:abstractNumId="206">
    <w:nsid w:val="4E647FE4"/>
    <w:multiLevelType w:val="hybridMultilevel"/>
    <w:lvl w:ilvl="0">
      <w:lvlJc w:val="left"/>
      <w:lvlText w:val="%1"/>
      <w:numFmt w:val="decimal"/>
      <w:start w:val="142"/>
    </w:lvl>
  </w:abstractNum>
  <w:abstractNum w:abstractNumId="207">
    <w:nsid w:val="E0BB885"/>
    <w:multiLevelType w:val="hybridMultilevel"/>
    <w:lvl w:ilvl="0">
      <w:lvlJc w:val="left"/>
      <w:lvlText w:val="%1"/>
      <w:numFmt w:val="decimal"/>
      <w:start w:val="143"/>
    </w:lvl>
  </w:abstractNum>
  <w:abstractNum w:abstractNumId="208">
    <w:nsid w:val="565976F1"/>
    <w:multiLevelType w:val="hybridMultilevel"/>
    <w:lvl w:ilvl="0">
      <w:lvlJc w:val="left"/>
      <w:lvlText w:val="%1"/>
      <w:numFmt w:val="decimal"/>
      <w:start w:val="144"/>
    </w:lvl>
  </w:abstractNum>
  <w:abstractNum w:abstractNumId="209">
    <w:nsid w:val="64212B8C"/>
    <w:multiLevelType w:val="hybridMultilevel"/>
    <w:lvl w:ilvl="0">
      <w:lvlJc w:val="left"/>
      <w:lvlText w:val="%1"/>
      <w:numFmt w:val="decimal"/>
      <w:start w:val="145"/>
    </w:lvl>
  </w:abstractNum>
  <w:abstractNum w:abstractNumId="210">
    <w:nsid w:val="5C17530C"/>
    <w:multiLevelType w:val="hybridMultilevel"/>
    <w:lvl w:ilvl="0">
      <w:lvlJc w:val="left"/>
      <w:lvlText w:val="%1"/>
      <w:numFmt w:val="decimal"/>
      <w:start w:val="146"/>
    </w:lvl>
  </w:abstractNum>
  <w:abstractNum w:abstractNumId="211">
    <w:nsid w:val="19A52566"/>
    <w:multiLevelType w:val="hybridMultilevel"/>
    <w:lvl w:ilvl="0">
      <w:lvlJc w:val="left"/>
      <w:lvlText w:val="%1"/>
      <w:numFmt w:val="decimal"/>
      <w:start w:val="147"/>
    </w:lvl>
  </w:abstractNum>
  <w:abstractNum w:abstractNumId="212">
    <w:nsid w:val="335A1DF1"/>
    <w:multiLevelType w:val="hybridMultilevel"/>
    <w:lvl w:ilvl="0">
      <w:lvlJc w:val="left"/>
      <w:lvlText w:val="%1"/>
      <w:numFmt w:val="decimal"/>
      <w:start w:val="148"/>
    </w:lvl>
  </w:abstractNum>
  <w:abstractNum w:abstractNumId="213">
    <w:nsid w:val="28677B7C"/>
    <w:multiLevelType w:val="hybridMultilevel"/>
    <w:lvl w:ilvl="0">
      <w:lvlJc w:val="left"/>
      <w:lvlText w:val="%1"/>
      <w:numFmt w:val="decimal"/>
      <w:start w:val="149"/>
    </w:lvl>
  </w:abstractNum>
  <w:abstractNum w:abstractNumId="214">
    <w:nsid w:val="378D97C0"/>
    <w:multiLevelType w:val="hybridMultilevel"/>
    <w:lvl w:ilvl="0">
      <w:lvlJc w:val="left"/>
      <w:lvlText w:val="%1"/>
      <w:numFmt w:val="decimal"/>
      <w:start w:val="150"/>
    </w:lvl>
  </w:abstractNum>
  <w:abstractNum w:abstractNumId="215">
    <w:nsid w:val="1D91467C"/>
    <w:multiLevelType w:val="hybridMultilevel"/>
    <w:lvl w:ilvl="0">
      <w:lvlJc w:val="left"/>
      <w:lvlText w:val="%1"/>
      <w:numFmt w:val="decimal"/>
      <w:start w:val="151"/>
    </w:lvl>
  </w:abstractNum>
  <w:abstractNum w:abstractNumId="216">
    <w:nsid w:val="316032BB"/>
    <w:multiLevelType w:val="hybridMultilevel"/>
    <w:lvl w:ilvl="0">
      <w:lvlJc w:val="left"/>
      <w:lvlText w:val="%1"/>
      <w:numFmt w:val="decimal"/>
      <w:start w:val="152"/>
    </w:lvl>
  </w:abstractNum>
  <w:abstractNum w:abstractNumId="217">
    <w:nsid w:val="44344C22"/>
    <w:multiLevelType w:val="hybridMultilevel"/>
    <w:lvl w:ilvl="0">
      <w:lvlJc w:val="left"/>
      <w:lvlText w:val="(%1)"/>
      <w:numFmt w:val="lowerRoman"/>
      <w:start w:val="7"/>
    </w:lvl>
  </w:abstractNum>
  <w:abstractNum w:abstractNumId="218">
    <w:nsid w:val="13CDFCFC"/>
    <w:multiLevelType w:val="hybridMultilevel"/>
    <w:lvl w:ilvl="0">
      <w:lvlJc w:val="left"/>
      <w:lvlText w:val="%1"/>
      <w:numFmt w:val="decimal"/>
      <w:start w:val="153"/>
    </w:lvl>
  </w:abstractNum>
  <w:abstractNum w:abstractNumId="219">
    <w:nsid w:val="471745E4"/>
    <w:multiLevelType w:val="hybridMultilevel"/>
    <w:lvl w:ilvl="0">
      <w:lvlJc w:val="left"/>
      <w:lvlText w:val="%1"/>
      <w:numFmt w:val="decimal"/>
      <w:start w:val="154"/>
    </w:lvl>
  </w:abstractNum>
  <w:abstractNum w:abstractNumId="220">
    <w:nsid w:val="1DDBC66"/>
    <w:multiLevelType w:val="hybridMultilevel"/>
    <w:lvl w:ilvl="0">
      <w:lvlJc w:val="left"/>
      <w:lvlText w:val="(%1)"/>
      <w:numFmt w:val="decimal"/>
      <w:start w:val="2"/>
    </w:lvl>
  </w:abstractNum>
  <w:abstractNum w:abstractNumId="221">
    <w:nsid w:val="30AADFDA"/>
    <w:multiLevelType w:val="hybridMultilevel"/>
    <w:lvl w:ilvl="0">
      <w:lvlJc w:val="left"/>
      <w:lvlText w:val="%1"/>
      <w:numFmt w:val="decimal"/>
      <w:start w:val="155"/>
    </w:lvl>
  </w:abstractNum>
  <w:abstractNum w:abstractNumId="222">
    <w:nsid w:val="30EADA61"/>
    <w:multiLevelType w:val="hybridMultilevel"/>
    <w:lvl w:ilvl="0">
      <w:lvlJc w:val="left"/>
      <w:lvlText w:val="(%1)"/>
      <w:numFmt w:val="lowerRoman"/>
      <w:start w:val="1"/>
    </w:lvl>
  </w:abstractNum>
  <w:abstractNum w:abstractNumId="223">
    <w:nsid w:val="27179C0B"/>
    <w:multiLevelType w:val="hybridMultilevel"/>
    <w:lvl w:ilvl="0">
      <w:lvlJc w:val="left"/>
      <w:lvlText w:val="%1"/>
      <w:numFmt w:val="decimal"/>
      <w:start w:val="156"/>
    </w:lvl>
  </w:abstractNum>
  <w:abstractNum w:abstractNumId="224">
    <w:nsid w:val="5E636063"/>
    <w:multiLevelType w:val="hybridMultilevel"/>
    <w:lvl w:ilvl="0">
      <w:lvlJc w:val="left"/>
      <w:lvlText w:val="(%1)"/>
      <w:numFmt w:val="lowerRoman"/>
      <w:start w:val="3"/>
    </w:lvl>
  </w:abstractNum>
  <w:abstractNum w:abstractNumId="225">
    <w:nsid w:val="215641AF"/>
    <w:multiLevelType w:val="hybridMultilevel"/>
    <w:lvl w:ilvl="0">
      <w:lvlJc w:val="left"/>
      <w:lvlText w:val="%1"/>
      <w:numFmt w:val="decimal"/>
      <w:start w:val="157"/>
    </w:lvl>
  </w:abstractNum>
  <w:abstractNum w:abstractNumId="226">
    <w:nsid w:val="53280662"/>
    <w:multiLevelType w:val="hybridMultilevel"/>
    <w:lvl w:ilvl="0">
      <w:lvlJc w:val="left"/>
      <w:lvlText w:val="%1"/>
      <w:numFmt w:val="decimal"/>
      <w:start w:val="158"/>
    </w:lvl>
  </w:abstractNum>
  <w:abstractNum w:abstractNumId="227">
    <w:nsid w:val="46B24DBC"/>
    <w:multiLevelType w:val="hybridMultilevel"/>
    <w:lvl w:ilvl="0">
      <w:lvlJc w:val="left"/>
      <w:lvlText w:val="%1"/>
      <w:numFmt w:val="decimal"/>
      <w:start w:val="159"/>
    </w:lvl>
  </w:abstractNum>
  <w:abstractNum w:abstractNumId="228">
    <w:nsid w:val="75B52783"/>
    <w:multiLevelType w:val="hybridMultilevel"/>
    <w:lvl w:ilvl="0">
      <w:lvlJc w:val="left"/>
      <w:lvlText w:val="(%1)"/>
      <w:numFmt w:val="decimal"/>
      <w:start w:val="1"/>
    </w:lvl>
    <w:lvl w:ilvl="1">
      <w:lvlJc w:val="left"/>
      <w:lvlText w:val="%2."/>
      <w:numFmt w:val="lowerLetter"/>
      <w:start w:val="1"/>
    </w:lvl>
  </w:abstractNum>
  <w:abstractNum w:abstractNumId="229">
    <w:nsid w:val="57CE66B4"/>
    <w:multiLevelType w:val="hybridMultilevel"/>
    <w:lvl w:ilvl="0">
      <w:lvlJc w:val="left"/>
      <w:lvlText w:val="(%1)"/>
      <w:numFmt w:val="decimal"/>
      <w:start w:val="1"/>
    </w:lvl>
    <w:lvl w:ilvl="1">
      <w:lvlJc w:val="left"/>
      <w:lvlText w:val="%2."/>
      <w:numFmt w:val="lowerLetter"/>
      <w:start w:val="1"/>
    </w:lvl>
  </w:abstractNum>
  <w:abstractNum w:abstractNumId="230">
    <w:nsid w:val="67A70B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90" Type="http://schemas.openxmlformats.org/officeDocument/2006/relationships/hyperlink" Target="https://www.sec.gov/Archives/edgar/data/1925309/000119312522226504/d260658dex31.htm" TargetMode="External"/><Relationship Id="rId91" Type="http://schemas.openxmlformats.org/officeDocument/2006/relationships/hyperlink" Target="https://www.sec.gov/Archives/edgar/data/1925309/000119312522183512/d260658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2025-11-05T15:13:00Z</dcterms:created>
  <dcterms:modified xsi:type="dcterms:W3CDTF">2025-11-05T15:13:00Z</dcterms:modified>
</cp:coreProperties>
</file>