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-233680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-617220</wp:posOffset>
            </wp:positionV>
            <wp:extent cx="57785" cy="630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055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-617220</wp:posOffset>
            </wp:positionV>
            <wp:extent cx="57785" cy="630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05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817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177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Public Institution for Social Security</w:t>
        </w:r>
      </w:hyperlink>
    </w:p>
    <w:p>
      <w:pPr>
        <w:spacing w:after="0" w:line="31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24324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Sixth Street Lending Partners</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NONE</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12/28/2022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80" w:firstLine="6"/>
        <w:spacing w:after="0" w:line="234"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p>
      <w:pPr>
        <w:ind w:left="514"/>
        <w:spacing w:after="0"/>
        <w:tabs>
          <w:tab w:leader="none" w:pos="1754" w:val="left"/>
          <w:tab w:leader="none" w:pos="207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2"/>
          <w:szCs w:val="12"/>
          <w:color w:val="auto"/>
        </w:rPr>
        <w:t>10% Owner</w:t>
      </w:r>
    </w:p>
    <w:p>
      <w:pPr>
        <w:spacing w:after="0" w:line="5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4"/>
        <w:spacing w:after="0"/>
        <w:tabs>
          <w:tab w:leader="none" w:pos="207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7" w:lineRule="exact"/>
        <w:rPr>
          <w:sz w:val="24"/>
          <w:szCs w:val="24"/>
          <w:color w:val="auto"/>
        </w:rPr>
      </w:pPr>
    </w:p>
    <w:p>
      <w:pPr>
        <w:sectPr>
          <w:pgSz w:w="11900" w:h="16838" w:orient="portrait"/>
          <w:cols w:equalWidth="0" w:num="3">
            <w:col w:w="3180" w:space="720"/>
            <w:col w:w="3140" w:space="686"/>
            <w:col w:w="3354"/>
          </w:cols>
          <w:pgMar w:left="460" w:top="220" w:right="359" w:bottom="1440" w:gutter="0" w:footer="0" w:header="0"/>
          <w:type w:val="continuous"/>
        </w:sectPr>
      </w:pPr>
    </w:p>
    <w:p>
      <w:pPr>
        <w:spacing w:after="0" w:line="238"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w w:val="99"/>
              </w:rPr>
              <w:t>SAFAT 13104</w:t>
            </w:r>
          </w:p>
        </w:tc>
        <w:tc>
          <w:tcPr>
            <w:tcW w:w="940" w:type="dxa"/>
            <w:vAlign w:val="bottom"/>
          </w:tcPr>
          <w:p>
            <w:pPr>
              <w:ind w:left="140"/>
              <w:spacing w:after="0"/>
              <w:rPr>
                <w:sz w:val="20"/>
                <w:szCs w:val="20"/>
                <w:color w:val="auto"/>
              </w:rPr>
            </w:pPr>
            <w:r>
              <w:rPr>
                <w:rFonts w:ascii="Arial" w:cs="Arial" w:eastAsia="Arial" w:hAnsi="Arial"/>
                <w:sz w:val="17"/>
                <w:szCs w:val="17"/>
                <w:color w:val="0000FF"/>
              </w:rPr>
              <w:t>M6</w:t>
            </w:r>
          </w:p>
        </w:tc>
        <w:tc>
          <w:tcPr>
            <w:tcW w:w="1600" w:type="dxa"/>
            <w:vAlign w:val="bottom"/>
          </w:tcPr>
          <w:p>
            <w:pPr>
              <w:spacing w:after="0"/>
              <w:rPr>
                <w:sz w:val="19"/>
                <w:szCs w:val="19"/>
                <w:color w:val="auto"/>
              </w:rPr>
            </w:pPr>
          </w:p>
        </w:tc>
      </w:tr>
      <w:tr>
        <w:trPr>
          <w:trHeight w:val="148"/>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1"/>
                <w:szCs w:val="11"/>
                <w:color w:val="auto"/>
              </w:rPr>
            </w:pPr>
          </w:p>
        </w:tc>
        <w:tc>
          <w:tcPr>
            <w:tcW w:w="36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4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40" w:type="dxa"/>
            <w:vAlign w:val="bottom"/>
            <w:gridSpan w:val="4"/>
          </w:tcPr>
          <w:p>
            <w:pPr>
              <w:ind w:left="60"/>
              <w:spacing w:after="0"/>
              <w:rPr>
                <w:sz w:val="20"/>
                <w:szCs w:val="20"/>
                <w:color w:val="auto"/>
              </w:rPr>
            </w:pPr>
            <w:r>
              <w:rPr>
                <w:rFonts w:ascii="Arial" w:cs="Arial" w:eastAsia="Arial" w:hAnsi="Arial"/>
                <w:sz w:val="17"/>
                <w:szCs w:val="17"/>
                <w:color w:val="0000FF"/>
              </w:rPr>
              <w:t>Common shares of beneficial interest, par</w:t>
            </w:r>
          </w:p>
        </w:tc>
        <w:tc>
          <w:tcPr>
            <w:tcW w:w="1080" w:type="dxa"/>
            <w:vAlign w:val="bottom"/>
            <w:gridSpan w:val="2"/>
            <w:vMerge w:val="restart"/>
          </w:tcPr>
          <w:p>
            <w:pPr>
              <w:jc w:val="right"/>
              <w:ind w:right="104"/>
              <w:spacing w:after="0"/>
              <w:rPr>
                <w:sz w:val="20"/>
                <w:szCs w:val="20"/>
                <w:color w:val="auto"/>
              </w:rPr>
            </w:pPr>
            <w:r>
              <w:rPr>
                <w:rFonts w:ascii="Arial" w:cs="Arial" w:eastAsia="Arial" w:hAnsi="Arial"/>
                <w:sz w:val="17"/>
                <w:szCs w:val="17"/>
                <w:color w:val="0000FF"/>
              </w:rPr>
              <w:t>12/28/2022</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X</w:t>
            </w:r>
            <w:r>
              <w:rPr>
                <w:rFonts w:ascii="Arial" w:cs="Arial" w:eastAsia="Arial" w:hAnsi="Arial"/>
                <w:sz w:val="11"/>
                <w:szCs w:val="11"/>
                <w:color w:val="008000"/>
              </w:rPr>
              <w:t>(1)</w:t>
            </w:r>
          </w:p>
        </w:tc>
        <w:tc>
          <w:tcPr>
            <w:tcW w:w="10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739,177</w:t>
            </w:r>
          </w:p>
        </w:tc>
        <w:tc>
          <w:tcPr>
            <w:tcW w:w="36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680" w:type="dxa"/>
            <w:vAlign w:val="bottom"/>
            <w:gridSpan w:val="2"/>
            <w:vMerge w:val="restart"/>
          </w:tcPr>
          <w:p>
            <w:pPr>
              <w:ind w:left="20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25.02</w:t>
            </w:r>
          </w:p>
        </w:tc>
        <w:tc>
          <w:tcPr>
            <w:tcW w:w="1260" w:type="dxa"/>
            <w:vAlign w:val="bottom"/>
            <w:gridSpan w:val="3"/>
            <w:vMerge w:val="restart"/>
          </w:tcPr>
          <w:p>
            <w:pPr>
              <w:ind w:left="320"/>
              <w:spacing w:after="0"/>
              <w:rPr>
                <w:sz w:val="20"/>
                <w:szCs w:val="20"/>
                <w:color w:val="auto"/>
              </w:rPr>
            </w:pPr>
            <w:r>
              <w:rPr>
                <w:rFonts w:ascii="Arial" w:cs="Arial" w:eastAsia="Arial" w:hAnsi="Arial"/>
                <w:sz w:val="17"/>
                <w:szCs w:val="17"/>
                <w:color w:val="0000FF"/>
              </w:rPr>
              <w:t>4,324,662</w:t>
            </w:r>
          </w:p>
        </w:tc>
        <w:tc>
          <w:tcPr>
            <w:tcW w:w="260" w:type="dxa"/>
            <w:vAlign w:val="bottom"/>
          </w:tcPr>
          <w:p>
            <w:pPr>
              <w:spacing w:after="0"/>
              <w:rPr>
                <w:sz w:val="21"/>
                <w:szCs w:val="21"/>
                <w:color w:val="auto"/>
              </w:rPr>
            </w:pPr>
          </w:p>
        </w:tc>
        <w:tc>
          <w:tcPr>
            <w:tcW w:w="680" w:type="dxa"/>
            <w:vAlign w:val="bottom"/>
            <w:vMerge w:val="restart"/>
          </w:tcPr>
          <w:p>
            <w:pPr>
              <w:ind w:left="40"/>
              <w:spacing w:after="0"/>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(2)</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7"/>
                <w:szCs w:val="17"/>
                <w:color w:val="0000FF"/>
              </w:rPr>
              <w:t>value $0.001</w:t>
            </w: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0" w:type="dxa"/>
            <w:vAlign w:val="bottom"/>
            <w:gridSpan w:val="10"/>
          </w:tcPr>
          <w:p>
            <w:pPr>
              <w:jc w:val="center"/>
              <w:ind w:right="24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w w:val="97"/>
              </w:rPr>
              <w:t>Title</w:t>
            </w:r>
          </w:p>
        </w:tc>
        <w:tc>
          <w:tcPr>
            <w:tcW w:w="36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ind w:left="80"/>
              <w:spacing w:after="0" w:line="140" w:lineRule="exact"/>
              <w:rPr>
                <w:sz w:val="20"/>
                <w:szCs w:val="20"/>
                <w:color w:val="auto"/>
              </w:rPr>
            </w:pPr>
            <w:r>
              <w:rPr>
                <w:rFonts w:ascii="Arial" w:cs="Arial" w:eastAsia="Arial" w:hAnsi="Arial"/>
                <w:sz w:val="13"/>
                <w:szCs w:val="13"/>
                <w:color w:val="0000FF"/>
              </w:rPr>
              <w:t>shares of</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Obligation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25.02</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12/28/2022</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center"/>
              <w:ind w:right="264"/>
              <w:spacing w:after="0" w:line="199" w:lineRule="exact"/>
              <w:rPr>
                <w:sz w:val="20"/>
                <w:szCs w:val="20"/>
                <w:color w:val="auto"/>
              </w:rPr>
            </w:pPr>
            <w:r>
              <w:rPr>
                <w:rFonts w:ascii="Arial" w:cs="Arial" w:eastAsia="Arial" w:hAnsi="Arial"/>
                <w:sz w:val="23"/>
                <w:szCs w:val="23"/>
                <w:color w:val="0000FF"/>
                <w:w w:val="97"/>
                <w:vertAlign w:val="subscript"/>
              </w:rPr>
              <w:t>X</w:t>
            </w:r>
            <w:r>
              <w:rPr>
                <w:rFonts w:ascii="Arial" w:cs="Arial" w:eastAsia="Arial" w:hAnsi="Arial"/>
                <w:sz w:val="10"/>
                <w:szCs w:val="10"/>
                <w:color w:val="008000"/>
                <w:w w:val="97"/>
              </w:rPr>
              <w:t>(1)</w:t>
            </w:r>
          </w:p>
        </w:tc>
        <w:tc>
          <w:tcPr>
            <w:tcW w:w="940" w:type="dxa"/>
            <w:vAlign w:val="bottom"/>
          </w:tcPr>
          <w:p>
            <w:pPr>
              <w:ind w:left="420"/>
              <w:spacing w:after="0"/>
              <w:rPr>
                <w:sz w:val="20"/>
                <w:szCs w:val="20"/>
                <w:color w:val="auto"/>
              </w:rPr>
            </w:pPr>
            <w:r>
              <w:rPr>
                <w:rFonts w:ascii="Arial" w:cs="Arial" w:eastAsia="Arial" w:hAnsi="Arial"/>
                <w:sz w:val="13"/>
                <w:szCs w:val="13"/>
                <w:color w:val="0000FF"/>
              </w:rPr>
              <w:t>739,177</w:t>
            </w:r>
          </w:p>
        </w:tc>
        <w:tc>
          <w:tcPr>
            <w:tcW w:w="74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280"/>
              <w:spacing w:after="0"/>
              <w:rPr>
                <w:sz w:val="20"/>
                <w:szCs w:val="20"/>
                <w:color w:val="auto"/>
              </w:rPr>
            </w:pPr>
            <w:r>
              <w:rPr>
                <w:rFonts w:ascii="Arial" w:cs="Arial" w:eastAsia="Arial" w:hAnsi="Arial"/>
                <w:sz w:val="11"/>
                <w:szCs w:val="11"/>
                <w:color w:val="008000"/>
              </w:rPr>
              <w:t>(1)</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beneficial</w:t>
            </w:r>
          </w:p>
        </w:tc>
        <w:tc>
          <w:tcPr>
            <w:tcW w:w="640" w:type="dxa"/>
            <w:vAlign w:val="bottom"/>
          </w:tcPr>
          <w:p>
            <w:pPr>
              <w:ind w:left="40"/>
              <w:spacing w:after="0"/>
              <w:rPr>
                <w:sz w:val="20"/>
                <w:szCs w:val="20"/>
                <w:color w:val="auto"/>
              </w:rPr>
            </w:pPr>
            <w:r>
              <w:rPr>
                <w:rFonts w:ascii="Arial" w:cs="Arial" w:eastAsia="Arial" w:hAnsi="Arial"/>
                <w:sz w:val="17"/>
                <w:szCs w:val="17"/>
                <w:color w:val="0000FF"/>
                <w:w w:val="94"/>
              </w:rPr>
              <w:t>739,177</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008000"/>
              </w:rPr>
              <w:t>(1)</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260" w:type="dxa"/>
            <w:vAlign w:val="bottom"/>
          </w:tcPr>
          <w:p>
            <w:pPr>
              <w:spacing w:after="0"/>
              <w:rPr>
                <w:sz w:val="17"/>
                <w:szCs w:val="17"/>
                <w:color w:val="auto"/>
              </w:rPr>
            </w:pPr>
          </w:p>
        </w:tc>
        <w:tc>
          <w:tcPr>
            <w:tcW w:w="680" w:type="dxa"/>
            <w:vAlign w:val="bottom"/>
          </w:tcPr>
          <w:p>
            <w:pPr>
              <w:ind w:left="300"/>
              <w:spacing w:after="0" w:line="199" w:lineRule="exact"/>
              <w:rPr>
                <w:sz w:val="20"/>
                <w:szCs w:val="20"/>
                <w:color w:val="auto"/>
              </w:rPr>
            </w:pPr>
            <w:r>
              <w:rPr>
                <w:rFonts w:ascii="Arial" w:cs="Arial" w:eastAsia="Arial" w:hAnsi="Arial"/>
                <w:sz w:val="23"/>
                <w:szCs w:val="23"/>
                <w:color w:val="0000FF"/>
                <w:vertAlign w:val="subscript"/>
              </w:rPr>
              <w:t>D</w:t>
            </w:r>
            <w:r>
              <w:rPr>
                <w:rFonts w:ascii="Arial" w:cs="Arial" w:eastAsia="Arial" w:hAnsi="Arial"/>
                <w:sz w:val="10"/>
                <w:szCs w:val="10"/>
                <w:color w:val="008000"/>
              </w:rPr>
              <w:t>(2)</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Arial" w:cs="Arial" w:eastAsia="Arial" w:hAnsi="Arial"/>
                <w:sz w:val="10"/>
                <w:szCs w:val="10"/>
                <w:color w:val="0000FF"/>
              </w:rPr>
              <w:t>to 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00"/>
              <w:spacing w:after="0" w:line="90" w:lineRule="exact"/>
              <w:rPr>
                <w:sz w:val="20"/>
                <w:szCs w:val="20"/>
                <w:color w:val="auto"/>
              </w:rPr>
            </w:pPr>
            <w:r>
              <w:rPr>
                <w:rFonts w:ascii="Arial" w:cs="Arial" w:eastAsia="Arial" w:hAnsi="Arial"/>
                <w:sz w:val="10"/>
                <w:szCs w:val="10"/>
                <w:color w:val="0000FF"/>
              </w:rPr>
              <w:t>interest,</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jc w:val="center"/>
        <w:ind w:left="3060"/>
        <w:spacing w:after="0" w:line="224" w:lineRule="auto"/>
        <w:rPr>
          <w:sz w:val="20"/>
          <w:szCs w:val="20"/>
          <w:color w:val="auto"/>
        </w:rPr>
      </w:pPr>
      <w:r>
        <w:rPr>
          <w:rFonts w:ascii="Arial" w:cs="Arial" w:eastAsia="Arial" w:hAnsi="Arial"/>
          <w:sz w:val="13"/>
          <w:szCs w:val="13"/>
          <w:color w:val="0000FF"/>
        </w:rPr>
        <w:t>par value</w:t>
      </w:r>
    </w:p>
    <w:p>
      <w:pPr>
        <w:jc w:val="center"/>
        <w:ind w:left="3060"/>
        <w:spacing w:after="0"/>
        <w:rPr>
          <w:sz w:val="20"/>
          <w:szCs w:val="20"/>
          <w:color w:val="auto"/>
        </w:rPr>
      </w:pPr>
      <w:r>
        <w:rPr>
          <w:rFonts w:ascii="Arial" w:cs="Arial" w:eastAsia="Arial" w:hAnsi="Arial"/>
          <w:sz w:val="13"/>
          <w:szCs w:val="13"/>
          <w:color w:val="0000FF"/>
        </w:rPr>
        <w:t>$0.001</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260"/>
        <w:spacing w:after="0" w:line="313"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December 28, 2022, Sixth Street Lending Partners, a Delaware statutory trust (the "Issuer"), issued 739,177 of its common shares of beneficial interest, par value $0.001 per share ("Shares"), to the reporting person in connection with a mandatory capital call submitted by the Issuer pursuant to the terms and conditions of the Subscription Agreement previously entered into between the reporting person and the Issuer.</w:t>
      </w:r>
    </w:p>
    <w:p>
      <w:pPr>
        <w:ind w:left="40" w:right="220"/>
        <w:spacing w:after="0" w:line="235"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states that neither the filing of this statement nor anything herein shall be deemed an admission that the reporting person is, for purposes of Section 16 of the Securities Exchange Act of 1934, as amended or otherwise, the beneficial owner of any securities covered by this statement. The reporting person disclaims beneficial ownership of the securities covered by this statement, except to the extent of the pecuniary interest of the reporting person in such securities.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Index Exhibit 24.1 - Power of Attorney (incorporated by reference to Exhibit 24.1 to the Form 3 filed on December 22, 2022)</w:t>
      </w:r>
    </w:p>
    <w:p>
      <w:pPr>
        <w:spacing w:after="0" w:line="67"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THE PUBLIC INSTITUTION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-13335</wp:posOffset>
            </wp:positionV>
            <wp:extent cx="1287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FOR SOCIAL SECURITY,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33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/s/ Ricardo Davidovich, Name:</w:t>
      </w:r>
      <w:r>
        <w:rPr>
          <w:sz w:val="20"/>
          <w:szCs w:val="20"/>
          <w:color w:val="auto"/>
        </w:rPr>
        <w:tab/>
      </w:r>
      <w:r>
        <w:rPr>
          <w:rFonts w:ascii="Arial" w:cs="Arial" w:eastAsia="Arial" w:hAnsi="Arial"/>
          <w:sz w:val="14"/>
          <w:szCs w:val="14"/>
          <w:color w:val="0000FF"/>
        </w:rPr>
        <w:t>12/30/2022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8732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325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Ricardo Davidovich, Title: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123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Authorized Signatory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9055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7"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35851" TargetMode="External"/><Relationship Id="rId13"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2022-12-30T16:03:03Z</dcterms:created>
  <dcterms:modified xsi:type="dcterms:W3CDTF">2022-12-30T16:03:03Z</dcterms:modified>
</cp:coreProperties>
</file>