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Graf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80"/>
        <w:spacing w:after="0" w:line="253" w:lineRule="auto"/>
        <w:rPr>
          <w:sz w:val="20"/>
          <w:szCs w:val="20"/>
          <w:color w:val="auto"/>
        </w:rPr>
      </w:pPr>
      <w:r>
        <w:rPr>
          <w:rFonts w:ascii="Arial" w:cs="Arial" w:eastAsia="Arial" w:hAnsi="Arial"/>
          <w:sz w:val="15"/>
          <w:szCs w:val="15"/>
          <w:color w:val="008000"/>
        </w:rPr>
        <w:t>Deputy Chief Financial Officer and Principal Accounting Officer 1. Anton Brett is signing on behalf of Michael Graf pursuant to a Power of Attorney dated June 28, 2022, which is attached hereto as an exhibit.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91"/>
              </w:rPr>
              <w:t>of Michael Graf(1)</w:t>
            </w:r>
          </w:p>
        </w:tc>
        <w:tc>
          <w:tcPr>
            <w:tcW w:w="50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54886"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2022-08-29T05:51:06Z</dcterms:created>
  <dcterms:modified xsi:type="dcterms:W3CDTF">2022-08-29T05:51:06Z</dcterms:modified>
</cp:coreProperties>
</file>