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 No. 812-15090</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FOURTH AMENDED AND RESTATED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Sixth Street Specialty Lending, Inc., Sixth Street Specialty Lending Advisers, LLC, Sixth Street Opportunities Partners III (A), L.P., Sixth Street</w:t>
      </w:r>
    </w:p>
    <w:p>
      <w:pPr>
        <w:spacing w:after="0" w:line="27" w:lineRule="exact"/>
        <w:rPr>
          <w:sz w:val="24"/>
          <w:szCs w:val="24"/>
          <w:color w:val="auto"/>
        </w:rPr>
      </w:pPr>
    </w:p>
    <w:p>
      <w:pPr>
        <w:jc w:val="center"/>
        <w:ind w:right="20"/>
        <w:spacing w:after="0" w:line="265" w:lineRule="auto"/>
        <w:rPr>
          <w:sz w:val="20"/>
          <w:szCs w:val="20"/>
          <w:color w:val="auto"/>
        </w:rPr>
      </w:pPr>
      <w:r>
        <w:rPr>
          <w:rFonts w:ascii="Times New Roman" w:cs="Times New Roman" w:eastAsia="Times New Roman" w:hAnsi="Times New Roman"/>
          <w:sz w:val="17"/>
          <w:szCs w:val="17"/>
          <w:color w:val="auto"/>
        </w:rPr>
        <w:t>Opportunities Partners III (B), L.P., Sixth Street Opportunities Partners III (C), L.P., TOP III Delaware AIV I-A, L.P., Opps III Delaware AIV I-B, L.P., Sixth Street Opportunities Partners IV (A), L.P., Sixth Street Opportunities Partners IV (B), L.P., Sixth Street Opportunities Partners IV (C), L.P., Opps IV Delaware AIV I-A, L.P., Opps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w:t>
      </w:r>
    </w:p>
    <w:p>
      <w:pPr>
        <w:spacing w:after="0" w:line="1" w:lineRule="exact"/>
        <w:rPr>
          <w:sz w:val="24"/>
          <w:szCs w:val="24"/>
          <w:color w:val="auto"/>
        </w:rPr>
      </w:pPr>
    </w:p>
    <w:p>
      <w:pPr>
        <w:ind w:left="20" w:right="20" w:firstLine="191"/>
        <w:spacing w:after="0" w:line="265" w:lineRule="auto"/>
        <w:tabs>
          <w:tab w:leader="none" w:pos="48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AIV II-A, L.P., Sixth Street Growth Partners (A), L.P., Sixth Street Growth Partners (B), L.P., Sixth Street Growth Partners (A) AIV, L.P., Sixth Street Growth Partners (B) AIV, L.P., Sixth Street Growth Partners II (A), L.P., Sixth Street Growth Partners II (B), L.P., Sixth Street Growth II (A) AIV,</w:t>
      </w:r>
    </w:p>
    <w:p>
      <w:pPr>
        <w:jc w:val="center"/>
        <w:ind w:right="20" w:firstLine="137"/>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L.P., Sixth Street Growth II (B) AIV, L.P., Growth II Lending, LLC, Sixth Street Fundamental Strategies Partners (A), L.P., Sixth Street Fundamental Strategies Partners (B), L.P., Sixth Street FS AIV I-A, L.P., Sixth Street FS AIV I-B, L.P., Sixth Street Specialty Lending Europe I, L.P., Sixth Street Specialty Lending Europe II, L.P., Super TSLE,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Sixth Street CLO XX, Ltd., Sixth Street CLO Equity Fund IV, L.P., 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Mid-Stage Growth Partners (A), L.P., Sixth Street Mid-Stage Growth Partners (B), L.P., Sixth Street Mid-Stage Growth (A) AIV, L.P., Sixth Street Mid-Stage Growth (B) AIV, L.P., Sixth Street Advisers, LLC, Sixth Street Fundamental Strategies I Management, LLC, Sixth Street Opportunities III Management, LLC, Sixth Street Opportunities IV Management, LLC, Sixth Street Opportunities V Management, LLC, Sixth Street TAO Management, LLC, Sixth Street Growth I Management, LLC, Sixth Street Growth II Management, LLC, Sixth Street Specialty Lending Europe I Management, LLC, Sixth Street Specialty Lending Europe II Management, LLC, Sixth Street Agriculture Management, LLC, Sixth Street Strategic Holdings Management, LLC, Sixth Street CMS Dynamic Credit Management, LLC, 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Sixth Street CLO XX Management, LLC, Sixth Street CLO Equity IV Management, LLC, 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 Structured Credit Opportunities V Management, LLC, Sixth Street CLO Advisers II, LLC, TSSP Institutional Credit III Management, LLC, Sixth Street Credit Market Strategies Management, LLC, Sixth Street Mid-Stage Growth I Management, LLC, MSGP Lending, LLC, Sixth Street Lending Partners Advisers, LLC and Sixth Street Lending Partners.</w:t>
      </w:r>
    </w:p>
    <w:p>
      <w:pPr>
        <w:sectPr>
          <w:pgSz w:w="11900" w:h="16838" w:orient="portrait"/>
          <w:cols w:equalWidth="0" w:num="1">
            <w:col w:w="11020"/>
          </w:cols>
          <w:pgMar w:left="440" w:top="229"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t>2100 McKinney Avenue, Suite 1500,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(469) 621-3001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All Communications, Notices and Orders to:</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Joshua Peck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Sixth Street Specialty Lending,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345 California Street, Suite 3300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JPeck@sixthstreet.com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(415) 743-1500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John J. Mahon, Esq.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Schulte Roth &amp; Zabel LLP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901 Fifteenth Street, NW, Suite 800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john.mahon@srz.com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(202) 729-7470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Fax: (202) 730-4520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29, 2022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513" w:right="1440"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OF AMERICA</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ectPr>
          <w:pgSz w:w="11900" w:h="16838" w:orient="portrait"/>
          <w:cols w:equalWidth="0" w:num="1">
            <w:col w:w="10840"/>
          </w:cols>
          <w:pgMar w:left="580" w:top="266" w:right="47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-126365</wp:posOffset>
            </wp:positionV>
            <wp:extent cx="3583305" cy="5940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3305" cy="594042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right="1200"/>
        <w:spacing w:after="0" w:line="250" w:lineRule="auto"/>
        <w:rPr>
          <w:sz w:val="20"/>
          <w:szCs w:val="20"/>
          <w:color w:val="auto"/>
        </w:rPr>
      </w:pPr>
      <w:r>
        <w:rPr>
          <w:rFonts w:ascii="Times New Roman" w:cs="Times New Roman" w:eastAsia="Times New Roman" w:hAnsi="Times New Roman"/>
          <w:sz w:val="18"/>
          <w:szCs w:val="18"/>
          <w:color w:val="auto"/>
        </w:rPr>
        <w:t>Sixth Street Specialty Lending Advisers, LLC Sixth Street Opportunities Partners III (A), L.P. Sixth Street Opportunities Partners III (B), L.P. Sixth Street Opportunities Partners III (C), L.P. TOP III Delaware AIV I-A, L.P. Opps III Delaware AIV I-B, 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IV (A),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IV (B),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Opportunities Partners IV (C),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IV Delaware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IV Delaware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V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V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Opportunities Partners V (C),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Opps V Delaware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Opps V Delaware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(C),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TAO Partners (F),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Knight TAO,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TAO 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(D) AIV II-A,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TAO (E) AIV II-A, L.P.</w:t>
      </w:r>
    </w:p>
    <w:p>
      <w:pPr>
        <w:spacing w:after="0" w:line="9" w:lineRule="exact"/>
        <w:rPr>
          <w:sz w:val="20"/>
          <w:szCs w:val="20"/>
          <w:color w:val="auto"/>
        </w:rPr>
      </w:pPr>
    </w:p>
    <w:p>
      <w:pPr>
        <w:ind w:right="1520"/>
        <w:spacing w:after="0" w:line="251" w:lineRule="auto"/>
        <w:rPr>
          <w:sz w:val="20"/>
          <w:szCs w:val="20"/>
          <w:color w:val="auto"/>
        </w:rPr>
      </w:pPr>
      <w:r>
        <w:rPr>
          <w:rFonts w:ascii="Times New Roman" w:cs="Times New Roman" w:eastAsia="Times New Roman" w:hAnsi="Times New Roman"/>
          <w:sz w:val="18"/>
          <w:szCs w:val="18"/>
          <w:color w:val="auto"/>
        </w:rPr>
        <w:t>Sixth Street Growth Partners (A), L.P. Sixth Street Growth Partners (B), L.P. Sixth Street Growth Partners (A) AIV, L.P. Sixth Street Growth Partners (B) AIV, L.P. Sixth Street Growth Partners II (A), L.P. Sixth Street Growth Partners II (B), L.P. Sixth Street Growth II (A) AIV, L.P. Sixth Street Growth II (B) AIV, L.P. Growth II Lending, LLC</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80"/>
        <w:spacing w:after="0" w:line="256" w:lineRule="auto"/>
        <w:rPr>
          <w:sz w:val="20"/>
          <w:szCs w:val="20"/>
          <w:color w:val="auto"/>
        </w:rPr>
      </w:pPr>
      <w:r>
        <w:rPr>
          <w:rFonts w:ascii="Times New Roman" w:cs="Times New Roman" w:eastAsia="Times New Roman" w:hAnsi="Times New Roman"/>
          <w:sz w:val="18"/>
          <w:szCs w:val="18"/>
          <w:color w:val="auto"/>
        </w:rPr>
        <w:t>FOURTH AMENDED AND RESTATED APPLICATION FOR AN ORDER PURSUANT TO SECTION 17(d) AND 57(i) OF THE INVESTMENT COMPANY ACT OF 1940 AND RULE 17d-1 UNDER THE ACT TO PERMIT CERTAIN JOINT TRANSACTIONS OTHERWISE PROHIBITED BY SECTIONS 17(d) AND 57(a)(4) OF THE ACT AND RULE 17d-l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4600" w:space="720"/>
            <w:col w:w="5520"/>
          </w:cols>
          <w:pgMar w:left="580" w:top="266" w:right="4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Fundamental Strategies Partners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3583305" cy="7706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3305" cy="77063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Fundamental Strategies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FS AIV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FS AIV I-B,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Europe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TSLE,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Agriculture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Bluegrass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Willow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Cottonwood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Dogwood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Red Pine Strategic Holdings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CMS Dynamic Credit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TCS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TDL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IV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Opps V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I Lending,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 2016-1,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 2016-2,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VIII,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IX,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XIV,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XV,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XVIII,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XIX,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XX,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CLO Equity Fund 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Rotational Credit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Wheeler Peak Rotational Credit Fund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Rotational Credit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Structured Credit Opportunities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Structured Credit Opportunities Fund 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Partners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CLO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TSSP Institutional Credit Partners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Credit Market Strategies Partners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Credit Market Strategies Partners I-A,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TICP III Cayman,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Partners (A),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Partners (B),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(A)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Mid-Stage Growth (B) AIV,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Advisers,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Fundamental Strategies I Management, LLC</w:t>
      </w:r>
    </w:p>
    <w:p>
      <w:pPr>
        <w:spacing w:after="0" w:line="16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879"/>
          </w:cols>
          <w:pgMar w:left="580" w:top="283" w:right="1440" w:bottom="1440" w:gutter="0" w:footer="0" w:header="0"/>
        </w:sectPr>
      </w:pPr>
    </w:p>
    <w:bookmarkStart w:id="4" w:name="page5"/>
    <w:bookmarkEnd w:id="4"/>
    <w:p>
      <w:pPr>
        <w:ind w:left="1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Opportunities III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3583305" cy="678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3305" cy="6780530"/>
                    </a:xfrm>
                    <a:prstGeom prst="rect">
                      <a:avLst/>
                    </a:prstGeom>
                    <a:noFill/>
                  </pic:spPr>
                </pic:pic>
              </a:graphicData>
            </a:graphic>
          </wp:anchor>
        </w:drawing>
      </w:r>
    </w:p>
    <w:p>
      <w:pPr>
        <w:spacing w:after="0" w:line="7"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Opportunities IV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Opportunities 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TAO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Growth 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Growth 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Specialty Lending Europe 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Specialty Lending Europe 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Agriculture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Strategic Holdings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CMS Dynamic Credit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V 2016-1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VI 2016-2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VII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VIII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IX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X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XI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XII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XIII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XIV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TICP CLO XV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XVI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XVII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XVIII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XIX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XX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Equity IV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TSSP Rotational Credit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Rotational Credit 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Rotational Credit III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TSSP Structured Credit Opportunities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Structured Credit Opportunities 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Structured Credit Opportunities III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Structured Credit Opportunities IV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Structured Credit Opportunities V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CLO Advisers II,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TSSP Institutional Credit III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Credit Market Strategies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Mid-Stage Growth I Management,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MSGP Lending,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Lending Partners Advisers, LLC</w:t>
      </w:r>
    </w:p>
    <w:p>
      <w:pPr>
        <w:spacing w:after="0" w:line="9"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34"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27"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Dallas, TX 75201</w:t>
      </w:r>
    </w:p>
    <w:p>
      <w:pPr>
        <w:spacing w:after="0" w:line="234"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File No. 812-15090</w:t>
      </w:r>
    </w:p>
    <w:p>
      <w:pPr>
        <w:spacing w:after="0" w:line="27"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8"/>
          <w:szCs w:val="18"/>
          <w:color w:val="auto"/>
        </w:rPr>
        <w:t>Investment Company Act of 1940</w:t>
      </w:r>
    </w:p>
    <w:p>
      <w:pPr>
        <w:spacing w:after="0" w:line="3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135" w:lineRule="exact"/>
        <w:rPr>
          <w:sz w:val="20"/>
          <w:szCs w:val="20"/>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Requested Relief</w:t>
      </w:r>
    </w:p>
    <w:p>
      <w:pPr>
        <w:spacing w:after="0" w:line="113"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t>Sixth Street Specialty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related entities identified in Section I.B below,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pursuant to Sections 17(d) and 57(i) of the Investment Company Act of 1940,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and Rule 17d-1 thereunder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Unless otherwise indicated, all section references herein are to the Act.</w:t>
      </w:r>
    </w:p>
    <w:p>
      <w:pPr>
        <w:spacing w:after="0" w:line="26"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Unless otherwise indicated, all rule references herein are to rules under the Act.</w:t>
      </w:r>
    </w:p>
    <w:p>
      <w:pPr>
        <w:sectPr>
          <w:pgSz w:w="11900" w:h="16838" w:orient="portrait"/>
          <w:cols w:equalWidth="0" w:num="1">
            <w:col w:w="11024"/>
          </w:cols>
          <w:pgMar w:left="436" w:top="283" w:right="439" w:bottom="1440" w:gutter="0" w:footer="0" w:header="0"/>
        </w:sectPr>
      </w:pPr>
    </w:p>
    <w:p>
      <w:pPr>
        <w:spacing w:after="0" w:line="14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24"/>
          </w:cols>
          <w:pgMar w:left="436" w:top="283" w:right="439" w:bottom="1440" w:gutter="0" w:footer="0" w:header="0"/>
          <w:type w:val="continuous"/>
        </w:sectPr>
      </w:pPr>
    </w:p>
    <w:bookmarkStart w:id="5" w:name="page6"/>
    <w:bookmarkEnd w:id="5"/>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particular, the relief requested in this fourth amended and restated application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 and one or more other Regulated Funds and/or one or more Affiliated Funds and/or Sixth Street Proprietary Accounts (each as defined below) to participate in the same investment opportunities through a proposed co-investment program where such participation would otherwise be prohibited under Section 17(d) or Section 57(a)(4) and the rules under the Act (the “</w:t>
      </w:r>
      <w:r>
        <w:rPr>
          <w:rFonts w:ascii="Times New Roman" w:cs="Times New Roman" w:eastAsia="Times New Roman" w:hAnsi="Times New Roman"/>
          <w:sz w:val="18"/>
          <w:szCs w:val="18"/>
          <w:b w:val="1"/>
          <w:bCs w:val="1"/>
          <w:i w:val="1"/>
          <w:iCs w:val="1"/>
          <w:color w:val="auto"/>
        </w:rPr>
        <w:t>Co-Investment Program</w:t>
      </w:r>
      <w:r>
        <w:rPr>
          <w:rFonts w:ascii="Times New Roman" w:cs="Times New Roman" w:eastAsia="Times New Roman" w:hAnsi="Times New Roman"/>
          <w:sz w:val="18"/>
          <w:szCs w:val="18"/>
          <w:color w:val="auto"/>
        </w:rPr>
        <w:t>”). All existing entities that currently intend to rely on the Order have been named as Applicants (defined below) and any existing or future entities that may rely on the Order in the future will comply with the terms and Conditions (defined below) set forth in this Application.</w:t>
      </w:r>
      <w:r>
        <w:rPr>
          <w:rFonts w:ascii="Times New Roman" w:cs="Times New Roman" w:eastAsia="Times New Roman" w:hAnsi="Times New Roman"/>
          <w:sz w:val="15"/>
          <w:szCs w:val="15"/>
          <w:color w:val="auto"/>
        </w:rPr>
        <w:t>3</w:t>
      </w:r>
    </w:p>
    <w:p>
      <w:pPr>
        <w:spacing w:after="0" w:line="18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Order sought by this Application would supersede an exemptive order issued by the Commission to the Company on November 18, 2014 under Sections 17(d) and 57(i) of the Act and Rule 17d-1 under the Act permitting certain joint transactions otherwise prohibited by Sections 17(d) and 57(a)(4) of the Act and Rule 17d-1 under the Act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 with the result that no person will continue to rely on the Prior Order if the Order is granted.</w:t>
      </w:r>
      <w:r>
        <w:rPr>
          <w:rFonts w:ascii="Times New Roman" w:cs="Times New Roman" w:eastAsia="Times New Roman" w:hAnsi="Times New Roman"/>
          <w:sz w:val="15"/>
          <w:szCs w:val="15"/>
          <w:color w:val="auto"/>
        </w:rPr>
        <w:t>4</w:t>
      </w:r>
    </w:p>
    <w:p>
      <w:pPr>
        <w:spacing w:after="0" w:line="328" w:lineRule="exact"/>
        <w:rPr>
          <w:sz w:val="20"/>
          <w:szCs w:val="20"/>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Applicants Seeking Relief</w:t>
      </w:r>
    </w:p>
    <w:p>
      <w:pPr>
        <w:spacing w:after="0" w:line="130"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 Delaware corporation structured as an externally managed, non-diversified, closed-end management investment company that has elected to be regulated as a BDC (as defined below) under the Act.</w:t>
      </w:r>
    </w:p>
    <w:p>
      <w:pPr>
        <w:spacing w:after="0" w:line="67" w:lineRule="exact"/>
        <w:rPr>
          <w:rFonts w:ascii="Times New Roman" w:cs="Times New Roman" w:eastAsia="Times New Roman" w:hAnsi="Times New Roman"/>
          <w:sz w:val="18"/>
          <w:szCs w:val="18"/>
          <w:color w:val="auto"/>
        </w:rPr>
      </w:pPr>
    </w:p>
    <w:p>
      <w:pPr>
        <w:jc w:val="both"/>
        <w:ind w:left="1424" w:right="20" w:hanging="439"/>
        <w:spacing w:after="0" w:line="266"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a Delaware statutory trust structured as an externally managed, non-diversified closed-end management investment company that has elected to be regulated as a BDC under the Act (</w:t>
      </w:r>
      <w:r>
        <w:rPr>
          <w:rFonts w:ascii="Times New Roman" w:cs="Times New Roman" w:eastAsia="Times New Roman" w:hAnsi="Times New Roman"/>
          <w:sz w:val="18"/>
          <w:szCs w:val="18"/>
          <w:b w:val="1"/>
          <w:bCs w:val="1"/>
          <w:i w:val="1"/>
          <w:iCs w:val="1"/>
          <w:color w:val="auto"/>
        </w:rPr>
        <w:t>“Sixth Street Lending Partners</w:t>
      </w:r>
      <w:r>
        <w:rPr>
          <w:rFonts w:ascii="Times New Roman" w:cs="Times New Roman" w:eastAsia="Times New Roman" w:hAnsi="Times New Roman"/>
          <w:sz w:val="18"/>
          <w:szCs w:val="18"/>
          <w:color w:val="auto"/>
        </w:rPr>
        <w:t xml:space="preserve"> and together with the Company, the </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 a Wholly-Owned Investment Sub (as defined below) of the Company.</w:t>
      </w:r>
    </w:p>
    <w:p>
      <w:pPr>
        <w:spacing w:after="0" w:line="130"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investment vehicles, each of which is a separate and distinct legal entity and each of which would be an investment company but for Section 3(c)(1), 3(c)(5)(C) or 3(c)(7)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2424" w:hanging="332"/>
        <w:spacing w:after="0" w:line="266" w:lineRule="auto"/>
        <w:tabs>
          <w:tab w:leader="none" w:pos="24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III (A), L.P., Sixth Street Opportunities Partners III (B), L.P., Sixth Street Opportunities Partners III (C), L.P., TOP III Delaware AIV I-A, L.P. and Opps III Delaware AIV I-B, L.P. (collectively, the “</w:t>
      </w:r>
      <w:r>
        <w:rPr>
          <w:rFonts w:ascii="Times New Roman" w:cs="Times New Roman" w:eastAsia="Times New Roman" w:hAnsi="Times New Roman"/>
          <w:sz w:val="18"/>
          <w:szCs w:val="18"/>
          <w:b w:val="1"/>
          <w:bCs w:val="1"/>
          <w:i w:val="1"/>
          <w:iCs w:val="1"/>
          <w:color w:val="auto"/>
        </w:rPr>
        <w:t>Opps III Funds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2424" w:right="20" w:hanging="332"/>
        <w:spacing w:after="0" w:line="266" w:lineRule="auto"/>
        <w:tabs>
          <w:tab w:leader="none" w:pos="242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Partners IV (A), L.P., Sixth Street Opportunities IV (B), L.P., Sixth Street Opportunities Partners IV (C), L.P., Opps IV Delaware AIV I-A, L.P., Opps IV Delaware AIV I-B, L.P. and TOP IV Lending, LLC (collectively, the “</w:t>
      </w:r>
      <w:r>
        <w:rPr>
          <w:rFonts w:ascii="Times New Roman" w:cs="Times New Roman" w:eastAsia="Times New Roman" w:hAnsi="Times New Roman"/>
          <w:sz w:val="18"/>
          <w:szCs w:val="18"/>
          <w:b w:val="1"/>
          <w:bCs w:val="1"/>
          <w:i w:val="1"/>
          <w:iCs w:val="1"/>
          <w:color w:val="auto"/>
        </w:rPr>
        <w:t>Opps IV Funds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 Regulated Fund or Affiliated Fund that relies on this Order will rely on any other order of the Commission authorizing co-investment</w:t>
      </w:r>
    </w:p>
    <w:p>
      <w:pPr>
        <w:spacing w:after="0" w:line="27" w:lineRule="exact"/>
        <w:rPr>
          <w:sz w:val="20"/>
          <w:szCs w:val="20"/>
          <w:color w:val="auto"/>
        </w:rPr>
      </w:pPr>
    </w:p>
    <w:p>
      <w:pPr>
        <w:ind w:left="424" w:right="20"/>
        <w:spacing w:after="0" w:line="249" w:lineRule="auto"/>
        <w:rPr>
          <w:sz w:val="20"/>
          <w:szCs w:val="20"/>
          <w:color w:val="auto"/>
        </w:rPr>
      </w:pPr>
      <w:r>
        <w:rPr>
          <w:rFonts w:ascii="Times New Roman" w:cs="Times New Roman" w:eastAsia="Times New Roman" w:hAnsi="Times New Roman"/>
          <w:sz w:val="18"/>
          <w:szCs w:val="18"/>
          <w:color w:val="auto"/>
        </w:rPr>
        <w:t>transactions pursuant to sections 17(d) and 57(i) of the Act, and no entity that relies on another such order of the Commission will rely on this Order.</w:t>
      </w:r>
    </w:p>
    <w:p>
      <w:pPr>
        <w:spacing w:after="0" w:line="1" w:lineRule="exact"/>
        <w:rPr>
          <w:sz w:val="20"/>
          <w:szCs w:val="20"/>
          <w:color w:val="auto"/>
        </w:rPr>
      </w:pPr>
    </w:p>
    <w:p>
      <w:pPr>
        <w:jc w:val="both"/>
        <w:ind w:left="424" w:right="20" w:hanging="424"/>
        <w:spacing w:after="0" w:line="256" w:lineRule="auto"/>
        <w:tabs>
          <w:tab w:leader="none" w:pos="424"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TPG Specialty Lending, Inc., et al. (File No. 812-13980) Release No. IC-31379 (December 16, 2014) (order), Release No. IC-31338 (November 18, 2014) (notice). The Company changed its name from TPG Specialty Lending, Inc. to Sixth Street Specialty Lending, Inc. subsequent to issuance by the Commission of the Prior Order.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6" w:name="page7"/>
    <w:bookmarkEnd w:id="6"/>
    <w:p>
      <w:pPr>
        <w:jc w:val="both"/>
        <w:ind w:left="1420" w:hanging="332"/>
        <w:spacing w:after="0" w:line="266"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Opportunities Partners V (A), L.P., Sixth Street Opportunities Partners V (B), L.P., Sixth Street Opportunities Partners V (C), L.P., Sixth Street Opps V Delaware AIV I-A, L.P., Sixth Street Opps V Delaware AIV I-B and L.P., Opps V Lending, LLC (collectively, the “</w:t>
      </w:r>
      <w:r>
        <w:rPr>
          <w:rFonts w:ascii="Times New Roman" w:cs="Times New Roman" w:eastAsia="Times New Roman" w:hAnsi="Times New Roman"/>
          <w:sz w:val="18"/>
          <w:szCs w:val="18"/>
          <w:b w:val="1"/>
          <w:bCs w:val="1"/>
          <w:i w:val="1"/>
          <w:iCs w:val="1"/>
          <w:color w:val="auto"/>
        </w:rPr>
        <w:t>Opps V Funds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420" w:hanging="332"/>
        <w:spacing w:after="0" w:line="258"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 and TDL Lending, LLC (collectively, the “</w:t>
      </w:r>
      <w:r>
        <w:rPr>
          <w:rFonts w:ascii="Times New Roman" w:cs="Times New Roman" w:eastAsia="Times New Roman" w:hAnsi="Times New Roman"/>
          <w:sz w:val="18"/>
          <w:szCs w:val="18"/>
          <w:b w:val="1"/>
          <w:bCs w:val="1"/>
          <w:i w:val="1"/>
          <w:iCs w:val="1"/>
          <w:color w:val="auto"/>
        </w:rPr>
        <w:t>TAO Funds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420" w:hanging="332"/>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L.P., Sixth Street Growth Partners (B), L.P., and Sixth Street Growth Partners AIV, L.P., Sixth Street Growth Partners AIV and L.P., TCS Lending, LLC (collectively, the “</w:t>
      </w:r>
      <w:r>
        <w:rPr>
          <w:rFonts w:ascii="Times New Roman" w:cs="Times New Roman" w:eastAsia="Times New Roman" w:hAnsi="Times New Roman"/>
          <w:sz w:val="18"/>
          <w:szCs w:val="18"/>
          <w:b w:val="1"/>
          <w:bCs w:val="1"/>
          <w:i w:val="1"/>
          <w:iCs w:val="1"/>
          <w:color w:val="auto"/>
        </w:rPr>
        <w:t>Growth I Funds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20" w:hanging="332"/>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Partners II (A), L.P., Sixth Street Growth Partners II (B), L.P., Sixth Street Growth II (A) AIV, L.P. and Sixth Street Growth II (B) AIV, L.P. (collectively, the “</w:t>
      </w:r>
      <w:r>
        <w:rPr>
          <w:rFonts w:ascii="Times New Roman" w:cs="Times New Roman" w:eastAsia="Times New Roman" w:hAnsi="Times New Roman"/>
          <w:sz w:val="18"/>
          <w:szCs w:val="18"/>
          <w:b w:val="1"/>
          <w:bCs w:val="1"/>
          <w:i w:val="1"/>
          <w:iCs w:val="1"/>
          <w:color w:val="auto"/>
        </w:rPr>
        <w:t>Growth II Funds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20" w:hanging="332"/>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II Lending, LLC (the “</w:t>
      </w:r>
      <w:r>
        <w:rPr>
          <w:rFonts w:ascii="Times New Roman" w:cs="Times New Roman" w:eastAsia="Times New Roman" w:hAnsi="Times New Roman"/>
          <w:sz w:val="18"/>
          <w:szCs w:val="18"/>
          <w:b w:val="1"/>
          <w:bCs w:val="1"/>
          <w:i w:val="1"/>
          <w:iCs w:val="1"/>
          <w:color w:val="auto"/>
        </w:rPr>
        <w:t>Growth II Lender</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420" w:hanging="332"/>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Fundamental Strategies Partners (A), L.P., Sixth Street Fundamental Strategies Partners (B), L.P., Sixth Street FS AIV I-A, L.P., Sixth Street FS AIV I-B, L.P. and FS I Lending, LLC (collectively, the “</w:t>
      </w:r>
      <w:r>
        <w:rPr>
          <w:rFonts w:ascii="Times New Roman" w:cs="Times New Roman" w:eastAsia="Times New Roman" w:hAnsi="Times New Roman"/>
          <w:sz w:val="18"/>
          <w:szCs w:val="18"/>
          <w:b w:val="1"/>
          <w:bCs w:val="1"/>
          <w:i w:val="1"/>
          <w:iCs w:val="1"/>
          <w:color w:val="auto"/>
        </w:rPr>
        <w:t>FS Funds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20" w:hanging="332"/>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 L.P., Sixth Street Specialty Lending Europe II, L.P. and Super TSLE, L.P. (collectively, the “</w:t>
      </w:r>
      <w:r>
        <w:rPr>
          <w:rFonts w:ascii="Times New Roman" w:cs="Times New Roman" w:eastAsia="Times New Roman" w:hAnsi="Times New Roman"/>
          <w:sz w:val="18"/>
          <w:szCs w:val="18"/>
          <w:b w:val="1"/>
          <w:bCs w:val="1"/>
          <w:i w:val="1"/>
          <w:iCs w:val="1"/>
          <w:color w:val="auto"/>
        </w:rPr>
        <w:t>SLE Funds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20" w:hanging="332"/>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Agriculture Partners (A), L.P. (the “</w:t>
      </w:r>
      <w:r>
        <w:rPr>
          <w:rFonts w:ascii="Times New Roman" w:cs="Times New Roman" w:eastAsia="Times New Roman" w:hAnsi="Times New Roman"/>
          <w:sz w:val="18"/>
          <w:szCs w:val="18"/>
          <w:b w:val="1"/>
          <w:bCs w:val="1"/>
          <w:i w:val="1"/>
          <w:iCs w:val="1"/>
          <w:color w:val="auto"/>
        </w:rPr>
        <w:t>Agriculture Fund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jc w:val="both"/>
        <w:ind w:left="1420" w:hanging="332"/>
        <w:spacing w:after="0" w:line="266"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Bluegrass Strategic Holdings I, L.P., Sixth Street Willow Strategic Holdings I, L.P., Sixth Street Cottonwood Strategic Holdings I, L.P., Sixth Street Dogwood Strategic Holdings I, L.P. and Sixth Street Red Pine Strategic Holdings I, L.P. (collectively, the “</w:t>
      </w:r>
      <w:r>
        <w:rPr>
          <w:rFonts w:ascii="Times New Roman" w:cs="Times New Roman" w:eastAsia="Times New Roman" w:hAnsi="Times New Roman"/>
          <w:sz w:val="18"/>
          <w:szCs w:val="18"/>
          <w:b w:val="1"/>
          <w:bCs w:val="1"/>
          <w:i w:val="1"/>
          <w:iCs w:val="1"/>
          <w:color w:val="auto"/>
        </w:rPr>
        <w:t>SH Funds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420" w:hanging="332"/>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CMS Dynamic Credit Fund, L.P. (the “</w:t>
      </w:r>
      <w:r>
        <w:rPr>
          <w:rFonts w:ascii="Times New Roman" w:cs="Times New Roman" w:eastAsia="Times New Roman" w:hAnsi="Times New Roman"/>
          <w:sz w:val="18"/>
          <w:szCs w:val="18"/>
          <w:b w:val="1"/>
          <w:bCs w:val="1"/>
          <w:i w:val="1"/>
          <w:iCs w:val="1"/>
          <w:color w:val="auto"/>
        </w:rPr>
        <w:t>CMS Fund</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jc w:val="both"/>
        <w:ind w:left="1420" w:right="20" w:hanging="332"/>
        <w:spacing w:after="0" w:line="261"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and Sixth Street CLO XX, Ltd. (collectively, the “</w:t>
      </w:r>
      <w:r>
        <w:rPr>
          <w:rFonts w:ascii="Times New Roman" w:cs="Times New Roman" w:eastAsia="Times New Roman" w:hAnsi="Times New Roman"/>
          <w:sz w:val="18"/>
          <w:szCs w:val="18"/>
          <w:b w:val="1"/>
          <w:bCs w:val="1"/>
          <w:i w:val="1"/>
          <w:iCs w:val="1"/>
          <w:color w:val="auto"/>
        </w:rPr>
        <w:t>CLO Funds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jc w:val="both"/>
        <w:ind w:left="1420" w:hanging="332"/>
        <w:spacing w:after="0" w:line="258"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and Sixth Street Structured Credit Opportunities Fund V, L.P. (collectively, the “</w:t>
      </w:r>
      <w:r>
        <w:rPr>
          <w:rFonts w:ascii="Times New Roman" w:cs="Times New Roman" w:eastAsia="Times New Roman" w:hAnsi="Times New Roman"/>
          <w:sz w:val="18"/>
          <w:szCs w:val="18"/>
          <w:b w:val="1"/>
          <w:bCs w:val="1"/>
          <w:i w:val="1"/>
          <w:iCs w:val="1"/>
          <w:color w:val="auto"/>
        </w:rPr>
        <w:t>CMS Non-Equity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Funds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40" w:top="270" w:right="439" w:bottom="1440" w:gutter="0" w:footer="0" w:header="0"/>
        </w:sectPr>
      </w:pPr>
    </w:p>
    <w:bookmarkStart w:id="7" w:name="page8"/>
    <w:bookmarkEnd w:id="7"/>
    <w:p>
      <w:pPr>
        <w:jc w:val="both"/>
        <w:ind w:left="1439" w:hanging="332"/>
        <w:spacing w:after="0" w:line="26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TICP CLO Partners II, L.P., TICP CLO Holdings, L.P., TSSP Institutional Credit Partners III, L.P., Sixth Street Credit Market Strategies Partners I, L.P., Sixth Street Credit Market Strategies Partners I-A, L.P.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TICP III Cayman, Ltd. and Sixth Street CLO Equity Fund IV, L.P. (collectively, the “</w:t>
      </w:r>
      <w:r>
        <w:rPr>
          <w:rFonts w:ascii="Times New Roman" w:cs="Times New Roman" w:eastAsia="Times New Roman" w:hAnsi="Times New Roman"/>
          <w:sz w:val="18"/>
          <w:szCs w:val="18"/>
          <w:b w:val="1"/>
          <w:bCs w:val="1"/>
          <w:i w:val="1"/>
          <w:iCs w:val="1"/>
          <w:color w:val="auto"/>
        </w:rPr>
        <w:t>CMS Equity Funds</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jc w:val="both"/>
        <w:ind w:left="1439" w:right="20" w:hanging="332"/>
        <w:spacing w:after="0" w:line="26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Partners (A), L.P., Sixth Street Mid-Stage Growth Partners (B), L.P., Sixth Street Mid-Stage Growth (A) AIV, L.P. and Sixth Street Mid-Stage Growth (B) AIV, L.P. (collectively, the “</w:t>
      </w:r>
      <w:r>
        <w:rPr>
          <w:rFonts w:ascii="Times New Roman" w:cs="Times New Roman" w:eastAsia="Times New Roman" w:hAnsi="Times New Roman"/>
          <w:sz w:val="18"/>
          <w:szCs w:val="18"/>
          <w:b w:val="1"/>
          <w:bCs w:val="1"/>
          <w:i w:val="1"/>
          <w:iCs w:val="1"/>
          <w:color w:val="auto"/>
        </w:rPr>
        <w:t>Mid-Stage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Growth Funds</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1439" w:hanging="332"/>
        <w:spacing w:after="0"/>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MSGP Lending (the “</w:t>
      </w:r>
      <w:r>
        <w:rPr>
          <w:rFonts w:ascii="Times New Roman" w:cs="Times New Roman" w:eastAsia="Times New Roman" w:hAnsi="Times New Roman"/>
          <w:sz w:val="18"/>
          <w:szCs w:val="18"/>
          <w:b w:val="1"/>
          <w:bCs w:val="1"/>
          <w:i w:val="1"/>
          <w:iCs w:val="1"/>
          <w:color w:val="auto"/>
        </w:rPr>
        <w:t>MSGP Lender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439" w:right="20" w:hanging="439"/>
        <w:spacing w:after="0" w:line="268" w:lineRule="auto"/>
        <w:tabs>
          <w:tab w:leader="none" w:pos="4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investment advisers (the “</w:t>
      </w:r>
      <w:r>
        <w:rPr>
          <w:rFonts w:ascii="Times New Roman" w:cs="Times New Roman" w:eastAsia="Times New Roman" w:hAnsi="Times New Roman"/>
          <w:sz w:val="18"/>
          <w:szCs w:val="18"/>
          <w:b w:val="1"/>
          <w:bCs w:val="1"/>
          <w:i w:val="1"/>
          <w:iCs w:val="1"/>
          <w:color w:val="auto"/>
        </w:rPr>
        <w:t>Existing Advisers</w:t>
      </w:r>
      <w:r>
        <w:rPr>
          <w:rFonts w:ascii="Times New Roman" w:cs="Times New Roman" w:eastAsia="Times New Roman" w:hAnsi="Times New Roman"/>
          <w:sz w:val="18"/>
          <w:szCs w:val="18"/>
          <w:color w:val="auto"/>
        </w:rPr>
        <w:t>”), each of which is a Delaware limited liability company that is registered as an investment adviser pursuant to Section 203 of the Investment Advisers Act of 1940, as amended (the “</w:t>
      </w:r>
      <w:r>
        <w:rPr>
          <w:rFonts w:ascii="Times New Roman" w:cs="Times New Roman" w:eastAsia="Times New Roman" w:hAnsi="Times New Roman"/>
          <w:sz w:val="18"/>
          <w:szCs w:val="18"/>
          <w:b w:val="1"/>
          <w:bCs w:val="1"/>
          <w:i w:val="1"/>
          <w:iCs w:val="1"/>
          <w:color w:val="auto"/>
        </w:rPr>
        <w:t>Advisers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439"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w:t>
      </w:r>
      <w:r>
        <w:rPr>
          <w:rFonts w:ascii="Times New Roman" w:cs="Times New Roman" w:eastAsia="Times New Roman" w:hAnsi="Times New Roman"/>
          <w:sz w:val="18"/>
          <w:szCs w:val="18"/>
          <w:b w:val="1"/>
          <w:bCs w:val="1"/>
          <w:i w:val="1"/>
          <w:iCs w:val="1"/>
          <w:color w:val="auto"/>
        </w:rPr>
        <w:t>Sixth Street Specialty Lending Advisers</w:t>
      </w:r>
      <w:r>
        <w:rPr>
          <w:rFonts w:ascii="Times New Roman" w:cs="Times New Roman" w:eastAsia="Times New Roman" w:hAnsi="Times New Roman"/>
          <w:sz w:val="18"/>
          <w:szCs w:val="18"/>
          <w:color w:val="auto"/>
        </w:rPr>
        <w:t>”), which serves as investment adviser to the Company;</w:t>
      </w:r>
    </w:p>
    <w:p>
      <w:pPr>
        <w:spacing w:after="0" w:line="6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III Management, LLC (“</w:t>
      </w:r>
      <w:r>
        <w:rPr>
          <w:rFonts w:ascii="Times New Roman" w:cs="Times New Roman" w:eastAsia="Times New Roman" w:hAnsi="Times New Roman"/>
          <w:sz w:val="18"/>
          <w:szCs w:val="18"/>
          <w:b w:val="1"/>
          <w:bCs w:val="1"/>
          <w:i w:val="1"/>
          <w:iCs w:val="1"/>
          <w:color w:val="auto"/>
        </w:rPr>
        <w:t>Opps III Management</w:t>
      </w:r>
      <w:r>
        <w:rPr>
          <w:rFonts w:ascii="Times New Roman" w:cs="Times New Roman" w:eastAsia="Times New Roman" w:hAnsi="Times New Roman"/>
          <w:sz w:val="18"/>
          <w:szCs w:val="18"/>
          <w:color w:val="auto"/>
        </w:rPr>
        <w:t>”), which serves as investment adviser to the Opps III Funds;</w:t>
      </w:r>
    </w:p>
    <w:p>
      <w:pPr>
        <w:spacing w:after="0" w:line="6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IV Management, LLC (“</w:t>
      </w:r>
      <w:r>
        <w:rPr>
          <w:rFonts w:ascii="Times New Roman" w:cs="Times New Roman" w:eastAsia="Times New Roman" w:hAnsi="Times New Roman"/>
          <w:sz w:val="18"/>
          <w:szCs w:val="18"/>
          <w:b w:val="1"/>
          <w:bCs w:val="1"/>
          <w:i w:val="1"/>
          <w:iCs w:val="1"/>
          <w:color w:val="auto"/>
        </w:rPr>
        <w:t>Opps IV Management</w:t>
      </w:r>
      <w:r>
        <w:rPr>
          <w:rFonts w:ascii="Times New Roman" w:cs="Times New Roman" w:eastAsia="Times New Roman" w:hAnsi="Times New Roman"/>
          <w:sz w:val="18"/>
          <w:szCs w:val="18"/>
          <w:color w:val="auto"/>
        </w:rPr>
        <w:t>”), which serves as investment adviser to the Opps IV Funds;</w:t>
      </w:r>
    </w:p>
    <w:p>
      <w:pPr>
        <w:spacing w:after="0" w:line="6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Opportunities V Management, LLC (“</w:t>
      </w:r>
      <w:r>
        <w:rPr>
          <w:rFonts w:ascii="Times New Roman" w:cs="Times New Roman" w:eastAsia="Times New Roman" w:hAnsi="Times New Roman"/>
          <w:sz w:val="18"/>
          <w:szCs w:val="18"/>
          <w:b w:val="1"/>
          <w:bCs w:val="1"/>
          <w:i w:val="1"/>
          <w:iCs w:val="1"/>
          <w:color w:val="auto"/>
        </w:rPr>
        <w:t>Opps V Management</w:t>
      </w:r>
      <w:r>
        <w:rPr>
          <w:rFonts w:ascii="Times New Roman" w:cs="Times New Roman" w:eastAsia="Times New Roman" w:hAnsi="Times New Roman"/>
          <w:sz w:val="18"/>
          <w:szCs w:val="18"/>
          <w:color w:val="auto"/>
        </w:rPr>
        <w:t>”), which serves as investment adviser to the Opps V Funds;</w:t>
      </w:r>
    </w:p>
    <w:p>
      <w:pPr>
        <w:spacing w:after="0" w:line="60" w:lineRule="exact"/>
        <w:rPr>
          <w:rFonts w:ascii="Times New Roman" w:cs="Times New Roman" w:eastAsia="Times New Roman" w:hAnsi="Times New Roman"/>
          <w:sz w:val="18"/>
          <w:szCs w:val="18"/>
          <w:color w:val="auto"/>
        </w:rPr>
      </w:pPr>
    </w:p>
    <w:p>
      <w:pPr>
        <w:ind w:left="1439" w:hanging="332"/>
        <w:spacing w:after="0"/>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TAO Management, LLC (“</w:t>
      </w:r>
      <w:r>
        <w:rPr>
          <w:rFonts w:ascii="Times New Roman" w:cs="Times New Roman" w:eastAsia="Times New Roman" w:hAnsi="Times New Roman"/>
          <w:sz w:val="18"/>
          <w:szCs w:val="18"/>
          <w:b w:val="1"/>
          <w:bCs w:val="1"/>
          <w:i w:val="1"/>
          <w:iCs w:val="1"/>
          <w:color w:val="auto"/>
        </w:rPr>
        <w:t>TAO Management</w:t>
      </w:r>
      <w:r>
        <w:rPr>
          <w:rFonts w:ascii="Times New Roman" w:cs="Times New Roman" w:eastAsia="Times New Roman" w:hAnsi="Times New Roman"/>
          <w:sz w:val="18"/>
          <w:szCs w:val="18"/>
          <w:color w:val="auto"/>
        </w:rPr>
        <w:t>”), which serves as investment adviser to the TAO Funds;</w:t>
      </w:r>
    </w:p>
    <w:p>
      <w:pPr>
        <w:spacing w:after="0" w:line="13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I Management, LLC (“</w:t>
      </w:r>
      <w:r>
        <w:rPr>
          <w:rFonts w:ascii="Times New Roman" w:cs="Times New Roman" w:eastAsia="Times New Roman" w:hAnsi="Times New Roman"/>
          <w:sz w:val="18"/>
          <w:szCs w:val="18"/>
          <w:b w:val="1"/>
          <w:bCs w:val="1"/>
          <w:i w:val="1"/>
          <w:iCs w:val="1"/>
          <w:color w:val="auto"/>
        </w:rPr>
        <w:t>Growth I Management</w:t>
      </w:r>
      <w:r>
        <w:rPr>
          <w:rFonts w:ascii="Times New Roman" w:cs="Times New Roman" w:eastAsia="Times New Roman" w:hAnsi="Times New Roman"/>
          <w:sz w:val="18"/>
          <w:szCs w:val="18"/>
          <w:color w:val="auto"/>
        </w:rPr>
        <w:t>”), which serves as investment adviser to the Growth I Funds;</w:t>
      </w:r>
    </w:p>
    <w:p>
      <w:pPr>
        <w:spacing w:after="0" w:line="60" w:lineRule="exact"/>
        <w:rPr>
          <w:rFonts w:ascii="Times New Roman" w:cs="Times New Roman" w:eastAsia="Times New Roman" w:hAnsi="Times New Roman"/>
          <w:sz w:val="18"/>
          <w:szCs w:val="18"/>
          <w:color w:val="auto"/>
        </w:rPr>
      </w:pPr>
    </w:p>
    <w:p>
      <w:pPr>
        <w:ind w:left="1439"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Growth II Management, LLC (“</w:t>
      </w:r>
      <w:r>
        <w:rPr>
          <w:rFonts w:ascii="Times New Roman" w:cs="Times New Roman" w:eastAsia="Times New Roman" w:hAnsi="Times New Roman"/>
          <w:sz w:val="18"/>
          <w:szCs w:val="18"/>
          <w:b w:val="1"/>
          <w:bCs w:val="1"/>
          <w:i w:val="1"/>
          <w:iCs w:val="1"/>
          <w:color w:val="auto"/>
        </w:rPr>
        <w:t>Growth II Management</w:t>
      </w:r>
      <w:r>
        <w:rPr>
          <w:rFonts w:ascii="Times New Roman" w:cs="Times New Roman" w:eastAsia="Times New Roman" w:hAnsi="Times New Roman"/>
          <w:sz w:val="18"/>
          <w:szCs w:val="18"/>
          <w:color w:val="auto"/>
        </w:rPr>
        <w:t>”), which serves as investment adviser to the Growth II Funds;</w:t>
      </w:r>
    </w:p>
    <w:p>
      <w:pPr>
        <w:spacing w:after="0" w:line="6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Fundamental Strategies I Management, LLC (“</w:t>
      </w:r>
      <w:r>
        <w:rPr>
          <w:rFonts w:ascii="Times New Roman" w:cs="Times New Roman" w:eastAsia="Times New Roman" w:hAnsi="Times New Roman"/>
          <w:sz w:val="18"/>
          <w:szCs w:val="18"/>
          <w:b w:val="1"/>
          <w:bCs w:val="1"/>
          <w:i w:val="1"/>
          <w:iCs w:val="1"/>
          <w:color w:val="auto"/>
        </w:rPr>
        <w:t>FS Management</w:t>
      </w:r>
      <w:r>
        <w:rPr>
          <w:rFonts w:ascii="Times New Roman" w:cs="Times New Roman" w:eastAsia="Times New Roman" w:hAnsi="Times New Roman"/>
          <w:sz w:val="18"/>
          <w:szCs w:val="18"/>
          <w:color w:val="auto"/>
        </w:rPr>
        <w:t>”), which serves as the investment adviser to the FS Funds;</w:t>
      </w:r>
    </w:p>
    <w:p>
      <w:pPr>
        <w:spacing w:after="0" w:line="60" w:lineRule="exact"/>
        <w:rPr>
          <w:rFonts w:ascii="Times New Roman" w:cs="Times New Roman" w:eastAsia="Times New Roman" w:hAnsi="Times New Roman"/>
          <w:sz w:val="18"/>
          <w:szCs w:val="18"/>
          <w:color w:val="auto"/>
        </w:rPr>
      </w:pPr>
    </w:p>
    <w:p>
      <w:pPr>
        <w:ind w:left="1439"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Agriculture Management, LLC (“</w:t>
      </w:r>
      <w:r>
        <w:rPr>
          <w:rFonts w:ascii="Times New Roman" w:cs="Times New Roman" w:eastAsia="Times New Roman" w:hAnsi="Times New Roman"/>
          <w:sz w:val="18"/>
          <w:szCs w:val="18"/>
          <w:b w:val="1"/>
          <w:bCs w:val="1"/>
          <w:i w:val="1"/>
          <w:iCs w:val="1"/>
          <w:color w:val="auto"/>
        </w:rPr>
        <w:t>Agriculture Management</w:t>
      </w:r>
      <w:r>
        <w:rPr>
          <w:rFonts w:ascii="Times New Roman" w:cs="Times New Roman" w:eastAsia="Times New Roman" w:hAnsi="Times New Roman"/>
          <w:sz w:val="18"/>
          <w:szCs w:val="18"/>
          <w:color w:val="auto"/>
        </w:rPr>
        <w:t>”), which serves as the investment adviser to the Agriculture Fund;</w:t>
      </w:r>
    </w:p>
    <w:p>
      <w:pPr>
        <w:spacing w:after="0" w:line="6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Strategic Holdings Management, LLC (“</w:t>
      </w:r>
      <w:r>
        <w:rPr>
          <w:rFonts w:ascii="Times New Roman" w:cs="Times New Roman" w:eastAsia="Times New Roman" w:hAnsi="Times New Roman"/>
          <w:sz w:val="18"/>
          <w:szCs w:val="18"/>
          <w:b w:val="1"/>
          <w:bCs w:val="1"/>
          <w:i w:val="1"/>
          <w:iCs w:val="1"/>
          <w:color w:val="auto"/>
        </w:rPr>
        <w:t>SH Management</w:t>
      </w:r>
      <w:r>
        <w:rPr>
          <w:rFonts w:ascii="Times New Roman" w:cs="Times New Roman" w:eastAsia="Times New Roman" w:hAnsi="Times New Roman"/>
          <w:sz w:val="18"/>
          <w:szCs w:val="18"/>
          <w:color w:val="auto"/>
        </w:rPr>
        <w:t>”), which serves as the investment adviser to the SH Funds;</w:t>
      </w:r>
    </w:p>
    <w:p>
      <w:pPr>
        <w:spacing w:after="0" w:line="60" w:lineRule="exact"/>
        <w:rPr>
          <w:rFonts w:ascii="Times New Roman" w:cs="Times New Roman" w:eastAsia="Times New Roman" w:hAnsi="Times New Roman"/>
          <w:sz w:val="18"/>
          <w:szCs w:val="18"/>
          <w:color w:val="auto"/>
        </w:rPr>
      </w:pPr>
    </w:p>
    <w:p>
      <w:pPr>
        <w:ind w:left="1439" w:right="20" w:hanging="332"/>
        <w:spacing w:after="0" w:line="286"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CMS Dynamic Credit Management, LLC (“</w:t>
      </w:r>
      <w:r>
        <w:rPr>
          <w:rFonts w:ascii="Times New Roman" w:cs="Times New Roman" w:eastAsia="Times New Roman" w:hAnsi="Times New Roman"/>
          <w:sz w:val="18"/>
          <w:szCs w:val="18"/>
          <w:b w:val="1"/>
          <w:bCs w:val="1"/>
          <w:i w:val="1"/>
          <w:iCs w:val="1"/>
          <w:color w:val="auto"/>
        </w:rPr>
        <w:t>CMS Management</w:t>
      </w:r>
      <w:r>
        <w:rPr>
          <w:rFonts w:ascii="Times New Roman" w:cs="Times New Roman" w:eastAsia="Times New Roman" w:hAnsi="Times New Roman"/>
          <w:sz w:val="18"/>
          <w:szCs w:val="18"/>
          <w:color w:val="auto"/>
        </w:rPr>
        <w:t>”), which serves as the investment adviser to the CMS Fund;</w:t>
      </w:r>
    </w:p>
    <w:p>
      <w:pPr>
        <w:spacing w:after="0" w:line="64" w:lineRule="exact"/>
        <w:rPr>
          <w:rFonts w:ascii="Times New Roman" w:cs="Times New Roman" w:eastAsia="Times New Roman" w:hAnsi="Times New Roman"/>
          <w:sz w:val="18"/>
          <w:szCs w:val="18"/>
          <w:color w:val="auto"/>
        </w:rPr>
      </w:pPr>
    </w:p>
    <w:p>
      <w:pPr>
        <w:jc w:val="both"/>
        <w:ind w:left="1439" w:hanging="332"/>
        <w:spacing w:after="0" w:line="255" w:lineRule="auto"/>
        <w:tabs>
          <w:tab w:leader="none" w:pos="14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and Sixth Street CLO XX Management, LLC (collectively, the “</w:t>
      </w:r>
      <w:r>
        <w:rPr>
          <w:rFonts w:ascii="Times New Roman" w:cs="Times New Roman" w:eastAsia="Times New Roman" w:hAnsi="Times New Roman"/>
          <w:sz w:val="18"/>
          <w:szCs w:val="18"/>
          <w:b w:val="1"/>
          <w:bCs w:val="1"/>
          <w:i w:val="1"/>
          <w:iCs w:val="1"/>
          <w:color w:val="auto"/>
        </w:rPr>
        <w:t>CLO Management Entities</w:t>
      </w:r>
      <w:r>
        <w:rPr>
          <w:rFonts w:ascii="Times New Roman" w:cs="Times New Roman" w:eastAsia="Times New Roman" w:hAnsi="Times New Roman"/>
          <w:sz w:val="18"/>
          <w:szCs w:val="18"/>
          <w:color w:val="auto"/>
        </w:rPr>
        <w:t>”) each of which serves as the investment adviser to the applicable CLO Fund;</w:t>
      </w:r>
    </w:p>
    <w:p>
      <w:pPr>
        <w:spacing w:after="0" w:line="121" w:lineRule="exact"/>
        <w:rPr>
          <w:sz w:val="20"/>
          <w:szCs w:val="20"/>
          <w:color w:val="auto"/>
        </w:rPr>
      </w:pPr>
    </w:p>
    <w:p>
      <w:pPr>
        <w:ind w:left="44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39"/>
          </w:cols>
          <w:pgMar w:left="1421" w:top="270" w:right="439" w:bottom="1440" w:gutter="0" w:footer="0" w:header="0"/>
        </w:sectPr>
      </w:pPr>
    </w:p>
    <w:bookmarkStart w:id="8" w:name="page9"/>
    <w:bookmarkEnd w:id="8"/>
    <w:p>
      <w:pPr>
        <w:jc w:val="both"/>
        <w:ind w:left="2424" w:hanging="332"/>
        <w:spacing w:after="0" w:line="256" w:lineRule="auto"/>
        <w:tabs>
          <w:tab w:leader="none" w:pos="2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and Sixth Street Structured Credit Opportunities V Management, LLC (collectively, the “</w:t>
      </w:r>
      <w:r>
        <w:rPr>
          <w:rFonts w:ascii="Times New Roman" w:cs="Times New Roman" w:eastAsia="Times New Roman" w:hAnsi="Times New Roman"/>
          <w:sz w:val="18"/>
          <w:szCs w:val="18"/>
          <w:b w:val="1"/>
          <w:bCs w:val="1"/>
          <w:i w:val="1"/>
          <w:iCs w:val="1"/>
          <w:color w:val="auto"/>
        </w:rPr>
        <w:t>CMS Non-Equity Management Entities</w:t>
      </w:r>
      <w:r>
        <w:rPr>
          <w:rFonts w:ascii="Times New Roman" w:cs="Times New Roman" w:eastAsia="Times New Roman" w:hAnsi="Times New Roman"/>
          <w:sz w:val="18"/>
          <w:szCs w:val="18"/>
          <w:color w:val="auto"/>
        </w:rPr>
        <w:t>”) each of which serves as the investment adviser to the applicable CMS Non-Equity Fund;</w:t>
      </w:r>
    </w:p>
    <w:p>
      <w:pPr>
        <w:spacing w:after="0" w:line="88" w:lineRule="exact"/>
        <w:rPr>
          <w:rFonts w:ascii="Times New Roman" w:cs="Times New Roman" w:eastAsia="Times New Roman" w:hAnsi="Times New Roman"/>
          <w:sz w:val="18"/>
          <w:szCs w:val="18"/>
          <w:color w:val="auto"/>
        </w:rPr>
      </w:pPr>
    </w:p>
    <w:p>
      <w:pPr>
        <w:jc w:val="both"/>
        <w:ind w:left="2424" w:right="20" w:hanging="332"/>
        <w:spacing w:after="0" w:line="268" w:lineRule="auto"/>
        <w:tabs>
          <w:tab w:leader="none" w:pos="2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CLO Advisers II, LLC, TSSP Institutional Credit III Management,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Sixth Street Credit Market Strategies Management, LLC and Sixth Street CLO Equity IV Management, LLC (collectively the “</w:t>
      </w:r>
      <w:r>
        <w:rPr>
          <w:rFonts w:ascii="Times New Roman" w:cs="Times New Roman" w:eastAsia="Times New Roman" w:hAnsi="Times New Roman"/>
          <w:sz w:val="18"/>
          <w:szCs w:val="18"/>
          <w:b w:val="1"/>
          <w:bCs w:val="1"/>
          <w:i w:val="1"/>
          <w:iCs w:val="1"/>
          <w:color w:val="auto"/>
        </w:rPr>
        <w:t>CMS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Entities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which serves as the investment adviser to the applicable CMS Equity Fund;</w:t>
      </w:r>
    </w:p>
    <w:p>
      <w:pPr>
        <w:spacing w:after="0" w:line="80" w:lineRule="exact"/>
        <w:rPr>
          <w:rFonts w:ascii="Times New Roman" w:cs="Times New Roman" w:eastAsia="Times New Roman" w:hAnsi="Times New Roman"/>
          <w:sz w:val="18"/>
          <w:szCs w:val="18"/>
          <w:color w:val="auto"/>
        </w:rPr>
      </w:pPr>
    </w:p>
    <w:p>
      <w:pPr>
        <w:jc w:val="both"/>
        <w:ind w:left="2424" w:hanging="332"/>
        <w:spacing w:after="0" w:line="256" w:lineRule="auto"/>
        <w:tabs>
          <w:tab w:leader="none" w:pos="2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Europe I Management, LLC and Sixth Street Specialty Lending Europe II Management, LLC (collectively, the “</w:t>
      </w:r>
      <w:r>
        <w:rPr>
          <w:rFonts w:ascii="Times New Roman" w:cs="Times New Roman" w:eastAsia="Times New Roman" w:hAnsi="Times New Roman"/>
          <w:sz w:val="18"/>
          <w:szCs w:val="18"/>
          <w:b w:val="1"/>
          <w:bCs w:val="1"/>
          <w:i w:val="1"/>
          <w:iCs w:val="1"/>
          <w:color w:val="auto"/>
        </w:rPr>
        <w:t>SLE Management Entities</w:t>
      </w:r>
      <w:r>
        <w:rPr>
          <w:rFonts w:ascii="Times New Roman" w:cs="Times New Roman" w:eastAsia="Times New Roman" w:hAnsi="Times New Roman"/>
          <w:sz w:val="18"/>
          <w:szCs w:val="18"/>
          <w:color w:val="auto"/>
        </w:rPr>
        <w:t>”), which serves as investment adviser to the SLE Funds (and together with Opps III Management, Opps IV Management, Opps V Management, TAO Management, Growth I Management, Growth II Management, FS Management, Agriculture Management, SH Management, CMS Management, the CLO Management Entities and the CMS Non-Equity Management Entities, the “</w:t>
      </w:r>
      <w:r>
        <w:rPr>
          <w:rFonts w:ascii="Times New Roman" w:cs="Times New Roman" w:eastAsia="Times New Roman" w:hAnsi="Times New Roman"/>
          <w:sz w:val="18"/>
          <w:szCs w:val="18"/>
          <w:b w:val="1"/>
          <w:bCs w:val="1"/>
          <w:i w:val="1"/>
          <w:iCs w:val="1"/>
          <w:color w:val="auto"/>
        </w:rPr>
        <w:t>Sixth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Management Companies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2424" w:right="20" w:hanging="332"/>
        <w:spacing w:after="0" w:line="286" w:lineRule="auto"/>
        <w:tabs>
          <w:tab w:leader="none" w:pos="2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Mid-Stage Growth I Management, LLC (“</w:t>
      </w:r>
      <w:r>
        <w:rPr>
          <w:rFonts w:ascii="Times New Roman" w:cs="Times New Roman" w:eastAsia="Times New Roman" w:hAnsi="Times New Roman"/>
          <w:sz w:val="18"/>
          <w:szCs w:val="18"/>
          <w:b w:val="1"/>
          <w:bCs w:val="1"/>
          <w:i w:val="1"/>
          <w:iCs w:val="1"/>
          <w:color w:val="auto"/>
        </w:rPr>
        <w:t>Mid-Stage Growth Management</w:t>
      </w:r>
      <w:r>
        <w:rPr>
          <w:rFonts w:ascii="Times New Roman" w:cs="Times New Roman" w:eastAsia="Times New Roman" w:hAnsi="Times New Roman"/>
          <w:sz w:val="18"/>
          <w:szCs w:val="18"/>
          <w:color w:val="auto"/>
        </w:rPr>
        <w:t>”), which serves as the investment adviser to the Mid-Stage Growth Funds;</w:t>
      </w:r>
    </w:p>
    <w:p>
      <w:pPr>
        <w:spacing w:after="0" w:line="60" w:lineRule="exact"/>
        <w:rPr>
          <w:rFonts w:ascii="Times New Roman" w:cs="Times New Roman" w:eastAsia="Times New Roman" w:hAnsi="Times New Roman"/>
          <w:sz w:val="18"/>
          <w:szCs w:val="18"/>
          <w:color w:val="auto"/>
        </w:rPr>
      </w:pPr>
    </w:p>
    <w:p>
      <w:pPr>
        <w:jc w:val="both"/>
        <w:ind w:left="2424" w:hanging="332"/>
        <w:spacing w:after="0" w:line="268" w:lineRule="auto"/>
        <w:tabs>
          <w:tab w:leader="none" w:pos="2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Advisers, LLC (“</w:t>
      </w:r>
      <w:r>
        <w:rPr>
          <w:rFonts w:ascii="Times New Roman" w:cs="Times New Roman" w:eastAsia="Times New Roman" w:hAnsi="Times New Roman"/>
          <w:sz w:val="18"/>
          <w:szCs w:val="18"/>
          <w:b w:val="1"/>
          <w:bCs w:val="1"/>
          <w:i w:val="1"/>
          <w:iCs w:val="1"/>
          <w:color w:val="auto"/>
        </w:rPr>
        <w:t>Sixth Street Advisers</w:t>
      </w:r>
      <w:r>
        <w:rPr>
          <w:rFonts w:ascii="Times New Roman" w:cs="Times New Roman" w:eastAsia="Times New Roman" w:hAnsi="Times New Roman"/>
          <w:sz w:val="18"/>
          <w:szCs w:val="18"/>
          <w:color w:val="auto"/>
        </w:rPr>
        <w:t>”), which solely controls each of the Sixth Street Management Companies and is itself an investment adviser that provides investment advisory services related to certain investment vehicles sponsored by Sixth Street (as defined below); and</w:t>
      </w:r>
    </w:p>
    <w:p>
      <w:pPr>
        <w:spacing w:after="0" w:line="76" w:lineRule="exact"/>
        <w:rPr>
          <w:rFonts w:ascii="Times New Roman" w:cs="Times New Roman" w:eastAsia="Times New Roman" w:hAnsi="Times New Roman"/>
          <w:sz w:val="18"/>
          <w:szCs w:val="18"/>
          <w:color w:val="auto"/>
        </w:rPr>
      </w:pPr>
    </w:p>
    <w:p>
      <w:pPr>
        <w:ind w:left="2424" w:right="20" w:hanging="332"/>
        <w:spacing w:after="0" w:line="286" w:lineRule="auto"/>
        <w:tabs>
          <w:tab w:leader="none" w:pos="2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Advisers, LLC (“</w:t>
      </w:r>
      <w:r>
        <w:rPr>
          <w:rFonts w:ascii="Times New Roman" w:cs="Times New Roman" w:eastAsia="Times New Roman" w:hAnsi="Times New Roman"/>
          <w:sz w:val="18"/>
          <w:szCs w:val="18"/>
          <w:b w:val="1"/>
          <w:bCs w:val="1"/>
          <w:i w:val="1"/>
          <w:iCs w:val="1"/>
          <w:color w:val="auto"/>
        </w:rPr>
        <w:t>Sixth Street Lending Partners Advisers</w:t>
      </w:r>
      <w:r>
        <w:rPr>
          <w:rFonts w:ascii="Times New Roman" w:cs="Times New Roman" w:eastAsia="Times New Roman" w:hAnsi="Times New Roman"/>
          <w:sz w:val="18"/>
          <w:szCs w:val="18"/>
          <w:color w:val="auto"/>
        </w:rPr>
        <w:t>”), which serves as the investment adviser to Sixth Street Lending Partners.</w:t>
      </w:r>
    </w:p>
    <w:p>
      <w:pPr>
        <w:spacing w:after="0" w:line="15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Applicants do not seek relief for transactions that would be permitted under other regulatory or interpretive guidance, including, for example, transactions effected consistent with Commission staff no-action positions.</w:t>
      </w:r>
      <w:r>
        <w:rPr>
          <w:rFonts w:ascii="Times New Roman" w:cs="Times New Roman" w:eastAsia="Times New Roman" w:hAnsi="Times New Roman"/>
          <w:sz w:val="15"/>
          <w:szCs w:val="15"/>
          <w:color w:val="auto"/>
        </w:rPr>
        <w:t>5</w:t>
      </w:r>
    </w:p>
    <w:p>
      <w:pPr>
        <w:spacing w:after="0" w:line="310" w:lineRule="exact"/>
        <w:rPr>
          <w:sz w:val="20"/>
          <w:szCs w:val="20"/>
          <w:color w:val="auto"/>
        </w:rPr>
      </w:pPr>
    </w:p>
    <w:p>
      <w:pPr>
        <w:ind w:left="964" w:hanging="532"/>
        <w:spacing w:after="0"/>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p>
    <w:p>
      <w:pPr>
        <w:spacing w:after="0" w:line="113"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collectively, the Existing Advisers together with any future investment adviser that (i) controls, is controlled by or is under common control with any of the Existing Advisers, (ii) is registered as an investment adviser under the Advisers Act and (iii) is not a Regulated Fund (defined below) or a subsidiary of a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6"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JT No-Action Letters (as defined below).</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Affiliated Fund</w:t>
      </w:r>
      <w:r>
        <w:rPr>
          <w:rFonts w:ascii="Times New Roman" w:cs="Times New Roman" w:eastAsia="Times New Roman" w:hAnsi="Times New Roman"/>
          <w:sz w:val="18"/>
          <w:szCs w:val="18"/>
          <w:color w:val="auto"/>
        </w:rPr>
        <w:t>” means any Existing Affiliated Fund, any Future Affiliated Fund or any Sixth Street Proprietary Account (as defined below).</w:t>
      </w:r>
      <w:r>
        <w:rPr>
          <w:rFonts w:ascii="Times New Roman" w:cs="Times New Roman" w:eastAsia="Times New Roman" w:hAnsi="Times New Roman"/>
          <w:sz w:val="15"/>
          <w:szCs w:val="15"/>
          <w:color w:val="auto"/>
        </w:rPr>
        <w:t>6</w:t>
      </w:r>
    </w:p>
    <w:p>
      <w:pPr>
        <w:spacing w:after="0" w:line="22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 means the Existing Regulated Funds, the Existing Affiliated Funds, the Existing Advisers and TC Lending, LLC, each on behalf of itself and its successors.</w:t>
      </w:r>
      <w:r>
        <w:rPr>
          <w:rFonts w:ascii="Times New Roman" w:cs="Times New Roman" w:eastAsia="Times New Roman" w:hAnsi="Times New Roman"/>
          <w:sz w:val="15"/>
          <w:szCs w:val="15"/>
          <w:color w:val="auto"/>
        </w:rPr>
        <w:t>7</w:t>
      </w:r>
    </w:p>
    <w:p>
      <w:pPr>
        <w:spacing w:after="0" w:line="155"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means a business development company under the Act. 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(or the equivalent) of the applicable Regulated Fund.</w:t>
      </w:r>
    </w:p>
    <w:p>
      <w:pPr>
        <w:spacing w:after="0" w:line="22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Board-Established Criteria</w:t>
      </w:r>
      <w:r>
        <w:rPr>
          <w:rFonts w:ascii="Times New Roman" w:cs="Times New Roman" w:eastAsia="Times New Roman" w:hAnsi="Times New Roman"/>
          <w:sz w:val="18"/>
          <w:szCs w:val="18"/>
          <w:color w:val="auto"/>
        </w:rPr>
        <w:t>” means criteria that the Board of a Regulated Fund may establish from time to time to describe the characteristics of Potential Co-Investment Transactions regarding which the Adviser to such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its approval of any Board-Established Criteria, though Applicants anticipate that, under normal circumstances, the Board would not modify these criteria more often than quarterly.</w:t>
      </w:r>
    </w:p>
    <w:p>
      <w:pPr>
        <w:spacing w:after="0" w:line="185"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Affiliate</w:t>
      </w:r>
      <w:r>
        <w:rPr>
          <w:rFonts w:ascii="Times New Roman" w:cs="Times New Roman" w:eastAsia="Times New Roman" w:hAnsi="Times New Roman"/>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71"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any transaction in which one or more Regulated Funds (or its Wholly-Owned Investment Sub (defined below)) participated together with one or more Affiliated Funds and/or one or more other Regulated Funds in reliance on the Order.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or other disposition of an interest in a security of an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jc w:val="both"/>
        <w:ind w:left="424" w:right="20" w:hanging="424"/>
        <w:spacing w:after="0" w:line="253" w:lineRule="auto"/>
        <w:tabs>
          <w:tab w:leader="none" w:pos="424"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Affiliated Funds may include funds that are ultimately structured as collateralized loan obligation funds (“</w:t>
      </w:r>
      <w:r>
        <w:rPr>
          <w:rFonts w:ascii="Times New Roman" w:cs="Times New Roman" w:eastAsia="Times New Roman" w:hAnsi="Times New Roman"/>
          <w:sz w:val="18"/>
          <w:szCs w:val="18"/>
          <w:b w:val="1"/>
          <w:bCs w:val="1"/>
          <w:i w:val="1"/>
          <w:iCs w:val="1"/>
          <w:color w:val="auto"/>
        </w:rPr>
        <w:t>CLOs</w:t>
      </w:r>
      <w:r>
        <w:rPr>
          <w:rFonts w:ascii="Times New Roman" w:cs="Times New Roman" w:eastAsia="Times New Roman" w:hAnsi="Times New Roman"/>
          <w:sz w:val="18"/>
          <w:szCs w:val="18"/>
          <w:color w:val="auto"/>
        </w:rPr>
        <w:t>”). Such CLOs would be investment companies but for the exception provided in Section 3(c)(7) of the Act or their ability to rely on Rule 3a-7 of the Act. During the investment period of a CLO, the CLO may engage in certain transactions customary in CLO formations with another Affiliated Fund on a secondary basis at fair market value. For purposes of the Order, any securities that were acquired by an Affiliated Fund in a particular Co-Investment Transaction that are then transferred in such customary transactions to an Affiliated Fund that is or will become a CLO (an “</w:t>
      </w:r>
      <w:r>
        <w:rPr>
          <w:rFonts w:ascii="Times New Roman" w:cs="Times New Roman" w:eastAsia="Times New Roman" w:hAnsi="Times New Roman"/>
          <w:sz w:val="18"/>
          <w:szCs w:val="18"/>
          <w:b w:val="1"/>
          <w:bCs w:val="1"/>
          <w:i w:val="1"/>
          <w:iCs w:val="1"/>
          <w:color w:val="auto"/>
        </w:rPr>
        <w:t>Affiliated Fund CLO</w:t>
      </w:r>
      <w:r>
        <w:rPr>
          <w:rFonts w:ascii="Times New Roman" w:cs="Times New Roman" w:eastAsia="Times New Roman" w:hAnsi="Times New Roman"/>
          <w:sz w:val="18"/>
          <w:szCs w:val="18"/>
          <w:color w:val="auto"/>
        </w:rPr>
        <w:t>”) will be treated as if the Affiliated Fund CLO acquired such securities in the Co-Investment Transaction. For the avoidance of doubt, any such transfer from an Affiliated Fund to an Affiliated Fund CLO will be treated as a Disposition and completed pursuant to terms and conditions of the Application, though Applicants note that the Regulated Funds would be prohibited from participating in such</w:t>
      </w:r>
    </w:p>
    <w:p>
      <w:pPr>
        <w:spacing w:after="0" w:line="5" w:lineRule="exact"/>
        <w:rPr>
          <w:sz w:val="20"/>
          <w:szCs w:val="20"/>
          <w:color w:val="auto"/>
        </w:rPr>
      </w:pPr>
    </w:p>
    <w:p>
      <w:pPr>
        <w:ind w:left="424" w:right="20"/>
        <w:spacing w:after="0" w:line="249" w:lineRule="auto"/>
        <w:rPr>
          <w:sz w:val="20"/>
          <w:szCs w:val="20"/>
          <w:color w:val="auto"/>
        </w:rPr>
      </w:pPr>
      <w:r>
        <w:rPr>
          <w:rFonts w:ascii="Times New Roman" w:cs="Times New Roman" w:eastAsia="Times New Roman" w:hAnsi="Times New Roman"/>
          <w:sz w:val="18"/>
          <w:szCs w:val="18"/>
          <w:color w:val="auto"/>
        </w:rPr>
        <w:t>Disposition by Section 17(a)(2) or Section 57(a)(2) of the Act, as applicable. The participation by any Affiliated Fund CLO in any such Co-Investment Transaction will remain subject to the Order.</w:t>
      </w:r>
    </w:p>
    <w:p>
      <w:pPr>
        <w:spacing w:after="0" w:line="1" w:lineRule="exact"/>
        <w:rPr>
          <w:sz w:val="20"/>
          <w:szCs w:val="20"/>
          <w:color w:val="auto"/>
        </w:rPr>
      </w:pPr>
    </w:p>
    <w:p>
      <w:pPr>
        <w:ind w:left="424" w:right="20" w:hanging="424"/>
        <w:spacing w:after="0" w:line="262" w:lineRule="auto"/>
        <w:tabs>
          <w:tab w:leader="none" w:pos="424"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successor, as applied to any Adviser, means an entity which results from a reorganization into another jurisdiction or change in the type of business organization.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Follow-On Investment</w:t>
      </w:r>
      <w:r>
        <w:rPr>
          <w:rFonts w:ascii="Times New Roman" w:cs="Times New Roman" w:eastAsia="Times New Roman" w:hAnsi="Times New Roman"/>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Affiliated Fund</w:t>
      </w:r>
      <w:r>
        <w:rPr>
          <w:rFonts w:ascii="Times New Roman" w:cs="Times New Roman" w:eastAsia="Times New Roman" w:hAnsi="Times New Roman"/>
          <w:sz w:val="18"/>
          <w:szCs w:val="18"/>
          <w:color w:val="auto"/>
        </w:rPr>
        <w:t>” means any entity (a) whose investment adviser (and sub-adviser(s), if any) is an Adviser, (b) that either (x) would be an investment company but for Section 3(c)(1), 3(c)(5)(C) or 3(c)(7) of the Act or (y) relies on Rule 3a-7 under the Act and (c) that intends to participate in the Co-Investment Program.</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member of the Board of any relevant entity who is not an “interested person” as defined in Section 2(a)(19) of the Act. No Independent Director of a Regulated Fund will have a financial interest in any Co-Investment Transaction, other than indirectly through share ownership in one of the Regulated Funds.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JT No-Action Letters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SMC Capital, Inc.</w:t>
      </w:r>
      <w:r>
        <w:rPr>
          <w:rFonts w:ascii="Times New Roman" w:cs="Times New Roman" w:eastAsia="Times New Roman" w:hAnsi="Times New Roman"/>
          <w:sz w:val="18"/>
          <w:szCs w:val="18"/>
          <w:color w:val="auto"/>
        </w:rPr>
        <w:t xml:space="preserve">, SEC No-Action Letter (pub. avail. Sept. 5, 1995) and </w:t>
      </w:r>
      <w:r>
        <w:rPr>
          <w:rFonts w:ascii="Times New Roman" w:cs="Times New Roman" w:eastAsia="Times New Roman" w:hAnsi="Times New Roman"/>
          <w:sz w:val="18"/>
          <w:szCs w:val="18"/>
          <w:u w:val="single" w:color="auto"/>
          <w:color w:val="auto"/>
        </w:rPr>
        <w:t>Massachusetts Mutual Life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SEC No-Action Letter (pub. avail. June 7, 2000).</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Objectives and Strategies</w:t>
      </w:r>
      <w:r>
        <w:rPr>
          <w:rFonts w:ascii="Times New Roman" w:cs="Times New Roman" w:eastAsia="Times New Roman" w:hAnsi="Times New Roman"/>
          <w:sz w:val="18"/>
          <w:szCs w:val="18"/>
          <w:color w:val="auto"/>
        </w:rPr>
        <w:t>” means a Regulated Fund’s investment objectives and strategies, as described in its most current registration statement on Form N-2, other current filings with the Commission under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its most current report to stockholders.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Potential Co-Investment Transaction</w:t>
      </w:r>
      <w:r>
        <w:rPr>
          <w:rFonts w:ascii="Times New Roman" w:cs="Times New Roman" w:eastAsia="Times New Roman" w:hAnsi="Times New Roman"/>
          <w:sz w:val="18"/>
          <w:szCs w:val="18"/>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Pre-Boarding Investments</w:t>
      </w:r>
      <w:r>
        <w:rPr>
          <w:rFonts w:ascii="Times New Roman" w:cs="Times New Roman" w:eastAsia="Times New Roman" w:hAnsi="Times New Roman"/>
          <w:sz w:val="18"/>
          <w:szCs w:val="18"/>
          <w:color w:val="auto"/>
        </w:rPr>
        <w:t>” are investments in an issuer held by a Regulated Fund as well as one or more Affiliated Funds and/or one or more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Regulated Funds that were acquired prior to participating in any Co-Investment Transaction:</w:t>
      </w:r>
    </w:p>
    <w:p>
      <w:pPr>
        <w:sectPr>
          <w:pgSz w:w="11900" w:h="16838" w:orient="portrait"/>
          <w:cols w:equalWidth="0" w:num="1">
            <w:col w:w="11020"/>
          </w:cols>
          <w:pgMar w:left="440" w:top="266" w:right="439" w:bottom="1440" w:gutter="0" w:footer="0" w:header="0"/>
        </w:sectPr>
      </w:pP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transactions in which the only term negotiated by or on behalf of such funds was price in reliance on one of the JT No-Action Letters; or</w:t>
      </w:r>
    </w:p>
    <w:p>
      <w:pPr>
        <w:spacing w:after="0" w:line="131" w:lineRule="exact"/>
        <w:rPr>
          <w:sz w:val="20"/>
          <w:szCs w:val="20"/>
          <w:color w:val="auto"/>
        </w:rPr>
      </w:pPr>
    </w:p>
    <w:p>
      <w:pPr>
        <w:sectPr>
          <w:pgSz w:w="11900" w:h="16838" w:orient="portrait"/>
          <w:cols w:equalWidth="0" w:num="2">
            <w:col w:w="580" w:space="380"/>
            <w:col w:w="10060"/>
          </w:cols>
          <w:pgMar w:left="440" w:top="266" w:right="4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in transactions occurring at least 90 days apart and without coordination between the Regulated Fund and any Affiliated Fund or other Regulated Fund.</w:t>
      </w:r>
    </w:p>
    <w:p>
      <w:pPr>
        <w:spacing w:after="0" w:line="158" w:lineRule="exact"/>
        <w:rPr>
          <w:sz w:val="20"/>
          <w:szCs w:val="20"/>
          <w:color w:val="auto"/>
        </w:rPr>
      </w:pPr>
    </w:p>
    <w:p>
      <w:pPr>
        <w:sectPr>
          <w:pgSz w:w="11900" w:h="16838" w:orient="portrait"/>
          <w:cols w:equalWidth="0" w:num="2">
            <w:col w:w="640" w:space="320"/>
            <w:col w:w="100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Funds</w:t>
      </w:r>
      <w:r>
        <w:rPr>
          <w:rFonts w:ascii="Times New Roman" w:cs="Times New Roman" w:eastAsia="Times New Roman" w:hAnsi="Times New Roman"/>
          <w:sz w:val="18"/>
          <w:szCs w:val="18"/>
          <w:color w:val="auto"/>
        </w:rPr>
        <w:t>” means the Existing Regulated Funds and any Future Regulated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Remote Affiliate</w:t>
      </w:r>
      <w:r>
        <w:rPr>
          <w:rFonts w:ascii="Times New Roman" w:cs="Times New Roman" w:eastAsia="Times New Roman" w:hAnsi="Times New Roman"/>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type w:val="continuous"/>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means a required majority, as defined in Section 57(o) of the Act.</w:t>
      </w:r>
      <w:r>
        <w:rPr>
          <w:rFonts w:ascii="Times New Roman" w:cs="Times New Roman" w:eastAsia="Times New Roman" w:hAnsi="Times New Roman"/>
          <w:sz w:val="15"/>
          <w:szCs w:val="15"/>
          <w:color w:val="auto"/>
        </w:rPr>
        <w:t>8</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SBIC Subsidiary</w:t>
      </w:r>
      <w:r>
        <w:rPr>
          <w:rFonts w:ascii="Times New Roman" w:cs="Times New Roman" w:eastAsia="Times New Roman" w:hAnsi="Times New Roman"/>
          <w:sz w:val="18"/>
          <w:szCs w:val="18"/>
          <w:color w:val="auto"/>
        </w:rPr>
        <w:t>” means a Wholly-Owned Investment Sub that is licensed by the Small Business Administration (the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to operate under the Small Business Investment Act of 1958, as amended (the “</w:t>
      </w:r>
      <w:r>
        <w:rPr>
          <w:rFonts w:ascii="Times New Roman" w:cs="Times New Roman" w:eastAsia="Times New Roman" w:hAnsi="Times New Roman"/>
          <w:sz w:val="18"/>
          <w:szCs w:val="18"/>
          <w:b w:val="1"/>
          <w:bCs w:val="1"/>
          <w:i w:val="1"/>
          <w:iCs w:val="1"/>
          <w:color w:val="auto"/>
        </w:rPr>
        <w:t>SBA Act</w:t>
      </w:r>
      <w:r>
        <w:rPr>
          <w:rFonts w:ascii="Times New Roman" w:cs="Times New Roman" w:eastAsia="Times New Roman" w:hAnsi="Times New Roman"/>
          <w:sz w:val="18"/>
          <w:szCs w:val="18"/>
          <w:color w:val="auto"/>
        </w:rPr>
        <w:t>”), as a small business investment company.</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Sixth Street</w:t>
      </w:r>
      <w:r>
        <w:rPr>
          <w:rFonts w:ascii="Times New Roman" w:cs="Times New Roman" w:eastAsia="Times New Roman" w:hAnsi="Times New Roman"/>
          <w:sz w:val="18"/>
          <w:szCs w:val="18"/>
          <w:color w:val="auto"/>
        </w:rPr>
        <w:t>” means the investment management platform presently referred to collectively as “SSP” or “Sixth Street Partners,” of which each of the Applicants is a part.</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Sixth Street Proprietary Account</w:t>
      </w:r>
      <w:r>
        <w:rPr>
          <w:rFonts w:ascii="Times New Roman" w:cs="Times New Roman" w:eastAsia="Times New Roman" w:hAnsi="Times New Roman"/>
          <w:sz w:val="18"/>
          <w:szCs w:val="18"/>
          <w:color w:val="auto"/>
        </w:rPr>
        <w:t>” means any account of an Adviser or its affiliates or any company that is a direct or indirect, wholly- or majority-owned subsidiary of the Adviser or its affiliates, which, from time to time, may hold various financial assets in a principal capacity.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that meets the following criteria at the time of Disposition:</w:t>
      </w:r>
    </w:p>
    <w:p>
      <w:pPr>
        <w:spacing w:after="0" w:line="135" w:lineRule="exact"/>
        <w:rPr>
          <w:sz w:val="20"/>
          <w:szCs w:val="20"/>
          <w:color w:val="auto"/>
        </w:rPr>
      </w:pPr>
    </w:p>
    <w:p>
      <w:pPr>
        <w:ind w:left="964" w:right="2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on a national securities exchange or designated offshore securities market as defined in rule 902(b) under the Securities Act (an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not subject to restrictive agreements with the issuer or other security holders; </w:t>
      </w:r>
      <w:r>
        <w:rPr>
          <w:rFonts w:ascii="Times New Roman" w:cs="Times New Roman" w:eastAsia="Times New Roman" w:hAnsi="Times New Roman"/>
          <w:sz w:val="18"/>
          <w:szCs w:val="18"/>
          <w:u w:val="single" w:color="auto"/>
          <w:color w:val="auto"/>
        </w:rPr>
        <w:t>and</w:t>
      </w:r>
    </w:p>
    <w:p>
      <w:pPr>
        <w:spacing w:after="0" w:line="130" w:lineRule="exact"/>
        <w:rPr>
          <w:rFonts w:ascii="Times New Roman" w:cs="Times New Roman" w:eastAsia="Times New Roman" w:hAnsi="Times New Roman"/>
          <w:sz w:val="18"/>
          <w:szCs w:val="18"/>
          <w:color w:val="auto"/>
        </w:rPr>
      </w:pPr>
    </w:p>
    <w:p>
      <w:pPr>
        <w:jc w:val="both"/>
        <w:ind w:left="964" w:hanging="532"/>
        <w:spacing w:after="0" w:line="261"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with sufficient volume and liquidity (findings as to which are documented by the Adviser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76"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(i) that is wholly owned by a Regulated Fund (with such Regulated Fund at all times holding, beneficially and of record, 100% of the voting and economic interests); (ii) whose sole business purpose is to hold one or more investments on behalf of such Regulated Fund (and, in the case of an SBIC Subsidiary, maintains a license under the SBA Act and issues debentures guaranteed by the SBA);</w:t>
      </w:r>
    </w:p>
    <w:p>
      <w:pPr>
        <w:jc w:val="both"/>
        <w:ind w:left="4" w:right="20" w:hanging="4"/>
        <w:spacing w:after="0" w:line="255" w:lineRule="auto"/>
        <w:tabs>
          <w:tab w:leader="none" w:pos="3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such Regulated Fund’s Board has the sole authority to make all determinations with respect to the entity’s participation under the Conditions to this Application; and (iv) that would be an investment company but for Section 3(c)(1), 3(c)(5)(C) or 3(c)(7) of the Act. TC Lending, LLC is a Wholly-Owned Investment Sub of the Company.</w:t>
      </w:r>
    </w:p>
    <w:p>
      <w:pPr>
        <w:spacing w:after="0" w:line="330"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APPLICANTS</w:t>
      </w:r>
    </w:p>
    <w:p>
      <w:pPr>
        <w:spacing w:after="0" w:line="135" w:lineRule="exact"/>
        <w:rPr>
          <w:sz w:val="20"/>
          <w:szCs w:val="20"/>
          <w:color w:val="auto"/>
        </w:rPr>
      </w:pPr>
    </w:p>
    <w:p>
      <w:pPr>
        <w:ind w:left="964" w:hanging="532"/>
        <w:spacing w:after="0"/>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Regulated Funds</w:t>
      </w:r>
    </w:p>
    <w:p>
      <w:pPr>
        <w:spacing w:after="0" w:line="11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Company was organized as a Delaware corporation on July 21, 2010 for the purpose of operating as an externally managed specialty finance investment company. The Company has elected to be regulated as a BDC under the Act. In connection with that election, the Company has registered its shares under the Exchange Act, and is thus subject to the periodic reporting requirements of the Exchange Act.</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initially raised capital through private offerings in reliance on the exemption from the registration requirements under the Securities Act set forth under Section 4(a)(2) thereof. The Company completed the initial public offering of its shares of common stock on March 26, 2014. The Company’s common stock is traded on the New York Stock Exchange under the symbol “TSLX.” As of March 31, 2021, the Company had 76,070,680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4" w:lineRule="exact"/>
        <w:rPr>
          <w:sz w:val="20"/>
          <w:szCs w:val="20"/>
          <w:color w:val="auto"/>
        </w:rPr>
      </w:pPr>
    </w:p>
    <w:p>
      <w:pPr>
        <w:ind w:left="424" w:hanging="424"/>
        <w:spacing w:after="0" w:line="282" w:lineRule="auto"/>
        <w:tabs>
          <w:tab w:leader="none" w:pos="424"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case of a Regulated Fund that is a registered closed-end fund, the Board members that make up the Required Majority will be determined as if the Regulated Fund were a BDC subject to Section 57(o).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12" w:name="page13"/>
    <w:bookmarkEnd w:id="12"/>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current investment objective and strategy is to generate current income by targeting investments with favorable risk-adjusted returns. The Company seeks to generate current income primarily through direct originations of senior secured loans and, to a lesser extent, originations of mezzanine and unsecured loans and investments in corporate bonds and equity securities.</w:t>
      </w:r>
    </w:p>
    <w:p>
      <w:pPr>
        <w:spacing w:after="0" w:line="172"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The Company has elected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Internal Revenue Code of 1986, as amended, and operates in a manner so as to qualify for the tax treatment applicable to RICs.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the Company (the “</w:t>
      </w:r>
      <w:r>
        <w:rPr>
          <w:rFonts w:ascii="Times New Roman" w:cs="Times New Roman" w:eastAsia="Times New Roman" w:hAnsi="Times New Roman"/>
          <w:sz w:val="18"/>
          <w:szCs w:val="18"/>
          <w:b w:val="1"/>
          <w:bCs w:val="1"/>
          <w:i w:val="1"/>
          <w:iCs w:val="1"/>
          <w:color w:val="auto"/>
        </w:rPr>
        <w:t>TSLX Board</w:t>
      </w:r>
      <w:r>
        <w:rPr>
          <w:rFonts w:ascii="Times New Roman" w:cs="Times New Roman" w:eastAsia="Times New Roman" w:hAnsi="Times New Roman"/>
          <w:sz w:val="18"/>
          <w:szCs w:val="18"/>
          <w:color w:val="auto"/>
        </w:rPr>
        <w:t>”) is comprised of nine directors, five of whom are Independent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Current Members of the TSLX Board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Michael Fishman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Jennifer Gordon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David Stiepleman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Hurley Doddy (Independent Director)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Higginbotham (Independent Director)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John Ross (Independent Director)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Judy Slotkin (Independent Director)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Ronald Tanemura (Independent Director)</w:t>
      </w:r>
    </w:p>
    <w:p>
      <w:pPr>
        <w:spacing w:after="0" w:line="20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Sixth Street Lending Partners was organized as a Delaware statutory trust on April 7, 2022 for the purpose of operating as an externally managed specialty finance investment company. Sixth Street Lending Partners has elected to be regulated as a BDC under the Act. In connection with that election, Sixth Street Lending Partners has filed a a registration statement on Form 10 for the purpose of registering its shares under the Exchange Act, and upon effectiveness of such registration statement, will be subject to the periodic reporting requirements of the Exchange Act.</w:t>
      </w:r>
    </w:p>
    <w:p>
      <w:pPr>
        <w:spacing w:after="0" w:line="180" w:lineRule="exact"/>
        <w:rPr>
          <w:sz w:val="20"/>
          <w:szCs w:val="20"/>
          <w:color w:val="auto"/>
        </w:rPr>
      </w:pPr>
    </w:p>
    <w:p>
      <w:pPr>
        <w:jc w:val="both"/>
        <w:ind w:right="20" w:firstLine="440"/>
        <w:spacing w:after="0" w:line="277" w:lineRule="auto"/>
        <w:rPr>
          <w:sz w:val="20"/>
          <w:szCs w:val="20"/>
          <w:color w:val="auto"/>
        </w:rPr>
      </w:pPr>
      <w:r>
        <w:rPr>
          <w:rFonts w:ascii="Times New Roman" w:cs="Times New Roman" w:eastAsia="Times New Roman" w:hAnsi="Times New Roman"/>
          <w:sz w:val="17"/>
          <w:szCs w:val="17"/>
          <w:color w:val="auto"/>
        </w:rPr>
        <w:t>Sixth Street Lending Partners intends to initially raise capital through private offerings in reliance on the exemption from registration requirements under the Securities Act set forth under Section 4(a)(1) thereof. Sixth Street Lending Partners’ current investment objective and strategy is to generate current income by targeting investments with favorable risk-adjusted returns. Sixth Street Lending Partners seeks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Board of Sixth Street Lending Partners (the </w:t>
      </w:r>
      <w:r>
        <w:rPr>
          <w:rFonts w:ascii="Times New Roman" w:cs="Times New Roman" w:eastAsia="Times New Roman" w:hAnsi="Times New Roman"/>
          <w:sz w:val="18"/>
          <w:szCs w:val="18"/>
          <w:b w:val="1"/>
          <w:bCs w:val="1"/>
          <w:i w:val="1"/>
          <w:iCs w:val="1"/>
          <w:color w:val="auto"/>
        </w:rPr>
        <w:t>“SSLP Board”</w:t>
      </w:r>
      <w:r>
        <w:rPr>
          <w:rFonts w:ascii="Times New Roman" w:cs="Times New Roman" w:eastAsia="Times New Roman" w:hAnsi="Times New Roman"/>
          <w:sz w:val="18"/>
          <w:szCs w:val="18"/>
          <w:color w:val="auto"/>
        </w:rPr>
        <w:t>) is comprised of seven trustees, four of whom are Independent Trustees.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Current Members of the SSLP Board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Jennifer Gordon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David Stiepleman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Higginbotham (Independent Trustee)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Hurley Doddy (Independent Trustee)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Judy Slotkin (Independent Trustee)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Ronald Tanemura (Independent Trustee)</w:t>
      </w:r>
    </w:p>
    <w:p>
      <w:pPr>
        <w:spacing w:after="0" w:line="20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 Independent Director of a Regulated Fund will have a financial interest in any Co-Investment Transaction, other than indirectly through share ownership in one of the Regulated Funds.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of the Affiliated Funds, described in more detail below, has, or will have, investment objectives and strategies that may overlap from time to time with the Company’s Objectives and Strategies. To the extent there is an investment that falls within these Objectives and Strategies, the Company may co-invest with one or more Affiliated Funds.</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TC Lending, LLC is a Wholly-Owned Investment Sub of the Company, whose sole business purpose is to hold one or more investments on behalf of the Company. TC Lending, LLC is a separate and distinct legal entity. TC Lending, LLC is exempt from registration under Section 3(c)(7) of the Act.</w:t>
      </w:r>
    </w:p>
    <w:p>
      <w:pPr>
        <w:spacing w:after="0" w:line="310" w:lineRule="exact"/>
        <w:rPr>
          <w:sz w:val="20"/>
          <w:szCs w:val="20"/>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 Street Specialty Lending Advisers</w:t>
      </w:r>
    </w:p>
    <w:p>
      <w:pPr>
        <w:spacing w:after="0" w:line="117"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Sixth Street Specialty Lending Advisers, a Delaware limited liability company, is registered with the Commission as an investment adviser under the Advisers Act. Sixth Street Specialty Lending Advisers serves as investment adviser to the Company and is responsible for sourcing potential investments, conducting research and due diligence on prospective investments and equity sponsors, analyzing investment opportunities, structuring the Company’s investments, and monitoring such investments and portfolio companies, on an ongoing basis. Sixth Street Specialty Lending Advisers may in the future serve as an investment adviser to one or more Future Regulated Funds or Future Affiliated Funds.</w:t>
      </w:r>
    </w:p>
    <w:p>
      <w:pPr>
        <w:spacing w:after="0" w:line="332"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 Street Lending Partners Advisers</w:t>
      </w:r>
    </w:p>
    <w:p>
      <w:pPr>
        <w:spacing w:after="0" w:line="117"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Sixth Street Lending Partners Advisers, a Delaware limited liability company, is registered with the Commission as an investment adviser under the Advisers Act. Sixth Street Lending Partners Advisers serves as investment adviser to Sixth Street Lending Partners, and will be responsible for sourcing potential investments, conducting research and due diligence on prospective investments and equity sponsors, analyzing investment opportunities, structuring Sixth Street Lending Partners’ investments, and monitoring such investments and portfolio companies, on an ongoing basis. Sixth Street Lending Partners Advisers may in the future serve as an investment adviser to one or more additional Future Regulated Funds or Future Affiliated Funds.</w:t>
      </w:r>
    </w:p>
    <w:p>
      <w:pPr>
        <w:sectPr>
          <w:pgSz w:w="11900" w:h="16838" w:orient="portrait"/>
          <w:cols w:equalWidth="0" w:num="1">
            <w:col w:w="11020"/>
          </w:cols>
          <w:pgMar w:left="440" w:top="270" w:right="439" w:bottom="663"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663" w:gutter="0" w:footer="0" w:header="0"/>
          <w:type w:val="continuous"/>
        </w:sectPr>
      </w:pPr>
    </w:p>
    <w:bookmarkStart w:id="13" w:name="page14"/>
    <w:bookmarkEnd w:id="13"/>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Existing Affiliated Funds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Opps III Funds</w:t>
      </w:r>
    </w:p>
    <w:p>
      <w:pPr>
        <w:spacing w:after="0" w:line="11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Opps III Funds are a series of private investment vehicles formed primarily to pursue actively managed global opportunistic credit and special situations investments in corporate and real estate backed investments. The Opps III Funds are comprised of a series of parallel investment vehicles that generally invest side-by-side in each portfolio investment. The investors in the Opps III Funds are primarily “qualified purchasers,” as defined in the Act, including, among others, high net worth individuals, banks, thrift institutions, pension and profit sharing plans, trusts, estates, charitable organizations, corporations, limited partnerships and limited companies. Each Opps III Fund relies on the exception from the definition of “investment company” under the Act provided in Section 3(c)(1) or 3(c)(7). The general partner of each Opps III Fund is Sixth Street Opportunities GenPar III, L.P., and the investment adviser to each Opps III Fund is Opps III Management. Each Opps III Fund intends to co-invest with the Existing Regulated Funds during its applicable investment period.</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Opps IV Funds</w:t>
      </w:r>
    </w:p>
    <w:p>
      <w:pPr>
        <w:spacing w:after="0" w:line="119"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The Opps IV Funds are a series of private investment vehicles that are successor vehicles to the Opps III Funds, and thus are structured similarly to the Opps III Funds and pursue a similar investment strategy. The Opps IV Funds are comprised of a series of parallel investment vehicles that generally invest side-by-side in each portfolio investment. Similar to the Opps III Funds, the Opps IV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IV Fund is Sixth Street Opportunities GenPar IV, L.P., and the investment adviser to each Opps IV Fund is Opps IV Management. Each Opps IV Fund intends to co-invest with the Existing Regulated Funds during its applicable investment period.</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Opps V Funds</w:t>
      </w:r>
    </w:p>
    <w:p>
      <w:pPr>
        <w:spacing w:after="0" w:line="119"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The Opps V Funds are a series of private investment vehicles that are successor vehicles to the Opps III Funds and the Opps IV Funds, and thus are structured similarly to the Opps III Funds and the Opps IV Funds and pursue a similar investment strategy. The Opps V Funds are comprised of a series of parallel investment vehicles that will generally invest side-by-side in each portfolio investment. Similar to the Opps III Funds and the Opps IV Funds, the Opps V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Opps V Fund is Sixth Street Opportunities GenPar V, L.P., and the investment adviser to each Opps V Fund is Opps V Management. Each Opps IV Fund intends to co-invest with the Existing Regulated Funds during its applicable investment period.</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TAO Funds</w:t>
      </w:r>
    </w:p>
    <w:p>
      <w:pPr>
        <w:spacing w:after="0" w:line="11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The TAO Funds are a series of private investment vehicles formed primarily to generate attractive returns through the purchase or origination of opportunistic special situations and middle market direct lending investments across the credit cycle. The TAO Funds may also co-invest with investment vehicles sponsored by Sixth Street on an opportunistic basis. Similar to the Opps III Funds, the Opps IV Funds and the Opps V Funds, the TAO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TAO Fund is Sixth Street TAO GenPar, L.P., and the investment adviser to each TAO Fund is TAO Management. Each TAO Fund intends to co-invest with the Existing Regulated Funds during its applicable investment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Growth I Funds</w:t>
      </w:r>
    </w:p>
    <w:p>
      <w:pPr>
        <w:spacing w:after="0" w:line="119"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The Growth I Funds are a series of private investment vehicles formed primarily to generate attractive returns through the purchase or origination of downside-protected credit and equity investments in late-stage growth companies. Similar to the Opps III Funds, the Opps IV Funds, the Opps V Funds and the TAO Funds, the Growth 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 Fund is Sixth Street Growth GenPar, L.P., and the investment adviser to each Growth I Fund is Growth I Management. Each Growth I Fund intends to co-invest with the Existing Regulated Funds during its applicable investment period.</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Growth II Funds</w:t>
      </w:r>
    </w:p>
    <w:p>
      <w:pPr>
        <w:spacing w:after="0" w:line="119" w:lineRule="exact"/>
        <w:rPr>
          <w:sz w:val="20"/>
          <w:szCs w:val="20"/>
          <w:color w:val="auto"/>
        </w:rPr>
      </w:pPr>
    </w:p>
    <w:p>
      <w:pPr>
        <w:jc w:val="both"/>
        <w:ind w:right="20" w:firstLine="440"/>
        <w:spacing w:after="0" w:line="274" w:lineRule="auto"/>
        <w:rPr>
          <w:sz w:val="20"/>
          <w:szCs w:val="20"/>
          <w:color w:val="auto"/>
        </w:rPr>
      </w:pPr>
      <w:r>
        <w:rPr>
          <w:rFonts w:ascii="Times New Roman" w:cs="Times New Roman" w:eastAsia="Times New Roman" w:hAnsi="Times New Roman"/>
          <w:sz w:val="17"/>
          <w:szCs w:val="17"/>
          <w:color w:val="auto"/>
        </w:rPr>
        <w:t>The Growth II Funds are a series of private investment vehicles that are successor vehicles to the Growth I Funds, and thus are structured similarly to the Growth I Funds and pursue a similar investment strategy. Similar to the Opps III Funds, the Opps IV Funds, the Opps V Funds, the TAO Funds and the Growth I Funds, the Growth II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Growth II Fund is Sixth Street Growth GenPar II, L.P., and the investment adviser to each Growth II Fund is Growth II Management. Each Growth II Fund intends to co-invest with the Existing Regulated Funds during its applicable investment period.</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Mid-Stage Growth Funds</w:t>
      </w:r>
    </w:p>
    <w:p>
      <w:pPr>
        <w:spacing w:after="0" w:line="119" w:lineRule="exact"/>
        <w:rPr>
          <w:sz w:val="20"/>
          <w:szCs w:val="20"/>
          <w:color w:val="auto"/>
        </w:rPr>
      </w:pPr>
    </w:p>
    <w:p>
      <w:pPr>
        <w:jc w:val="both"/>
        <w:ind w:firstLine="991"/>
        <w:spacing w:after="0" w:line="255" w:lineRule="auto"/>
        <w:rPr>
          <w:sz w:val="20"/>
          <w:szCs w:val="20"/>
          <w:color w:val="auto"/>
        </w:rPr>
      </w:pPr>
      <w:r>
        <w:rPr>
          <w:rFonts w:ascii="Times New Roman" w:cs="Times New Roman" w:eastAsia="Times New Roman" w:hAnsi="Times New Roman"/>
          <w:sz w:val="18"/>
          <w:szCs w:val="18"/>
          <w:color w:val="auto"/>
        </w:rPr>
        <w:t>The Mid-Stage Growth Funds are a series of private investment vehicles formed to generate attractive returns primarily through the purchase or origination of investments in non-stressed, growth-oriented and post-venture stage issuers or borrowers. Similar to the Opps III Funds, the Opps IV Funds, the Opps V Funds, the TAO Funds, the Growth I Funds and the Growth II Funds, the Mid-Stage Growth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Mid-Stage Growth Fund is Sixth Street Mid-Stage Growth GenPar, L.P., and the investment adviser to each Mid-Stage Growth Fund is Mid-Stage Growth Management. Each Mid-Stage Growth Fund intends to co-invest with the Existing Regulated Funds during its applicable investment period.</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SLE Funds</w:t>
      </w:r>
    </w:p>
    <w:p>
      <w:pPr>
        <w:spacing w:after="0" w:line="119"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The SLE Funds are a series of private investment vehicles formed primarily to generate attractive risk-adjusted returns across credit cycles primarily through the direct origination of European middle-market credit investments. Similar to the Opps III Funds, the Opps IV Funds, the Opps V Funds, the TAO Funds, Growth I Funds, Growth II Funds and the Mid-Stage Growth Funds, the SLE Funds (i) raised capital through the private placement of interests, (ii) primarily have “qualified purchasers,” as defined in the Act, as investors, and (iii) rely on the exception from the definition of “investment company” under the Act provided in Section 3(c)(1) or 3(c)(7). Sixth Street Specialty Lending Europe GenPar I, L.P. serves as the general partner of Sixth Street Specialty Lending Europe I, L.P., Sixth Street Specialty Lending Europe GenPar II, L.P. serves as the general partner of Sixth Street Specialty Lending Europe II, L.P., and Super TSLE GenPar, L.P. serves as the general partner of Super TSLE, L.P. The investment adviser to the SLE Funds is SLE Management. Each SLE Fund intends to co-invest with the Existing Regulated Funds during its applicable investment period.</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FS Funds</w:t>
      </w:r>
    </w:p>
    <w:p>
      <w:pPr>
        <w:spacing w:after="0" w:line="119"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The FS Funds are a series of private investment vehicles formed primarily to generate attractive risk-adjusted returns across credit cycles primarily through the purchase of secondary stressed credit along with other special situations investments. Similar to the Opps III Funds, the Opps IV Funds, the Opps V Funds, the TAO Funds, the Growth I Funds, the Growth II Funds, the Mid-Stage Growth Funds and the SLE Funds, the FS Funds (i) raised capital through the private placement of interests, (ii) primarily have “qualified purchasers,” as defined in the Act, as investors, and (iii) rely on the exception from the definition of “investment company” under the Act provided in Section 3(c)(1) or 3(c)(7). The general partner of each FS Fund is Sixth Street Fundamental Strategies GenPar, L.P. The investment adviser to each FS Fund is FS Management. Each FS Fund intends to co-invest with the Existing Regulated Funds during its applicable investment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8" w:right="439" w:bottom="1440" w:gutter="0" w:footer="0" w:header="0"/>
        </w:sectPr>
      </w:pPr>
    </w:p>
    <w:bookmarkStart w:id="15" w:name="page16"/>
    <w:bookmarkEnd w:id="15"/>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Agriculture Fund</w:t>
      </w:r>
    </w:p>
    <w:p>
      <w:pPr>
        <w:spacing w:after="0" w:line="11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Agriculture Fund is a private investment vehicle formed primarily to generate attractive risk-adjusted returns through long-term investments in fundamentally attractive agricultural assets. Similar to the Opps III Funds, the Opps IV Funds, the Opps V Funds, the TAO Funds, the Growth I Funds, the Growth II Funds, the Mid-Stage Growth Funds, the SLE Funds and the FS Funds, the Agriculture Fund (i) raised capital through the private placement of interests, (ii) primarily have “qualified purchasers,” as defined in the Act, as investors, and (iii) rely on the exception from the definition of “investment company” under the Act provided in Section 3(c)(1) or 3(c)(7). Sixth Street Agriculture GenPar, L.P. serves as the general partner of the Agriculture Fund. The investment adviser to the Agriculture Fund is Agriculture Management. The Agriculture Fund intends to co-invest with the Existing Regulated Funds during its applicable investment period.</w:t>
      </w:r>
    </w:p>
    <w:p>
      <w:pPr>
        <w:spacing w:after="0" w:line="2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SH Funds</w:t>
      </w:r>
    </w:p>
    <w:p>
      <w:pPr>
        <w:spacing w:after="0" w:line="11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SH Funds are a series of private investment vehicles formed primarily to co-invest with Affiliated Funds on the Sixth Street platform. Similar to the Opps III Funds, the Opps IV Funds, the Opps V Funds, the TAO Funds, the Growth I Funds, the Growth II Funds, the Mid-Stage Growth Funds, the SLE Funds, the FS Funds, and the Agriculture Fund, the SH Funds (i) raised capital through the private placement of interests, (ii) primarily have “qualified purchasers,” as defined in the Act, as investors, and (iii) rely on the exception from the definition of “investment company” under the Act provided in Section 3(c)(1) or 3(c)(7). Sixth Street Strategic Holdings GenPar, LLC serves as the general partner of the SH Funds. The investment adviser to each SH Fund is SH Management. Each SH Fund intends to co-invest with the Existing Regulated Funds during its applicable investment period.</w:t>
      </w:r>
    </w:p>
    <w:p>
      <w:pPr>
        <w:spacing w:after="0" w:line="2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CMS Fund</w:t>
      </w:r>
    </w:p>
    <w:p>
      <w:pPr>
        <w:spacing w:after="0" w:line="119"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CMS Fund is a private investment vehicle formed primarily to generate attractive risk-adjusted returns primarily through the purchase of performing corporate credit and structured credit investments. Similar to the Opps III Funds, the Opps IV Funds, Opps V Funds, the TAO Funds, the Growth I Funds, the Growth II Funds, the Mid-Stage Growth Funds, the SLE Funds, the FS Funds, the Agriculture Fund and the SH Funds, the CMS Fund (i) raised capital through the private placement of interests, (ii) primarily has “qualified purchasers,” as defined in the Act, as investors, and</w:t>
      </w:r>
    </w:p>
    <w:p>
      <w:pPr>
        <w:spacing w:after="0" w:line="3" w:lineRule="exact"/>
        <w:rPr>
          <w:sz w:val="20"/>
          <w:szCs w:val="20"/>
          <w:color w:val="auto"/>
        </w:rPr>
      </w:pPr>
    </w:p>
    <w:p>
      <w:pPr>
        <w:jc w:val="both"/>
        <w:ind w:left="4" w:right="20" w:hanging="4"/>
        <w:spacing w:after="0" w:line="255" w:lineRule="auto"/>
        <w:tabs>
          <w:tab w:leader="none" w:pos="3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relies on the exception from the definition of “investment company” under the Act provided in Section 3(c)(1) or 3(c)(7). Sixth Street CMS Dynamic Credit GenPar, LLC serves as the general partner of the CMS Fund. The investment adviser to the CMS Fund is CMS Management. The CMS Fund intends to co-invest with the Existing Regulated Funds during its applicable investment period.</w:t>
      </w:r>
    </w:p>
    <w:p>
      <w:pPr>
        <w:spacing w:after="0" w:line="2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The CLO Funds</w:t>
      </w:r>
    </w:p>
    <w:p>
      <w:pPr>
        <w:spacing w:after="0" w:line="119"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The CLO Funds are a series of private investment vehicles formed primarily to issue collateralized loan obligations backed primarily by broadly syndicate bank loans, bonds and other performing credit instruments. The CLO Funds (i) raised capital through the private placement of interests,</w:t>
      </w:r>
    </w:p>
    <w:p>
      <w:pPr>
        <w:jc w:val="both"/>
        <w:ind w:left="4" w:right="20" w:hanging="4"/>
        <w:spacing w:after="0" w:line="253"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have “qualified institutional buyers,”, as defined in rule 144A under the Securities Act and “qualified purchasers,” as defined in the Act, as investors, and (iii) rely on the exception from the definition of “investment company” under the Act provided in Section 3(c)(7). The investment adviser of each CLO Fund is the applicable CLO Management entity. Each CLO Fund intends to co-invest with the Existing Regulated Funds during its applicable investment period.</w:t>
      </w:r>
    </w:p>
    <w:p>
      <w:pPr>
        <w:spacing w:after="0" w:line="2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The CMS Non-Equity Funds</w:t>
      </w:r>
    </w:p>
    <w:p>
      <w:pPr>
        <w:spacing w:after="0" w:line="119"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The CMS Non-Equity Funds are a series of private investment vehicles formed primarily to invest in performing corporate credit and/or and structured credit investments. Similar to the Opps III Funds, the Opps IV Funds, the Opps V Funds, the TAO Funds, the Growth I Funds, the Growth II Funds, the Mid-Stage Growth Funds, the SLE Funds, the FS Funds, the SH Funds, and the CMS Fund, the CMS Non-Equity Funds (i) raised capital through the private placement of interests, (ii) primarily have “qualified purchasers,” as defined in the Act, as investors, and (iii) rely on the exception from the definition of “investment company” under the Act provided in Section 3(c)(1) or 3(c)(7).</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8" w:right="439" w:bottom="1440" w:gutter="0" w:footer="0" w:header="0"/>
        </w:sectPr>
      </w:pPr>
    </w:p>
    <w:bookmarkStart w:id="16" w:name="page17"/>
    <w:bookmarkEnd w:id="16"/>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Rotational Credit Fund GenPar, L.P. serves as the general partner of TSSP Rotational Credit Fund, L.P., Sixth Street Rotational Credit Fund GenPar II, L.P. serves as the managing member of Sixth Street Wheeler Peak Rotational Credit Fund I, LLC, Sixth Street Rotational Credit Fund GenPar III, L.P. serves as the general partner of Sixth Street Rotational Credit Fund III, L.P., TSSP Structured Credit Opportunities Fund GenPar, L.P. serves as the general partner of TSSP Structured Credit Opportunities Fund, L.P., TSCOF SPV GP, LLC serves as the general partner of Sixth Street Structured Credit Opportunities Fund II, L.P., Sixth Street Structured Credit Opportunities GenPar III, L.P. serves as the general partner of Sixth Street Structured Credit Opportunities Fund III, L.P., Sixth Street Structured Credit Opportunities GenPar IV, LLC serves as the general partner of Sixth Street Structured Credit Opportunities Fund IV, L.P., and Sixth Street Structured Credit Opportunities GenPar V, L.P. serves as the general partner of Sixth Street Structured Credit Opportunities Fund V, L.P. The investment adviser to each CMS Non-Equity Fund is the applicable CMS Non-Equity Management entity. Each CMS Non-Equity Fund intends to co-invest with the Existing Regulated Funds during its applicable investment period.</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CMS Equity Funds</w:t>
      </w:r>
    </w:p>
    <w:p>
      <w:pPr>
        <w:spacing w:after="0" w:line="11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CMS Equity Funds are a series of private investment vehicles formed primarily to invest in the most subordinated tranches of debt or equity of collateralized loan obligation issuers, including the CLO Funds. Similar to the Opps III Funds, the Opps IV Funds, the Opps V Funds, the TAO Funds, the Growth I Funds, the Growth II Funds, the Mid-Stage Growth Funds, the SLE Funds, the FS Funds, the SH Funds, the CMS Fund, and the CMS Non-Equity Funds, the CMS Equity Funds (i) raised capital through the private placement of interests, (ii) primarily have “qualified purchasers,” as defined in the Act, as investors, and (iii) rely on the exception from the definition of “investment company” under the Act provided in Section 3(c)(1) or 3(c)(7). TICP CLO GenPar II, LLC serves as the general partner of TICP CLO Partners II L.P. and TICP CLO Holdings, L.P., TSSP Institutional Credit GenPar III, L.P. serves as the general partner of TSSP Institutional Credit Partners III, L.P., and Sixth Street Credit Market Strategies GenPar, L.P. serves as the general partner of Sixth Street Credit Market Strategies Partners I, L.P. and Sixth Street Credit Market Strategies Partners I-A, L.P. The investment adviser to each CMS Equity Fund is the applicable CMS Equity Management entity and Sixth Street CLO Equity GenPar IV, L.P. serves as the general partner of Sixth Street CLO Equity Fund IV, L.P. Each CMS Equity Fund intends to co-invest with the Existing Regulated Funds during its applicable investment period.</w:t>
      </w:r>
    </w:p>
    <w:p>
      <w:pPr>
        <w:spacing w:after="0" w:line="340"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Advisers to Affiliated Funds</w:t>
      </w:r>
    </w:p>
    <w:p>
      <w:pPr>
        <w:spacing w:after="0" w:line="11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Sixth Street Advisers is organized as a Delaware limited liability company and is registered with the Commission as an investment adviser pursuant to Section 203 of the Advisers Act. Sixth Street Advisers provides investment advisory services across a wide variety of asset classes and investment themes pursued by investment vehicles that are sponsored by Sixth Street,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Each of the Sixth Street Management Companies is organized as a Delaware limited liability company and is a solely controlled subsidiary of Sixth Street Advisers. Each such entity is also registered with the Commission as an investment adviser pursuant to Section 203 of the Advisers Act and is listed as a relying adviser on the Form ADV of Sixth Street Advisers.</w:t>
      </w:r>
    </w:p>
    <w:p>
      <w:pPr>
        <w:spacing w:after="0" w:line="176"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Each of Opps III Management, Opps IV Management, Opps V Management, TAO Management, Growth I Management, Growth II Management, the SLE Management Entities, FS Management, Agriculture Management, SH Management, CMS Management, the CLO Management Entities, the CMS Non-Equity Management Entities, CMS Equity Management Entities and Mid-State Growth Management is the investment adviser to the Opps III Funds, the Opps IV Funds, the Opps V Funds, the TAO Funds, the Growth I Funds, the Growth II Funds, the SLE Funds, the FS Funds, the Agriculture Fund, the SH Funds, the CMS Fund, the CLO Funds, the CMS Non-Equity Funds, the CMS Equity Funds and the Mid-State Growth Funds, respectively. Sixth Street Advisers and each of the Sixth Street Management Companies also provide or will provide investment advisory services to a number of other Affiliated Funds that are not registered under the Act and whose securities are not registered under the Securities 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17" w:name="page18"/>
    <w:bookmarkEnd w:id="17"/>
    <w:p>
      <w:pPr>
        <w:ind w:left="964" w:hanging="532"/>
        <w:spacing w:after="0"/>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Proprietary Accounts</w:t>
      </w:r>
    </w:p>
    <w:p>
      <w:pPr>
        <w:spacing w:after="0" w:line="117"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Sixth Street Proprietary Accounts will hold various financial assets in a principal capacity. Currently, there are no Sixth Street Proprietary Accounts or subsidiaries that exist and currently intend to participate in the Co-Investment Program.</w:t>
      </w:r>
    </w:p>
    <w:p>
      <w:pPr>
        <w:spacing w:after="0" w:line="306"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ORDER REQUESTED</w:t>
      </w:r>
    </w:p>
    <w:p>
      <w:pPr>
        <w:spacing w:after="0" w:line="121"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Applicants respectfully request an Order of the Commission under Sections 17(d) and 57(i)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a Regulated Fund and one or more other Regulated Funds and/or one or more Affiliated Funds to enter into Co-Investment Transactions with each other.</w:t>
      </w:r>
    </w:p>
    <w:p>
      <w:pPr>
        <w:spacing w:after="0" w:line="176"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183"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Similar to the standard precedent used for the majority of co-investment applications, including the Prior Order (collectively, the “</w:t>
      </w:r>
      <w:r>
        <w:rPr>
          <w:rFonts w:ascii="Times New Roman" w:cs="Times New Roman" w:eastAsia="Times New Roman" w:hAnsi="Times New Roman"/>
          <w:sz w:val="18"/>
          <w:szCs w:val="18"/>
          <w:b w:val="1"/>
          <w:bCs w:val="1"/>
          <w:i w:val="1"/>
          <w:iCs w:val="1"/>
          <w:color w:val="auto"/>
        </w:rPr>
        <w:t>Standard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Precedent</w:t>
      </w:r>
      <w:r>
        <w:rPr>
          <w:rFonts w:ascii="Times New Roman" w:cs="Times New Roman" w:eastAsia="Times New Roman" w:hAnsi="Times New Roman"/>
          <w:sz w:val="18"/>
          <w:szCs w:val="18"/>
          <w:color w:val="auto"/>
        </w:rPr>
        <w:t>”), Applicants seek relief that would permit Co-Investment Transactions in the form of initial investments, Follow-On Investments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Dispositions of investments in an issuer. In these cases, the terms and Conditions of this Application would govern the entire lifecycle of an investment with respect to a particular issuer, including both the initial investment and any subsequent transactions. Unlike the Standard Precedent, Applicants also seek the ability to make Follow-On Investments and Dispositions in issuers where the Regulated Funds and Affiliated Funds did not all make their initial investments in reliance on the Order. Applicants seek this flexibility because the Regulated Funds and Affiliated Funds may, at times, invest in the same issuer without engaging in a prohibited joint transaction but then find that subsequent transactions with that issuer would be prohibited under the Act. Through the proposed “onboarding process,” discussed below, Applicants would, under certain circumstances, be permitted to rely on the Order to complete subsequent Co-Investment Transactions. In Section III.A.1 below, Applicants first discuss the overall investment process that would apply to initial investments under the Order as well as subsequent transactions with issuers. In Sections III.A.3 and III.A.4 below, Applicants discuss additional procedures that apply to Follow-On Investments and Dispositions, including the onboarding process that applies when initial investments were made without relying on the Order.</w:t>
      </w:r>
    </w:p>
    <w:p>
      <w:pPr>
        <w:spacing w:after="0" w:line="342" w:lineRule="exact"/>
        <w:rPr>
          <w:sz w:val="20"/>
          <w:szCs w:val="20"/>
          <w:color w:val="auto"/>
        </w:rPr>
      </w:pPr>
    </w:p>
    <w:p>
      <w:pPr>
        <w:ind w:left="964" w:hanging="532"/>
        <w:spacing w:after="0"/>
        <w:tabs>
          <w:tab w:leader="none" w:pos="9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117"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Applicants include the Existing Advisers, which currently collectively manage the Existing Regulated Funds and several private funds, including the Existing Affiliated Funds, with aggregate assets under management of over $60 billion as of December 31, 2021. Each Existing Adviser is registered as an investment adviser with the Commission under the Advisers Act. Each Existing Adviser manages the assets entrusted to it by its clients in accordance with its fiduciary duties to those clients and, in the case of the Existing Regulated Funds, the Act.</w:t>
      </w:r>
    </w:p>
    <w:p>
      <w:pPr>
        <w:spacing w:after="0" w:line="180"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Existing Advisers are presented with hundreds of investment opportunities each year on behalf of their respective clients and must determine how to allocate those opportunities in a manner that, over time, is fair and equitable to all of the clients of such Existing Advisers across the entirety of the Sixth Street platform, and without violating the prohibitions on joint transactions included in Rule 17d-1 and Section 57(a)(4) under the Act.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18" w:name="page19"/>
    <w:bookmarkEnd w:id="18"/>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investment opportunities may be joint transactions such that the Advisers may not include a Regulated Fund in the allocation if another Regulated Fund and/or any Affiliated Fund is participating. Once invested in a security, the Regulated Funds and Affiliated Funds often have the opportunity to either complete an additional investment in the same issuer or exit the investment in a transaction that may be a joint transaction. If a Regulated Fund and one or more Affiliated Funds are invested in an issuer, such funds may not participate in a Follow-On Investment or exit the investment if the terms of the transaction would be a prohibited joint transaction.</w:t>
      </w:r>
    </w:p>
    <w:p>
      <w:pPr>
        <w:spacing w:after="0" w:line="183"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As a result, the Regulated Funds and Affiliated Funds are limited in the types of transactions in which they can participate with each other, and the Regulated Funds from time to time must forego transactions that would be beneficial to investors in the Regulated Funds. Applicants discuss the need for the requested relief in greater detail in section III.C below. Thus, Applicants are seeking the relief requested by the Application for certain initial investments, Follow-On Investments and Dispositions as described below.</w:t>
      </w:r>
    </w:p>
    <w:p>
      <w:pPr>
        <w:spacing w:after="0" w:line="180"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An Adviser will seek to allocate investment opportunities on a fair and equitable basis, taking into account such factors as the relative amounts of capital available for new investments, the applicable investment programs and portfolio positions, the clients for which participation is appropriate and any other factors deemed appropriate.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332" w:lineRule="exact"/>
        <w:rPr>
          <w:sz w:val="20"/>
          <w:szCs w:val="20"/>
          <w:color w:val="auto"/>
        </w:rPr>
      </w:pPr>
    </w:p>
    <w:p>
      <w:pPr>
        <w:ind w:left="1424" w:hanging="439"/>
        <w:spacing w:after="0"/>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Investment Process</w:t>
      </w:r>
    </w:p>
    <w:p>
      <w:pPr>
        <w:spacing w:after="0" w:line="11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324" w:lineRule="exact"/>
        <w:rPr>
          <w:sz w:val="20"/>
          <w:szCs w:val="20"/>
          <w:color w:val="auto"/>
        </w:rPr>
      </w:pPr>
    </w:p>
    <w:p>
      <w:pPr>
        <w:ind w:left="1964" w:hanging="533"/>
        <w:spacing w:after="0"/>
        <w:tabs>
          <w:tab w:leader="none" w:pos="19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Consideration of Investment Opportunities</w:t>
      </w:r>
    </w:p>
    <w:p>
      <w:pPr>
        <w:spacing w:after="0" w:line="117" w:lineRule="exact"/>
        <w:rPr>
          <w:sz w:val="20"/>
          <w:szCs w:val="20"/>
          <w:color w:val="auto"/>
        </w:rPr>
      </w:pPr>
    </w:p>
    <w:p>
      <w:pPr>
        <w:jc w:val="both"/>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Opportunities for Potential Co-Investment Transactions may arise when investment advisory personnel of an Adviser becomes aware of investment opportunities that may be appropriate for one or more Regulated Funds and one or more Affiliated Funds. If the requested Order is granted, the Adviser will establish, maintain and implement policies and procedures reasonably designed to ensure that, when such opportunities arise, the Adviser to the relevant Regulated Funds is promptly notified and receives the same information about the opportunity as any other Adviser considering the opportunity for its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 to make its independent determination and recommendations under Conditions 1, 2(a), 6, 7, 8 and 9 (as applicable).</w:t>
      </w:r>
      <w:r>
        <w:rPr>
          <w:rFonts w:ascii="Times New Roman" w:cs="Times New Roman" w:eastAsia="Times New Roman" w:hAnsi="Times New Roman"/>
          <w:sz w:val="15"/>
          <w:szCs w:val="15"/>
          <w:color w:val="auto"/>
        </w:rPr>
        <w:t>9</w:t>
      </w:r>
      <w:r>
        <w:rPr>
          <w:rFonts w:ascii="Times New Roman" w:cs="Times New Roman" w:eastAsia="Times New Roman" w:hAnsi="Times New Roman"/>
          <w:sz w:val="18"/>
          <w:szCs w:val="18"/>
          <w:color w:val="auto"/>
        </w:rPr>
        <w:t xml:space="preserve"> In addition, the policies and procedures will specify the individuals or roles responsible for carrying out the policies and procedures, including ensuring that the Adviser receives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19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Applicants represent that, if the requested Order is granted, the investment advisory personnel of the Adviser to a Regulated Fund will be charged with making sure they identify, and participate in this process with respect to, each investment opportunity that falls within the Objectives and Strategies and Board Established Criteria of such Regulated Fund. Applicants assert that the Adviser’s allocation policies and procedures are structured so that the relevant investment advisory personnel for each Regulated Fund will be promptly notified of all Potential Co-Investment Transactions that fall within the then current Objectives and Strategies and Board Established Criteria of such Regulated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jc w:val="both"/>
        <w:ind w:left="424" w:right="20" w:hanging="424"/>
        <w:spacing w:after="0" w:line="261" w:lineRule="auto"/>
        <w:tabs>
          <w:tab w:leader="none" w:pos="424"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Adviser has the authority to approve or reject recommended investment opportunities falling within a Regulated Fund’s Objectives and Strategies and any Board-Established Criteria. Accordingly, the policies and procedures may provide, for example, that the Adviser will receive the information required under Condition 1 in conjunction with the participation of its investment advisory personnel in any relevant meetings where an investment opportunity is discussed. For each Potential Co-Investment Transaction, an Adviser will document its recommendation.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19" w:name="page20"/>
    <w:bookmarkEnd w:id="19"/>
    <w:p>
      <w:pPr>
        <w:ind w:left="1964" w:hanging="533"/>
        <w:spacing w:after="0"/>
        <w:tabs>
          <w:tab w:leader="none" w:pos="1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 Placement and Allocation</w:t>
      </w:r>
    </w:p>
    <w:p>
      <w:pPr>
        <w:spacing w:after="0" w:line="117"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an Adviser to a Regulated Fund deems the Regulated Fund’s participation in any Potential Co-Investment Transaction to be appropriate, it will formulate a recommendation regarding the proposed order amount for the Regulated Fund. In doing so, an Adviser may consider such factors, among others, as investment guidelines, issuer, industry and/or geographical concentration, availability of cash and other opportunities for which cash is needed, tax considerations, leverage covenants, regulatory constraints (such as requirements under the Act), investment horizon, potential liquidity needs, and the Regulated Fund’s risk concentration policies.</w:t>
      </w:r>
    </w:p>
    <w:p>
      <w:pPr>
        <w:spacing w:after="0" w:line="183"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Allocation Procedure</w:t>
      </w:r>
      <w:r>
        <w:rPr>
          <w:rFonts w:ascii="Times New Roman" w:cs="Times New Roman" w:eastAsia="Times New Roman" w:hAnsi="Times New Roman"/>
          <w:sz w:val="18"/>
          <w:szCs w:val="18"/>
          <w:color w:val="auto"/>
        </w:rPr>
        <w:t>. For each Regulated Fund and Affiliated Fund whose Adviser recommends participating in a Potential Co-Investment Transaction, such Adviser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Adviser’s written allocation policies and procedures by a Sixth Street allocation team comprised of senior investment, risk, investor relations, legal and compliance professionals of Sixth Street.</w:t>
      </w:r>
      <w:r>
        <w:rPr>
          <w:rFonts w:ascii="Times New Roman" w:cs="Times New Roman" w:eastAsia="Times New Roman" w:hAnsi="Times New Roman"/>
          <w:sz w:val="15"/>
          <w:szCs w:val="15"/>
          <w:color w:val="auto"/>
        </w:rPr>
        <w:t>10</w:t>
      </w:r>
      <w:r>
        <w:rPr>
          <w:rFonts w:ascii="Times New Roman" w:cs="Times New Roman" w:eastAsia="Times New Roman" w:hAnsi="Times New Roman"/>
          <w:sz w:val="18"/>
          <w:szCs w:val="18"/>
          <w:color w:val="auto"/>
        </w:rPr>
        <w:t xml:space="preserve"> The order of a Regulated Fund or Affiliated Fund resulting from this process is referred to as its “</w:t>
      </w:r>
      <w:r>
        <w:rPr>
          <w:rFonts w:ascii="Times New Roman" w:cs="Times New Roman" w:eastAsia="Times New Roman" w:hAnsi="Times New Roman"/>
          <w:sz w:val="18"/>
          <w:szCs w:val="18"/>
          <w:b w:val="1"/>
          <w:bCs w:val="1"/>
          <w:i w:val="1"/>
          <w:iCs w:val="1"/>
          <w:color w:val="auto"/>
        </w:rPr>
        <w:t>Internal Order</w:t>
      </w:r>
      <w:r>
        <w:rPr>
          <w:rFonts w:ascii="Times New Roman" w:cs="Times New Roman" w:eastAsia="Times New Roman" w:hAnsi="Times New Roman"/>
          <w:sz w:val="18"/>
          <w:szCs w:val="18"/>
          <w:color w:val="auto"/>
        </w:rPr>
        <w:t>.” The Internal Order will be submitted for approval by the Required Majority of any participating Regulated Funds in accordance with the Conditions and as discussed in section III.A.1(c) below. If the aggregate Internal Orders for a Potential Co-Investment Transaction do not exceed the size of the investment opportunity immediately prior to the submission of the orders to the underwriter, broker, dealer, borrower and/or issuer, as applicable (the “</w:t>
      </w:r>
      <w:r>
        <w:rPr>
          <w:rFonts w:ascii="Times New Roman" w:cs="Times New Roman" w:eastAsia="Times New Roman" w:hAnsi="Times New Roman"/>
          <w:sz w:val="18"/>
          <w:szCs w:val="18"/>
          <w:b w:val="1"/>
          <w:bCs w:val="1"/>
          <w:i w:val="1"/>
          <w:iCs w:val="1"/>
          <w:color w:val="auto"/>
        </w:rPr>
        <w:t>External Submission</w:t>
      </w:r>
      <w:r>
        <w:rPr>
          <w:rFonts w:ascii="Times New Roman" w:cs="Times New Roman" w:eastAsia="Times New Roman" w:hAnsi="Times New Roman"/>
          <w:sz w:val="18"/>
          <w:szCs w:val="18"/>
          <w:color w:val="auto"/>
        </w:rPr>
        <w:t xml:space="preserve">”),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 size of the Internal Orders.</w:t>
      </w:r>
      <w:r>
        <w:rPr>
          <w:rFonts w:ascii="Times New Roman" w:cs="Times New Roman" w:eastAsia="Times New Roman" w:hAnsi="Times New Roman"/>
          <w:sz w:val="15"/>
          <w:szCs w:val="15"/>
          <w:color w:val="auto"/>
        </w:rPr>
        <w:t>11</w:t>
      </w:r>
    </w:p>
    <w:p>
      <w:pPr>
        <w:spacing w:after="0" w:line="192"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size of the opportunity is decreased such that the aggregate of the original Internal Orders would exceed the amount of the remaining investment opportunity, then upon submitting any revised order amount to the Board of a Regulated Fund for approval, the Adviser to the Regulated Fund will also notify the Board promptly of the amount that the Regulated Fund would receive if the remaining investment opportunity were allocated pro rata on the basis of the size of the original Internal Orders. The Board of the Regulated Fund will then either approve or disapprove of the investment opportunity in accordance with Condition 2, 6, 7, 8 or 9,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reason for any such adjustment to a proposed order amount will be documented in writing and preserved in the records of the Advisers.</w:t>
      </w:r>
    </w:p>
    <w:p>
      <w:pPr>
        <w:spacing w:after="0" w:line="27" w:lineRule="exact"/>
        <w:rPr>
          <w:rFonts w:ascii="Times New Roman" w:cs="Times New Roman" w:eastAsia="Times New Roman" w:hAnsi="Times New Roman"/>
          <w:sz w:val="15"/>
          <w:szCs w:val="15"/>
          <w:color w:val="auto"/>
        </w:rPr>
      </w:pPr>
    </w:p>
    <w:p>
      <w:pPr>
        <w:jc w:val="both"/>
        <w:ind w:left="424" w:right="20" w:hanging="424"/>
        <w:spacing w:after="0" w:line="253" w:lineRule="auto"/>
        <w:tabs>
          <w:tab w:leader="none" w:pos="42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20" w:name="page21"/>
    <w:bookmarkEnd w:id="20"/>
    <w:p>
      <w:pPr>
        <w:jc w:val="both"/>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w:t>
      </w:r>
      <w:r>
        <w:rPr>
          <w:rFonts w:ascii="Times New Roman" w:cs="Times New Roman" w:eastAsia="Times New Roman" w:hAnsi="Times New Roman"/>
          <w:sz w:val="18"/>
          <w:szCs w:val="18"/>
          <w:color w:val="auto"/>
        </w:rPr>
        <w:t>. Applicants represent that the Advisers’ allocation review process will be a robust process designed as part of their overall compliance policies and procedures to ensure that every client is treated fairly and that the Advisers are following their allocation policies. The allocation process will be monitored and reviewed by the Sixth Street platform’s compliance team, including each designated chief compliance officer for an Adviser or Regulated Fund, and approved by the Board of each Regulated Fund.</w:t>
      </w:r>
    </w:p>
    <w:p>
      <w:pPr>
        <w:spacing w:after="0" w:line="328" w:lineRule="exact"/>
        <w:rPr>
          <w:sz w:val="20"/>
          <w:szCs w:val="20"/>
          <w:color w:val="auto"/>
        </w:rPr>
      </w:pPr>
    </w:p>
    <w:p>
      <w:pPr>
        <w:ind w:left="1960" w:hanging="533"/>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Potential Co-Investment Transactions</w:t>
      </w:r>
    </w:p>
    <w:p>
      <w:pPr>
        <w:spacing w:after="0" w:line="11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310" w:lineRule="exact"/>
        <w:rPr>
          <w:sz w:val="20"/>
          <w:szCs w:val="20"/>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Settlement</w:t>
      </w:r>
    </w:p>
    <w:p>
      <w:pPr>
        <w:spacing w:after="0" w:line="117"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(10) business days after the settlement date for the Regulated Fund, and vice versa, for one of two reasons. First, this may occur when the Affiliated Fund or Regulated Fund is not yet fully funded because, when the Affiliated Fund or Regulated Fund desires to make an investment, it must call capital from its investors to obtain the financing to make the investment, and in these instances, the notice requirement to call capital could be as much as ten (10) business days. Accordingly, if a fund has called committed capital from its investors but the investors have not yet funded the capital calls, it may need to delay settlement during the notice period. Second, delayed settlement may also occur where, for tax or regulatory reasons, an Affiliated Fund or Regulated Fund does not purchase new issuances immediately upon issuance but only after a short seasoning period of up to ten (10) business days.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(10) business days of each other.</w:t>
      </w:r>
    </w:p>
    <w:p>
      <w:pPr>
        <w:spacing w:after="0" w:line="19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328" w:lineRule="exact"/>
        <w:rPr>
          <w:sz w:val="20"/>
          <w:szCs w:val="20"/>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Follow-On Investments and Approval of Follow-On Investments</w:t>
      </w:r>
    </w:p>
    <w:p>
      <w:pPr>
        <w:spacing w:after="0" w:line="117"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 The Order, if granted, would permit Affiliated Funds to participate in Follow-On Investments in issuers in which at least one Regulated Fund is invested, but such Affiliated Funds are not invested. This relief would not permit Follow-On Investments by Regulated Funds that are not invested in the issuer.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1" w:name="page22"/>
    <w:bookmarkEnd w:id="21"/>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w:t>
      </w:r>
      <w:r>
        <w:rPr>
          <w:rFonts w:ascii="Times New Roman" w:cs="Times New Roman" w:eastAsia="Times New Roman" w:hAnsi="Times New Roman"/>
          <w:sz w:val="18"/>
          <w:szCs w:val="18"/>
          <w:u w:val="single" w:color="auto"/>
          <w:color w:val="auto"/>
        </w:rPr>
        <w:t>Section III.A.3.a.</w:t>
      </w:r>
      <w:r>
        <w:rPr>
          <w:rFonts w:ascii="Times New Roman" w:cs="Times New Roman" w:eastAsia="Times New Roman" w:hAnsi="Times New Roman"/>
          <w:sz w:val="18"/>
          <w:szCs w:val="18"/>
          <w:color w:val="auto"/>
        </w:rPr>
        <w:t xml:space="preserve"> below and governed by Condition 8. These Follow-On Investments are referred to as “</w:t>
      </w:r>
      <w:r>
        <w:rPr>
          <w:rFonts w:ascii="Times New Roman" w:cs="Times New Roman" w:eastAsia="Times New Roman" w:hAnsi="Times New Roman"/>
          <w:sz w:val="18"/>
          <w:szCs w:val="18"/>
          <w:b w:val="1"/>
          <w:bCs w:val="1"/>
          <w:i w:val="1"/>
          <w:iCs w:val="1"/>
          <w:color w:val="auto"/>
        </w:rPr>
        <w:t>Standard Review Follow-Ons</w:t>
      </w:r>
      <w:r>
        <w:rPr>
          <w:rFonts w:ascii="Times New Roman" w:cs="Times New Roman" w:eastAsia="Times New Roman" w:hAnsi="Times New Roman"/>
          <w:sz w:val="18"/>
          <w:szCs w:val="18"/>
          <w:color w:val="auto"/>
        </w:rPr>
        <w:t xml:space="preserve">.” If such Regulated Funds and Affiliated Funds hold Pre-Boarding Investments and have not previously participated in a Co-Investment Transaction with respect to the issuer, then the terms and approval of the Follow-On Investment would be subject to the “onboarding process” discussed in </w:t>
      </w:r>
      <w:r>
        <w:rPr>
          <w:rFonts w:ascii="Times New Roman" w:cs="Times New Roman" w:eastAsia="Times New Roman" w:hAnsi="Times New Roman"/>
          <w:sz w:val="18"/>
          <w:szCs w:val="18"/>
          <w:u w:val="single" w:color="auto"/>
          <w:color w:val="auto"/>
        </w:rPr>
        <w:t>Section III.A.3.b</w:t>
      </w:r>
      <w:r>
        <w:rPr>
          <w:rFonts w:ascii="Times New Roman" w:cs="Times New Roman" w:eastAsia="Times New Roman" w:hAnsi="Times New Roman"/>
          <w:sz w:val="18"/>
          <w:szCs w:val="18"/>
          <w:color w:val="auto"/>
        </w:rPr>
        <w:t xml:space="preserve"> below and governed by Condition 9. These Follow-On Investments are referred to as “</w:t>
      </w:r>
      <w:r>
        <w:rPr>
          <w:rFonts w:ascii="Times New Roman" w:cs="Times New Roman" w:eastAsia="Times New Roman" w:hAnsi="Times New Roman"/>
          <w:sz w:val="18"/>
          <w:szCs w:val="18"/>
          <w:b w:val="1"/>
          <w:bCs w:val="1"/>
          <w:i w:val="1"/>
          <w:iCs w:val="1"/>
          <w:color w:val="auto"/>
        </w:rPr>
        <w:t>Enhanced Review Follow-Ons</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ind w:left="1960" w:hanging="533"/>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11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58"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Follow-On Investment</w:t>
      </w:r>
      <w:r>
        <w:rPr>
          <w:rFonts w:ascii="Times New Roman" w:cs="Times New Roman" w:eastAsia="Times New Roman" w:hAnsi="Times New Roman"/>
          <w:sz w:val="18"/>
          <w:szCs w:val="18"/>
          <w:color w:val="auto"/>
        </w:rPr>
        <w:t>” is a Follow-On Investment (i) in which the participation of each Affiliated Fund and each Regulated Fund is proportionate to its outstanding investments in the issuer or security, as appropriate,</w:t>
      </w:r>
      <w:r>
        <w:rPr>
          <w:rFonts w:ascii="Times New Roman" w:cs="Times New Roman" w:eastAsia="Times New Roman" w:hAnsi="Times New Roman"/>
          <w:sz w:val="15"/>
          <w:szCs w:val="15"/>
          <w:color w:val="auto"/>
        </w:rPr>
        <w:t>16</w:t>
      </w:r>
      <w:r>
        <w:rPr>
          <w:rFonts w:ascii="Times New Roman" w:cs="Times New Roman" w:eastAsia="Times New Roman" w:hAnsi="Times New Roman"/>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8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Non-Negotiated Follow-On Investment</w:t>
      </w:r>
      <w:r>
        <w:rPr>
          <w:rFonts w:ascii="Times New Roman" w:cs="Times New Roman" w:eastAsia="Times New Roman" w:hAnsi="Times New Roman"/>
          <w:sz w:val="18"/>
          <w:szCs w:val="18"/>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7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324" w:lineRule="exact"/>
        <w:rPr>
          <w:sz w:val="20"/>
          <w:szCs w:val="20"/>
          <w:color w:val="auto"/>
        </w:rPr>
      </w:pPr>
    </w:p>
    <w:p>
      <w:pPr>
        <w:ind w:left="1960" w:hanging="533"/>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117"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2" w:name="page23"/>
    <w:bookmarkEnd w:id="22"/>
    <w:p>
      <w:pPr>
        <w:ind w:left="1424" w:hanging="439"/>
        <w:spacing w:after="0"/>
        <w:tabs>
          <w:tab w:leader="none" w:pos="1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w:t>
      </w:r>
    </w:p>
    <w:p>
      <w:pPr>
        <w:spacing w:after="0" w:line="117"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Funds and Affiliated Funds and in accordance with procedures set forth in the proposed Conditions to the Order and discussed below.</w:t>
      </w:r>
    </w:p>
    <w:p>
      <w:pPr>
        <w:spacing w:after="0" w:line="180"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w:t>
      </w:r>
      <w:r>
        <w:rPr>
          <w:rFonts w:ascii="Times New Roman" w:cs="Times New Roman" w:eastAsia="Times New Roman" w:hAnsi="Times New Roman"/>
          <w:sz w:val="18"/>
          <w:szCs w:val="18"/>
          <w:b w:val="1"/>
          <w:bCs w:val="1"/>
          <w:i w:val="1"/>
          <w:iCs w:val="1"/>
          <w:color w:val="auto"/>
        </w:rPr>
        <w:t>Standard Review Dispositions</w:t>
      </w:r>
      <w:r>
        <w:rPr>
          <w:rFonts w:ascii="Times New Roman" w:cs="Times New Roman" w:eastAsia="Times New Roman" w:hAnsi="Times New Roman"/>
          <w:sz w:val="18"/>
          <w:szCs w:val="18"/>
          <w:color w:val="auto"/>
        </w:rPr>
        <w:t>”)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w:t>
      </w:r>
      <w:r>
        <w:rPr>
          <w:rFonts w:ascii="Times New Roman" w:cs="Times New Roman" w:eastAsia="Times New Roman" w:hAnsi="Times New Roman"/>
          <w:sz w:val="18"/>
          <w:szCs w:val="18"/>
          <w:b w:val="1"/>
          <w:bCs w:val="1"/>
          <w:i w:val="1"/>
          <w:iCs w:val="1"/>
          <w:color w:val="auto"/>
        </w:rPr>
        <w:t>Enhanced Review Dispositions</w:t>
      </w:r>
      <w:r>
        <w:rPr>
          <w:rFonts w:ascii="Times New Roman" w:cs="Times New Roman" w:eastAsia="Times New Roman" w:hAnsi="Times New Roman"/>
          <w:sz w:val="18"/>
          <w:szCs w:val="18"/>
          <w:color w:val="auto"/>
        </w:rPr>
        <w:t>”) would be subject to the same “onboarding process” discussed in Section III.A.4(b) below and governed by Condition 7.</w:t>
      </w:r>
    </w:p>
    <w:p>
      <w:pPr>
        <w:spacing w:after="0" w:line="337" w:lineRule="exact"/>
        <w:rPr>
          <w:sz w:val="20"/>
          <w:szCs w:val="20"/>
          <w:color w:val="auto"/>
        </w:rPr>
      </w:pPr>
    </w:p>
    <w:p>
      <w:pPr>
        <w:ind w:left="1964" w:hanging="533"/>
        <w:spacing w:after="0"/>
        <w:tabs>
          <w:tab w:leader="none" w:pos="1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p>
    <w:p>
      <w:pPr>
        <w:spacing w:after="0" w:line="11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62"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58"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Disposition</w:t>
      </w:r>
      <w:r>
        <w:rPr>
          <w:rFonts w:ascii="Times New Roman" w:cs="Times New Roman" w:eastAsia="Times New Roman" w:hAnsi="Times New Roman"/>
          <w:sz w:val="18"/>
          <w:szCs w:val="18"/>
          <w:color w:val="auto"/>
        </w:rPr>
        <w:t>” is a Disposition (i) in which the participation of each Affiliated Fund and each Regulated Fund is proportionate to its outstanding investment in the security subject to Disposition immediately preceding the Disposition;</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83"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case of a Tradable Security, approval of the Required Majority is not required for the Disposition if: (x) the Disposition is not to the issuer or any affiliated person of the issuer;</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328" w:lineRule="exact"/>
        <w:rPr>
          <w:sz w:val="20"/>
          <w:szCs w:val="20"/>
          <w:color w:val="auto"/>
        </w:rPr>
      </w:pPr>
    </w:p>
    <w:p>
      <w:pPr>
        <w:ind w:left="1964" w:hanging="533"/>
        <w:spacing w:after="0"/>
        <w:tabs>
          <w:tab w:leader="none" w:pos="19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117"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an investment in a given issuer, the participating Regulated Funds and Affiliated Funds need only complete the onboarding process for the first Co-Investment Transaction, which may be an Enhanced Review Follow-On or an Enhanced Review Disposition.</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Subsequent Co-Investment Transactions with respect to the issuer will be governed by Condition 6 or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note 23, below.</w:t>
      </w:r>
    </w:p>
    <w:p>
      <w:pPr>
        <w:spacing w:after="0" w:line="27" w:lineRule="exact"/>
        <w:rPr>
          <w:rFonts w:ascii="Times New Roman" w:cs="Times New Roman" w:eastAsia="Times New Roman" w:hAnsi="Times New Roman"/>
          <w:sz w:val="15"/>
          <w:szCs w:val="15"/>
          <w:color w:val="auto"/>
        </w:rPr>
      </w:pPr>
    </w:p>
    <w:p>
      <w:pPr>
        <w:jc w:val="both"/>
        <w:ind w:left="424" w:right="20" w:hanging="424"/>
        <w:spacing w:after="0" w:line="250" w:lineRule="auto"/>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cash) to pay down long term liabilities.</w:t>
      </w:r>
    </w:p>
    <w:p>
      <w:pPr>
        <w:spacing w:after="0" w:line="1" w:lineRule="exact"/>
        <w:rPr>
          <w:rFonts w:ascii="Times New Roman" w:cs="Times New Roman" w:eastAsia="Times New Roman" w:hAnsi="Times New Roman"/>
          <w:sz w:val="15"/>
          <w:szCs w:val="15"/>
          <w:color w:val="auto"/>
        </w:rPr>
      </w:pPr>
    </w:p>
    <w:p>
      <w:pPr>
        <w:jc w:val="both"/>
        <w:ind w:left="424" w:hanging="424"/>
        <w:spacing w:after="0" w:line="252" w:lineRule="auto"/>
        <w:tabs>
          <w:tab w:leader="none" w:pos="424"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23" w:name="page24"/>
    <w:bookmarkEnd w:id="23"/>
    <w:p>
      <w:pPr>
        <w:ind w:left="1424" w:hanging="439"/>
        <w:spacing w:after="0"/>
        <w:tabs>
          <w:tab w:leader="none" w:pos="1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Wholly-Owned Investment Subs</w:t>
      </w:r>
    </w:p>
    <w:p>
      <w:pPr>
        <w:spacing w:after="0" w:line="117"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83" w:lineRule="exact"/>
        <w:rPr>
          <w:sz w:val="20"/>
          <w:szCs w:val="20"/>
          <w:color w:val="auto"/>
        </w:rPr>
      </w:pPr>
    </w:p>
    <w:p>
      <w:pPr>
        <w:jc w:val="both"/>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Applicants represent that this treatment is justified because a Wholly-Owned Investment Sub would have no purpose other than serving as a holding vehicle for the Regulated Fund’s investments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337" w:lineRule="exact"/>
        <w:rPr>
          <w:sz w:val="20"/>
          <w:szCs w:val="20"/>
          <w:color w:val="auto"/>
        </w:rPr>
      </w:pPr>
    </w:p>
    <w:p>
      <w:pPr>
        <w:ind w:left="964" w:hanging="532"/>
        <w:spacing w:after="0"/>
        <w:tabs>
          <w:tab w:leader="none" w:pos="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p>
    <w:p>
      <w:pPr>
        <w:spacing w:after="0" w:line="131" w:lineRule="exact"/>
        <w:rPr>
          <w:sz w:val="20"/>
          <w:szCs w:val="20"/>
          <w:color w:val="auto"/>
        </w:rPr>
      </w:pPr>
    </w:p>
    <w:p>
      <w:pPr>
        <w:ind w:left="1424" w:hanging="439"/>
        <w:spacing w:after="0"/>
        <w:tabs>
          <w:tab w:leader="none" w:pos="1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17(d) and Section 57(a)(4)</w:t>
      </w:r>
    </w:p>
    <w:p>
      <w:pPr>
        <w:spacing w:after="0" w:line="11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80"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67" w:lineRule="exact"/>
        <w:rPr>
          <w:sz w:val="20"/>
          <w:szCs w:val="20"/>
          <w:color w:val="auto"/>
        </w:rPr>
      </w:pPr>
    </w:p>
    <w:p>
      <w:pPr>
        <w:ind w:left="964" w:right="20" w:hanging="532"/>
        <w:spacing w:after="0" w:line="282"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member of an advisory board of a BDC or any person (other than the BDC itself) who is an affiliated person of the forgoing pursuant to Section 2(a)(3)(C); or</w:t>
      </w:r>
    </w:p>
    <w:p>
      <w:pPr>
        <w:spacing w:after="0" w:line="67" w:lineRule="exact"/>
        <w:rPr>
          <w:rFonts w:ascii="Times New Roman" w:cs="Times New Roman" w:eastAsia="Times New Roman" w:hAnsi="Times New Roman"/>
          <w:sz w:val="18"/>
          <w:szCs w:val="18"/>
          <w:color w:val="auto"/>
        </w:rPr>
      </w:pPr>
    </w:p>
    <w:p>
      <w:pPr>
        <w:jc w:val="both"/>
        <w:ind w:left="964" w:hanging="532"/>
        <w:spacing w:after="0" w:line="261" w:lineRule="auto"/>
        <w:tabs>
          <w:tab w:leader="none" w:pos="9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or any person who is an affiliated person of any of the forgoing within the meaning of Section 2(a)(3)(C) or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jc w:val="both"/>
        <w:ind w:left="424" w:right="20" w:hanging="424"/>
        <w:spacing w:after="0" w:line="266" w:lineRule="auto"/>
        <w:tabs>
          <w:tab w:leader="none" w:pos="42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Also excluded from this category by Rule 57b-1 is any person who would otherwise be included (a) solely because that person is directly or indirectly controlled by a BDC, or (b) solely because that person is, within the meaning of Section 2(a)(3)(C) or (D) of the Act, an affiliated person of a person described in (a) above.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24" w:name="page25"/>
    <w:bookmarkEnd w:id="24"/>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Times New Roman" w:cs="Times New Roman" w:eastAsia="Times New Roman" w:hAnsi="Times New Roman"/>
          <w:sz w:val="15"/>
          <w:szCs w:val="15"/>
          <w:color w:val="auto"/>
        </w:rPr>
        <w:t>16</w:t>
      </w:r>
    </w:p>
    <w:p>
      <w:pPr>
        <w:spacing w:after="0" w:line="340" w:lineRule="exact"/>
        <w:rPr>
          <w:sz w:val="20"/>
          <w:szCs w:val="20"/>
          <w:color w:val="auto"/>
        </w:rPr>
      </w:pPr>
    </w:p>
    <w:p>
      <w:pPr>
        <w:ind w:left="1424" w:hanging="439"/>
        <w:spacing w:after="0"/>
        <w:tabs>
          <w:tab w:leader="none" w:pos="1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17d-1</w:t>
      </w:r>
    </w:p>
    <w:p>
      <w:pPr>
        <w:spacing w:after="0" w:line="117"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89"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3"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180"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color w:val="auto"/>
        </w:rPr>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Times New Roman" w:cs="Times New Roman" w:eastAsia="Times New Roman" w:hAnsi="Times New Roman"/>
          <w:sz w:val="15"/>
          <w:szCs w:val="15"/>
          <w:color w:val="auto"/>
        </w:rPr>
        <w:t>17</w:t>
      </w:r>
      <w:r>
        <w:rPr>
          <w:rFonts w:ascii="Times New Roman" w:cs="Times New Roman" w:eastAsia="Times New Roman" w:hAnsi="Times New Roman"/>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 participants.”</w:t>
      </w:r>
      <w:r>
        <w:rPr>
          <w:rFonts w:ascii="Times New Roman" w:cs="Times New Roman" w:eastAsia="Times New Roman" w:hAnsi="Times New Roman"/>
          <w:sz w:val="15"/>
          <w:szCs w:val="15"/>
          <w:color w:val="auto"/>
        </w:rPr>
        <w:t>18</w:t>
      </w:r>
      <w:r>
        <w:rPr>
          <w:rFonts w:ascii="Times New Roman" w:cs="Times New Roman" w:eastAsia="Times New Roman" w:hAnsi="Times New Roman"/>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jc w:val="both"/>
        <w:ind w:left="424" w:hanging="424"/>
        <w:spacing w:after="0" w:line="255" w:lineRule="auto"/>
        <w:tabs>
          <w:tab w:leader="none" w:pos="42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SEC Rel. No. IC-4697 (Sept. 8, 1966) (“For purposes of Section 2(a)(3)(C), affiliation based upon control would depend on the facts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given situation, including such factors as extensive interlocks of officers, directors or key personnel, common investment advisers or underwriters, etc.”); </w:t>
      </w:r>
      <w:r>
        <w:rPr>
          <w:rFonts w:ascii="Times New Roman" w:cs="Times New Roman" w:eastAsia="Times New Roman" w:hAnsi="Times New Roman"/>
          <w:sz w:val="18"/>
          <w:szCs w:val="18"/>
          <w:u w:val="single" w:color="auto"/>
          <w:color w:val="auto"/>
        </w:rPr>
        <w:t>Lazard Freres Asset Management</w:t>
      </w:r>
      <w:r>
        <w:rPr>
          <w:rFonts w:ascii="Times New Roman" w:cs="Times New Roman" w:eastAsia="Times New Roman" w:hAnsi="Times New Roman"/>
          <w:sz w:val="18"/>
          <w:szCs w:val="18"/>
          <w:color w:val="auto"/>
        </w:rPr>
        <w: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ind w:left="424" w:hanging="424"/>
        <w:spacing w:after="0"/>
        <w:tabs>
          <w:tab w:leader="none" w:pos="42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See Protecting Investors: A Half-Century of Investment Company Regulation</w:t>
      </w:r>
      <w:r>
        <w:rPr>
          <w:rFonts w:ascii="Times New Roman" w:cs="Times New Roman" w:eastAsia="Times New Roman" w:hAnsi="Times New Roman"/>
          <w:sz w:val="18"/>
          <w:szCs w:val="18"/>
          <w:color w:val="auto"/>
        </w:rPr>
        <w:t xml:space="preserve">, 1504 Fed. Sec. L. Rep., Extra Edition (May 29, 1992) at 488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Securities and Exchange Commission v. Talley Industries, Inc.</w:t>
      </w:r>
      <w:r>
        <w:rPr>
          <w:rFonts w:ascii="Times New Roman" w:cs="Times New Roman" w:eastAsia="Times New Roman" w:hAnsi="Times New Roman"/>
          <w:sz w:val="18"/>
          <w:szCs w:val="18"/>
          <w:color w:val="auto"/>
        </w:rPr>
        <w:t xml:space="preserve">, 399 F.2d 396, 405 (2d Cir. 1968), </w:t>
      </w:r>
      <w:r>
        <w:rPr>
          <w:rFonts w:ascii="Times New Roman" w:cs="Times New Roman" w:eastAsia="Times New Roman" w:hAnsi="Times New Roman"/>
          <w:sz w:val="18"/>
          <w:szCs w:val="18"/>
          <w:u w:val="single" w:color="auto"/>
          <w:color w:val="auto"/>
        </w:rPr>
        <w:t>cert. denied</w:t>
      </w:r>
      <w:r>
        <w:rPr>
          <w:rFonts w:ascii="Times New Roman" w:cs="Times New Roman" w:eastAsia="Times New Roman" w:hAnsi="Times New Roman"/>
          <w:sz w:val="18"/>
          <w:szCs w:val="18"/>
          <w:color w:val="auto"/>
        </w:rPr>
        <w:t>, 393 U.S. 1015 (1969).</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H.Rep. No. 96-1341, 96th Cong., 2d Sess. 45 (1980) </w:t>
      </w:r>
      <w:r>
        <w:rPr>
          <w:rFonts w:ascii="Times New Roman" w:cs="Times New Roman" w:eastAsia="Times New Roman" w:hAnsi="Times New Roman"/>
          <w:sz w:val="18"/>
          <w:szCs w:val="18"/>
          <w:i w:val="1"/>
          <w:iCs w:val="1"/>
          <w:color w:val="auto"/>
        </w:rPr>
        <w:t>reprinted in</w:t>
      </w:r>
      <w:r>
        <w:rPr>
          <w:rFonts w:ascii="Times New Roman" w:cs="Times New Roman" w:eastAsia="Times New Roman" w:hAnsi="Times New Roman"/>
          <w:sz w:val="18"/>
          <w:szCs w:val="18"/>
          <w:color w:val="auto"/>
        </w:rPr>
        <w:t xml:space="preserve"> 1980 U.S.C.C.A.N. 4827.</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25" w:name="page26"/>
    <w:bookmarkEnd w:id="25"/>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believe that the Conditions would ensure that the conflicts of interest that Section 17(d) and Section 57(a)(4) were designed to prevent would be addressed and the standards for an order under Rule 17d-1 and Section 57(i) would be met.</w:t>
      </w:r>
    </w:p>
    <w:p>
      <w:pPr>
        <w:spacing w:after="0" w:line="310" w:lineRule="exact"/>
        <w:rPr>
          <w:sz w:val="20"/>
          <w:szCs w:val="20"/>
          <w:color w:val="auto"/>
        </w:rPr>
      </w:pPr>
    </w:p>
    <w:p>
      <w:pPr>
        <w:ind w:left="964" w:hanging="532"/>
        <w:spacing w:after="0"/>
        <w:tabs>
          <w:tab w:leader="none" w:pos="9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Need for Relief</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Co-Investment Transactions are prohibited by either or both of Rule 17d-1 and Section 57(a)(4) without a prior exemptive order of the Commission to the extent that the Affiliated Funds and the Regulated Funds participating in such transactions fall within the category of persons described by Rule 17d-1 and/or Section 57(b), as modified by Rule 57b-1 thereunder, as applicable vis-à-vis each participating Regulated Fund.</w:t>
      </w:r>
    </w:p>
    <w:p>
      <w:pPr>
        <w:spacing w:after="0" w:line="176"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Each of the participating Regulated Funds and Affiliated Funds may be deemed to be affiliated persons vis-à-vis a Regulated Fund within the meaning of Section 2(a)(3) by reason of common control because (i) an Adviser manages each of the Affiliated Funds and may be deemed to control any Future Regulated Fund and any Future Affiliated Fund, (ii) an Adviser manages each of the Existing Regulated Funds pursuant to its respective investment advisory agreement and (iii) the Advisers, including the Existing Advisers, are under common control. Thus, each of the Affiliated Funds could be deemed to be a person related to the Existing Regulated Funds in a manner described by Section 57(b) and related to Future Regulated Funds in a manner described by Rule 17d-1; and, therefore, the prohibitions of Rule 17d-1 and Section 57(a)(4) would apply respectively to prohibit the Existing Regulated Funds and Affiliated Funds from participating in Co-Investment Transactions with the Regulated Funds.</w:t>
      </w:r>
    </w:p>
    <w:p>
      <w:pPr>
        <w:spacing w:after="0" w:line="18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the Sixth Street Proprietary Accounts will be controlled by an Adviser or its affiliates and, therefore, may be under common control with the Existing Regulated Funds, the Advisers, and any Future Regulated Funds, the Sixth Street Proprietary Accounts could be deemed to be persons related to the Regulated Funds (or a company controlled by the Regulated Funds) in a manner described by Section 17(d) or 57(b) and also prohibited from participating in the Co-Investment Program.</w:t>
      </w:r>
    </w:p>
    <w:p>
      <w:pPr>
        <w:spacing w:after="0" w:line="180"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The Applicants acknowledge that some of the Affiliated Funds may not be funds advised by an Adviser because they are Sixth Street Proprietary Accounts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investing in a principal capacity). However, Applicants note that numerous of the previously ordered exemptive applications seeking similar co-investment relief have included proprietary accounts.</w:t>
      </w:r>
      <w:r>
        <w:rPr>
          <w:rFonts w:ascii="Times New Roman" w:cs="Times New Roman" w:eastAsia="Times New Roman" w:hAnsi="Times New Roman"/>
          <w:sz w:val="15"/>
          <w:szCs w:val="15"/>
          <w:color w:val="auto"/>
        </w:rPr>
        <w:t>20</w:t>
      </w:r>
      <w:r>
        <w:rPr>
          <w:rFonts w:ascii="Times New Roman" w:cs="Times New Roman" w:eastAsia="Times New Roman" w:hAnsi="Times New Roman"/>
          <w:sz w:val="18"/>
          <w:szCs w:val="18"/>
          <w:color w:val="auto"/>
        </w:rPr>
        <w:t xml:space="preserve"> The Applicants do not believe that the participation of the Sixth Street Proprietary Accounts in the Co-Investment Program would raise any regulatory or mechanical concerns different from those discussed with respect to Affiliated Funds that are advised by the Advisers. In accordance with the allocation policies and procedures, Potential Co-Investment Transactions will be offered to, and allocated among, the Affiliated Funds (including the Sixth Street Proprietary Accounts) and Regulated Funds, based on each client’s particular Objectives and Strategies and in accordance with the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jc w:val="both"/>
        <w:ind w:left="424" w:hanging="424"/>
        <w:spacing w:after="0" w:line="255" w:lineRule="auto"/>
        <w:tabs>
          <w:tab w:leader="none" w:pos="42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Blackstone / GSO Floating Rate Enhanced Income Fund, et 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No. 812-14835) Investment Company Act Rel. Nos. 33149 (July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2018) (notice) and 33186 (July 31, 2018); </w:t>
      </w:r>
      <w:r>
        <w:rPr>
          <w:rFonts w:ascii="Times New Roman" w:cs="Times New Roman" w:eastAsia="Times New Roman" w:hAnsi="Times New Roman"/>
          <w:sz w:val="18"/>
          <w:szCs w:val="18"/>
          <w:u w:val="single" w:color="auto"/>
          <w:color w:val="auto"/>
        </w:rPr>
        <w:t>Corporate Capital Trust, Inc., et al.</w:t>
      </w:r>
      <w:r>
        <w:rPr>
          <w:rFonts w:ascii="Times New Roman" w:cs="Times New Roman" w:eastAsia="Times New Roman" w:hAnsi="Times New Roman"/>
          <w:sz w:val="18"/>
          <w:szCs w:val="18"/>
          <w:color w:val="auto"/>
        </w:rPr>
        <w:t xml:space="preserve"> (File No. 812-14882) Investment Company Act Rel. Nos. 33043 (March 8, 2018) (notice) and 33064 (April 3, 2018) (order); </w:t>
      </w:r>
      <w:r>
        <w:rPr>
          <w:rFonts w:ascii="Times New Roman" w:cs="Times New Roman" w:eastAsia="Times New Roman" w:hAnsi="Times New Roman"/>
          <w:sz w:val="18"/>
          <w:szCs w:val="18"/>
          <w:u w:val="single" w:color="auto"/>
          <w:color w:val="auto"/>
        </w:rPr>
        <w:t>TriplePoint Venture Growth BDC Corp., et al.</w:t>
      </w:r>
      <w:r>
        <w:rPr>
          <w:rFonts w:ascii="Times New Roman" w:cs="Times New Roman" w:eastAsia="Times New Roman" w:hAnsi="Times New Roman"/>
          <w:sz w:val="18"/>
          <w:szCs w:val="18"/>
          <w:color w:val="auto"/>
        </w:rPr>
        <w:t xml:space="preserve"> (File No. 812-14773) Investment Company Act Rel. Nos. 33037 (February 28, 2018) (notice) and 33060 (March 28, 2018) (order); </w:t>
      </w:r>
      <w:r>
        <w:rPr>
          <w:rFonts w:ascii="Times New Roman" w:cs="Times New Roman" w:eastAsia="Times New Roman" w:hAnsi="Times New Roman"/>
          <w:sz w:val="18"/>
          <w:szCs w:val="18"/>
          <w:u w:val="single" w:color="auto"/>
          <w:color w:val="auto"/>
        </w:rPr>
        <w:t>TCG BDC, Inc., et al.</w:t>
      </w:r>
      <w:r>
        <w:rPr>
          <w:rFonts w:ascii="Times New Roman" w:cs="Times New Roman" w:eastAsia="Times New Roman" w:hAnsi="Times New Roman"/>
          <w:sz w:val="18"/>
          <w:szCs w:val="18"/>
          <w:color w:val="auto"/>
        </w:rPr>
        <w:t xml:space="preserve"> (File No. 812-14798) Investment Company Act Rel. Nos. 32945 (December 20, 2017) (notice) and 32969 (January 17, 2018) (order); </w:t>
      </w:r>
      <w:r>
        <w:rPr>
          <w:rFonts w:ascii="Times New Roman" w:cs="Times New Roman" w:eastAsia="Times New Roman" w:hAnsi="Times New Roman"/>
          <w:sz w:val="18"/>
          <w:szCs w:val="18"/>
          <w:u w:val="single" w:color="auto"/>
          <w:color w:val="auto"/>
        </w:rPr>
        <w:t>Medley Capital Corporation, et al.</w:t>
      </w:r>
      <w:r>
        <w:rPr>
          <w:rFonts w:ascii="Times New Roman" w:cs="Times New Roman" w:eastAsia="Times New Roman" w:hAnsi="Times New Roman"/>
          <w:sz w:val="18"/>
          <w:szCs w:val="18"/>
          <w:color w:val="auto"/>
        </w:rPr>
        <w:t xml:space="preserve"> (File No. 812-14778) Investment Company Act Rel. Nos. 32809 (September 8, 2017) (notice) and 32850 (October 4, 2017) (order); and </w:t>
      </w:r>
      <w:r>
        <w:rPr>
          <w:rFonts w:ascii="Times New Roman" w:cs="Times New Roman" w:eastAsia="Times New Roman" w:hAnsi="Times New Roman"/>
          <w:sz w:val="18"/>
          <w:szCs w:val="18"/>
          <w:u w:val="single" w:color="auto"/>
          <w:color w:val="auto"/>
        </w:rPr>
        <w:t>Harvest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Credit Corporation, et al.</w:t>
      </w:r>
      <w:r>
        <w:rPr>
          <w:rFonts w:ascii="Times New Roman" w:cs="Times New Roman" w:eastAsia="Times New Roman" w:hAnsi="Times New Roman"/>
          <w:sz w:val="18"/>
          <w:szCs w:val="18"/>
          <w:color w:val="auto"/>
        </w:rPr>
        <w:t xml:space="preserve"> (File No. 812-14365) Investment Company Act Rel. Nos. 31860 (October 5, 2015) (notice) and 31930 (December 10, 2015) (order), all of which included relief for proprietary accounts.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26" w:name="page27"/>
    <w:bookmarkEnd w:id="26"/>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336" w:lineRule="exact"/>
        <w:rPr>
          <w:sz w:val="20"/>
          <w:szCs w:val="20"/>
          <w:color w:val="auto"/>
        </w:rPr>
      </w:pPr>
    </w:p>
    <w:p>
      <w:pPr>
        <w:ind w:left="964" w:hanging="532"/>
        <w:spacing w:after="0"/>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Precedents</w:t>
      </w:r>
    </w:p>
    <w:p>
      <w:pPr>
        <w:spacing w:after="0" w:line="117"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The Commission has issued numerous exemptive orders under the Act permitting registered investment companies and BDCs to co-invest with affiliated persons.</w:t>
      </w:r>
      <w:r>
        <w:rPr>
          <w:rFonts w:ascii="Times New Roman" w:cs="Times New Roman" w:eastAsia="Times New Roman" w:hAnsi="Times New Roman"/>
          <w:sz w:val="15"/>
          <w:szCs w:val="15"/>
          <w:color w:val="auto"/>
        </w:rPr>
        <w:t>21</w:t>
      </w:r>
      <w:r>
        <w:rPr>
          <w:rFonts w:ascii="Times New Roman" w:cs="Times New Roman" w:eastAsia="Times New Roman" w:hAnsi="Times New Roman"/>
          <w:sz w:val="18"/>
          <w:szCs w:val="18"/>
          <w:color w:val="auto"/>
        </w:rPr>
        <w:t xml:space="preserve"> The relief requested in this Application with respect to Follow-On Investments is based on the temporary relief granted by the Commission on April 8, 2020.</w:t>
      </w:r>
      <w:r>
        <w:rPr>
          <w:rFonts w:ascii="Times New Roman" w:cs="Times New Roman" w:eastAsia="Times New Roman" w:hAnsi="Times New Roman"/>
          <w:sz w:val="15"/>
          <w:szCs w:val="15"/>
          <w:color w:val="auto"/>
        </w:rPr>
        <w:t>22</w:t>
      </w:r>
      <w:r>
        <w:rPr>
          <w:rFonts w:ascii="Times New Roman" w:cs="Times New Roman" w:eastAsia="Times New Roman" w:hAnsi="Times New Roman"/>
          <w:sz w:val="18"/>
          <w:szCs w:val="18"/>
          <w:color w:val="auto"/>
        </w:rPr>
        <w:t xml:space="preserve"> Although the various precedents involved somewhat different formulae, the Commission has accepted, as a basis for relief from the prohibitions on joint transactions, use of allocation and approval procedures to protect the interests of investors in the BDCs and registered investment companies. Applicants submit that the allocation procedures set forth in the Conditions for relief are consistent with and expand the range of investor protections found in the orders we cite.</w:t>
      </w:r>
    </w:p>
    <w:p>
      <w:pPr>
        <w:spacing w:after="0" w:line="18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Applicants propose to limit the Potential Co-Investment Transactions of which each Adviser would be notified of to those investments that would be consistent with each fund’s then-current Objectives and Strategies and any Board-Established Criteria, thus reducing unnecessary burdens that would otherwise be imposed on Applicants. In addition, Applicants seek to obtain exemptive relief to permit Applicants to participate in Enhanced Review Follow-Ons and Enhanced Review Dispositions.</w:t>
      </w:r>
    </w:p>
    <w:p>
      <w:pPr>
        <w:spacing w:after="0" w:line="180" w:lineRule="exact"/>
        <w:rPr>
          <w:sz w:val="20"/>
          <w:szCs w:val="20"/>
          <w:color w:val="auto"/>
        </w:rPr>
      </w:pPr>
    </w:p>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t>Ares Capital Corporation and its affiliates, Apollo Investment Corporation and its affiliates, Oaktree Strategic Income, LLC and its affiliates, and Stellus Capital Investment Corporation and its affiliates each previously received exemptive relief consistent with the relief Applicants are requesting herein. Thus, Applicants based the Application on the applications of Ares Capital Corporation and its affiliates, for which an order was issued on January 18, 2017 (the “</w:t>
      </w:r>
      <w:r>
        <w:rPr>
          <w:rFonts w:ascii="Times New Roman" w:cs="Times New Roman" w:eastAsia="Times New Roman" w:hAnsi="Times New Roman"/>
          <w:sz w:val="18"/>
          <w:szCs w:val="18"/>
          <w:b w:val="1"/>
          <w:bCs w:val="1"/>
          <w:i w:val="1"/>
          <w:iCs w:val="1"/>
          <w:color w:val="auto"/>
        </w:rPr>
        <w:t>Ares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23</w:t>
      </w:r>
      <w:r>
        <w:rPr>
          <w:rFonts w:ascii="Times New Roman" w:cs="Times New Roman" w:eastAsia="Times New Roman" w:hAnsi="Times New Roman"/>
          <w:sz w:val="18"/>
          <w:szCs w:val="18"/>
          <w:color w:val="auto"/>
        </w:rPr>
        <w:t xml:space="preserve"> Apollo Investment Corporation and its affiliates, for which an order was granted on March 29, 2016 (the “</w:t>
      </w:r>
      <w:r>
        <w:rPr>
          <w:rFonts w:ascii="Times New Roman" w:cs="Times New Roman" w:eastAsia="Times New Roman" w:hAnsi="Times New Roman"/>
          <w:sz w:val="18"/>
          <w:szCs w:val="18"/>
          <w:b w:val="1"/>
          <w:bCs w:val="1"/>
          <w:i w:val="1"/>
          <w:iCs w:val="1"/>
          <w:color w:val="auto"/>
        </w:rPr>
        <w:t>Apollo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24</w:t>
      </w:r>
      <w:r>
        <w:rPr>
          <w:rFonts w:ascii="Times New Roman" w:cs="Times New Roman" w:eastAsia="Times New Roman" w:hAnsi="Times New Roman"/>
          <w:sz w:val="18"/>
          <w:szCs w:val="18"/>
          <w:color w:val="auto"/>
        </w:rPr>
        <w:t xml:space="preserve"> Oaktree Strategic Income, LLC and its affiliates, for which an order was granted on October 18, 2017 (the “</w:t>
      </w:r>
      <w:r>
        <w:rPr>
          <w:rFonts w:ascii="Times New Roman" w:cs="Times New Roman" w:eastAsia="Times New Roman" w:hAnsi="Times New Roman"/>
          <w:sz w:val="18"/>
          <w:szCs w:val="18"/>
          <w:b w:val="1"/>
          <w:bCs w:val="1"/>
          <w:i w:val="1"/>
          <w:iCs w:val="1"/>
          <w:color w:val="auto"/>
        </w:rPr>
        <w:t>Oaktree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25</w:t>
      </w:r>
      <w:r>
        <w:rPr>
          <w:rFonts w:ascii="Times New Roman" w:cs="Times New Roman" w:eastAsia="Times New Roman" w:hAnsi="Times New Roman"/>
          <w:sz w:val="18"/>
          <w:szCs w:val="18"/>
          <w:color w:val="auto"/>
        </w:rPr>
        <w:t xml:space="preserve"> Stellus Capital Investment Corporation and its affiliates, for which an order was granted on December 4, 2018 (the “</w:t>
      </w:r>
      <w:r>
        <w:rPr>
          <w:rFonts w:ascii="Times New Roman" w:cs="Times New Roman" w:eastAsia="Times New Roman" w:hAnsi="Times New Roman"/>
          <w:sz w:val="18"/>
          <w:szCs w:val="18"/>
          <w:b w:val="1"/>
          <w:bCs w:val="1"/>
          <w:i w:val="1"/>
          <w:iCs w:val="1"/>
          <w:color w:val="auto"/>
        </w:rPr>
        <w:t>Stellus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26</w:t>
      </w:r>
      <w:r>
        <w:rPr>
          <w:rFonts w:ascii="Times New Roman" w:cs="Times New Roman" w:eastAsia="Times New Roman" w:hAnsi="Times New Roman"/>
          <w:sz w:val="18"/>
          <w:szCs w:val="18"/>
          <w:color w:val="auto"/>
        </w:rPr>
        <w:t xml:space="preserve"> FS Global Credit Opportunities Fund and its affiliates, for which an order was granted on August 11, 2020 (the “</w:t>
      </w:r>
      <w:r>
        <w:rPr>
          <w:rFonts w:ascii="Times New Roman" w:cs="Times New Roman" w:eastAsia="Times New Roman" w:hAnsi="Times New Roman"/>
          <w:sz w:val="18"/>
          <w:szCs w:val="18"/>
          <w:b w:val="1"/>
          <w:bCs w:val="1"/>
          <w:i w:val="1"/>
          <w:iCs w:val="1"/>
          <w:color w:val="auto"/>
        </w:rPr>
        <w:t>FS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27</w:t>
      </w:r>
      <w:r>
        <w:rPr>
          <w:rFonts w:ascii="Times New Roman" w:cs="Times New Roman" w:eastAsia="Times New Roman" w:hAnsi="Times New Roman"/>
          <w:sz w:val="18"/>
          <w:szCs w:val="18"/>
          <w:color w:val="auto"/>
        </w:rPr>
        <w:t xml:space="preserve"> Yieldstreet Prism Fund Inc. and its affiliates, for which an order was granted on November 10, 2020 (the “</w:t>
      </w:r>
      <w:r>
        <w:rPr>
          <w:rFonts w:ascii="Times New Roman" w:cs="Times New Roman" w:eastAsia="Times New Roman" w:hAnsi="Times New Roman"/>
          <w:sz w:val="18"/>
          <w:szCs w:val="18"/>
          <w:b w:val="1"/>
          <w:bCs w:val="1"/>
          <w:i w:val="1"/>
          <w:iCs w:val="1"/>
          <w:color w:val="auto"/>
        </w:rPr>
        <w:t>Yieldstreet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28</w:t>
      </w:r>
      <w:r>
        <w:rPr>
          <w:rFonts w:ascii="Times New Roman" w:cs="Times New Roman" w:eastAsia="Times New Roman" w:hAnsi="Times New Roman"/>
          <w:sz w:val="18"/>
          <w:szCs w:val="18"/>
          <w:color w:val="auto"/>
        </w:rPr>
        <w:t xml:space="preserve"> and Variant Alternative Income Fund and its affiliates, for which an order was granted on January 9, 2022 (the </w:t>
      </w:r>
      <w:r>
        <w:rPr>
          <w:rFonts w:ascii="Times New Roman" w:cs="Times New Roman" w:eastAsia="Times New Roman" w:hAnsi="Times New Roman"/>
          <w:sz w:val="18"/>
          <w:szCs w:val="18"/>
          <w:b w:val="1"/>
          <w:bCs w:val="1"/>
          <w:i w:val="1"/>
          <w:iCs w:val="1"/>
          <w:color w:val="auto"/>
        </w:rPr>
        <w:t>“Variant Order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color w:val="auto"/>
        </w:rPr>
        <w:t>29</w:t>
      </w:r>
      <w:r>
        <w:rPr>
          <w:rFonts w:ascii="Times New Roman" w:cs="Times New Roman" w:eastAsia="Times New Roman" w:hAnsi="Times New Roman"/>
          <w:sz w:val="18"/>
          <w:szCs w:val="18"/>
          <w:color w:val="auto"/>
        </w:rPr>
        <w:t xml:space="preserve"> Applicants believe that the relief requested herein is consistent with the policy underlying the Ares Order, the Apollo Order, the Oaktree Order, the Stellus Order, the FS Order, and the Yieldstreet Order as well as co-investment relief granted by the Commission to other BDCs and to registered closed-end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3" w:lineRule="exact"/>
        <w:rPr>
          <w:sz w:val="20"/>
          <w:szCs w:val="20"/>
          <w:color w:val="auto"/>
        </w:rPr>
      </w:pPr>
    </w:p>
    <w:p>
      <w:pPr>
        <w:jc w:val="both"/>
        <w:ind w:left="424" w:hanging="424"/>
        <w:spacing w:after="0" w:line="251"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CM Finance Inc., et 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No. 812-14850) Release No. IC-33377 (notice) (Feb. 19, 2019), Release No. IC-33401 (order) (Mar.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8"/>
          <w:szCs w:val="18"/>
          <w:u w:val="single" w:color="auto"/>
          <w:color w:val="auto"/>
        </w:rPr>
        <w:t>Pharos Capital BDC, Inc., et al.</w:t>
      </w:r>
      <w:r>
        <w:rPr>
          <w:rFonts w:ascii="Times New Roman" w:cs="Times New Roman" w:eastAsia="Times New Roman" w:hAnsi="Times New Roman"/>
          <w:sz w:val="18"/>
          <w:szCs w:val="18"/>
          <w:color w:val="auto"/>
        </w:rPr>
        <w:t xml:space="preserve">, (File No. 812-14891) Release No. IC-33372 (notice) (February 8, 2019), Release No. IC-33394 (order) (March 11,2019); </w:t>
      </w:r>
      <w:r>
        <w:rPr>
          <w:rFonts w:ascii="Times New Roman" w:cs="Times New Roman" w:eastAsia="Times New Roman" w:hAnsi="Times New Roman"/>
          <w:sz w:val="18"/>
          <w:szCs w:val="18"/>
          <w:u w:val="single" w:color="auto"/>
          <w:color w:val="auto"/>
        </w:rPr>
        <w:t>AB Private Credit Investors Corp., et al.</w:t>
      </w:r>
      <w:r>
        <w:rPr>
          <w:rFonts w:ascii="Times New Roman" w:cs="Times New Roman" w:eastAsia="Times New Roman" w:hAnsi="Times New Roman"/>
          <w:sz w:val="18"/>
          <w:szCs w:val="18"/>
          <w:color w:val="auto"/>
        </w:rPr>
        <w:t xml:space="preserve"> (File No. 812-14925) Investment Company Act Rel. Nos. 33152 (July 9, 2018) (notice) and 33191 (August 6, 2018) (order); </w:t>
      </w:r>
      <w:r>
        <w:rPr>
          <w:rFonts w:ascii="Times New Roman" w:cs="Times New Roman" w:eastAsia="Times New Roman" w:hAnsi="Times New Roman"/>
          <w:sz w:val="18"/>
          <w:szCs w:val="18"/>
          <w:u w:val="single" w:color="auto"/>
          <w:color w:val="auto"/>
        </w:rPr>
        <w:t>Blackstone / GSO Floating Rate Enhanced Income Fund, et al.</w:t>
      </w:r>
      <w:r>
        <w:rPr>
          <w:rFonts w:ascii="Times New Roman" w:cs="Times New Roman" w:eastAsia="Times New Roman" w:hAnsi="Times New Roman"/>
          <w:sz w:val="18"/>
          <w:szCs w:val="18"/>
          <w:color w:val="auto"/>
        </w:rPr>
        <w:t xml:space="preserve"> (File No. 812-14835) Investment Company Act Rel. Nos. 33149 (July 6, 2018) (notice) and 33186 (July 31,2018); </w:t>
      </w:r>
      <w:r>
        <w:rPr>
          <w:rFonts w:ascii="Times New Roman" w:cs="Times New Roman" w:eastAsia="Times New Roman" w:hAnsi="Times New Roman"/>
          <w:sz w:val="18"/>
          <w:szCs w:val="18"/>
          <w:u w:val="single" w:color="auto"/>
          <w:color w:val="auto"/>
        </w:rPr>
        <w:t>Benefit Street Partners BDC, Inc., et al.</w:t>
      </w:r>
      <w:r>
        <w:rPr>
          <w:rFonts w:ascii="Times New Roman" w:cs="Times New Roman" w:eastAsia="Times New Roman" w:hAnsi="Times New Roman"/>
          <w:sz w:val="18"/>
          <w:szCs w:val="18"/>
          <w:color w:val="auto"/>
        </w:rPr>
        <w:t xml:space="preserve"> (File No. 812-14601) Investment Company Act Rel. Nos. 33068 (April 6, 2018) (notice) and 33090 (May 1, 2018) (order); </w:t>
      </w:r>
      <w:r>
        <w:rPr>
          <w:rFonts w:ascii="Times New Roman" w:cs="Times New Roman" w:eastAsia="Times New Roman" w:hAnsi="Times New Roman"/>
          <w:sz w:val="18"/>
          <w:szCs w:val="18"/>
          <w:u w:val="single" w:color="auto"/>
          <w:color w:val="auto"/>
        </w:rPr>
        <w:t>Triloma EIG Energy Income Fund, et al.</w:t>
      </w:r>
      <w:r>
        <w:rPr>
          <w:rFonts w:ascii="Times New Roman" w:cs="Times New Roman" w:eastAsia="Times New Roman" w:hAnsi="Times New Roman"/>
          <w:sz w:val="18"/>
          <w:szCs w:val="18"/>
          <w:color w:val="auto"/>
        </w:rPr>
        <w:t xml:space="preserve"> (File No. 812-14848) Investment Company Act Rel. Nos. 33047 (March 14, 2018) (notice) and 33070 (April 10, 2018) (order); </w:t>
      </w:r>
      <w:r>
        <w:rPr>
          <w:rFonts w:ascii="Times New Roman" w:cs="Times New Roman" w:eastAsia="Times New Roman" w:hAnsi="Times New Roman"/>
          <w:sz w:val="18"/>
          <w:szCs w:val="18"/>
          <w:u w:val="single" w:color="auto"/>
          <w:color w:val="auto"/>
        </w:rPr>
        <w:t>Corporate Capital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 et al.</w:t>
      </w:r>
      <w:r>
        <w:rPr>
          <w:rFonts w:ascii="Times New Roman" w:cs="Times New Roman" w:eastAsia="Times New Roman" w:hAnsi="Times New Roman"/>
          <w:sz w:val="18"/>
          <w:szCs w:val="18"/>
          <w:color w:val="auto"/>
        </w:rPr>
        <w:t xml:space="preserve"> (File No. 812-14882) Investment Company Act Rel. Nos. 33043 (March 8, 2018) (notice) and 33064 (April 3, 2018) (order); </w:t>
      </w:r>
      <w:r>
        <w:rPr>
          <w:rFonts w:ascii="Times New Roman" w:cs="Times New Roman" w:eastAsia="Times New Roman" w:hAnsi="Times New Roman"/>
          <w:sz w:val="18"/>
          <w:szCs w:val="18"/>
          <w:u w:val="single" w:color="auto"/>
          <w:color w:val="auto"/>
        </w:rPr>
        <w:t>Alcentra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Corporation, et al.</w:t>
      </w:r>
      <w:r>
        <w:rPr>
          <w:rFonts w:ascii="Times New Roman" w:cs="Times New Roman" w:eastAsia="Times New Roman" w:hAnsi="Times New Roman"/>
          <w:sz w:val="18"/>
          <w:szCs w:val="18"/>
          <w:color w:val="auto"/>
        </w:rPr>
        <w:t xml:space="preserve"> (File No. 812-14760) Investment Company Act Rel. Nos. 33038 (February 28, 2018) (notice) and 33059 (March 27, 2018) (order); </w:t>
      </w:r>
      <w:r>
        <w:rPr>
          <w:rFonts w:ascii="Times New Roman" w:cs="Times New Roman" w:eastAsia="Times New Roman" w:hAnsi="Times New Roman"/>
          <w:sz w:val="18"/>
          <w:szCs w:val="18"/>
          <w:u w:val="single" w:color="auto"/>
          <w:color w:val="auto"/>
        </w:rPr>
        <w:t>TriplePoint Venture Growth BDC Corp., et al.</w:t>
      </w:r>
      <w:r>
        <w:rPr>
          <w:rFonts w:ascii="Times New Roman" w:cs="Times New Roman" w:eastAsia="Times New Roman" w:hAnsi="Times New Roman"/>
          <w:sz w:val="18"/>
          <w:szCs w:val="18"/>
          <w:color w:val="auto"/>
        </w:rPr>
        <w:t xml:space="preserve"> (File No. 812-14773) Investment Company Act Rel. Nos. 33037 (February 28, 2018) (notice) and 33060 (March 28, 2018) (order); </w:t>
      </w:r>
      <w:r>
        <w:rPr>
          <w:rFonts w:ascii="Times New Roman" w:cs="Times New Roman" w:eastAsia="Times New Roman" w:hAnsi="Times New Roman"/>
          <w:sz w:val="18"/>
          <w:szCs w:val="18"/>
          <w:u w:val="single" w:color="auto"/>
          <w:color w:val="auto"/>
        </w:rPr>
        <w:t>Bain Capital Specialty Finance, Inc., et al.</w:t>
      </w:r>
      <w:r>
        <w:rPr>
          <w:rFonts w:ascii="Times New Roman" w:cs="Times New Roman" w:eastAsia="Times New Roman" w:hAnsi="Times New Roman"/>
          <w:sz w:val="18"/>
          <w:szCs w:val="18"/>
          <w:color w:val="auto"/>
        </w:rPr>
        <w:t xml:space="preserve"> (File No. 812-14766) Investment Company Act Rel. Nos. 33031 (February 23, 2018) (notice) and 33051 (March 22, 2018) (order); </w:t>
      </w:r>
      <w:r>
        <w:rPr>
          <w:rFonts w:ascii="Times New Roman" w:cs="Times New Roman" w:eastAsia="Times New Roman" w:hAnsi="Times New Roman"/>
          <w:sz w:val="18"/>
          <w:szCs w:val="18"/>
          <w:u w:val="single" w:color="auto"/>
          <w:color w:val="auto"/>
        </w:rPr>
        <w:t>Guggenheim Credit Income Fund, et al.</w:t>
      </w:r>
      <w:r>
        <w:rPr>
          <w:rFonts w:ascii="Times New Roman" w:cs="Times New Roman" w:eastAsia="Times New Roman" w:hAnsi="Times New Roman"/>
          <w:sz w:val="18"/>
          <w:szCs w:val="18"/>
          <w:color w:val="auto"/>
        </w:rPr>
        <w:t xml:space="preserve"> (File No. 812-14831) Investment Company Act Rel. Nos. 32960 (January 3, 2018) (notice) and 32996 (January 30, 2018) (order); </w:t>
      </w:r>
      <w:r>
        <w:rPr>
          <w:rFonts w:ascii="Times New Roman" w:cs="Times New Roman" w:eastAsia="Times New Roman" w:hAnsi="Times New Roman"/>
          <w:sz w:val="18"/>
          <w:szCs w:val="18"/>
          <w:u w:val="single" w:color="auto"/>
          <w:color w:val="auto"/>
        </w:rPr>
        <w:t>TCG BDC, Inc., et al.</w:t>
      </w:r>
      <w:r>
        <w:rPr>
          <w:rFonts w:ascii="Times New Roman" w:cs="Times New Roman" w:eastAsia="Times New Roman" w:hAnsi="Times New Roman"/>
          <w:sz w:val="18"/>
          <w:szCs w:val="18"/>
          <w:color w:val="auto"/>
        </w:rPr>
        <w:t xml:space="preserve"> (File No. 812-14798) Investment Company Act Rel. Nos. 32945 (December 20, 2017) (notice) and 32969 (January 17, 2018) (order); </w:t>
      </w:r>
      <w:r>
        <w:rPr>
          <w:rFonts w:ascii="Times New Roman" w:cs="Times New Roman" w:eastAsia="Times New Roman" w:hAnsi="Times New Roman"/>
          <w:sz w:val="18"/>
          <w:szCs w:val="18"/>
          <w:u w:val="single" w:color="auto"/>
          <w:color w:val="auto"/>
        </w:rPr>
        <w:t>BlackRock Capital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 et al.</w:t>
      </w:r>
      <w:r>
        <w:rPr>
          <w:rFonts w:ascii="Times New Roman" w:cs="Times New Roman" w:eastAsia="Times New Roman" w:hAnsi="Times New Roman"/>
          <w:sz w:val="18"/>
          <w:szCs w:val="18"/>
          <w:color w:val="auto"/>
        </w:rPr>
        <w:t xml:space="preserve"> (File No. 812-14582) Investment Company Act Rel. Nos. 32943 (December 19, 2017) (notice) and 32968 (January 16, 2018) (order).</w:t>
      </w:r>
    </w:p>
    <w:p>
      <w:pPr>
        <w:spacing w:after="0" w:line="12" w:lineRule="exact"/>
        <w:rPr>
          <w:rFonts w:ascii="Times New Roman" w:cs="Times New Roman" w:eastAsia="Times New Roman" w:hAnsi="Times New Roman"/>
          <w:sz w:val="15"/>
          <w:szCs w:val="15"/>
          <w:color w:val="auto"/>
        </w:rPr>
      </w:pPr>
    </w:p>
    <w:p>
      <w:pPr>
        <w:ind w:left="424" w:right="20"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BDC Temporary Exemptive Order, Investment Company Act Rel. Nos. 33837 (April 8, 2020) (order) (extension granted January 5, 2021 and further extension granted April 22, 2021).</w:t>
      </w:r>
    </w:p>
    <w:p>
      <w:pPr>
        <w:ind w:left="424" w:right="20"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Ares Capital Corporation, et al.</w:t>
      </w:r>
      <w:r>
        <w:rPr>
          <w:rFonts w:ascii="Times New Roman" w:cs="Times New Roman" w:eastAsia="Times New Roman" w:hAnsi="Times New Roman"/>
          <w:sz w:val="18"/>
          <w:szCs w:val="18"/>
          <w:color w:val="auto"/>
        </w:rPr>
        <w:t>, (File No. 812-13603) Release No. IC-32427 (January 18, 2017) (order), Release No. IC-32399 (December 21, 2016) (notice).</w:t>
      </w:r>
    </w:p>
    <w:p>
      <w:pPr>
        <w:ind w:left="424" w:right="20"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u w:val="single" w:color="auto"/>
          <w:color w:val="auto"/>
        </w:rPr>
        <w:t>Apollo Investment Corporation, et al.</w:t>
      </w:r>
      <w:r>
        <w:rPr>
          <w:rFonts w:ascii="Times New Roman" w:cs="Times New Roman" w:eastAsia="Times New Roman" w:hAnsi="Times New Roman"/>
          <w:sz w:val="18"/>
          <w:szCs w:val="18"/>
          <w:color w:val="auto"/>
        </w:rPr>
        <w:t>, (File No. 812-13754) Investment Company Act Rel. Nos. 32019 (March 2, 2016) (notice) and 32057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29, 2016) (order).</w:t>
      </w:r>
    </w:p>
    <w:p>
      <w:pPr>
        <w:ind w:left="424" w:right="20"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u w:val="single" w:color="auto"/>
          <w:color w:val="auto"/>
        </w:rPr>
        <w:t>Oaktree Strategic Income, LLC, et al.</w:t>
      </w:r>
      <w:r>
        <w:rPr>
          <w:rFonts w:ascii="Times New Roman" w:cs="Times New Roman" w:eastAsia="Times New Roman" w:hAnsi="Times New Roman"/>
          <w:sz w:val="18"/>
          <w:szCs w:val="18"/>
          <w:color w:val="auto"/>
        </w:rPr>
        <w:t>, (File No. 812-14758) Investment Company Act Rel. Nos. 32831 (September 22, 2017) (notice)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32862 (October 18, 2017) (order).</w:t>
      </w:r>
    </w:p>
    <w:p>
      <w:pPr>
        <w:ind w:left="424"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u w:val="single" w:color="auto"/>
          <w:color w:val="auto"/>
        </w:rPr>
        <w:t>Stellus Capital Investment Corporation, et al.</w:t>
      </w:r>
      <w:r>
        <w:rPr>
          <w:rFonts w:ascii="Times New Roman" w:cs="Times New Roman" w:eastAsia="Times New Roman" w:hAnsi="Times New Roman"/>
          <w:sz w:val="18"/>
          <w:szCs w:val="18"/>
          <w:color w:val="auto"/>
        </w:rPr>
        <w:t>, (File No. 812-14855) Investment Company Act Rel. Nos. 33289 (November 6, 2018)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33316 (December 4, 2018) (order).</w:t>
      </w:r>
    </w:p>
    <w:p>
      <w:pPr>
        <w:ind w:left="424" w:right="20"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FS Global Credit Opportunities Fund, et al., (File No. 812-14987) Investment Company Act Rel. Nos. 33927 (July 15, 2020) (notice)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33968 (August 11, 2020) (order).</w:t>
      </w:r>
    </w:p>
    <w:p>
      <w:pPr>
        <w:ind w:left="424" w:right="20" w:hanging="424"/>
        <w:spacing w:after="0" w:line="25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u w:val="single" w:color="auto"/>
          <w:color w:val="auto"/>
        </w:rPr>
        <w:t>Yieldstreet Prism Fund Inc., et 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No. 812-15038) Investment Company Act Rel. Nos. 34050 (October 15, 2020) (notice) and 34090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10, 2020) (order).</w:t>
      </w:r>
    </w:p>
    <w:p>
      <w:pPr>
        <w:ind w:left="424" w:hanging="424"/>
        <w:spacing w:after="0" w:line="260" w:lineRule="auto"/>
        <w:tabs>
          <w:tab w:leader="none" w:pos="424"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Variant Alternative Income Fund, et al. (File No. 812-15265), IC Release Nos. 34452 (Dec. 23, 2021) (notice) and 34476 (Jan. 19,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w:t>
      </w:r>
    </w:p>
    <w:p>
      <w:pPr>
        <w:sectPr>
          <w:pgSz w:w="11900" w:h="16838" w:orient="portrait"/>
          <w:cols w:equalWidth="0" w:num="1">
            <w:col w:w="11024"/>
          </w:cols>
          <w:pgMar w:left="436" w:top="270" w:right="439" w:bottom="1440" w:gutter="0" w:footer="0" w:header="0"/>
        </w:sectPr>
      </w:pP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70" w:right="439" w:bottom="1440" w:gutter="0" w:footer="0" w:header="0"/>
          <w:type w:val="continuous"/>
        </w:sectPr>
      </w:pPr>
    </w:p>
    <w:bookmarkStart w:id="27" w:name="page28"/>
    <w:bookmarkEnd w:id="2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also has issued orders extending co-investment relief to proprietary accounts.</w:t>
      </w:r>
      <w:r>
        <w:rPr>
          <w:rFonts w:ascii="Times New Roman" w:cs="Times New Roman" w:eastAsia="Times New Roman" w:hAnsi="Times New Roman"/>
          <w:sz w:val="15"/>
          <w:szCs w:val="15"/>
          <w:color w:val="auto"/>
        </w:rPr>
        <w:t>30</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STATEMENT IN SUPPORT OF RELIEF REQUESTED</w:t>
      </w:r>
    </w:p>
    <w:p>
      <w:pPr>
        <w:spacing w:after="0" w:line="121"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3"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jc w:val="both"/>
        <w:ind w:left="424" w:hanging="424"/>
        <w:spacing w:after="0" w:line="254" w:lineRule="auto"/>
        <w:tabs>
          <w:tab w:leader="none" w:pos="424"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u w:val="single" w:color="auto"/>
          <w:color w:val="auto"/>
        </w:rPr>
        <w:t>Kayne Anderson MLP/Midstream Investment Company, et al.</w:t>
      </w:r>
      <w:r>
        <w:rPr>
          <w:rFonts w:ascii="Times New Roman" w:cs="Times New Roman" w:eastAsia="Times New Roman" w:hAnsi="Times New Roman"/>
          <w:sz w:val="18"/>
          <w:szCs w:val="18"/>
          <w:color w:val="auto"/>
        </w:rPr>
        <w:t>, (File No. 812-14940) Investment Company Act Rel. Nos. 33742 (Jan. 8,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and 33798 (Feb. 4, 2020) (order)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Fundrise Real Estate Interval Fund, LLC, et al.</w:t>
      </w:r>
      <w:r>
        <w:rPr>
          <w:rFonts w:ascii="Times New Roman" w:cs="Times New Roman" w:eastAsia="Times New Roman" w:hAnsi="Times New Roman"/>
          <w:sz w:val="18"/>
          <w:szCs w:val="18"/>
          <w:color w:val="auto"/>
        </w:rPr>
        <w:t>, (File No. 812-15040) Investment Company Act Rel. Nos. 33739 (Dec. 31, 2019) (notice) and 33793 (Jan. 28, 2020) (order)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Pharos Capital BDC, Inc., et al.</w:t>
      </w:r>
      <w:r>
        <w:rPr>
          <w:rFonts w:ascii="Times New Roman" w:cs="Times New Roman" w:eastAsia="Times New Roman" w:hAnsi="Times New Roman"/>
          <w:sz w:val="18"/>
          <w:szCs w:val="18"/>
          <w:color w:val="auto"/>
        </w:rPr>
        <w:t xml:space="preserve">, (File No. 812-14891) Release No. IC-33372 (February 8, 2019) (notice), Release No. IC-33394 (March 11, 2019) (order); </w:t>
      </w:r>
      <w:r>
        <w:rPr>
          <w:rFonts w:ascii="Times New Roman" w:cs="Times New Roman" w:eastAsia="Times New Roman" w:hAnsi="Times New Roman"/>
          <w:sz w:val="18"/>
          <w:szCs w:val="18"/>
          <w:u w:val="single" w:color="auto"/>
          <w:color w:val="auto"/>
        </w:rPr>
        <w:t>Blackstone / GSO Floating Rate Enhanced Income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et al.</w:t>
      </w:r>
      <w:r>
        <w:rPr>
          <w:rFonts w:ascii="Times New Roman" w:cs="Times New Roman" w:eastAsia="Times New Roman" w:hAnsi="Times New Roman"/>
          <w:sz w:val="18"/>
          <w:szCs w:val="18"/>
          <w:color w:val="auto"/>
        </w:rPr>
        <w:t xml:space="preserve"> (File No. 812-14835) Investment Company Act Rel. Nos. 33149 (July 6, 2018) (notice) and 33186 (July 31,2018); </w:t>
      </w:r>
      <w:r>
        <w:rPr>
          <w:rFonts w:ascii="Times New Roman" w:cs="Times New Roman" w:eastAsia="Times New Roman" w:hAnsi="Times New Roman"/>
          <w:sz w:val="18"/>
          <w:szCs w:val="18"/>
          <w:u w:val="single" w:color="auto"/>
          <w:color w:val="auto"/>
        </w:rPr>
        <w:t>Corporate Capital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 et al.</w:t>
      </w:r>
      <w:r>
        <w:rPr>
          <w:rFonts w:ascii="Times New Roman" w:cs="Times New Roman" w:eastAsia="Times New Roman" w:hAnsi="Times New Roman"/>
          <w:sz w:val="18"/>
          <w:szCs w:val="18"/>
          <w:color w:val="auto"/>
        </w:rPr>
        <w:t xml:space="preserve"> (File No. 812-14882) Inv. Co. Act Rel. Nos. 33043 (March 8, 2018) (notice) and 33064 (April 3, 2018) (order); </w:t>
      </w:r>
      <w:r>
        <w:rPr>
          <w:rFonts w:ascii="Times New Roman" w:cs="Times New Roman" w:eastAsia="Times New Roman" w:hAnsi="Times New Roman"/>
          <w:sz w:val="18"/>
          <w:szCs w:val="18"/>
          <w:u w:val="single" w:color="auto"/>
          <w:color w:val="auto"/>
        </w:rPr>
        <w:t>Medley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 et al.</w:t>
      </w:r>
      <w:r>
        <w:rPr>
          <w:rFonts w:ascii="Times New Roman" w:cs="Times New Roman" w:eastAsia="Times New Roman" w:hAnsi="Times New Roman"/>
          <w:sz w:val="18"/>
          <w:szCs w:val="18"/>
          <w:color w:val="auto"/>
        </w:rPr>
        <w:t xml:space="preserve"> (File No. 812-14778) Investment Company Act Rel. Nos. 32809 (September 8, 2017) (notice) and 32850 (October 4, 2017) (order); and </w:t>
      </w:r>
      <w:r>
        <w:rPr>
          <w:rFonts w:ascii="Times New Roman" w:cs="Times New Roman" w:eastAsia="Times New Roman" w:hAnsi="Times New Roman"/>
          <w:sz w:val="18"/>
          <w:szCs w:val="18"/>
          <w:u w:val="single" w:color="auto"/>
          <w:color w:val="auto"/>
        </w:rPr>
        <w:t>Harvest Capital Credit Corporation, et al.</w:t>
      </w:r>
      <w:r>
        <w:rPr>
          <w:rFonts w:ascii="Times New Roman" w:cs="Times New Roman" w:eastAsia="Times New Roman" w:hAnsi="Times New Roman"/>
          <w:sz w:val="18"/>
          <w:szCs w:val="18"/>
          <w:color w:val="auto"/>
        </w:rPr>
        <w:t xml:space="preserve"> (File No. 812-14365) Investment Company Act Rel. No. 31860 (October 5, 2015) (notice) and 31930 (December 10, 2015) (order).</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28" w:name="page29"/>
    <w:bookmarkEnd w:id="28"/>
    <w:p>
      <w:pPr>
        <w:ind w:left="964" w:hanging="532"/>
        <w:spacing w:after="0"/>
        <w:tabs>
          <w:tab w:leader="none" w:pos="9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Potential Benefits</w:t>
      </w:r>
    </w:p>
    <w:p>
      <w:pPr>
        <w:spacing w:after="0" w:line="11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76" w:lineRule="exact"/>
        <w:rPr>
          <w:sz w:val="20"/>
          <w:szCs w:val="20"/>
          <w:color w:val="auto"/>
        </w:rPr>
      </w:pPr>
    </w:p>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Each Regulated Fund and its shareholders will benefit from the ability to participate in Co-Investment Transactions. The Board, including the Required Majority, of each Regulated Fund will determine that it is in the best interests of the Regulated Fund to participate in Co-Investment Transactions because, among other matters, (i) the Regulated Fund should be able to participate in a larger number and greater variety of transactions;</w:t>
      </w:r>
    </w:p>
    <w:p>
      <w:pPr>
        <w:spacing w:after="0" w:line="1" w:lineRule="exact"/>
        <w:rPr>
          <w:sz w:val="20"/>
          <w:szCs w:val="20"/>
          <w:color w:val="auto"/>
        </w:rPr>
      </w:pPr>
    </w:p>
    <w:p>
      <w:pPr>
        <w:jc w:val="both"/>
        <w:ind w:left="4" w:right="20" w:hanging="4"/>
        <w:spacing w:after="0" w:line="252" w:lineRule="auto"/>
        <w:tabs>
          <w:tab w:leader="none" w:pos="2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338" w:lineRule="exact"/>
        <w:rPr>
          <w:sz w:val="20"/>
          <w:szCs w:val="20"/>
          <w:color w:val="auto"/>
        </w:rPr>
      </w:pPr>
    </w:p>
    <w:p>
      <w:pPr>
        <w:ind w:left="964" w:hanging="532"/>
        <w:spacing w:after="0"/>
        <w:tabs>
          <w:tab w:leader="none" w:pos="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Protective Representations and Conditions</w:t>
      </w:r>
    </w:p>
    <w:p>
      <w:pPr>
        <w:spacing w:after="0" w:line="117" w:lineRule="exact"/>
        <w:rPr>
          <w:sz w:val="20"/>
          <w:szCs w:val="20"/>
          <w:color w:val="auto"/>
        </w:rPr>
      </w:pPr>
    </w:p>
    <w:p>
      <w:pPr>
        <w:jc w:val="both"/>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(10)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92"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8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Applicants also believe that the participation by the Regulated Funds in Non-Negotiated Follow-On Investments and Dispositions of Tradable Securities without the approval of a Required Majority is consistent with the provisions, policies and purposes of the Act as there is no opportunity for overreaching by affiliates.</w:t>
      </w:r>
    </w:p>
    <w:p>
      <w:pPr>
        <w:spacing w:after="0" w:line="176"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If the Advisers, their principals, any person controlling, controlled by, or under common control with the Advisers or their principals, and the Affiliated Funds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own in the aggregate more than 25% of the outstanding voting shares of a Regulated Fund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then the Holders will vote such Shares as required under Condition 15. 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29" w:name="page30"/>
    <w:bookmarkEnd w:id="29"/>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328"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Applicants agree that any Order granting the requested relief shall be subject to the following Conditions:</w:t>
      </w:r>
    </w:p>
    <w:p>
      <w:pPr>
        <w:spacing w:after="0" w:line="373"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Referral of Potential Co-Investment Transactions</w:t>
      </w:r>
    </w:p>
    <w:p>
      <w:pPr>
        <w:spacing w:after="0" w:line="117"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95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967"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324"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Approvals of Co-Investment Transactions</w:t>
      </w:r>
    </w:p>
    <w:p>
      <w:pPr>
        <w:spacing w:after="0" w:line="117" w:lineRule="exact"/>
        <w:rPr>
          <w:rFonts w:ascii="Times New Roman" w:cs="Times New Roman" w:eastAsia="Times New Roman" w:hAnsi="Times New Roman"/>
          <w:sz w:val="18"/>
          <w:szCs w:val="18"/>
          <w:color w:val="auto"/>
        </w:rPr>
      </w:pPr>
    </w:p>
    <w:p>
      <w:pPr>
        <w:ind w:left="4" w:firstLine="1428"/>
        <w:spacing w:after="0" w:line="282" w:lineRule="auto"/>
        <w:tabs>
          <w:tab w:leader="none" w:pos="201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2087"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87"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2093"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183"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501"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161" w:lineRule="exact"/>
        <w:rPr>
          <w:rFonts w:ascii="Times New Roman" w:cs="Times New Roman" w:eastAsia="Times New Roman" w:hAnsi="Times New Roman"/>
          <w:sz w:val="18"/>
          <w:szCs w:val="18"/>
          <w:color w:val="auto"/>
        </w:rPr>
      </w:pPr>
    </w:p>
    <w:p>
      <w:pPr>
        <w:ind w:left="2464" w:hanging="481"/>
        <w:spacing w:after="0"/>
        <w:tabs>
          <w:tab w:leader="none" w:pos="2464" w:val="left"/>
        </w:tabs>
        <w:numPr>
          <w:ilvl w:val="3"/>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w:t>
      </w:r>
    </w:p>
    <w:p>
      <w:pPr>
        <w:spacing w:after="0" w:line="225" w:lineRule="exact"/>
        <w:rPr>
          <w:rFonts w:ascii="Times New Roman" w:cs="Times New Roman" w:eastAsia="Times New Roman" w:hAnsi="Times New Roman"/>
          <w:sz w:val="18"/>
          <w:szCs w:val="18"/>
          <w:color w:val="auto"/>
        </w:rPr>
      </w:pPr>
    </w:p>
    <w:p>
      <w:pPr>
        <w:ind w:left="2984" w:hanging="561"/>
        <w:spacing w:after="0"/>
        <w:tabs>
          <w:tab w:leader="none" w:pos="2984" w:val="left"/>
        </w:tabs>
        <w:numPr>
          <w:ilvl w:val="4"/>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interests of the Regulated Fund’s equity holders; </w:t>
      </w:r>
      <w:r>
        <w:rPr>
          <w:rFonts w:ascii="Times New Roman" w:cs="Times New Roman" w:eastAsia="Times New Roman" w:hAnsi="Times New Roman"/>
          <w:sz w:val="18"/>
          <w:szCs w:val="18"/>
          <w:u w:val="single" w:color="auto"/>
          <w:color w:val="auto"/>
        </w:rPr>
        <w:t>and</w:t>
      </w:r>
    </w:p>
    <w:p>
      <w:pPr>
        <w:spacing w:after="0" w:line="225" w:lineRule="exact"/>
        <w:rPr>
          <w:rFonts w:ascii="Times New Roman" w:cs="Times New Roman" w:eastAsia="Times New Roman" w:hAnsi="Times New Roman"/>
          <w:sz w:val="18"/>
          <w:szCs w:val="18"/>
          <w:color w:val="auto"/>
        </w:rPr>
      </w:pPr>
    </w:p>
    <w:p>
      <w:pPr>
        <w:ind w:left="2984" w:hanging="561"/>
        <w:spacing w:after="0"/>
        <w:tabs>
          <w:tab w:leader="none" w:pos="2984" w:val="left"/>
        </w:tabs>
        <w:numPr>
          <w:ilvl w:val="4"/>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Fund’s then-current Objectives and Strategies;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30" w:name="page31"/>
    <w:bookmarkEnd w:id="30"/>
    <w:p>
      <w:pPr>
        <w:jc w:val="both"/>
        <w:ind w:left="4" w:right="20" w:firstLine="1979"/>
        <w:spacing w:after="0" w:line="261" w:lineRule="auto"/>
        <w:tabs>
          <w:tab w:leader="none" w:pos="2657"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investment by any other Regulated Fund(s) or Affiliated Fund(s) would not disadvantage the Regulated Fund, and participation by the Regulated Fund would not be on a basis different from, or less advantageous than, that of any other Regulated Fund(s) or Affiliated Fund(s) participating in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Majority shall not be prohibited from reaching the conclusions required by this Condition 2(c)(iii) if:</w:t>
      </w:r>
    </w:p>
    <w:p>
      <w:pPr>
        <w:spacing w:after="0" w:line="71" w:lineRule="exact"/>
        <w:rPr>
          <w:rFonts w:ascii="Times New Roman" w:cs="Times New Roman" w:eastAsia="Times New Roman" w:hAnsi="Times New Roman"/>
          <w:sz w:val="18"/>
          <w:szCs w:val="18"/>
          <w:color w:val="auto"/>
        </w:rPr>
      </w:pPr>
    </w:p>
    <w:p>
      <w:pPr>
        <w:jc w:val="both"/>
        <w:ind w:left="444" w:right="20" w:firstLine="1900"/>
        <w:spacing w:after="0" w:line="258" w:lineRule="auto"/>
        <w:tabs>
          <w:tab w:leader="none" w:pos="3007"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for another Regulated Fund or an Affiliated Fund in a Co-Investment Transaction is later than the settlement date for the Regulated Fund by no more than ten (10) business days or earlier than the settlement date for the Regulated Fund by no more than ten (10)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(10) business days of each other; or</w:t>
      </w:r>
    </w:p>
    <w:p>
      <w:pPr>
        <w:spacing w:after="0" w:line="75" w:lineRule="exact"/>
        <w:rPr>
          <w:rFonts w:ascii="Times New Roman" w:cs="Times New Roman" w:eastAsia="Times New Roman" w:hAnsi="Times New Roman"/>
          <w:sz w:val="18"/>
          <w:szCs w:val="18"/>
          <w:color w:val="auto"/>
        </w:rPr>
      </w:pPr>
    </w:p>
    <w:p>
      <w:pPr>
        <w:jc w:val="both"/>
        <w:ind w:left="444" w:right="20" w:firstLine="1900"/>
        <w:spacing w:after="0" w:line="253" w:lineRule="auto"/>
        <w:tabs>
          <w:tab w:leader="none" w:pos="2985"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194" w:lineRule="exact"/>
        <w:rPr>
          <w:rFonts w:ascii="Times New Roman" w:cs="Times New Roman" w:eastAsia="Times New Roman" w:hAnsi="Times New Roman"/>
          <w:sz w:val="18"/>
          <w:szCs w:val="18"/>
          <w:color w:val="auto"/>
        </w:rPr>
      </w:pPr>
    </w:p>
    <w:p>
      <w:pPr>
        <w:jc w:val="both"/>
        <w:ind w:left="4" w:right="20" w:firstLine="1979"/>
        <w:spacing w:after="0" w:line="257" w:lineRule="auto"/>
        <w:tabs>
          <w:tab w:leader="none" w:pos="2566"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investment by the Regulated Fund will not involve compensation, remuneration or a direct or indirect</w:t>
      </w:r>
      <w:r>
        <w:rPr>
          <w:rFonts w:ascii="Times New Roman" w:cs="Times New Roman" w:eastAsia="Times New Roman" w:hAnsi="Times New Roman"/>
          <w:sz w:val="15"/>
          <w:szCs w:val="15"/>
          <w:color w:val="auto"/>
        </w:rPr>
        <w:t>31</w:t>
      </w:r>
      <w:r>
        <w:rPr>
          <w:rFonts w:ascii="Times New Roman" w:cs="Times New Roman" w:eastAsia="Times New Roman" w:hAnsi="Times New Roman"/>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as a result of an interest in the securities issued by one of the parties to the Co-Investment Transaction, or (D) in the case of fees or other compensation described in Condition 2(c)(iii)(B)(z).</w:t>
      </w:r>
    </w:p>
    <w:p>
      <w:pPr>
        <w:spacing w:after="0" w:line="181" w:lineRule="exact"/>
        <w:rPr>
          <w:rFonts w:ascii="Times New Roman" w:cs="Times New Roman" w:eastAsia="Times New Roman" w:hAnsi="Times New Roman"/>
          <w:sz w:val="18"/>
          <w:szCs w:val="18"/>
          <w:color w:val="auto"/>
        </w:rPr>
      </w:pPr>
    </w:p>
    <w:p>
      <w:pPr>
        <w:ind w:left="4" w:firstLine="987"/>
        <w:spacing w:after="0" w:line="282" w:lineRule="auto"/>
        <w:tabs>
          <w:tab w:leader="none" w:pos="144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Decline</w:t>
      </w:r>
      <w:r>
        <w:rPr>
          <w:rFonts w:ascii="Times New Roman" w:cs="Times New Roman" w:eastAsia="Times New Roman" w:hAnsi="Times New Roman"/>
          <w:sz w:val="18"/>
          <w:szCs w:val="18"/>
          <w:color w:val="auto"/>
        </w:rPr>
        <w:t>. Each Regulated Fund has the right to decline to participate in any Potential Co-Investment Transaction or to invest less than the amount proposed.</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45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Limitation</w:t>
      </w:r>
      <w:r>
        <w:rPr>
          <w:rFonts w:ascii="Times New Roman" w:cs="Times New Roman" w:eastAsia="Times New Roman" w:hAnsi="Times New Roman"/>
          <w:sz w:val="18"/>
          <w:szCs w:val="18"/>
          <w:color w:val="auto"/>
        </w:rPr>
        <w:t>. Except for Follow-On Investments made in accordance with Conditions 8 and 9 below,</w:t>
      </w:r>
      <w:r>
        <w:rPr>
          <w:rFonts w:ascii="Times New Roman" w:cs="Times New Roman" w:eastAsia="Times New Roman" w:hAnsi="Times New Roman"/>
          <w:sz w:val="15"/>
          <w:szCs w:val="15"/>
          <w:color w:val="auto"/>
        </w:rPr>
        <w:t>32</w:t>
      </w:r>
      <w:r>
        <w:rPr>
          <w:rFonts w:ascii="Times New Roman" w:cs="Times New Roman" w:eastAsia="Times New Roman" w:hAnsi="Times New Roman"/>
          <w:sz w:val="18"/>
          <w:szCs w:val="18"/>
          <w:color w:val="auto"/>
        </w:rPr>
        <w:t xml:space="preserve"> a Regulated Fund will not invest in reliance on the Order in any issuer in which a Related Party has an investment.</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55" w:lineRule="auto"/>
        <w:tabs>
          <w:tab w:leader="none" w:pos="145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color w:val="auto"/>
        </w:rPr>
        <w:t>.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(10)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2" w:lineRule="exact"/>
        <w:rPr>
          <w:sz w:val="20"/>
          <w:szCs w:val="20"/>
          <w:color w:val="auto"/>
        </w:rPr>
      </w:pPr>
    </w:p>
    <w:p>
      <w:pPr>
        <w:ind w:left="424" w:right="20" w:hanging="424"/>
        <w:spacing w:after="0" w:line="261" w:lineRule="auto"/>
        <w:tabs>
          <w:tab w:leader="none" w:pos="424"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ind w:left="424" w:hanging="424"/>
        <w:spacing w:after="0"/>
        <w:tabs>
          <w:tab w:leader="none" w:pos="424"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exception applies only to Follow-On Investments by a Regulated Fund in issuers in which that Regulated Fund already holds investments.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31" w:name="page32"/>
    <w:bookmarkEnd w:id="31"/>
    <w:p>
      <w:pPr>
        <w:ind w:left="1444" w:hanging="453"/>
        <w:spacing w:after="0"/>
        <w:tabs>
          <w:tab w:leader="none" w:pos="14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Dispositions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95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any Regulated Fund or Affiliated Fund elects to sell, exchange or otherwise dispose of an interest in a security and one or more Regulated Funds and Affiliated Funds have previously participated in a Co-Investment Transaction with respect to the issuer, then:</w:t>
      </w:r>
    </w:p>
    <w:p>
      <w:pPr>
        <w:spacing w:after="0" w:line="161"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503"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w:t>
      </w:r>
      <w:r>
        <w:rPr>
          <w:rFonts w:ascii="Times New Roman" w:cs="Times New Roman" w:eastAsia="Times New Roman" w:hAnsi="Times New Roman"/>
          <w:sz w:val="15"/>
          <w:szCs w:val="15"/>
          <w:color w:val="auto"/>
        </w:rPr>
        <w:t>33</w:t>
      </w:r>
      <w:r>
        <w:rPr>
          <w:rFonts w:ascii="Times New Roman" w:cs="Times New Roman" w:eastAsia="Times New Roman" w:hAnsi="Times New Roman"/>
          <w:sz w:val="18"/>
          <w:szCs w:val="18"/>
          <w:color w:val="auto"/>
        </w:rPr>
        <w:t xml:space="preserve"> will notify each Regulated Fund that holds an investment in the issuer of the proposed Disposition at the earliest practical time; </w:t>
      </w:r>
      <w:r>
        <w:rPr>
          <w:rFonts w:ascii="Times New Roman" w:cs="Times New Roman" w:eastAsia="Times New Roman" w:hAnsi="Times New Roman"/>
          <w:sz w:val="18"/>
          <w:szCs w:val="18"/>
          <w:u w:val="single" w:color="auto"/>
          <w:color w:val="auto"/>
        </w:rPr>
        <w:t>and</w:t>
      </w:r>
    </w:p>
    <w:p>
      <w:pPr>
        <w:spacing w:after="0" w:line="161"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62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202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color w:val="auto"/>
        </w:rPr>
        <w:t>. Each Regulated Fund will have the right to participate in such Disposition on a proportionate basis, at the same price and on the same terms and conditions as those applicable to the Affiliated Funds and any other Regulated Fund.</w:t>
      </w:r>
    </w:p>
    <w:p>
      <w:pPr>
        <w:spacing w:after="0" w:line="161" w:lineRule="exact"/>
        <w:rPr>
          <w:rFonts w:ascii="Times New Roman" w:cs="Times New Roman" w:eastAsia="Times New Roman" w:hAnsi="Times New Roman"/>
          <w:sz w:val="18"/>
          <w:szCs w:val="18"/>
          <w:color w:val="auto"/>
        </w:rPr>
      </w:pPr>
    </w:p>
    <w:p>
      <w:pPr>
        <w:ind w:left="2004" w:hanging="572"/>
        <w:spacing w:after="0"/>
        <w:tabs>
          <w:tab w:leader="none" w:pos="200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Board Approval Required</w:t>
      </w:r>
      <w:r>
        <w:rPr>
          <w:rFonts w:ascii="Times New Roman" w:cs="Times New Roman" w:eastAsia="Times New Roman" w:hAnsi="Times New Roman"/>
          <w:sz w:val="18"/>
          <w:szCs w:val="18"/>
          <w:color w:val="auto"/>
        </w:rPr>
        <w:t>. A Regulated Fund may participate in such a Disposition without obtaining prior approval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Majority if:</w:t>
      </w:r>
    </w:p>
    <w:p>
      <w:pPr>
        <w:spacing w:after="0" w:line="206" w:lineRule="exact"/>
        <w:rPr>
          <w:rFonts w:ascii="Times New Roman" w:cs="Times New Roman" w:eastAsia="Times New Roman" w:hAnsi="Times New Roman"/>
          <w:sz w:val="18"/>
          <w:szCs w:val="18"/>
          <w:color w:val="auto"/>
        </w:rPr>
      </w:pPr>
    </w:p>
    <w:p>
      <w:pPr>
        <w:jc w:val="both"/>
        <w:ind w:left="4" w:right="20" w:firstLine="1979"/>
        <w:spacing w:after="0" w:line="258" w:lineRule="auto"/>
        <w:tabs>
          <w:tab w:leader="none" w:pos="259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Times New Roman" w:cs="Times New Roman" w:eastAsia="Times New Roman" w:hAnsi="Times New Roman"/>
          <w:sz w:val="15"/>
          <w:szCs w:val="15"/>
          <w:color w:val="auto"/>
        </w:rPr>
        <w:t>34</w:t>
      </w:r>
      <w:r>
        <w:rPr>
          <w:rFonts w:ascii="Times New Roman" w:cs="Times New Roman" w:eastAsia="Times New Roman" w:hAnsi="Times New Roman"/>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183" w:lineRule="exact"/>
        <w:rPr>
          <w:rFonts w:ascii="Times New Roman" w:cs="Times New Roman" w:eastAsia="Times New Roman" w:hAnsi="Times New Roman"/>
          <w:sz w:val="18"/>
          <w:szCs w:val="18"/>
          <w:color w:val="auto"/>
        </w:rPr>
      </w:pPr>
    </w:p>
    <w:p>
      <w:pPr>
        <w:jc w:val="both"/>
        <w:ind w:left="4" w:firstLine="1979"/>
        <w:spacing w:after="0" w:line="266" w:lineRule="auto"/>
        <w:tabs>
          <w:tab w:leader="none" w:pos="257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is a Tradable Security and (D) the Disposition is not to the issuer or any affiliated person of the issuer and (E) the security is sold for cash in a transaction in which the only term negotiated by or on behalf of the participating Regulated Funds and Affiliated Funds is price.</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21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Board Approval</w:t>
      </w:r>
      <w:r>
        <w:rPr>
          <w:rFonts w:ascii="Times New Roman" w:cs="Times New Roman" w:eastAsia="Times New Roman" w:hAnsi="Times New Roman"/>
          <w:sz w:val="18"/>
          <w:szCs w:val="18"/>
          <w:color w:val="auto"/>
        </w:rPr>
        <w:t>. In all other cases, the applicable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283" w:lineRule="exact"/>
        <w:rPr>
          <w:rFonts w:ascii="Times New Roman" w:cs="Times New Roman" w:eastAsia="Times New Roman" w:hAnsi="Times New Roman"/>
          <w:sz w:val="18"/>
          <w:szCs w:val="18"/>
          <w:color w:val="auto"/>
        </w:rPr>
      </w:pPr>
    </w:p>
    <w:p>
      <w:pPr>
        <w:ind w:left="1444" w:hanging="453"/>
        <w:spacing w:after="0"/>
        <w:tabs>
          <w:tab w:leader="none" w:pos="14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95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any Regulated Fund or Affiliated Fund elects to sell, exchange or otherwise dispose of a Pre-Boarding Investment in a Potential Co-Investment Transaction and the Regulated Funds and Affiliated Funds have not previously participated in a Co-Investment Transaction with respect to the issuer:</w:t>
      </w:r>
    </w:p>
    <w:p>
      <w:pPr>
        <w:spacing w:after="0" w:line="175" w:lineRule="exact"/>
        <w:rPr>
          <w:rFonts w:ascii="Times New Roman" w:cs="Times New Roman" w:eastAsia="Times New Roman" w:hAnsi="Times New Roman"/>
          <w:sz w:val="18"/>
          <w:szCs w:val="18"/>
          <w:color w:val="auto"/>
        </w:rPr>
      </w:pPr>
    </w:p>
    <w:p>
      <w:pPr>
        <w:ind w:left="4" w:firstLine="1979"/>
        <w:spacing w:after="0" w:line="282" w:lineRule="auto"/>
        <w:tabs>
          <w:tab w:leader="none" w:pos="247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 will notify each Regulated Fund that holds an investment in the issuer of the proposed Disposition at the earliest practical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right="20" w:hanging="424"/>
        <w:spacing w:after="0" w:line="261" w:lineRule="auto"/>
        <w:tabs>
          <w:tab w:leader="none" w:pos="42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Any Sixth Street Proprietary Account that is not advised by an Adviser is itself deemed to be an Adviser for purposes of Conditions 6(a)(i), 7(a)(i), 8(a)(i) and 9(a)(i).</w:t>
      </w:r>
    </w:p>
    <w:p>
      <w:pPr>
        <w:ind w:left="424" w:right="20" w:hanging="424"/>
        <w:spacing w:after="0" w:line="260" w:lineRule="auto"/>
        <w:tabs>
          <w:tab w:leader="none" w:pos="42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32" w:name="page33"/>
    <w:bookmarkEnd w:id="32"/>
    <w:p>
      <w:pPr>
        <w:ind w:left="4" w:right="20" w:firstLine="1979"/>
        <w:spacing w:after="0" w:line="282" w:lineRule="auto"/>
        <w:tabs>
          <w:tab w:leader="none" w:pos="2624"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Adviser to each Regulated Fund that holds an investment in the issuer will formulate a recommendation as to participation by such Regulated Fund in the Disposition; </w:t>
      </w:r>
      <w:r>
        <w:rPr>
          <w:rFonts w:ascii="Times New Roman" w:cs="Times New Roman" w:eastAsia="Times New Roman" w:hAnsi="Times New Roman"/>
          <w:sz w:val="18"/>
          <w:szCs w:val="18"/>
          <w:u w:val="single" w:color="auto"/>
          <w:color w:val="auto"/>
        </w:rPr>
        <w:t>and</w:t>
      </w:r>
    </w:p>
    <w:p>
      <w:pPr>
        <w:spacing w:after="0" w:line="161" w:lineRule="exact"/>
        <w:rPr>
          <w:rFonts w:ascii="Times New Roman" w:cs="Times New Roman" w:eastAsia="Times New Roman" w:hAnsi="Times New Roman"/>
          <w:sz w:val="18"/>
          <w:szCs w:val="18"/>
          <w:color w:val="auto"/>
        </w:rPr>
      </w:pPr>
    </w:p>
    <w:p>
      <w:pPr>
        <w:jc w:val="both"/>
        <w:ind w:left="4" w:firstLine="1979"/>
        <w:spacing w:after="0" w:line="266" w:lineRule="auto"/>
        <w:tabs>
          <w:tab w:leader="none" w:pos="259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210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Board Approval</w:t>
      </w:r>
      <w:r>
        <w:rPr>
          <w:rFonts w:ascii="Times New Roman" w:cs="Times New Roman" w:eastAsia="Times New Roman" w:hAnsi="Times New Roman"/>
          <w:sz w:val="18"/>
          <w:szCs w:val="18"/>
          <w:color w:val="auto"/>
        </w:rPr>
        <w:t>. The applicable Adviser will provide its written recommendation as to the Regulated Fund’s participation to the Eligible Directors, and the Regulated Fund will participate in such Disposition solely to the extent that a Required Majority determines that:</w:t>
      </w:r>
    </w:p>
    <w:p>
      <w:pPr>
        <w:spacing w:after="0" w:line="175" w:lineRule="exact"/>
        <w:rPr>
          <w:rFonts w:ascii="Times New Roman" w:cs="Times New Roman" w:eastAsia="Times New Roman" w:hAnsi="Times New Roman"/>
          <w:sz w:val="18"/>
          <w:szCs w:val="18"/>
          <w:color w:val="auto"/>
        </w:rPr>
      </w:pPr>
    </w:p>
    <w:p>
      <w:pPr>
        <w:ind w:left="2464" w:hanging="481"/>
        <w:spacing w:after="0"/>
        <w:tabs>
          <w:tab w:leader="none" w:pos="2464"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Disposition complies with Condition 2(c)(i), (ii), (iii)(A), (iv); </w:t>
      </w:r>
      <w:r>
        <w:rPr>
          <w:rFonts w:ascii="Times New Roman" w:cs="Times New Roman" w:eastAsia="Times New Roman" w:hAnsi="Times New Roman"/>
          <w:sz w:val="18"/>
          <w:szCs w:val="18"/>
          <w:u w:val="single" w:color="auto"/>
          <w:color w:val="auto"/>
        </w:rPr>
        <w:t>and</w:t>
      </w:r>
    </w:p>
    <w:p>
      <w:pPr>
        <w:spacing w:after="0" w:line="225"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703"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and holding of the Pre-Boarding Investments were not prohibited by Section 57 or Rule 17d-1, as applicable, and records the basis for the finding in the Board minutes.</w:t>
      </w:r>
    </w:p>
    <w:p>
      <w:pPr>
        <w:spacing w:after="0" w:line="161" w:lineRule="exact"/>
        <w:rPr>
          <w:rFonts w:ascii="Times New Roman" w:cs="Times New Roman" w:eastAsia="Times New Roman" w:hAnsi="Times New Roman"/>
          <w:sz w:val="18"/>
          <w:szCs w:val="18"/>
          <w:color w:val="auto"/>
        </w:rPr>
      </w:pPr>
    </w:p>
    <w:p>
      <w:pPr>
        <w:ind w:left="1944" w:hanging="512"/>
        <w:spacing w:after="0"/>
        <w:tabs>
          <w:tab w:leader="none" w:pos="19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The Disposition may only be completed in reliance on the Order if:</w:t>
      </w:r>
    </w:p>
    <w:p>
      <w:pPr>
        <w:spacing w:after="0" w:line="223" w:lineRule="exact"/>
        <w:rPr>
          <w:rFonts w:ascii="Times New Roman" w:cs="Times New Roman" w:eastAsia="Times New Roman" w:hAnsi="Times New Roman"/>
          <w:sz w:val="18"/>
          <w:szCs w:val="18"/>
          <w:color w:val="auto"/>
        </w:rPr>
      </w:pPr>
    </w:p>
    <w:p>
      <w:pPr>
        <w:ind w:left="4" w:right="20" w:firstLine="1979"/>
        <w:spacing w:after="0" w:line="284" w:lineRule="auto"/>
        <w:tabs>
          <w:tab w:leader="none" w:pos="251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has the right to participate in such Disposition on a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at the same price and on the same terms and Conditions as those applicable to the Affiliated Funds and any other Regulated Fund;</w:t>
      </w:r>
    </w:p>
    <w:p>
      <w:pPr>
        <w:spacing w:after="0" w:line="158" w:lineRule="exact"/>
        <w:rPr>
          <w:rFonts w:ascii="Times New Roman" w:cs="Times New Roman" w:eastAsia="Times New Roman" w:hAnsi="Times New Roman"/>
          <w:sz w:val="18"/>
          <w:szCs w:val="18"/>
          <w:color w:val="auto"/>
        </w:rPr>
      </w:pPr>
    </w:p>
    <w:p>
      <w:pPr>
        <w:ind w:left="2564" w:hanging="581"/>
        <w:spacing w:after="0"/>
        <w:tabs>
          <w:tab w:leader="none" w:pos="2564"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04" w:lineRule="exact"/>
        <w:rPr>
          <w:rFonts w:ascii="Times New Roman" w:cs="Times New Roman" w:eastAsia="Times New Roman" w:hAnsi="Times New Roman"/>
          <w:sz w:val="18"/>
          <w:szCs w:val="18"/>
          <w:color w:val="auto"/>
        </w:rPr>
      </w:pPr>
    </w:p>
    <w:p>
      <w:pPr>
        <w:ind w:left="4" w:right="20" w:firstLine="1979"/>
        <w:spacing w:after="0" w:line="284" w:lineRule="auto"/>
        <w:tabs>
          <w:tab w:leader="none" w:pos="2625"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Pre-Boarding Investments were not prohibited by Section 57 (as modified by Rule 57b-1) or Rule 17d-1, as applicable;</w:t>
      </w:r>
    </w:p>
    <w:p>
      <w:pPr>
        <w:spacing w:after="0" w:line="158" w:lineRule="exact"/>
        <w:rPr>
          <w:rFonts w:ascii="Times New Roman" w:cs="Times New Roman" w:eastAsia="Times New Roman" w:hAnsi="Times New Roman"/>
          <w:sz w:val="18"/>
          <w:szCs w:val="18"/>
          <w:color w:val="auto"/>
        </w:rPr>
      </w:pPr>
    </w:p>
    <w:p>
      <w:pPr>
        <w:jc w:val="both"/>
        <w:ind w:left="4" w:right="20" w:firstLine="1979"/>
        <w:spacing w:after="0" w:line="256" w:lineRule="auto"/>
        <w:tabs>
          <w:tab w:leader="none" w:pos="260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Multiple Classes of Securities. </w:t>
      </w:r>
      <w:r>
        <w:rPr>
          <w:rFonts w:ascii="Times New Roman" w:cs="Times New Roman" w:eastAsia="Times New Roman" w:hAnsi="Times New Roman"/>
          <w:sz w:val="18"/>
          <w:szCs w:val="18"/>
          <w:color w:val="auto"/>
        </w:rPr>
        <w:t>All Regulated Funds and Affiliated Funds that hold Pre-Boarding Investments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Regulated Fund’s or Affiliated Fund’s holding of a different class of securities (including, for this purpose, a security with a different maturity date) is immaterial</w:t>
      </w:r>
      <w:r>
        <w:rPr>
          <w:rFonts w:ascii="Times New Roman" w:cs="Times New Roman" w:eastAsia="Times New Roman" w:hAnsi="Times New Roman"/>
          <w:sz w:val="15"/>
          <w:szCs w:val="15"/>
          <w:color w:val="auto"/>
        </w:rPr>
        <w:t>35</w:t>
      </w:r>
      <w:r>
        <w:rPr>
          <w:rFonts w:ascii="Times New Roman" w:cs="Times New Roman" w:eastAsia="Times New Roman" w:hAnsi="Times New Roman"/>
          <w:sz w:val="18"/>
          <w:szCs w:val="18"/>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Times New Roman" w:cs="Times New Roman" w:eastAsia="Times New Roman" w:hAnsi="Times New Roman"/>
          <w:sz w:val="18"/>
          <w:szCs w:val="18"/>
          <w:u w:val="single" w:color="auto"/>
          <w:color w:val="auto"/>
        </w:rPr>
        <w:t>and</w:t>
      </w:r>
    </w:p>
    <w:p>
      <w:pPr>
        <w:spacing w:after="0" w:line="183" w:lineRule="exact"/>
        <w:rPr>
          <w:rFonts w:ascii="Times New Roman" w:cs="Times New Roman" w:eastAsia="Times New Roman" w:hAnsi="Times New Roman"/>
          <w:sz w:val="18"/>
          <w:szCs w:val="18"/>
          <w:color w:val="auto"/>
        </w:rPr>
      </w:pPr>
    </w:p>
    <w:p>
      <w:pPr>
        <w:jc w:val="both"/>
        <w:ind w:left="4" w:right="20" w:firstLine="1979"/>
        <w:spacing w:after="0" w:line="267" w:lineRule="auto"/>
        <w:tabs>
          <w:tab w:leader="none" w:pos="266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other Regulated Funds and their affiliated persons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2(a)(3)(C) of the Act), individually or in the aggregate, do not control the issuer of the securities (within the meaning of Section 2(a)(9)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jc w:val="both"/>
        <w:ind w:left="424" w:right="20" w:hanging="424"/>
        <w:spacing w:after="0" w:line="266" w:lineRule="auto"/>
        <w:tabs>
          <w:tab w:leader="none" w:pos="424"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0" w:right="439" w:bottom="1440" w:gutter="0" w:footer="0" w:header="0"/>
        </w:sectPr>
      </w:pPr>
    </w:p>
    <w:bookmarkStart w:id="33" w:name="page34"/>
    <w:bookmarkEnd w:id="33"/>
    <w:p>
      <w:pPr>
        <w:ind w:left="1444" w:hanging="453"/>
        <w:spacing w:after="0"/>
        <w:tabs>
          <w:tab w:leader="none" w:pos="14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Follow-Ons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20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and the Regulated Funds and Affiliated Funds holding investments in the issuer previously participated in a Co-Investment Transaction with respect to the issuer:</w:t>
      </w:r>
    </w:p>
    <w:p>
      <w:pPr>
        <w:spacing w:after="0" w:line="161"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528"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to each such Regulated Fund or Affiliated Fund will notify each Regulated Fund that holds securities of the portfolio company of the proposed transaction at the earliest practical time; </w:t>
      </w:r>
      <w:r>
        <w:rPr>
          <w:rFonts w:ascii="Times New Roman" w:cs="Times New Roman" w:eastAsia="Times New Roman" w:hAnsi="Times New Roman"/>
          <w:sz w:val="18"/>
          <w:szCs w:val="18"/>
          <w:u w:val="single" w:color="auto"/>
          <w:color w:val="auto"/>
        </w:rPr>
        <w:t>and</w:t>
      </w:r>
    </w:p>
    <w:p>
      <w:pPr>
        <w:spacing w:after="0" w:line="161" w:lineRule="exact"/>
        <w:rPr>
          <w:rFonts w:ascii="Times New Roman" w:cs="Times New Roman" w:eastAsia="Times New Roman" w:hAnsi="Times New Roman"/>
          <w:sz w:val="18"/>
          <w:szCs w:val="18"/>
          <w:color w:val="auto"/>
        </w:rPr>
      </w:pPr>
    </w:p>
    <w:p>
      <w:pPr>
        <w:ind w:left="4" w:firstLine="1979"/>
        <w:spacing w:after="0" w:line="282" w:lineRule="auto"/>
        <w:tabs>
          <w:tab w:leader="none" w:pos="2551"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61" w:lineRule="exact"/>
        <w:rPr>
          <w:rFonts w:ascii="Times New Roman" w:cs="Times New Roman" w:eastAsia="Times New Roman" w:hAnsi="Times New Roman"/>
          <w:sz w:val="18"/>
          <w:szCs w:val="18"/>
          <w:color w:val="auto"/>
        </w:rPr>
      </w:pPr>
    </w:p>
    <w:p>
      <w:pPr>
        <w:ind w:left="4" w:firstLine="1428"/>
        <w:spacing w:after="0" w:line="282" w:lineRule="auto"/>
        <w:tabs>
          <w:tab w:leader="none" w:pos="212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Board Approval Required</w:t>
      </w:r>
      <w:r>
        <w:rPr>
          <w:rFonts w:ascii="Times New Roman" w:cs="Times New Roman" w:eastAsia="Times New Roman" w:hAnsi="Times New Roman"/>
          <w:sz w:val="18"/>
          <w:szCs w:val="18"/>
          <w:color w:val="auto"/>
        </w:rPr>
        <w:t>. A Regulated Fund may participate in the Follow-On Investment without obtaining prior approval of the Required Majority if:</w:t>
      </w:r>
    </w:p>
    <w:p>
      <w:pPr>
        <w:spacing w:after="0" w:line="161" w:lineRule="exact"/>
        <w:rPr>
          <w:rFonts w:ascii="Times New Roman" w:cs="Times New Roman" w:eastAsia="Times New Roman" w:hAnsi="Times New Roman"/>
          <w:sz w:val="18"/>
          <w:szCs w:val="18"/>
          <w:color w:val="auto"/>
        </w:rPr>
      </w:pPr>
    </w:p>
    <w:p>
      <w:pPr>
        <w:jc w:val="both"/>
        <w:ind w:left="4" w:right="20" w:firstLine="1979"/>
        <w:spacing w:after="0" w:line="261" w:lineRule="auto"/>
        <w:tabs>
          <w:tab w:leader="none" w:pos="248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the proposed participation of each Regulated Fund and each Affiliated Fund in such investment is proportionate to its outstanding investments in the issuer or the security at issue, as appropriate,</w:t>
      </w:r>
      <w:r>
        <w:rPr>
          <w:rFonts w:ascii="Times New Roman" w:cs="Times New Roman" w:eastAsia="Times New Roman" w:hAnsi="Times New Roman"/>
          <w:sz w:val="15"/>
          <w:szCs w:val="15"/>
          <w:color w:val="auto"/>
        </w:rPr>
        <w:t>36</w:t>
      </w:r>
      <w:r>
        <w:rPr>
          <w:rFonts w:ascii="Times New Roman" w:cs="Times New Roman" w:eastAsia="Times New Roman" w:hAnsi="Times New Roman"/>
          <w:sz w:val="18"/>
          <w:szCs w:val="18"/>
          <w:color w:val="auto"/>
        </w:rPr>
        <w:t xml:space="preserve"> immediately preceding the Follow-On Investment; and (G) the Board of the Regulated Fund has approved as being in the best interests of the Regulated Fund the ability to participate in Follow-On Investments on a pro rata basis (as described in greater detail in this Application); or</w:t>
      </w:r>
    </w:p>
    <w:p>
      <w:pPr>
        <w:spacing w:after="0" w:line="179" w:lineRule="exact"/>
        <w:rPr>
          <w:rFonts w:ascii="Times New Roman" w:cs="Times New Roman" w:eastAsia="Times New Roman" w:hAnsi="Times New Roman"/>
          <w:sz w:val="18"/>
          <w:szCs w:val="18"/>
          <w:color w:val="auto"/>
        </w:rPr>
      </w:pPr>
    </w:p>
    <w:p>
      <w:pPr>
        <w:ind w:left="2524" w:hanging="541"/>
        <w:spacing w:after="0"/>
        <w:tabs>
          <w:tab w:leader="none" w:pos="252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Non-Negotiated Follow-On Investment.</w:t>
      </w:r>
    </w:p>
    <w:p>
      <w:pPr>
        <w:spacing w:after="0" w:line="225"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97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 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183" w:lineRule="exact"/>
        <w:rPr>
          <w:rFonts w:ascii="Times New Roman" w:cs="Times New Roman" w:eastAsia="Times New Roman" w:hAnsi="Times New Roman"/>
          <w:sz w:val="18"/>
          <w:szCs w:val="18"/>
          <w:color w:val="auto"/>
        </w:rPr>
      </w:pPr>
    </w:p>
    <w:p>
      <w:pPr>
        <w:ind w:left="1964" w:hanging="532"/>
        <w:spacing w:after="0"/>
        <w:tabs>
          <w:tab w:leader="none" w:pos="19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If, with respect to any such Follow-On Investment:</w:t>
      </w:r>
    </w:p>
    <w:p>
      <w:pPr>
        <w:spacing w:after="0" w:line="225" w:lineRule="exact"/>
        <w:rPr>
          <w:rFonts w:ascii="Times New Roman" w:cs="Times New Roman" w:eastAsia="Times New Roman" w:hAnsi="Times New Roman"/>
          <w:sz w:val="18"/>
          <w:szCs w:val="18"/>
          <w:color w:val="auto"/>
        </w:rPr>
      </w:pPr>
    </w:p>
    <w:p>
      <w:pPr>
        <w:jc w:val="both"/>
        <w:ind w:left="4" w:right="20" w:firstLine="1979"/>
        <w:spacing w:after="0" w:line="266" w:lineRule="auto"/>
        <w:tabs>
          <w:tab w:leader="none" w:pos="2559"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Times New Roman" w:cs="Times New Roman" w:eastAsia="Times New Roman" w:hAnsi="Times New Roman"/>
          <w:sz w:val="18"/>
          <w:szCs w:val="18"/>
          <w:u w:val="single" w:color="auto"/>
          <w:color w:val="auto"/>
        </w:rPr>
        <w:t>and</w:t>
      </w:r>
    </w:p>
    <w:p>
      <w:pPr>
        <w:spacing w:after="0" w:line="175" w:lineRule="exact"/>
        <w:rPr>
          <w:rFonts w:ascii="Times New Roman" w:cs="Times New Roman" w:eastAsia="Times New Roman" w:hAnsi="Times New Roman"/>
          <w:sz w:val="18"/>
          <w:szCs w:val="18"/>
          <w:color w:val="auto"/>
        </w:rPr>
      </w:pPr>
    </w:p>
    <w:p>
      <w:pPr>
        <w:jc w:val="both"/>
        <w:ind w:left="4" w:right="20" w:firstLine="1979"/>
        <w:spacing w:after="0" w:line="266" w:lineRule="auto"/>
        <w:tabs>
          <w:tab w:leader="none" w:pos="2546"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jc w:val="both"/>
        <w:ind w:left="424" w:hanging="424"/>
        <w:spacing w:after="0" w:line="256" w:lineRule="auto"/>
        <w:tabs>
          <w:tab w:leader="none" w:pos="424"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34" w:name="page35"/>
    <w:bookmarkEnd w:id="34"/>
    <w:p>
      <w:pPr>
        <w:ind w:left="4" w:right="20" w:firstLine="1428"/>
        <w:spacing w:after="0" w:line="282" w:lineRule="auto"/>
        <w:tabs>
          <w:tab w:leader="none" w:pos="2248"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269" w:lineRule="exact"/>
        <w:rPr>
          <w:rFonts w:ascii="Times New Roman" w:cs="Times New Roman" w:eastAsia="Times New Roman" w:hAnsi="Times New Roman"/>
          <w:sz w:val="18"/>
          <w:szCs w:val="18"/>
          <w:color w:val="auto"/>
        </w:rPr>
      </w:pPr>
    </w:p>
    <w:p>
      <w:pPr>
        <w:ind w:left="1444" w:hanging="453"/>
        <w:spacing w:after="0"/>
        <w:tabs>
          <w:tab w:leader="none" w:pos="144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2032"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that is a Potential Co-Investment Transaction and the Regulated Funds and Affiliated Funds holding investments in the issuer have not previously participated in a Co-Investment Transaction with respect to the issuer:</w:t>
      </w:r>
    </w:p>
    <w:p>
      <w:pPr>
        <w:spacing w:after="0" w:line="175" w:lineRule="exact"/>
        <w:rPr>
          <w:rFonts w:ascii="Times New Roman" w:cs="Times New Roman" w:eastAsia="Times New Roman" w:hAnsi="Times New Roman"/>
          <w:sz w:val="18"/>
          <w:szCs w:val="18"/>
          <w:color w:val="auto"/>
        </w:rPr>
      </w:pPr>
    </w:p>
    <w:p>
      <w:pPr>
        <w:ind w:left="4" w:right="20" w:firstLine="1979"/>
        <w:spacing w:after="0" w:line="282" w:lineRule="auto"/>
        <w:tabs>
          <w:tab w:leader="none" w:pos="2528"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161" w:lineRule="exact"/>
        <w:rPr>
          <w:rFonts w:ascii="Times New Roman" w:cs="Times New Roman" w:eastAsia="Times New Roman" w:hAnsi="Times New Roman"/>
          <w:sz w:val="18"/>
          <w:szCs w:val="18"/>
          <w:color w:val="auto"/>
        </w:rPr>
      </w:pPr>
    </w:p>
    <w:p>
      <w:pPr>
        <w:ind w:left="4" w:firstLine="1979"/>
        <w:spacing w:after="0" w:line="282" w:lineRule="auto"/>
        <w:tabs>
          <w:tab w:leader="none" w:pos="255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to each Regulated Fund that holds an investment in the issuer will formulate a recommendation as to the proposed participation, including the amount of the proposed investment, by such Regulated Fund; </w:t>
      </w:r>
      <w:r>
        <w:rPr>
          <w:rFonts w:ascii="Times New Roman" w:cs="Times New Roman" w:eastAsia="Times New Roman" w:hAnsi="Times New Roman"/>
          <w:sz w:val="18"/>
          <w:szCs w:val="18"/>
          <w:u w:val="single" w:color="auto"/>
          <w:color w:val="auto"/>
        </w:rPr>
        <w:t>and</w:t>
      </w:r>
    </w:p>
    <w:p>
      <w:pPr>
        <w:spacing w:after="0" w:line="161" w:lineRule="exact"/>
        <w:rPr>
          <w:rFonts w:ascii="Times New Roman" w:cs="Times New Roman" w:eastAsia="Times New Roman" w:hAnsi="Times New Roman"/>
          <w:sz w:val="18"/>
          <w:szCs w:val="18"/>
          <w:color w:val="auto"/>
        </w:rPr>
      </w:pPr>
    </w:p>
    <w:p>
      <w:pPr>
        <w:jc w:val="both"/>
        <w:ind w:left="4" w:firstLine="1979"/>
        <w:spacing w:after="0" w:line="266" w:lineRule="auto"/>
        <w:tabs>
          <w:tab w:leader="none" w:pos="2597"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 including the terms of such investments and how they were made, that is necessary for the Required Majority to make the findings required by this Condition.</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2109"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Board Approval</w:t>
      </w:r>
      <w:r>
        <w:rPr>
          <w:rFonts w:ascii="Times New Roman" w:cs="Times New Roman" w:eastAsia="Times New Roman" w:hAnsi="Times New Roman"/>
          <w:sz w:val="18"/>
          <w:szCs w:val="18"/>
          <w:color w:val="auto"/>
        </w:rPr>
        <w:t>. The applicable Adviser will provide its written recommendation as to the Regulated Fund’s participation to the Eligible 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88" w:lineRule="exact"/>
        <w:rPr>
          <w:rFonts w:ascii="Times New Roman" w:cs="Times New Roman" w:eastAsia="Times New Roman" w:hAnsi="Times New Roman"/>
          <w:sz w:val="18"/>
          <w:szCs w:val="18"/>
          <w:color w:val="auto"/>
        </w:rPr>
      </w:pPr>
    </w:p>
    <w:p>
      <w:pPr>
        <w:ind w:left="1944" w:hanging="512"/>
        <w:spacing w:after="0"/>
        <w:tabs>
          <w:tab w:leader="none" w:pos="1944"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The Follow-On Investment may only be completed in reliance on the Order if:</w:t>
      </w:r>
    </w:p>
    <w:p>
      <w:pPr>
        <w:spacing w:after="0" w:line="223" w:lineRule="exact"/>
        <w:rPr>
          <w:rFonts w:ascii="Times New Roman" w:cs="Times New Roman" w:eastAsia="Times New Roman" w:hAnsi="Times New Roman"/>
          <w:sz w:val="18"/>
          <w:szCs w:val="18"/>
          <w:color w:val="auto"/>
        </w:rPr>
      </w:pPr>
    </w:p>
    <w:p>
      <w:pPr>
        <w:ind w:left="2544" w:hanging="561"/>
        <w:spacing w:after="0"/>
        <w:tabs>
          <w:tab w:leader="none" w:pos="2544"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04" w:lineRule="exact"/>
        <w:rPr>
          <w:rFonts w:ascii="Times New Roman" w:cs="Times New Roman" w:eastAsia="Times New Roman" w:hAnsi="Times New Roman"/>
          <w:sz w:val="18"/>
          <w:szCs w:val="18"/>
          <w:color w:val="auto"/>
        </w:rPr>
      </w:pPr>
    </w:p>
    <w:p>
      <w:pPr>
        <w:ind w:left="4" w:right="20" w:firstLine="1979"/>
        <w:spacing w:after="0" w:line="284" w:lineRule="auto"/>
        <w:tabs>
          <w:tab w:leader="none" w:pos="2589"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Pre-Boarding Investments were not prohibited by Section 57 (as modified by Rule 57b-1) or Rule 17d-1, as applicable;</w:t>
      </w:r>
    </w:p>
    <w:p>
      <w:pPr>
        <w:spacing w:after="0" w:line="158" w:lineRule="exact"/>
        <w:rPr>
          <w:rFonts w:ascii="Times New Roman" w:cs="Times New Roman" w:eastAsia="Times New Roman" w:hAnsi="Times New Roman"/>
          <w:sz w:val="18"/>
          <w:szCs w:val="18"/>
          <w:color w:val="auto"/>
        </w:rPr>
      </w:pPr>
    </w:p>
    <w:p>
      <w:pPr>
        <w:jc w:val="both"/>
        <w:ind w:left="4" w:firstLine="1979"/>
        <w:spacing w:after="0" w:line="256" w:lineRule="auto"/>
        <w:tabs>
          <w:tab w:leader="none" w:pos="2612"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Multiple Classes of Securities</w:t>
      </w:r>
      <w:r>
        <w:rPr>
          <w:rFonts w:ascii="Times New Roman" w:cs="Times New Roman" w:eastAsia="Times New Roman" w:hAnsi="Times New Roman"/>
          <w:sz w:val="18"/>
          <w:szCs w:val="18"/>
          <w:color w:val="auto"/>
        </w:rPr>
        <w:t>. All Regulated Funds and Affiliated Funds that hold Pre-Boarding Investments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immediately 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w:t>
      </w:r>
      <w:r>
        <w:rPr>
          <w:rFonts w:ascii="Times New Roman" w:cs="Times New Roman" w:eastAsia="Times New Roman" w:hAnsi="Times New Roman"/>
          <w:sz w:val="18"/>
          <w:szCs w:val="18"/>
          <w:u w:val="single" w:color="auto"/>
          <w:color w:val="auto"/>
        </w:rPr>
        <w:t>and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35" w:name="page36"/>
    <w:bookmarkEnd w:id="35"/>
    <w:p>
      <w:pPr>
        <w:jc w:val="both"/>
        <w:ind w:right="20" w:firstLine="2419"/>
        <w:spacing w:after="0" w:line="267" w:lineRule="auto"/>
        <w:tabs>
          <w:tab w:leader="none" w:pos="2998"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control</w:t>
      </w:r>
      <w:r>
        <w:rPr>
          <w:rFonts w:ascii="Times New Roman" w:cs="Times New Roman" w:eastAsia="Times New Roman" w:hAnsi="Times New Roman"/>
          <w:sz w:val="18"/>
          <w:szCs w:val="18"/>
          <w:color w:val="auto"/>
        </w:rPr>
        <w:t>. The Affiliated Funds, the other Regulated Funds and their affiliated persons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2(a)(3)(C) of the Act), individually or in the aggregate, do not control the issuer of the securities (within the meaning of Section 2(a)(9) of the Act).</w:t>
      </w:r>
    </w:p>
    <w:p>
      <w:pPr>
        <w:spacing w:after="0" w:line="175" w:lineRule="exact"/>
        <w:rPr>
          <w:rFonts w:ascii="Times New Roman" w:cs="Times New Roman" w:eastAsia="Times New Roman" w:hAnsi="Times New Roman"/>
          <w:sz w:val="18"/>
          <w:szCs w:val="18"/>
          <w:color w:val="auto"/>
        </w:rPr>
      </w:pPr>
    </w:p>
    <w:p>
      <w:pPr>
        <w:ind w:left="2500" w:hanging="521"/>
        <w:spacing w:after="0"/>
        <w:tabs>
          <w:tab w:leader="none" w:pos="25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If, with respect to any such Follow-On Investment:</w:t>
      </w:r>
    </w:p>
    <w:p>
      <w:pPr>
        <w:spacing w:after="0" w:line="225" w:lineRule="exact"/>
        <w:rPr>
          <w:rFonts w:ascii="Times New Roman" w:cs="Times New Roman" w:eastAsia="Times New Roman" w:hAnsi="Times New Roman"/>
          <w:sz w:val="18"/>
          <w:szCs w:val="18"/>
          <w:color w:val="auto"/>
        </w:rPr>
      </w:pPr>
    </w:p>
    <w:p>
      <w:pPr>
        <w:jc w:val="both"/>
        <w:ind w:firstLine="2419"/>
        <w:spacing w:after="0" w:line="266" w:lineRule="auto"/>
        <w:tabs>
          <w:tab w:leader="none" w:pos="3093"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the opportunity proposed to be made available to any Regulated Fund is not based on the Regulated Funds’ and the Affiliated Funds’ outstanding investments in the issuer or the security at issue, as appropriate, immediately preceding the Follow-On Investment; </w:t>
      </w:r>
      <w:r>
        <w:rPr>
          <w:rFonts w:ascii="Times New Roman" w:cs="Times New Roman" w:eastAsia="Times New Roman" w:hAnsi="Times New Roman"/>
          <w:sz w:val="18"/>
          <w:szCs w:val="18"/>
          <w:u w:val="single" w:color="auto"/>
          <w:color w:val="auto"/>
        </w:rPr>
        <w:t>and</w:t>
      </w:r>
    </w:p>
    <w:p>
      <w:pPr>
        <w:spacing w:after="0" w:line="175" w:lineRule="exact"/>
        <w:rPr>
          <w:rFonts w:ascii="Times New Roman" w:cs="Times New Roman" w:eastAsia="Times New Roman" w:hAnsi="Times New Roman"/>
          <w:sz w:val="18"/>
          <w:szCs w:val="18"/>
          <w:color w:val="auto"/>
        </w:rPr>
      </w:pPr>
    </w:p>
    <w:p>
      <w:pPr>
        <w:jc w:val="both"/>
        <w:ind w:firstLine="2419"/>
        <w:spacing w:after="0" w:line="263" w:lineRule="auto"/>
        <w:tabs>
          <w:tab w:leader="none" w:pos="314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size of the Internal Orders, as described in section III.A.1(b) above.</w:t>
      </w:r>
    </w:p>
    <w:p>
      <w:pPr>
        <w:spacing w:after="0" w:line="399" w:lineRule="exact"/>
        <w:rPr>
          <w:rFonts w:ascii="Times New Roman" w:cs="Times New Roman" w:eastAsia="Times New Roman" w:hAnsi="Times New Roman"/>
          <w:sz w:val="18"/>
          <w:szCs w:val="18"/>
          <w:color w:val="auto"/>
        </w:rPr>
      </w:pPr>
    </w:p>
    <w:p>
      <w:pPr>
        <w:ind w:right="20" w:firstLine="1979"/>
        <w:spacing w:after="0" w:line="282" w:lineRule="auto"/>
        <w:tabs>
          <w:tab w:leader="none" w:pos="261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 for all purposes and subject to the other Conditions set forth in this Application.</w:t>
      </w:r>
    </w:p>
    <w:p>
      <w:pPr>
        <w:spacing w:after="0" w:line="269" w:lineRule="exact"/>
        <w:rPr>
          <w:rFonts w:ascii="Times New Roman" w:cs="Times New Roman" w:eastAsia="Times New Roman" w:hAnsi="Times New Roman"/>
          <w:sz w:val="18"/>
          <w:szCs w:val="18"/>
          <w:color w:val="auto"/>
        </w:rPr>
      </w:pPr>
    </w:p>
    <w:p>
      <w:pPr>
        <w:ind w:left="1960" w:hanging="532"/>
        <w:spacing w:after="0"/>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Reporting, Compliance and Annual Re-Approval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1979"/>
        <w:spacing w:after="0" w:line="253" w:lineRule="auto"/>
        <w:tabs>
          <w:tab w:leader="none" w:pos="25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Affiliated Funds during the preceding quarter that fell within the Regulated Fund’s then-current Objectives and Strategies and any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any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94" w:lineRule="exact"/>
        <w:rPr>
          <w:rFonts w:ascii="Times New Roman" w:cs="Times New Roman" w:eastAsia="Times New Roman" w:hAnsi="Times New Roman"/>
          <w:sz w:val="18"/>
          <w:szCs w:val="18"/>
          <w:color w:val="auto"/>
        </w:rPr>
      </w:pPr>
    </w:p>
    <w:p>
      <w:pPr>
        <w:ind w:firstLine="1979"/>
        <w:spacing w:after="0" w:line="282" w:lineRule="auto"/>
        <w:tabs>
          <w:tab w:leader="none" w:pos="25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61" w:lineRule="exact"/>
        <w:rPr>
          <w:rFonts w:ascii="Times New Roman" w:cs="Times New Roman" w:eastAsia="Times New Roman" w:hAnsi="Times New Roman"/>
          <w:sz w:val="18"/>
          <w:szCs w:val="18"/>
          <w:color w:val="auto"/>
        </w:rPr>
      </w:pPr>
    </w:p>
    <w:p>
      <w:pPr>
        <w:jc w:val="both"/>
        <w:ind w:firstLine="1979"/>
        <w:spacing w:after="0" w:line="266" w:lineRule="auto"/>
        <w:tabs>
          <w:tab w:leader="none" w:pos="254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w:t>
      </w:r>
    </w:p>
    <w:p>
      <w:pPr>
        <w:spacing w:after="0" w:line="175" w:lineRule="exact"/>
        <w:rPr>
          <w:rFonts w:ascii="Times New Roman" w:cs="Times New Roman" w:eastAsia="Times New Roman" w:hAnsi="Times New Roman"/>
          <w:sz w:val="18"/>
          <w:szCs w:val="18"/>
          <w:color w:val="auto"/>
        </w:rPr>
      </w:pPr>
    </w:p>
    <w:p>
      <w:pPr>
        <w:ind w:firstLine="1979"/>
        <w:spacing w:after="0" w:line="282" w:lineRule="auto"/>
        <w:tabs>
          <w:tab w:leader="none" w:pos="270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will consider at least annually whether continued participation in new and existing Co-Investment Transactions is in the Regulated Fund’s best interests.</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2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r>
        <w:rPr>
          <w:rFonts w:ascii="Times New Roman" w:cs="Times New Roman" w:eastAsia="Times New Roman" w:hAnsi="Times New Roman"/>
          <w:sz w:val="18"/>
          <w:szCs w:val="18"/>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209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 No Independent Director of a Regulated Fund will also be a director, general partner, managing member or principal, or otherwise be an “affiliated person” (as defined in the Act) of any Affiliated Fund.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8" w:right="439" w:bottom="1440" w:gutter="0" w:footer="0" w:header="0"/>
        </w:sectPr>
      </w:pPr>
    </w:p>
    <w:bookmarkStart w:id="36" w:name="page37"/>
    <w:bookmarkEnd w:id="36"/>
    <w:p>
      <w:pPr>
        <w:jc w:val="both"/>
        <w:ind w:left="4" w:right="20" w:firstLine="1428"/>
        <w:spacing w:after="0" w:line="258" w:lineRule="auto"/>
        <w:tabs>
          <w:tab w:leader="none" w:pos="19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Times New Roman" w:cs="Times New Roman" w:eastAsia="Times New Roman" w:hAnsi="Times New Roman"/>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183" w:lineRule="exact"/>
        <w:rPr>
          <w:rFonts w:ascii="Times New Roman" w:cs="Times New Roman" w:eastAsia="Times New Roman" w:hAnsi="Times New Roman"/>
          <w:sz w:val="18"/>
          <w:szCs w:val="18"/>
          <w:color w:val="auto"/>
        </w:rPr>
      </w:pPr>
    </w:p>
    <w:p>
      <w:pPr>
        <w:jc w:val="both"/>
        <w:ind w:left="4" w:firstLine="1428"/>
        <w:spacing w:after="0" w:line="253" w:lineRule="auto"/>
        <w:tabs>
          <w:tab w:leader="none" w:pos="21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37</w:t>
      </w:r>
      <w:r>
        <w:rPr>
          <w:rFonts w:ascii="Times New Roman" w:cs="Times New Roman" w:eastAsia="Times New Roman" w:hAnsi="Times New Roman"/>
          <w:sz w:val="18"/>
          <w:szCs w:val="18"/>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 the Affiliated Funds, the other Regulated Funds or any affiliated person of the Affiliated Funds or the Regulated Funds will receive any additional compensation or remuneration of any kind as a result of or in connection with a Co-Investment Transaction other than (i) in the case of the Regulated Funds and the Affiliated Funds, the pro rata transaction fees described above and fees or other compensation described in Condition 2(c)(iii)(B)(z), (ii) brokerage or underwriting compensation permitted by Section 17(e) or 57(k) or (iii) in the case of the Adviser, investment advisory compensation paid in accordance with investment advisory agreements between the applicable Regulated Fund(s) or Affiliated Fund(s) and its Adviser.</w:t>
      </w:r>
    </w:p>
    <w:p>
      <w:pPr>
        <w:spacing w:after="0" w:line="191"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20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w:t>
      </w:r>
      <w:r>
        <w:rPr>
          <w:rFonts w:ascii="Times New Roman" w:cs="Times New Roman" w:eastAsia="Times New Roman" w:hAnsi="Times New Roman"/>
          <w:sz w:val="18"/>
          <w:szCs w:val="18"/>
          <w:color w:val="auto"/>
        </w:rPr>
        <w:t>. If the Holders own in the aggregate more than 25% of the Shares of a Regulated Fund, then the Holders will vote such Shares in the same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u w:val="single" w:color="auto"/>
          <w:color w:val="auto"/>
        </w:rPr>
        <w:t>PROCEDURAL MATTERS</w:t>
      </w:r>
    </w:p>
    <w:p>
      <w:pPr>
        <w:spacing w:after="0" w:line="121" w:lineRule="exact"/>
        <w:rPr>
          <w:sz w:val="20"/>
          <w:szCs w:val="20"/>
          <w:color w:val="auto"/>
        </w:rPr>
      </w:pPr>
    </w:p>
    <w:p>
      <w:pPr>
        <w:ind w:left="924" w:hanging="484"/>
        <w:spacing w:after="0"/>
        <w:tabs>
          <w:tab w:leader="none" w:pos="9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Joshua Peck</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 Sixth Street Specialty Lending,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345 California Street, Suite 3300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Email: JPeck@sixthstreet.com</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(415) 743-1500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John J. Mahon, Esq.</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Schulte Roth &amp; Zabel LLP</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901 Fifteenth Street, NW, Suite 800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Email: john.mahon@srz.com</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Tel: (202) 729-7470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Fax: (202) 730-4520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424" w:right="20" w:hanging="424"/>
        <w:spacing w:after="0" w:line="282" w:lineRule="auto"/>
        <w:tabs>
          <w:tab w:leader="none" w:pos="424"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70" w:right="439" w:bottom="1440" w:gutter="0" w:footer="0" w:header="0"/>
        </w:sectPr>
      </w:pPr>
    </w:p>
    <w:bookmarkStart w:id="37" w:name="page38"/>
    <w:bookmarkEnd w:id="37"/>
    <w:p>
      <w:pPr>
        <w:ind w:left="920" w:hanging="484"/>
        <w:spacing w:after="0"/>
        <w:tabs>
          <w:tab w:leader="none" w:pos="9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June 29, 2022.</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6620"/>
        <w:spacing w:after="0"/>
        <w:tabs>
          <w:tab w:leader="none" w:pos="7260" w:val="left"/>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17145</wp:posOffset>
            </wp:positionV>
            <wp:extent cx="23742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SIXTH STREET SPECIALTY LENDING ADVISERS, LLC</w:t>
      </w:r>
    </w:p>
    <w:p>
      <w:pPr>
        <w:spacing w:after="0" w:line="237" w:lineRule="exact"/>
        <w:rPr>
          <w:sz w:val="20"/>
          <w:szCs w:val="20"/>
          <w:color w:val="auto"/>
        </w:rPr>
      </w:pPr>
    </w:p>
    <w:p>
      <w:pPr>
        <w:ind w:left="6620"/>
        <w:spacing w:after="0"/>
        <w:tabs>
          <w:tab w:leader="none" w:pos="7260" w:val="left"/>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17145</wp:posOffset>
            </wp:positionV>
            <wp:extent cx="23742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38" w:name="page39"/>
    <w:bookmarkEnd w:id="38"/>
    <w:p>
      <w:pPr>
        <w:ind w:left="55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OPPORTUNITIES PARTNERS III (A), L.P.</w:t>
      </w:r>
    </w:p>
    <w:p>
      <w:pPr>
        <w:spacing w:after="0" w:line="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SIXTH STREET OPPORTUNITIES PARTNERS III (B), L.P.</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SIXTH STREET OPPORTUNITIES PARTNERS III (C), L.P.</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OPPS III DELAWARE AIV I-A,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OPPS III DELAWARE AIV I-B, L.P.</w:t>
      </w:r>
    </w:p>
    <w:p>
      <w:pPr>
        <w:spacing w:after="0" w:line="207" w:lineRule="exact"/>
        <w:rPr>
          <w:sz w:val="20"/>
          <w:szCs w:val="20"/>
          <w:color w:val="auto"/>
        </w:rPr>
      </w:pPr>
    </w:p>
    <w:tbl>
      <w:tblPr>
        <w:tblLayout w:type="fixed"/>
        <w:tblInd w:w="5520" w:type="dxa"/>
        <w:tblCellMar>
          <w:top w:w="0" w:type="dxa"/>
          <w:left w:w="0" w:type="dxa"/>
          <w:bottom w:w="0" w:type="dxa"/>
          <w:right w:w="0" w:type="dxa"/>
        </w:tblCellMar>
      </w:tblP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OPPORTUNITIES GENPAR III,</w:t>
            </w:r>
          </w:p>
        </w:tc>
      </w:tr>
      <w:tr>
        <w:trPr>
          <w:trHeight w:val="236"/>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OPPORTUNITIES GENPAR III</w:t>
            </w:r>
          </w:p>
        </w:tc>
      </w:tr>
      <w:tr>
        <w:trPr>
          <w:trHeight w:val="236"/>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Peck</w:t>
            </w:r>
          </w:p>
        </w:tc>
      </w:tr>
      <w:tr>
        <w:trPr>
          <w:trHeight w:val="205"/>
        </w:trPr>
        <w:tc>
          <w:tcPr>
            <w:tcW w:w="760" w:type="dxa"/>
            <w:vAlign w:val="bottom"/>
          </w:tcPr>
          <w:p>
            <w:pPr>
              <w:spacing w:after="0"/>
              <w:rPr>
                <w:sz w:val="17"/>
                <w:szCs w:val="17"/>
                <w:color w:val="auto"/>
              </w:rPr>
            </w:pP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SIXTH STREET OPPORTUNITIES PARTNERS IV (A), L.P.</w:t>
      </w:r>
    </w:p>
    <w:p>
      <w:pPr>
        <w:spacing w:after="0" w:line="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SIXTH STREET OPPORTUNITIES PARTNERS IV (B), L.P.</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SIXTH STREET OPPORTUNITIES PARTNERS IV (C), L.P.</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OPPS IV DELAWARE AIV I-A,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OPPS IV DELAWARE AIV I-B, L.P.</w:t>
      </w:r>
    </w:p>
    <w:p>
      <w:pPr>
        <w:spacing w:after="0" w:line="207" w:lineRule="exact"/>
        <w:rPr>
          <w:sz w:val="20"/>
          <w:szCs w:val="20"/>
          <w:color w:val="auto"/>
        </w:rPr>
      </w:pPr>
    </w:p>
    <w:tbl>
      <w:tblPr>
        <w:tblLayout w:type="fixed"/>
        <w:tblInd w:w="5520" w:type="dxa"/>
        <w:tblCellMar>
          <w:top w:w="0" w:type="dxa"/>
          <w:left w:w="0" w:type="dxa"/>
          <w:bottom w:w="0" w:type="dxa"/>
          <w:right w:w="0" w:type="dxa"/>
        </w:tblCellMar>
      </w:tblP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OPPORTUNITIES GENPAR IV,</w:t>
            </w:r>
          </w:p>
        </w:tc>
      </w:tr>
      <w:tr>
        <w:trPr>
          <w:trHeight w:val="236"/>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OPPORTUNITIES GENPAR IV</w:t>
            </w:r>
          </w:p>
        </w:tc>
      </w:tr>
      <w:tr>
        <w:trPr>
          <w:trHeight w:val="236"/>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Peck</w:t>
            </w:r>
          </w:p>
        </w:tc>
      </w:tr>
      <w:tr>
        <w:trPr>
          <w:trHeight w:val="205"/>
        </w:trPr>
        <w:tc>
          <w:tcPr>
            <w:tcW w:w="760" w:type="dxa"/>
            <w:vAlign w:val="bottom"/>
          </w:tcPr>
          <w:p>
            <w:pPr>
              <w:spacing w:after="0"/>
              <w:rPr>
                <w:sz w:val="17"/>
                <w:szCs w:val="17"/>
                <w:color w:val="auto"/>
              </w:rPr>
            </w:pP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OPPORTUNITIES PARTNERS V (A), L.P.</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OPPORTUNITIES PARTNERS V (B),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OPPORTUNITIES PARTNERS V (C),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OPPS V DELAWARE AIV I-A,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OPPS V DELAWARE AIV I-B, L.P.</w:t>
      </w:r>
    </w:p>
    <w:p>
      <w:pPr>
        <w:spacing w:after="0" w:line="207" w:lineRule="exact"/>
        <w:rPr>
          <w:sz w:val="20"/>
          <w:szCs w:val="20"/>
          <w:color w:val="auto"/>
        </w:rPr>
      </w:pPr>
    </w:p>
    <w:tbl>
      <w:tblPr>
        <w:tblLayout w:type="fixed"/>
        <w:tblInd w:w="5520" w:type="dxa"/>
        <w:tblCellMar>
          <w:top w:w="0" w:type="dxa"/>
          <w:left w:w="0" w:type="dxa"/>
          <w:bottom w:w="0" w:type="dxa"/>
          <w:right w:w="0" w:type="dxa"/>
        </w:tblCellMar>
      </w:tblP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OPPORTUNITIES GENPAR V</w:t>
            </w:r>
          </w:p>
        </w:tc>
      </w:tr>
      <w:tr>
        <w:trPr>
          <w:trHeight w:val="236"/>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ADVISERS, LLC, </w:t>
            </w:r>
            <w:r>
              <w:rPr>
                <w:rFonts w:ascii="Times New Roman" w:cs="Times New Roman" w:eastAsia="Times New Roman" w:hAnsi="Times New Roman"/>
                <w:sz w:val="18"/>
                <w:szCs w:val="18"/>
                <w:i w:val="1"/>
                <w:iCs w:val="1"/>
                <w:color w:val="auto"/>
              </w:rPr>
              <w:t>as general partner</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Peck</w:t>
            </w:r>
          </w:p>
        </w:tc>
      </w:tr>
      <w:tr>
        <w:trPr>
          <w:trHeight w:val="205"/>
        </w:trPr>
        <w:tc>
          <w:tcPr>
            <w:tcW w:w="760" w:type="dxa"/>
            <w:vAlign w:val="bottom"/>
          </w:tcPr>
          <w:p>
            <w:pPr>
              <w:spacing w:after="0"/>
              <w:rPr>
                <w:sz w:val="17"/>
                <w:szCs w:val="17"/>
                <w:color w:val="auto"/>
              </w:rPr>
            </w:pP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7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L.P.</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(A),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(B),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(C),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(D),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(E),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SIXTH STREET TAO PARTNERS (F),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KNIGHT TAO, L.P.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SUPER TAO MA, L.P.</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020"/>
          </w:cols>
          <w:pgMar w:left="1440" w:top="270" w:right="439" w:bottom="1440" w:gutter="0" w:footer="0" w:header="0"/>
        </w:sectPr>
      </w:pPr>
    </w:p>
    <w:bookmarkStart w:id="39" w:name="page40"/>
    <w:bookmarkEnd w:id="39"/>
    <w:p>
      <w:pPr>
        <w:ind w:left="5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SUPER TAO CONTINGENT MA, L.P.</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PSERS TAO PARTNERS PARALLEL FUND,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TAO (B) AIV II-A,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TAO (C) AIV II-A,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TAO (D) AIV II-A,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TAO (E) AIV II-A, L.P.</w:t>
      </w:r>
    </w:p>
    <w:p>
      <w:pPr>
        <w:spacing w:after="0" w:line="218"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7"/>
          <w:szCs w:val="17"/>
          <w:color w:val="auto"/>
        </w:rPr>
        <w:t>By:</w:t>
        <w:tab/>
        <w:t xml:space="preserve">SIXTH STREET TAO GENPAR, L.P., </w:t>
      </w:r>
      <w:r>
        <w:rPr>
          <w:rFonts w:ascii="Times New Roman" w:cs="Times New Roman" w:eastAsia="Times New Roman" w:hAnsi="Times New Roman"/>
          <w:sz w:val="17"/>
          <w:szCs w:val="17"/>
          <w:i w:val="1"/>
          <w:iCs w:val="1"/>
          <w:color w:val="auto"/>
        </w:rPr>
        <w:t>as general partner</w:t>
      </w:r>
    </w:p>
    <w:p>
      <w:pPr>
        <w:spacing w:after="0" w:line="252"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SIXTH STREET TAO GENPAR ADVISERS, LLC,</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20" w:lineRule="exact"/>
        <w:rPr>
          <w:sz w:val="20"/>
          <w:szCs w:val="20"/>
          <w:color w:val="auto"/>
        </w:rPr>
      </w:pPr>
    </w:p>
    <w:p>
      <w:pPr>
        <w:ind w:left="5300"/>
        <w:spacing w:after="0"/>
        <w:tabs>
          <w:tab w:leader="none" w:pos="5780" w:val="left"/>
          <w:tab w:leader="none" w:pos="62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17145</wp:posOffset>
            </wp:positionV>
            <wp:extent cx="2674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PARTNERS (A), L.P.</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PARTNERS (B),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PARTNERS (A) AIV,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PARTNERS (B) AIV, L.P.</w:t>
      </w:r>
    </w:p>
    <w:p>
      <w:pPr>
        <w:spacing w:after="0" w:line="218"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 xml:space="preserve">SIXTH STREET GROWTH GENPAR, L.P., </w:t>
      </w:r>
      <w:r>
        <w:rPr>
          <w:rFonts w:ascii="Times New Roman" w:cs="Times New Roman" w:eastAsia="Times New Roman" w:hAnsi="Times New Roman"/>
          <w:sz w:val="18"/>
          <w:szCs w:val="18"/>
          <w:i w:val="1"/>
          <w:iCs w:val="1"/>
          <w:color w:val="auto"/>
        </w:rPr>
        <w:t>as general</w:t>
      </w:r>
    </w:p>
    <w:p>
      <w:pPr>
        <w:spacing w:after="0" w:line="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7"/>
          <w:szCs w:val="17"/>
          <w:color w:val="auto"/>
        </w:rPr>
        <w:t>By:</w:t>
        <w:tab/>
        <w:t>SIXTH STREET GROWTH GENPAR ADVISERS, LLC,</w:t>
      </w:r>
    </w:p>
    <w:p>
      <w:pPr>
        <w:spacing w:after="0" w:line="3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300"/>
        <w:spacing w:after="0"/>
        <w:tabs>
          <w:tab w:leader="none" w:pos="5780" w:val="left"/>
          <w:tab w:leader="none" w:pos="62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17145</wp:posOffset>
            </wp:positionV>
            <wp:extent cx="2674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PARTNERS II (A), L.P.</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PARTNERS II (B),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II (A) AIV,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SIXTH STREET GROWTH II (B) AIV, L.P.</w:t>
      </w:r>
    </w:p>
    <w:p>
      <w:pPr>
        <w:spacing w:after="0" w:line="218" w:lineRule="exact"/>
        <w:rPr>
          <w:sz w:val="20"/>
          <w:szCs w:val="20"/>
          <w:color w:val="auto"/>
        </w:rPr>
      </w:pPr>
    </w:p>
    <w:tbl>
      <w:tblPr>
        <w:tblLayout w:type="fixed"/>
        <w:tblInd w:w="530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xml:space="preserve">SIXTH STREET GROWTH GENPAR II, L.P., </w:t>
            </w:r>
            <w:r>
              <w:rPr>
                <w:rFonts w:ascii="Times New Roman" w:cs="Times New Roman" w:eastAsia="Times New Roman" w:hAnsi="Times New Roman"/>
                <w:sz w:val="18"/>
                <w:szCs w:val="18"/>
                <w:i w:val="1"/>
                <w:iCs w:val="1"/>
                <w:color w:val="auto"/>
                <w:w w:val="99"/>
              </w:rPr>
              <w:t>as general</w:t>
            </w:r>
          </w:p>
        </w:tc>
      </w:tr>
      <w:tr>
        <w:trPr>
          <w:trHeight w:val="236"/>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partner</w:t>
            </w:r>
          </w:p>
        </w:tc>
      </w:tr>
      <w:tr>
        <w:trPr>
          <w:trHeight w:val="412"/>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SIXTH STREET GROWTH GENPAR II ADVISERS,</w:t>
            </w:r>
          </w:p>
        </w:tc>
      </w:tr>
      <w:tr>
        <w:trPr>
          <w:trHeight w:val="236"/>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as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Joshua Peck</w:t>
            </w:r>
          </w:p>
        </w:tc>
      </w:tr>
      <w:tr>
        <w:trPr>
          <w:trHeight w:val="191"/>
        </w:trPr>
        <w:tc>
          <w:tcPr>
            <w:tcW w:w="50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4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GROWTH II LENDING, LLC</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Steven S. Pluss</w:t>
            </w:r>
          </w:p>
        </w:tc>
      </w:tr>
      <w:tr>
        <w:trPr>
          <w:trHeight w:val="205"/>
        </w:trPr>
        <w:tc>
          <w:tcPr>
            <w:tcW w:w="500" w:type="dxa"/>
            <w:vAlign w:val="bottom"/>
          </w:tcPr>
          <w:p>
            <w:pPr>
              <w:spacing w:after="0"/>
              <w:rPr>
                <w:sz w:val="17"/>
                <w:szCs w:val="17"/>
                <w:color w:val="auto"/>
              </w:rPr>
            </w:pPr>
          </w:p>
        </w:tc>
        <w:tc>
          <w:tcPr>
            <w:tcW w:w="4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Steven S. Pluss</w:t>
            </w:r>
          </w:p>
        </w:tc>
      </w:tr>
      <w:tr>
        <w:trPr>
          <w:trHeight w:val="234"/>
        </w:trPr>
        <w:tc>
          <w:tcPr>
            <w:tcW w:w="5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and Treasurer</w:t>
            </w:r>
          </w:p>
        </w:tc>
      </w:tr>
    </w:tbl>
    <w:p>
      <w:pPr>
        <w:spacing w:after="0" w:line="21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SIXTH STREET FUNDAMENTAL STRATEGIES PARTNERS</w:t>
      </w:r>
    </w:p>
    <w:p>
      <w:pPr>
        <w:spacing w:after="0" w:line="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 L.P.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SIXTH STREET FUNDAMENTAL STRATEGIES PARTNERS</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 L.P.</w:t>
      </w:r>
    </w:p>
    <w:p>
      <w:pPr>
        <w:spacing w:after="0" w:line="1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020"/>
          </w:cols>
          <w:pgMar w:left="1440" w:top="270" w:right="439" w:bottom="1440" w:gutter="0" w:footer="0" w:header="0"/>
        </w:sectPr>
      </w:pPr>
    </w:p>
    <w:bookmarkStart w:id="40" w:name="page41"/>
    <w:bookmarkEnd w:id="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FS AIV I-A,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FS AIV I-B, L.P.</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Sixth Street Fundamental Strategies GenPar, L.P.,</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EUROPE I, L.P.</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SIXTH STREET SPECIALTY LENDING EUROPE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 xml:space="preserve">GENPAR I, L.P.,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SIXTH STREET SPECIALTY LENDING EUROPE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 xml:space="preserve">GENPAR I ADVISERS, 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EUROPE II, L.P.</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Sixth Street Specialty Lending Europe GenPar II,</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Joshua Peck</w:t>
            </w:r>
          </w:p>
        </w:tc>
        <w:tc>
          <w:tcPr>
            <w:tcW w:w="1180" w:type="dxa"/>
            <w:vAlign w:val="bottom"/>
            <w:tcBorders>
              <w:bottom w:val="single" w:sz="8" w:color="auto"/>
            </w:tcBorders>
          </w:tcPr>
          <w:p>
            <w:pPr>
              <w:spacing w:after="0"/>
              <w:rPr>
                <w:sz w:val="20"/>
                <w:szCs w:val="20"/>
                <w:color w:val="auto"/>
              </w:rPr>
            </w:pPr>
          </w:p>
        </w:tc>
      </w:tr>
      <w:tr>
        <w:trPr>
          <w:trHeight w:val="205"/>
        </w:trPr>
        <w:tc>
          <w:tcPr>
            <w:tcW w:w="540" w:type="dxa"/>
            <w:vAlign w:val="bottom"/>
          </w:tcPr>
          <w:p>
            <w:pPr>
              <w:spacing w:after="0"/>
              <w:rPr>
                <w:sz w:val="17"/>
                <w:szCs w:val="17"/>
                <w:color w:val="auto"/>
              </w:rPr>
            </w:pPr>
          </w:p>
        </w:tc>
        <w:tc>
          <w:tcPr>
            <w:tcW w:w="26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c>
          <w:tcPr>
            <w:tcW w:w="118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180" w:type="dxa"/>
            <w:vAlign w:val="bottom"/>
          </w:tcPr>
          <w:p>
            <w:pPr>
              <w:spacing w:after="0"/>
              <w:rPr>
                <w:sz w:val="20"/>
                <w:szCs w:val="20"/>
                <w:color w:val="auto"/>
              </w:rPr>
            </w:pPr>
          </w:p>
        </w:tc>
      </w:tr>
      <w:tr>
        <w:trPr>
          <w:trHeight w:val="432"/>
        </w:trPr>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SUPER TSLE, L.P.</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SUPER TSLE GENPAR, L.P., </w:t>
            </w:r>
            <w:r>
              <w:rPr>
                <w:rFonts w:ascii="Times New Roman" w:cs="Times New Roman" w:eastAsia="Times New Roman" w:hAnsi="Times New Roman"/>
                <w:sz w:val="18"/>
                <w:szCs w:val="18"/>
                <w:i w:val="1"/>
                <w:iCs w:val="1"/>
                <w:color w:val="auto"/>
              </w:rPr>
              <w:t>as general partner</w:t>
            </w: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SIXTH STREET SPECIALTY LENDING EUROPE</w:t>
            </w:r>
          </w:p>
        </w:tc>
      </w:tr>
      <w:tr>
        <w:trPr>
          <w:trHeight w:val="236"/>
        </w:trPr>
        <w:tc>
          <w:tcPr>
            <w:tcW w:w="540" w:type="dxa"/>
            <w:vAlign w:val="bottom"/>
          </w:tcPr>
          <w:p>
            <w:pPr>
              <w:spacing w:after="0"/>
              <w:rPr>
                <w:sz w:val="20"/>
                <w:szCs w:val="20"/>
                <w:color w:val="auto"/>
              </w:rPr>
            </w:pPr>
          </w:p>
        </w:tc>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GENPAR I ADVISERS, LLC, </w:t>
            </w:r>
            <w:r>
              <w:rPr>
                <w:rFonts w:ascii="Times New Roman" w:cs="Times New Roman" w:eastAsia="Times New Roman" w:hAnsi="Times New Roman"/>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Joshua Peck</w:t>
            </w:r>
          </w:p>
        </w:tc>
        <w:tc>
          <w:tcPr>
            <w:tcW w:w="1180" w:type="dxa"/>
            <w:vAlign w:val="bottom"/>
            <w:tcBorders>
              <w:bottom w:val="single" w:sz="8" w:color="auto"/>
            </w:tcBorders>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26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c>
          <w:tcPr>
            <w:tcW w:w="118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180" w:type="dxa"/>
            <w:vAlign w:val="bottom"/>
          </w:tcPr>
          <w:p>
            <w:pPr>
              <w:spacing w:after="0"/>
              <w:rPr>
                <w:sz w:val="20"/>
                <w:szCs w:val="20"/>
                <w:color w:val="auto"/>
              </w:rPr>
            </w:pPr>
          </w:p>
        </w:tc>
      </w:tr>
      <w:tr>
        <w:trPr>
          <w:trHeight w:val="432"/>
        </w:trPr>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SIXTH STREET AGRICULTURE PARTNERS (A), L.P.</w:t>
            </w: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Sixth</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Street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Agriculture   GenPar,   L.P.,   </w:t>
            </w:r>
            <w:r>
              <w:rPr>
                <w:rFonts w:ascii="Times New Roman" w:cs="Times New Roman" w:eastAsia="Times New Roman" w:hAnsi="Times New Roman"/>
                <w:sz w:val="18"/>
                <w:szCs w:val="18"/>
                <w:i w:val="1"/>
                <w:iCs w:val="1"/>
                <w:color w:val="auto"/>
              </w:rPr>
              <w:t>as</w:t>
            </w:r>
          </w:p>
        </w:tc>
      </w:tr>
      <w:tr>
        <w:trPr>
          <w:trHeight w:val="236"/>
        </w:trPr>
        <w:tc>
          <w:tcPr>
            <w:tcW w:w="54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partner</w:t>
            </w: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Joshua Peck</w:t>
            </w:r>
          </w:p>
        </w:tc>
        <w:tc>
          <w:tcPr>
            <w:tcW w:w="1180" w:type="dxa"/>
            <w:vAlign w:val="bottom"/>
            <w:tcBorders>
              <w:bottom w:val="single" w:sz="8" w:color="auto"/>
            </w:tcBorders>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268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c>
          <w:tcPr>
            <w:tcW w:w="118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18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SIXTH</w:t>
            </w:r>
          </w:p>
        </w:tc>
        <w:tc>
          <w:tcPr>
            <w:tcW w:w="3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STREET</w:t>
            </w:r>
          </w:p>
        </w:tc>
        <w:tc>
          <w:tcPr>
            <w:tcW w:w="1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BLUEGRASS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STRATEGIC</w:t>
            </w:r>
          </w:p>
        </w:tc>
      </w:tr>
    </w:tbl>
    <w:p>
      <w:pPr>
        <w:ind w:left="5620"/>
        <w:spacing w:after="0"/>
        <w:rPr>
          <w:sz w:val="20"/>
          <w:szCs w:val="20"/>
          <w:color w:val="auto"/>
        </w:rPr>
      </w:pPr>
      <w:r>
        <w:rPr>
          <w:rFonts w:ascii="Times New Roman" w:cs="Times New Roman" w:eastAsia="Times New Roman" w:hAnsi="Times New Roman"/>
          <w:sz w:val="18"/>
          <w:szCs w:val="18"/>
          <w:color w:val="auto"/>
        </w:rPr>
        <w:t>HOLDINGS I, L.P.,</w:t>
      </w:r>
    </w:p>
    <w:p>
      <w:pPr>
        <w:spacing w:after="0" w:line="205"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Sixth Street Strategic Holdings GenPar, LLC,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20"/>
          </w:cols>
          <w:pgMar w:left="1440" w:top="270" w:right="439" w:bottom="1440" w:gutter="0" w:footer="0" w:header="0"/>
        </w:sectPr>
      </w:pP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020"/>
          </w:cols>
          <w:pgMar w:left="1440" w:top="270" w:right="439" w:bottom="1440" w:gutter="0" w:footer="0" w:header="0"/>
          <w:type w:val="continuous"/>
        </w:sectPr>
      </w:pPr>
    </w:p>
    <w:bookmarkStart w:id="41" w:name="page42"/>
    <w:bookmarkEnd w:id="4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WILLOW STRATEGIC HOLDINGS 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ectPr>
          <w:pgSz w:w="11900" w:h="16838" w:orient="portrait"/>
          <w:cols w:equalWidth="0" w:num="1">
            <w:col w:w="10020"/>
          </w:cols>
          <w:pgMar w:left="1440" w:top="270" w:right="439" w:bottom="1440" w:gutter="0" w:footer="0" w:header="0"/>
        </w:sectPr>
      </w:pP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Sixth Street Strategic Holdings GenPar, LLC, </w:t>
      </w:r>
      <w:r>
        <w:rPr>
          <w:rFonts w:ascii="Times New Roman" w:cs="Times New Roman" w:eastAsia="Times New Roman" w:hAnsi="Times New Roman"/>
          <w:sz w:val="18"/>
          <w:szCs w:val="18"/>
          <w:i w:val="1"/>
          <w:iCs w:val="1"/>
          <w:color w:val="auto"/>
        </w:rPr>
        <w:t>as general partner</w:t>
      </w:r>
    </w:p>
    <w:p>
      <w:pPr>
        <w:spacing w:after="0" w:line="162" w:lineRule="exact"/>
        <w:rPr>
          <w:sz w:val="20"/>
          <w:szCs w:val="20"/>
          <w:color w:val="auto"/>
        </w:rPr>
      </w:pPr>
    </w:p>
    <w:p>
      <w:pPr>
        <w:sectPr>
          <w:pgSz w:w="11900" w:h="16838" w:orient="portrait"/>
          <w:cols w:equalWidth="0" w:num="2">
            <w:col w:w="5880" w:space="280"/>
            <w:col w:w="3860"/>
          </w:cols>
          <w:pgMar w:left="1440" w:top="270" w:right="4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24765</wp:posOffset>
            </wp:positionV>
            <wp:extent cx="24517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3">
            <w:col w:w="5880" w:space="280"/>
            <w:col w:w="160" w:space="320"/>
            <w:col w:w="3380"/>
          </w:cols>
          <w:pgMar w:left="1440" w:top="270" w:right="439"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SIXTH</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STREET</w:t>
            </w: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COTTONWOOD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STRATEGIC</w:t>
            </w:r>
          </w:p>
        </w:tc>
      </w:tr>
      <w:tr>
        <w:trPr>
          <w:trHeight w:val="234"/>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HOLDINGS I, L.P.</w:t>
            </w: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Sixth</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Street</w:t>
            </w: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Strategic  Holdings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GenPar,  LLC,</w:t>
            </w:r>
          </w:p>
        </w:tc>
      </w:tr>
      <w:tr>
        <w:trPr>
          <w:trHeight w:val="236"/>
        </w:trPr>
        <w:tc>
          <w:tcPr>
            <w:tcW w:w="5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as general partner</w:t>
            </w:r>
          </w:p>
        </w:tc>
        <w:tc>
          <w:tcPr>
            <w:tcW w:w="12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Joshua Peck</w:t>
            </w:r>
          </w:p>
        </w:tc>
        <w:tc>
          <w:tcPr>
            <w:tcW w:w="1220" w:type="dxa"/>
            <w:vAlign w:val="bottom"/>
            <w:tcBorders>
              <w:bottom w:val="single" w:sz="8" w:color="auto"/>
            </w:tcBorders>
          </w:tcPr>
          <w:p>
            <w:pPr>
              <w:spacing w:after="0"/>
              <w:rPr>
                <w:sz w:val="24"/>
                <w:szCs w:val="24"/>
                <w:color w:val="auto"/>
              </w:rPr>
            </w:pPr>
          </w:p>
        </w:tc>
      </w:tr>
      <w:tr>
        <w:trPr>
          <w:trHeight w:val="205"/>
        </w:trPr>
        <w:tc>
          <w:tcPr>
            <w:tcW w:w="540" w:type="dxa"/>
            <w:vAlign w:val="bottom"/>
          </w:tcPr>
          <w:p>
            <w:pPr>
              <w:spacing w:after="0"/>
              <w:rPr>
                <w:sz w:val="17"/>
                <w:szCs w:val="17"/>
                <w:color w:val="auto"/>
              </w:rPr>
            </w:pPr>
          </w:p>
        </w:tc>
        <w:tc>
          <w:tcPr>
            <w:tcW w:w="264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c>
          <w:tcPr>
            <w:tcW w:w="1220" w:type="dxa"/>
            <w:vAlign w:val="bottom"/>
          </w:tcPr>
          <w:p>
            <w:pPr>
              <w:spacing w:after="0"/>
              <w:rPr>
                <w:sz w:val="17"/>
                <w:szCs w:val="17"/>
                <w:color w:val="auto"/>
              </w:rPr>
            </w:pPr>
          </w:p>
        </w:tc>
      </w:tr>
      <w:tr>
        <w:trPr>
          <w:trHeight w:val="234"/>
        </w:trPr>
        <w:tc>
          <w:tcPr>
            <w:tcW w:w="5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220" w:type="dxa"/>
            <w:vAlign w:val="bottom"/>
          </w:tcPr>
          <w:p>
            <w:pPr>
              <w:spacing w:after="0"/>
              <w:rPr>
                <w:sz w:val="20"/>
                <w:szCs w:val="20"/>
                <w:color w:val="auto"/>
              </w:rPr>
            </w:pP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DOGWOOD STRATEGIC HOLDINGS 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Sixth</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Street  Strategic  Holdings  GenPar,  LLC,</w:t>
            </w:r>
          </w:p>
        </w:tc>
      </w:tr>
      <w:tr>
        <w:trPr>
          <w:trHeight w:val="236"/>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RED PINE STRATEGIC HOLDINGS 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Sixth</w:t>
            </w: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Street  Strategic  Holdings  GenPar,  LLC,</w:t>
            </w:r>
          </w:p>
        </w:tc>
      </w:tr>
      <w:tr>
        <w:trPr>
          <w:trHeight w:val="236"/>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CMS DYNAMIC CREDIT FUND,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Sixth</w:t>
            </w:r>
          </w:p>
        </w:tc>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Street CMS Dynamic Credit GenPar, LLC,</w:t>
            </w:r>
          </w:p>
        </w:tc>
      </w:tr>
      <w:tr>
        <w:trPr>
          <w:trHeight w:val="236"/>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TCS LENDING,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David Stiepleman</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David Stiepleman</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20"/>
          </w:cols>
          <w:pgMar w:left="1440" w:top="270" w:right="439" w:bottom="1440" w:gutter="0" w:footer="0" w:header="0"/>
          <w:type w:val="continuous"/>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TDL LENDING,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David Stiepleman</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David Stiepleman</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TOP IV LENDING,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David Stiepleman</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David Stiepleman</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OPPS V LENDING,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FS I LENDING,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David Stiepleman</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David Stiepleman</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ADVISERS,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 2016-1,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 of the 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VI 2016-2,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 of the 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VII,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 of the 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VIII, LTD.</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 of the Collateral Manager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20"/>
          </w:cols>
          <w:pgMar w:left="1440" w:top="270" w:right="439" w:bottom="1440" w:gutter="0" w:footer="0" w:header="0"/>
        </w:sectPr>
      </w:pPr>
    </w:p>
    <w:bookmarkStart w:id="43" w:name="page44"/>
    <w:bookmarkEnd w:id="4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IX,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XIV,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XV,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XVI,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XVII,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Title: Vice President of the Collateral Manager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XVIII, LTD.</w:t>
      </w:r>
    </w:p>
    <w:p>
      <w:pPr>
        <w:spacing w:after="0" w:line="225"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of the Collateral Manager</w:t>
      </w:r>
    </w:p>
    <w:p>
      <w:pPr>
        <w:sectPr>
          <w:pgSz w:w="11900" w:h="16838" w:orient="portrait"/>
          <w:cols w:equalWidth="0" w:num="1">
            <w:col w:w="9520"/>
          </w:cols>
          <w:pgMar w:left="1440" w:top="270" w:right="939" w:bottom="1440" w:gutter="0" w:footer="0" w:header="0"/>
        </w:sectPr>
      </w:pP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520"/>
          </w:cols>
          <w:pgMar w:left="1440" w:top="270" w:right="939" w:bottom="1440" w:gutter="0" w:footer="0" w:header="0"/>
          <w:type w:val="continuous"/>
        </w:sectPr>
      </w:pPr>
    </w:p>
    <w:bookmarkStart w:id="44" w:name="page45"/>
    <w:bookmarkEnd w:id="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CLO XIX, LTD.</w:t>
      </w:r>
    </w:p>
    <w:p>
      <w:pPr>
        <w:spacing w:after="0" w:line="225" w:lineRule="exact"/>
        <w:rPr>
          <w:sz w:val="20"/>
          <w:szCs w:val="20"/>
          <w:color w:val="auto"/>
        </w:rPr>
      </w:pPr>
    </w:p>
    <w:p>
      <w:pPr>
        <w:ind w:left="5620"/>
        <w:spacing w:after="0"/>
        <w:tabs>
          <w:tab w:leader="none" w:pos="6140" w:val="left"/>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 of the Collateral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XX,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Sixth</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Street  CLO  XX  Management,  LLC,  its</w:t>
            </w:r>
          </w:p>
        </w:tc>
      </w:tr>
      <w:tr>
        <w:trPr>
          <w:trHeight w:val="236"/>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collateral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and Secretary</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CLO EQUITY FUND IV, L.P.</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Street CLO Equity GenPar IV, L.P.</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540" w:type="dxa"/>
            <w:vAlign w:val="bottom"/>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TSSP ROTATIONAL CREDIT FUND, L.P.</w:t>
      </w:r>
    </w:p>
    <w:p>
      <w:pPr>
        <w:spacing w:after="0" w:line="223" w:lineRule="exact"/>
        <w:rPr>
          <w:sz w:val="20"/>
          <w:szCs w:val="20"/>
          <w:color w:val="auto"/>
        </w:rPr>
      </w:pPr>
    </w:p>
    <w:p>
      <w:pPr>
        <w:jc w:val="both"/>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TSSP  Rotational  Credit  Fund  GenPar,  L.P.,  </w:t>
      </w:r>
      <w:r>
        <w:rPr>
          <w:rFonts w:ascii="Times New Roman" w:cs="Times New Roman" w:eastAsia="Times New Roman" w:hAnsi="Times New Roman"/>
          <w:sz w:val="18"/>
          <w:szCs w:val="18"/>
          <w:i w:val="1"/>
          <w:iCs w:val="1"/>
          <w:color w:val="auto"/>
        </w:rPr>
        <w:t>as</w:t>
      </w:r>
    </w:p>
    <w:p>
      <w:pPr>
        <w:spacing w:after="0" w:line="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general partner</w:t>
      </w:r>
    </w:p>
    <w:p>
      <w:pPr>
        <w:spacing w:after="0" w:line="207"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300" w:val="left"/>
          <w:tab w:leader="none" w:pos="7160" w:val="left"/>
          <w:tab w:leader="none" w:pos="8200" w:val="left"/>
          <w:tab w:leader="none" w:pos="8860" w:val="left"/>
        </w:tabs>
        <w:rPr>
          <w:sz w:val="20"/>
          <w:szCs w:val="20"/>
          <w:color w:val="auto"/>
        </w:rPr>
      </w:pPr>
      <w:r>
        <w:rPr>
          <w:rFonts w:ascii="Times New Roman" w:cs="Times New Roman" w:eastAsia="Times New Roman" w:hAnsi="Times New Roman"/>
          <w:sz w:val="18"/>
          <w:szCs w:val="18"/>
          <w:color w:val="auto"/>
        </w:rPr>
        <w:t>SIXTH</w:t>
        <w:tab/>
        <w:t>STREET</w:t>
        <w:tab/>
        <w:t>WHEELER</w:t>
        <w:tab/>
        <w:t>PEAK</w:t>
      </w:r>
      <w:r>
        <w:rPr>
          <w:sz w:val="20"/>
          <w:szCs w:val="20"/>
          <w:color w:val="auto"/>
        </w:rPr>
        <w:tab/>
      </w:r>
      <w:r>
        <w:rPr>
          <w:rFonts w:ascii="Times New Roman" w:cs="Times New Roman" w:eastAsia="Times New Roman" w:hAnsi="Times New Roman"/>
          <w:sz w:val="17"/>
          <w:szCs w:val="17"/>
          <w:color w:val="auto"/>
        </w:rPr>
        <w:t>ROTATIONAL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CREDIT FUND I, LLC</w:t>
      </w:r>
    </w:p>
    <w:p>
      <w:pPr>
        <w:spacing w:after="0" w:line="207" w:lineRule="exact"/>
        <w:rPr>
          <w:sz w:val="20"/>
          <w:szCs w:val="20"/>
          <w:color w:val="auto"/>
        </w:rPr>
      </w:pPr>
    </w:p>
    <w:p>
      <w:pPr>
        <w:ind w:left="5620"/>
        <w:spacing w:after="0"/>
        <w:tabs>
          <w:tab w:leader="none" w:pos="6140" w:val="left"/>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ROTATIONAL CREDIT FUND III, L.P.</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Rotational Credit Fund III GenPar, L.P.,</w:t>
            </w:r>
          </w:p>
        </w:tc>
      </w:tr>
      <w:tr>
        <w:trPr>
          <w:trHeight w:val="236"/>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TRCF SPV GP, LLC, </w:t>
            </w:r>
            <w:r>
              <w:rPr>
                <w:rFonts w:ascii="Times New Roman" w:cs="Times New Roman" w:eastAsia="Times New Roman" w:hAnsi="Times New Roman"/>
                <w:sz w:val="18"/>
                <w:szCs w:val="18"/>
                <w:i w:val="1"/>
                <w:iCs w:val="1"/>
                <w:color w:val="auto"/>
              </w:rPr>
              <w:t>as general partner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Peck</w:t>
            </w:r>
          </w:p>
        </w:tc>
      </w:tr>
      <w:tr>
        <w:trPr>
          <w:trHeight w:val="205"/>
        </w:trPr>
        <w:tc>
          <w:tcPr>
            <w:tcW w:w="540" w:type="dxa"/>
            <w:vAlign w:val="bottom"/>
          </w:tcPr>
          <w:p>
            <w:pPr>
              <w:spacing w:after="0"/>
              <w:rPr>
                <w:sz w:val="17"/>
                <w:szCs w:val="17"/>
                <w:color w:val="auto"/>
              </w:rPr>
            </w:pPr>
          </w:p>
        </w:tc>
        <w:tc>
          <w:tcPr>
            <w:tcW w:w="3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020"/>
          </w:cols>
          <w:pgMar w:left="1440" w:top="270" w:right="439" w:bottom="1440" w:gutter="0" w:footer="0" w:header="0"/>
        </w:sectPr>
      </w:pPr>
    </w:p>
    <w:bookmarkStart w:id="45" w:name="page46"/>
    <w:bookmarkEnd w:id="45"/>
    <w:p>
      <w:pPr>
        <w:ind w:left="5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TSSP STRUCTURED CREDIT OPPORTUNITIES FUND, L.P.</w:t>
      </w:r>
    </w:p>
    <w:p>
      <w:pPr>
        <w:spacing w:after="0" w:line="225"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TSSP Structured Credit Opportunities Fund GenPar, L.P.,</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120"/>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SIXTH  STREET  STRUCTURED  CREDIT  OPPORTUNITIES</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FUND II, L.P.</w:t>
      </w:r>
    </w:p>
    <w:p>
      <w:pPr>
        <w:spacing w:after="0" w:line="205"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 xml:space="preserve">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120"/>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SIXTH  STREET  STRUCTURED  CREDIT  OPPORTUNITIES</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FUND III, L.P.</w:t>
      </w:r>
    </w:p>
    <w:p>
      <w:pPr>
        <w:spacing w:after="0" w:line="207"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7"/>
          <w:szCs w:val="17"/>
          <w:color w:val="auto"/>
        </w:rPr>
        <w:t>By:</w:t>
        <w:tab/>
        <w:t>Sixth Street Structured Credit Opportunities GenPar III, L.P.,</w:t>
      </w:r>
    </w:p>
    <w:p>
      <w:pPr>
        <w:spacing w:after="0" w:line="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5"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 xml:space="preserve">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120"/>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SIXTH  STREET  STRUCTURED  CREDIT  OPPORTUNITIES</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FUND IV, L.P.</w:t>
      </w:r>
    </w:p>
    <w:p>
      <w:pPr>
        <w:spacing w:after="0" w:line="207"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Sixth Street Structured Credit Opportunities GenPar IV,</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8"/>
          <w:szCs w:val="18"/>
          <w:i w:val="1"/>
          <w:iCs w:val="1"/>
          <w:color w:val="auto"/>
        </w:rPr>
        <w:t>as general partner</w:t>
      </w:r>
    </w:p>
    <w:p>
      <w:pPr>
        <w:spacing w:after="0" w:line="207" w:lineRule="exact"/>
        <w:rPr>
          <w:sz w:val="20"/>
          <w:szCs w:val="20"/>
          <w:color w:val="auto"/>
        </w:rPr>
      </w:pPr>
    </w:p>
    <w:p>
      <w:pPr>
        <w:ind w:left="5120"/>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SIXTH  STREET  STRUCTURED  CREDIT  OPPORTUNITIES</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FUND V, L.P.</w:t>
      </w:r>
    </w:p>
    <w:p>
      <w:pPr>
        <w:spacing w:after="0" w:line="207"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Sixth Street Structured Credit Opportunities GenPar V, L.P.,</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as general partner</w:t>
      </w:r>
    </w:p>
    <w:p>
      <w:pPr>
        <w:spacing w:after="0" w:line="205"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 xml:space="preserve">TSCOF SPV GP, LLC, </w:t>
      </w:r>
      <w:r>
        <w:rPr>
          <w:rFonts w:ascii="Times New Roman" w:cs="Times New Roman" w:eastAsia="Times New Roman" w:hAnsi="Times New Roman"/>
          <w:sz w:val="18"/>
          <w:szCs w:val="18"/>
          <w:i w:val="1"/>
          <w:iCs w:val="1"/>
          <w:color w:val="auto"/>
        </w:rPr>
        <w:t>as general partner</w:t>
      </w:r>
    </w:p>
    <w:p>
      <w:pPr>
        <w:spacing w:after="0" w:line="227" w:lineRule="exact"/>
        <w:rPr>
          <w:sz w:val="20"/>
          <w:szCs w:val="20"/>
          <w:color w:val="auto"/>
        </w:rPr>
      </w:pPr>
    </w:p>
    <w:p>
      <w:pPr>
        <w:ind w:left="5120"/>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TICP CLO PARTNERS II, L.P.</w:t>
      </w:r>
    </w:p>
    <w:p>
      <w:pPr>
        <w:spacing w:after="0" w:line="223" w:lineRule="exact"/>
        <w:rPr>
          <w:sz w:val="20"/>
          <w:szCs w:val="20"/>
          <w:color w:val="auto"/>
        </w:rPr>
      </w:pPr>
    </w:p>
    <w:p>
      <w:pPr>
        <w:ind w:left="512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 xml:space="preserve">TICP CLO GenPar II, LLC, as </w:t>
      </w:r>
      <w:r>
        <w:rPr>
          <w:rFonts w:ascii="Times New Roman" w:cs="Times New Roman" w:eastAsia="Times New Roman" w:hAnsi="Times New Roman"/>
          <w:sz w:val="18"/>
          <w:szCs w:val="18"/>
          <w:i w:val="1"/>
          <w:iCs w:val="1"/>
          <w:color w:val="auto"/>
        </w:rPr>
        <w:t>general partner</w:t>
      </w:r>
    </w:p>
    <w:p>
      <w:pPr>
        <w:spacing w:after="0" w:line="227" w:lineRule="exact"/>
        <w:rPr>
          <w:sz w:val="20"/>
          <w:szCs w:val="20"/>
          <w:color w:val="auto"/>
        </w:rPr>
      </w:pPr>
    </w:p>
    <w:p>
      <w:pPr>
        <w:ind w:left="5120"/>
        <w:spacing w:after="0"/>
        <w:tabs>
          <w:tab w:leader="none" w:pos="5600" w:val="left"/>
          <w:tab w:leader="none" w:pos="608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00"/>
          </w:cols>
          <w:pgMar w:left="1440" w:top="270" w:right="459" w:bottom="1440" w:gutter="0" w:footer="0" w:header="0"/>
        </w:sectPr>
      </w:pP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000"/>
          </w:cols>
          <w:pgMar w:left="1440" w:top="270" w:right="459" w:bottom="1440" w:gutter="0" w:footer="0" w:header="0"/>
          <w:type w:val="continuous"/>
        </w:sectPr>
      </w:pPr>
    </w:p>
    <w:bookmarkStart w:id="46" w:name="page47"/>
    <w:bookmarkEnd w:id="46"/>
    <w:p>
      <w:pPr>
        <w:ind w:left="5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HOLDINGS, L.P.</w:t>
      </w:r>
    </w:p>
    <w:p>
      <w:pPr>
        <w:spacing w:after="0" w:line="223" w:lineRule="exact"/>
        <w:rPr>
          <w:sz w:val="20"/>
          <w:szCs w:val="20"/>
          <w:color w:val="auto"/>
        </w:rPr>
      </w:pPr>
    </w:p>
    <w:p>
      <w:pPr>
        <w:ind w:left="5060"/>
        <w:spacing w:after="0"/>
        <w:tabs>
          <w:tab w:leader="none" w:pos="5540" w:val="left"/>
        </w:tabs>
        <w:rPr>
          <w:sz w:val="20"/>
          <w:szCs w:val="20"/>
          <w:color w:val="auto"/>
        </w:rPr>
      </w:pPr>
      <w:r>
        <w:rPr>
          <w:rFonts w:ascii="Times New Roman" w:cs="Times New Roman" w:eastAsia="Times New Roman" w:hAnsi="Times New Roman"/>
          <w:sz w:val="18"/>
          <w:szCs w:val="18"/>
          <w:color w:val="auto"/>
        </w:rPr>
        <w:t>By:</w:t>
        <w:tab/>
        <w:t xml:space="preserve">TICP CLO GenPar II, LLC, as </w:t>
      </w:r>
      <w:r>
        <w:rPr>
          <w:rFonts w:ascii="Times New Roman" w:cs="Times New Roman" w:eastAsia="Times New Roman" w:hAnsi="Times New Roman"/>
          <w:sz w:val="18"/>
          <w:szCs w:val="18"/>
          <w:i w:val="1"/>
          <w:iCs w:val="1"/>
          <w:color w:val="auto"/>
        </w:rPr>
        <w:t>general partner</w:t>
      </w:r>
    </w:p>
    <w:p>
      <w:pPr>
        <w:spacing w:after="0" w:line="227" w:lineRule="exact"/>
        <w:rPr>
          <w:sz w:val="20"/>
          <w:szCs w:val="20"/>
          <w:color w:val="auto"/>
        </w:rPr>
      </w:pPr>
    </w:p>
    <w:p>
      <w:pPr>
        <w:ind w:left="5060"/>
        <w:spacing w:after="0"/>
        <w:tabs>
          <w:tab w:leader="none" w:pos="5540" w:val="left"/>
          <w:tab w:leader="none" w:pos="60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28289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TSSP INSTITUTIONAL CREDIT PARTNERS III, L.P.</w:t>
      </w:r>
    </w:p>
    <w:p>
      <w:pPr>
        <w:spacing w:after="0" w:line="223" w:lineRule="exact"/>
        <w:rPr>
          <w:sz w:val="20"/>
          <w:szCs w:val="20"/>
          <w:color w:val="auto"/>
        </w:rPr>
      </w:pPr>
    </w:p>
    <w:p>
      <w:pPr>
        <w:ind w:left="5060"/>
        <w:spacing w:after="0"/>
        <w:tabs>
          <w:tab w:leader="none" w:pos="5540" w:val="left"/>
        </w:tabs>
        <w:rPr>
          <w:sz w:val="20"/>
          <w:szCs w:val="20"/>
          <w:color w:val="auto"/>
        </w:rPr>
      </w:pPr>
      <w:r>
        <w:rPr>
          <w:rFonts w:ascii="Times New Roman" w:cs="Times New Roman" w:eastAsia="Times New Roman" w:hAnsi="Times New Roman"/>
          <w:sz w:val="18"/>
          <w:szCs w:val="18"/>
          <w:color w:val="auto"/>
        </w:rPr>
        <w:t>By:</w:t>
        <w:tab/>
        <w:t xml:space="preserve">TSSP Institutional Credit GenPar III, L.P., as </w:t>
      </w:r>
      <w:r>
        <w:rPr>
          <w:rFonts w:ascii="Times New Roman" w:cs="Times New Roman" w:eastAsia="Times New Roman" w:hAnsi="Times New Roman"/>
          <w:sz w:val="18"/>
          <w:szCs w:val="18"/>
          <w:i w:val="1"/>
          <w:iCs w:val="1"/>
          <w:color w:val="auto"/>
        </w:rPr>
        <w:t>general partner</w:t>
      </w:r>
    </w:p>
    <w:p>
      <w:pPr>
        <w:spacing w:after="0" w:line="225" w:lineRule="exact"/>
        <w:rPr>
          <w:sz w:val="20"/>
          <w:szCs w:val="20"/>
          <w:color w:val="auto"/>
        </w:rPr>
      </w:pPr>
    </w:p>
    <w:p>
      <w:pPr>
        <w:ind w:left="5060"/>
        <w:spacing w:after="0"/>
        <w:tabs>
          <w:tab w:leader="none" w:pos="5540" w:val="left"/>
        </w:tabs>
        <w:rPr>
          <w:sz w:val="20"/>
          <w:szCs w:val="20"/>
          <w:color w:val="auto"/>
        </w:rPr>
      </w:pPr>
      <w:r>
        <w:rPr>
          <w:rFonts w:ascii="Times New Roman" w:cs="Times New Roman" w:eastAsia="Times New Roman" w:hAnsi="Times New Roman"/>
          <w:sz w:val="18"/>
          <w:szCs w:val="18"/>
          <w:color w:val="auto"/>
        </w:rPr>
        <w:t>By:</w:t>
        <w:tab/>
        <w:t xml:space="preserve">TICP SPV GP, LLC, as </w:t>
      </w:r>
      <w:r>
        <w:rPr>
          <w:rFonts w:ascii="Times New Roman" w:cs="Times New Roman" w:eastAsia="Times New Roman" w:hAnsi="Times New Roman"/>
          <w:sz w:val="18"/>
          <w:szCs w:val="18"/>
          <w:i w:val="1"/>
          <w:iCs w:val="1"/>
          <w:color w:val="auto"/>
        </w:rPr>
        <w:t>general partner</w:t>
      </w:r>
    </w:p>
    <w:p>
      <w:pPr>
        <w:spacing w:after="0" w:line="227" w:lineRule="exact"/>
        <w:rPr>
          <w:sz w:val="20"/>
          <w:szCs w:val="20"/>
          <w:color w:val="auto"/>
        </w:rPr>
      </w:pPr>
    </w:p>
    <w:p>
      <w:pPr>
        <w:ind w:left="5060"/>
        <w:spacing w:after="0"/>
        <w:tabs>
          <w:tab w:leader="none" w:pos="5540" w:val="left"/>
          <w:tab w:leader="none" w:pos="60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2828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color w:val="auto"/>
        </w:rPr>
        <w:t>SIXTH STREET CREDIT MARKET STRATEGIES PARTNERS I,</w:t>
      </w:r>
    </w:p>
    <w:p>
      <w:pPr>
        <w:spacing w:after="0" w:line="3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L.P.</w:t>
      </w:r>
    </w:p>
    <w:p>
      <w:pPr>
        <w:spacing w:after="0" w:line="205" w:lineRule="exact"/>
        <w:rPr>
          <w:sz w:val="20"/>
          <w:szCs w:val="20"/>
          <w:color w:val="auto"/>
        </w:rPr>
      </w:pPr>
    </w:p>
    <w:p>
      <w:pPr>
        <w:ind w:left="5060"/>
        <w:spacing w:after="0"/>
        <w:tabs>
          <w:tab w:leader="none" w:pos="5540" w:val="left"/>
        </w:tabs>
        <w:rPr>
          <w:sz w:val="20"/>
          <w:szCs w:val="20"/>
          <w:color w:val="auto"/>
        </w:rPr>
      </w:pPr>
      <w:r>
        <w:rPr>
          <w:rFonts w:ascii="Times New Roman" w:cs="Times New Roman" w:eastAsia="Times New Roman" w:hAnsi="Times New Roman"/>
          <w:sz w:val="17"/>
          <w:szCs w:val="17"/>
          <w:color w:val="auto"/>
        </w:rPr>
        <w:t>By:</w:t>
        <w:tab/>
        <w:t xml:space="preserve">Sixth Street Credit Market Strategies GenPar, L.P., </w:t>
      </w:r>
      <w:r>
        <w:rPr>
          <w:rFonts w:ascii="Times New Roman" w:cs="Times New Roman" w:eastAsia="Times New Roman" w:hAnsi="Times New Roman"/>
          <w:sz w:val="17"/>
          <w:szCs w:val="17"/>
          <w:i w:val="1"/>
          <w:iCs w:val="1"/>
          <w:color w:val="auto"/>
        </w:rPr>
        <w:t>as general</w:t>
      </w:r>
    </w:p>
    <w:p>
      <w:pPr>
        <w:spacing w:after="0" w:line="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060"/>
        <w:spacing w:after="0"/>
        <w:tabs>
          <w:tab w:leader="none" w:pos="5540" w:val="left"/>
          <w:tab w:leader="none" w:pos="60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28289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SIXTH STREET CREDIT MARKET STRATEGIES PARTNERS</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I-A, L.P.</w:t>
      </w:r>
    </w:p>
    <w:p>
      <w:pPr>
        <w:spacing w:after="0" w:line="205" w:lineRule="exact"/>
        <w:rPr>
          <w:sz w:val="20"/>
          <w:szCs w:val="20"/>
          <w:color w:val="auto"/>
        </w:rPr>
      </w:pPr>
    </w:p>
    <w:p>
      <w:pPr>
        <w:ind w:left="5060"/>
        <w:spacing w:after="0"/>
        <w:tabs>
          <w:tab w:leader="none" w:pos="5540" w:val="left"/>
        </w:tabs>
        <w:rPr>
          <w:sz w:val="20"/>
          <w:szCs w:val="20"/>
          <w:color w:val="auto"/>
        </w:rPr>
      </w:pPr>
      <w:r>
        <w:rPr>
          <w:rFonts w:ascii="Times New Roman" w:cs="Times New Roman" w:eastAsia="Times New Roman" w:hAnsi="Times New Roman"/>
          <w:sz w:val="17"/>
          <w:szCs w:val="17"/>
          <w:color w:val="auto"/>
        </w:rPr>
        <w:t>By:</w:t>
        <w:tab/>
        <w:t xml:space="preserve">Sixth Street Credit Market Strategies GenPar, L.P., as </w:t>
      </w:r>
      <w:r>
        <w:rPr>
          <w:rFonts w:ascii="Times New Roman" w:cs="Times New Roman" w:eastAsia="Times New Roman" w:hAnsi="Times New Roman"/>
          <w:sz w:val="17"/>
          <w:szCs w:val="17"/>
          <w:i w:val="1"/>
          <w:iCs w:val="1"/>
          <w:color w:val="auto"/>
        </w:rPr>
        <w:t>general</w:t>
      </w:r>
    </w:p>
    <w:p>
      <w:pPr>
        <w:spacing w:after="0" w:line="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207" w:lineRule="exact"/>
        <w:rPr>
          <w:sz w:val="20"/>
          <w:szCs w:val="20"/>
          <w:color w:val="auto"/>
        </w:rPr>
      </w:pPr>
    </w:p>
    <w:p>
      <w:pPr>
        <w:ind w:left="5060"/>
        <w:spacing w:after="0"/>
        <w:tabs>
          <w:tab w:leader="none" w:pos="5540" w:val="left"/>
          <w:tab w:leader="none" w:pos="60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2828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TICP III CAYMAN, LTD.</w:t>
      </w:r>
    </w:p>
    <w:p>
      <w:pPr>
        <w:spacing w:after="0" w:line="225" w:lineRule="exact"/>
        <w:rPr>
          <w:sz w:val="20"/>
          <w:szCs w:val="20"/>
          <w:color w:val="auto"/>
        </w:rPr>
      </w:pPr>
    </w:p>
    <w:p>
      <w:pPr>
        <w:ind w:left="5060"/>
        <w:spacing w:after="0"/>
        <w:tabs>
          <w:tab w:leader="none" w:pos="5540" w:val="left"/>
          <w:tab w:leader="none" w:pos="60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17145</wp:posOffset>
            </wp:positionV>
            <wp:extent cx="28289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SIXTH STREET MID-STAGE GROWTH PARTNERS (A), L.P.</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SIXTH STREET MID-STAGE GROWTH PARTNERS (B), L.P</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SIXTH STREET MID-STAGE GROWTH (A) AIV, L.P.</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SIXTH STREET MID-STAGE GROWTH (B) AIV, L.P</w:t>
      </w:r>
    </w:p>
    <w:p>
      <w:pPr>
        <w:spacing w:after="0" w:line="205" w:lineRule="exact"/>
        <w:rPr>
          <w:sz w:val="20"/>
          <w:szCs w:val="20"/>
          <w:color w:val="auto"/>
        </w:rPr>
      </w:pPr>
    </w:p>
    <w:p>
      <w:pPr>
        <w:ind w:left="5060"/>
        <w:spacing w:after="0"/>
        <w:tabs>
          <w:tab w:leader="none" w:pos="5540" w:val="left"/>
        </w:tabs>
        <w:rPr>
          <w:sz w:val="20"/>
          <w:szCs w:val="20"/>
          <w:color w:val="auto"/>
        </w:rPr>
      </w:pPr>
      <w:r>
        <w:rPr>
          <w:rFonts w:ascii="Times New Roman" w:cs="Times New Roman" w:eastAsia="Times New Roman" w:hAnsi="Times New Roman"/>
          <w:sz w:val="18"/>
          <w:szCs w:val="18"/>
          <w:color w:val="auto"/>
        </w:rPr>
        <w:t>By:</w:t>
        <w:tab/>
        <w:t xml:space="preserve">Sixth Street Mid-Stage Growth GenPar, L.P., as </w:t>
      </w:r>
      <w:r>
        <w:rPr>
          <w:rFonts w:ascii="Times New Roman" w:cs="Times New Roman" w:eastAsia="Times New Roman" w:hAnsi="Times New Roman"/>
          <w:sz w:val="18"/>
          <w:szCs w:val="18"/>
          <w:i w:val="1"/>
          <w:iCs w:val="1"/>
          <w:color w:val="auto"/>
        </w:rPr>
        <w:t>general</w:t>
      </w:r>
    </w:p>
    <w:p>
      <w:pPr>
        <w:spacing w:after="0" w:line="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partner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020"/>
          </w:cols>
          <w:pgMar w:left="1440" w:top="270" w:right="439" w:bottom="1440" w:gutter="0" w:footer="0" w:header="0"/>
        </w:sectPr>
      </w:pPr>
    </w:p>
    <w:bookmarkStart w:id="47" w:name="page48"/>
    <w:bookmarkEnd w:id="47"/>
    <w:tbl>
      <w:tblPr>
        <w:tblLayout w:type="fixed"/>
        <w:tblInd w:w="5120" w:type="dxa"/>
        <w:tblCellMar>
          <w:top w:w="0" w:type="dxa"/>
          <w:left w:w="0" w:type="dxa"/>
          <w:bottom w:w="0" w:type="dxa"/>
          <w:right w:w="0" w:type="dxa"/>
        </w:tblCellMar>
      </w:tblPr>
      <w:tr>
        <w:trPr>
          <w:trHeight w:val="2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Sixth Street Mid-Stage Growth GenPar, Advisers, LLC, as</w:t>
            </w:r>
          </w:p>
        </w:tc>
      </w:tr>
      <w:tr>
        <w:trPr>
          <w:trHeight w:val="23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8"/>
              </w:rPr>
              <w:t>general partner</w:t>
            </w:r>
          </w:p>
        </w:tc>
        <w:tc>
          <w:tcPr>
            <w:tcW w:w="376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and Secretary</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MSGP LENDING,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Steven S. Pluss</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Steven S. Pluss</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 and Treasurer</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OPPORTUNITIES III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OPPORTUNITIES IV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OPPORTUNITIES V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Joshua Peck</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TAO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GROWTH I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432"/>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SIXTH STREET GROWTH II MANAGEMENT, LLC</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Joshua Peck</w:t>
            </w:r>
          </w:p>
        </w:tc>
      </w:tr>
      <w:tr>
        <w:trPr>
          <w:trHeight w:val="205"/>
        </w:trPr>
        <w:tc>
          <w:tcPr>
            <w:tcW w:w="660" w:type="dxa"/>
            <w:vAlign w:val="bottom"/>
          </w:tcPr>
          <w:p>
            <w:pPr>
              <w:spacing w:after="0"/>
              <w:rPr>
                <w:sz w:val="17"/>
                <w:szCs w:val="17"/>
                <w:color w:val="auto"/>
              </w:rPr>
            </w:pPr>
          </w:p>
        </w:tc>
        <w:tc>
          <w:tcPr>
            <w:tcW w:w="42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Joshua Peck</w:t>
            </w:r>
          </w:p>
        </w:tc>
      </w:tr>
      <w:tr>
        <w:trPr>
          <w:trHeight w:val="234"/>
        </w:trPr>
        <w:tc>
          <w:tcPr>
            <w:tcW w:w="66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020"/>
          </w:cols>
          <w:pgMar w:left="1440" w:top="270" w:right="439" w:bottom="1440" w:gutter="0" w:footer="0" w:header="0"/>
        </w:sectPr>
      </w:pPr>
    </w:p>
    <w:bookmarkStart w:id="48" w:name="page49"/>
    <w:bookmarkEnd w:id="48"/>
    <w:p>
      <w:pPr>
        <w:ind w:left="5620"/>
        <w:spacing w:after="0"/>
        <w:tabs>
          <w:tab w:leader="none" w:pos="6300" w:val="left"/>
          <w:tab w:leader="none" w:pos="7140" w:val="left"/>
          <w:tab w:leader="none" w:pos="8680" w:val="left"/>
          <w:tab w:leader="none" w:pos="9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w:t>
        <w:tab/>
        <w:t>STREET</w:t>
        <w:tab/>
        <w:t>FUNDAMENTAL</w:t>
        <w:tab/>
        <w:t>STRATEGIES</w:t>
        <w:tab/>
        <w: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9940" w:val="left"/>
        </w:tabs>
        <w:rPr>
          <w:sz w:val="20"/>
          <w:szCs w:val="20"/>
          <w:color w:val="auto"/>
        </w:rPr>
      </w:pPr>
      <w:r>
        <w:rPr>
          <w:rFonts w:ascii="Times New Roman" w:cs="Times New Roman" w:eastAsia="Times New Roman" w:hAnsi="Times New Roman"/>
          <w:sz w:val="18"/>
          <w:szCs w:val="18"/>
          <w:color w:val="auto"/>
        </w:rPr>
        <w:t>SIXTH  STREET  SPECIALTY  LENDING  EUROPE</w:t>
        <w:tab/>
        <w: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EUROPE  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AGRICULTURE MANAGEMENT, LLC</w:t>
      </w:r>
    </w:p>
    <w:p>
      <w:pPr>
        <w:spacing w:after="0" w:line="225"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560" w:val="left"/>
          <w:tab w:leader="none" w:pos="7660" w:val="left"/>
          <w:tab w:leader="none" w:pos="906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STRATEGIC</w:t>
      </w:r>
      <w:r>
        <w:rPr>
          <w:sz w:val="20"/>
          <w:szCs w:val="20"/>
          <w:color w:val="auto"/>
        </w:rPr>
        <w:tab/>
      </w:r>
      <w:r>
        <w:rPr>
          <w:rFonts w:ascii="Times New Roman" w:cs="Times New Roman" w:eastAsia="Times New Roman" w:hAnsi="Times New Roman"/>
          <w:sz w:val="18"/>
          <w:szCs w:val="18"/>
          <w:color w:val="auto"/>
        </w:rPr>
        <w:t>HOLDINGS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440" w:val="left"/>
          <w:tab w:leader="none" w:pos="7440" w:val="left"/>
          <w:tab w:leader="none" w:pos="8140" w:val="left"/>
          <w:tab w:leader="none" w:pos="934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CMS</w:t>
      </w:r>
      <w:r>
        <w:rPr>
          <w:sz w:val="20"/>
          <w:szCs w:val="20"/>
          <w:color w:val="auto"/>
        </w:rPr>
        <w:tab/>
      </w:r>
      <w:r>
        <w:rPr>
          <w:rFonts w:ascii="Times New Roman" w:cs="Times New Roman" w:eastAsia="Times New Roman" w:hAnsi="Times New Roman"/>
          <w:sz w:val="18"/>
          <w:szCs w:val="18"/>
          <w:color w:val="auto"/>
        </w:rPr>
        <w:t>DYNAMIC</w:t>
      </w:r>
      <w:r>
        <w:rPr>
          <w:sz w:val="20"/>
          <w:szCs w:val="20"/>
          <w:color w:val="auto"/>
        </w:rPr>
        <w:tab/>
      </w:r>
      <w:r>
        <w:rPr>
          <w:rFonts w:ascii="Times New Roman" w:cs="Times New Roman" w:eastAsia="Times New Roman" w:hAnsi="Times New Roman"/>
          <w:sz w:val="17"/>
          <w:szCs w:val="17"/>
          <w:color w:val="auto"/>
        </w:rPr>
        <w:t>CREDIT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 2016-1 MANAGEMENT, LLC</w:t>
      </w:r>
    </w:p>
    <w:p>
      <w:pPr>
        <w:spacing w:after="0" w:line="225"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VI 2016-2 MANAGEMENT, LLC</w:t>
      </w:r>
    </w:p>
    <w:p>
      <w:pPr>
        <w:spacing w:after="0" w:line="225" w:lineRule="exact"/>
        <w:rPr>
          <w:sz w:val="20"/>
          <w:szCs w:val="20"/>
          <w:color w:val="auto"/>
        </w:rPr>
      </w:pPr>
    </w:p>
    <w:p>
      <w:pPr>
        <w:ind w:left="5620"/>
        <w:spacing w:after="0"/>
        <w:tabs>
          <w:tab w:leader="none" w:pos="6340" w:val="left"/>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020"/>
          </w:cols>
          <w:pgMar w:left="1440" w:top="270" w:right="439" w:bottom="1440" w:gutter="0" w:footer="0" w:header="0"/>
        </w:sectPr>
      </w:pPr>
    </w:p>
    <w:bookmarkStart w:id="49" w:name="page50"/>
    <w:bookmarkEnd w:id="4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VII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VIII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IX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XIII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XIV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TICP CLO XV MANAGEMENT, LLC</w:t>
      </w:r>
    </w:p>
    <w:p>
      <w:pPr>
        <w:spacing w:after="0" w:line="225"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SIXTH STREET CLO XVI MANAGEMENT, LLC</w:t>
      </w:r>
    </w:p>
    <w:p>
      <w:pPr>
        <w:spacing w:after="0" w:line="237" w:lineRule="exact"/>
        <w:rPr>
          <w:sz w:val="20"/>
          <w:szCs w:val="20"/>
          <w:color w:val="auto"/>
        </w:rPr>
      </w:pPr>
    </w:p>
    <w:p>
      <w:pPr>
        <w:ind w:left="5620"/>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380"/>
          </w:cols>
          <w:pgMar w:left="1440" w:top="270" w:right="1079" w:bottom="1440" w:gutter="0" w:footer="0" w:header="0"/>
        </w:sectPr>
      </w:pPr>
    </w:p>
    <w:p>
      <w:pPr>
        <w:spacing w:after="0" w:line="1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380"/>
          </w:cols>
          <w:pgMar w:left="1440" w:top="270" w:right="1079" w:bottom="1440" w:gutter="0" w:footer="0" w:header="0"/>
          <w:type w:val="continuous"/>
        </w:sectPr>
      </w:pPr>
    </w:p>
    <w:bookmarkStart w:id="50" w:name="page51"/>
    <w:bookmarkEnd w:id="5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CLO XVII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XVIII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XIX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XX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07" w:lineRule="exact"/>
        <w:rPr>
          <w:sz w:val="20"/>
          <w:szCs w:val="20"/>
          <w:color w:val="auto"/>
        </w:rPr>
      </w:pPr>
    </w:p>
    <w:p>
      <w:pPr>
        <w:ind w:left="5620"/>
        <w:spacing w:after="0"/>
        <w:tabs>
          <w:tab w:leader="none" w:pos="6420" w:val="left"/>
          <w:tab w:leader="none" w:pos="7380" w:val="left"/>
          <w:tab w:leader="none" w:pos="8040" w:val="left"/>
          <w:tab w:leader="none" w:pos="9000" w:val="left"/>
          <w:tab w:leader="none" w:pos="980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CLO</w:t>
      </w:r>
      <w:r>
        <w:rPr>
          <w:sz w:val="20"/>
          <w:szCs w:val="20"/>
          <w:color w:val="auto"/>
        </w:rPr>
        <w:tab/>
      </w:r>
      <w:r>
        <w:rPr>
          <w:rFonts w:ascii="Times New Roman" w:cs="Times New Roman" w:eastAsia="Times New Roman" w:hAnsi="Times New Roman"/>
          <w:sz w:val="18"/>
          <w:szCs w:val="18"/>
          <w:color w:val="auto"/>
        </w:rPr>
        <w:t>EQUITY</w:t>
      </w:r>
      <w:r>
        <w:rPr>
          <w:sz w:val="20"/>
          <w:szCs w:val="20"/>
          <w:color w:val="auto"/>
        </w:rPr>
        <w:tab/>
      </w:r>
      <w:r>
        <w:rPr>
          <w:rFonts w:ascii="Times New Roman" w:cs="Times New Roman" w:eastAsia="Times New Roman" w:hAnsi="Times New Roman"/>
          <w:sz w:val="18"/>
          <w:szCs w:val="18"/>
          <w:color w:val="auto"/>
        </w:rPr>
        <w:t>FUND</w:t>
      </w:r>
      <w:r>
        <w:rPr>
          <w:sz w:val="20"/>
          <w:szCs w:val="20"/>
          <w:color w:val="auto"/>
        </w:rPr>
        <w:tab/>
      </w:r>
      <w:r>
        <w:rPr>
          <w:rFonts w:ascii="Times New Roman" w:cs="Times New Roman" w:eastAsia="Times New Roman" w:hAnsi="Times New Roman"/>
          <w:sz w:val="17"/>
          <w:szCs w:val="17"/>
          <w:color w:val="auto"/>
        </w:rPr>
        <w:t>IV</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TSSP ROTATIONAL CREDIT MANAGEMENT,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440" w:val="left"/>
          <w:tab w:leader="none" w:pos="7440" w:val="left"/>
          <w:tab w:leader="none" w:pos="8900" w:val="left"/>
          <w:tab w:leader="none" w:pos="986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ROTATIONAL</w:t>
      </w:r>
      <w:r>
        <w:rPr>
          <w:sz w:val="20"/>
          <w:szCs w:val="20"/>
          <w:color w:val="auto"/>
        </w:rPr>
        <w:tab/>
      </w:r>
      <w:r>
        <w:rPr>
          <w:rFonts w:ascii="Times New Roman" w:cs="Times New Roman" w:eastAsia="Times New Roman" w:hAnsi="Times New Roman"/>
          <w:sz w:val="18"/>
          <w:szCs w:val="18"/>
          <w:color w:val="auto"/>
        </w:rPr>
        <w:t>CREDIT</w:t>
      </w:r>
      <w:r>
        <w:rPr>
          <w:sz w:val="20"/>
          <w:szCs w:val="20"/>
          <w:color w:val="auto"/>
        </w:rPr>
        <w:tab/>
      </w:r>
      <w:r>
        <w:rPr>
          <w:rFonts w:ascii="Times New Roman" w:cs="Times New Roman" w:eastAsia="Times New Roman" w:hAnsi="Times New Roman"/>
          <w:sz w:val="18"/>
          <w:szCs w:val="18"/>
          <w:color w:val="auto"/>
        </w:rPr>
        <w:t>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440" w:val="left"/>
          <w:tab w:leader="none" w:pos="7400" w:val="left"/>
          <w:tab w:leader="none" w:pos="8840" w:val="left"/>
          <w:tab w:leader="none" w:pos="980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ROTATIONAL</w:t>
      </w:r>
      <w:r>
        <w:rPr>
          <w:sz w:val="20"/>
          <w:szCs w:val="20"/>
          <w:color w:val="auto"/>
        </w:rPr>
        <w:tab/>
      </w:r>
      <w:r>
        <w:rPr>
          <w:rFonts w:ascii="Times New Roman" w:cs="Times New Roman" w:eastAsia="Times New Roman" w:hAnsi="Times New Roman"/>
          <w:sz w:val="18"/>
          <w:szCs w:val="18"/>
          <w:color w:val="auto"/>
        </w:rPr>
        <w:t>CREDIT</w:t>
      </w:r>
      <w:r>
        <w:rPr>
          <w:sz w:val="20"/>
          <w:szCs w:val="20"/>
          <w:color w:val="auto"/>
        </w:rPr>
        <w:tab/>
      </w:r>
      <w:r>
        <w:rPr>
          <w:rFonts w:ascii="Times New Roman" w:cs="Times New Roman" w:eastAsia="Times New Roman" w:hAnsi="Times New Roman"/>
          <w:sz w:val="18"/>
          <w:szCs w:val="18"/>
          <w:color w:val="auto"/>
        </w:rPr>
        <w:t>III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20"/>
          </w:cols>
          <w:pgMar w:left="1440" w:top="270" w:right="439" w:bottom="1440" w:gutter="0" w:footer="0" w:header="0"/>
        </w:sectPr>
      </w:pPr>
    </w:p>
    <w:p>
      <w:pPr>
        <w:spacing w:after="0" w:line="207" w:lineRule="exact"/>
        <w:rPr>
          <w:sz w:val="20"/>
          <w:szCs w:val="20"/>
          <w:color w:val="auto"/>
        </w:rPr>
      </w:pPr>
    </w:p>
    <w:p>
      <w:pPr>
        <w:ind w:left="5620"/>
        <w:spacing w:after="0"/>
        <w:tabs>
          <w:tab w:leader="none" w:pos="6260" w:val="left"/>
        </w:tabs>
        <w:rPr>
          <w:sz w:val="20"/>
          <w:szCs w:val="20"/>
          <w:color w:val="auto"/>
        </w:rPr>
      </w:pPr>
      <w:r>
        <w:rPr>
          <w:rFonts w:ascii="Times New Roman" w:cs="Times New Roman" w:eastAsia="Times New Roman" w:hAnsi="Times New Roman"/>
          <w:sz w:val="17"/>
          <w:szCs w:val="17"/>
          <w:color w:val="auto"/>
        </w:rPr>
        <w:t>TSSP</w:t>
        <w:tab/>
        <w:t>STRUCTURED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OPPORTUNITIES</w:t>
      </w:r>
    </w:p>
    <w:p>
      <w:pPr>
        <w:spacing w:after="0" w:line="211" w:lineRule="exact"/>
        <w:rPr>
          <w:sz w:val="20"/>
          <w:szCs w:val="20"/>
          <w:color w:val="auto"/>
        </w:rPr>
      </w:pPr>
    </w:p>
    <w:p>
      <w:pPr>
        <w:sectPr>
          <w:pgSz w:w="11900" w:h="16838" w:orient="portrait"/>
          <w:cols w:equalWidth="0" w:num="3">
            <w:col w:w="7460" w:space="260"/>
            <w:col w:w="660" w:space="260"/>
            <w:col w:w="1380"/>
          </w:cols>
          <w:pgMar w:left="1440" w:top="270" w:right="439" w:bottom="1440" w:gutter="0" w:footer="0" w:header="0"/>
          <w:type w:val="continuous"/>
        </w:sectPr>
      </w:pPr>
    </w:p>
    <w:p>
      <w:pPr>
        <w:spacing w:after="0" w:line="25" w:lineRule="exact"/>
        <w:rPr>
          <w:sz w:val="20"/>
          <w:szCs w:val="20"/>
          <w:color w:val="auto"/>
        </w:rPr>
      </w:pPr>
    </w:p>
    <w:p>
      <w:pPr>
        <w:ind w:left="5980"/>
        <w:spacing w:after="0"/>
        <w:tabs>
          <w:tab w:leader="none" w:pos="644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25628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type w:val="continuous"/>
        </w:sectPr>
      </w:pPr>
    </w:p>
    <w:p>
      <w:pPr>
        <w:spacing w:after="0" w:line="4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15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020"/>
          </w:cols>
          <w:pgMar w:left="1440" w:top="270" w:right="439" w:bottom="1440" w:gutter="0" w:footer="0" w:header="0"/>
          <w:type w:val="continuous"/>
        </w:sectPr>
      </w:pPr>
    </w:p>
    <w:bookmarkStart w:id="51" w:name="page52"/>
    <w:bookmarkEnd w:id="51"/>
    <w:p>
      <w:pPr>
        <w:ind w:left="5620"/>
        <w:spacing w:after="0"/>
        <w:tabs>
          <w:tab w:leader="none" w:pos="6580" w:val="left"/>
          <w:tab w:leader="none" w:pos="7700" w:val="left"/>
          <w:tab w:leader="none" w:pos="93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STRUCTURED</w:t>
      </w:r>
      <w:r>
        <w:rPr>
          <w:sz w:val="20"/>
          <w:szCs w:val="20"/>
          <w:color w:val="auto"/>
        </w:rPr>
        <w:tab/>
      </w:r>
      <w:r>
        <w:rPr>
          <w:rFonts w:ascii="Times New Roman" w:cs="Times New Roman" w:eastAsia="Times New Roman" w:hAnsi="Times New Roman"/>
          <w:sz w:val="17"/>
          <w:szCs w:val="17"/>
          <w:color w:val="auto"/>
        </w:rPr>
        <w:t>CREDIT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OPPORTUNITIES II 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580" w:val="left"/>
          <w:tab w:leader="none" w:pos="7700" w:val="left"/>
          <w:tab w:leader="none" w:pos="934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STRUCTURED</w:t>
      </w:r>
      <w:r>
        <w:rPr>
          <w:sz w:val="20"/>
          <w:szCs w:val="20"/>
          <w:color w:val="auto"/>
        </w:rPr>
        <w:tab/>
      </w:r>
      <w:r>
        <w:rPr>
          <w:rFonts w:ascii="Times New Roman" w:cs="Times New Roman" w:eastAsia="Times New Roman" w:hAnsi="Times New Roman"/>
          <w:sz w:val="17"/>
          <w:szCs w:val="17"/>
          <w:color w:val="auto"/>
        </w:rPr>
        <w:t>CREDIT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OPPORTUNITIES III 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580" w:val="left"/>
          <w:tab w:leader="none" w:pos="7700" w:val="left"/>
          <w:tab w:leader="none" w:pos="934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STRUCTURED</w:t>
      </w:r>
      <w:r>
        <w:rPr>
          <w:sz w:val="20"/>
          <w:szCs w:val="20"/>
          <w:color w:val="auto"/>
        </w:rPr>
        <w:tab/>
      </w:r>
      <w:r>
        <w:rPr>
          <w:rFonts w:ascii="Times New Roman" w:cs="Times New Roman" w:eastAsia="Times New Roman" w:hAnsi="Times New Roman"/>
          <w:sz w:val="17"/>
          <w:szCs w:val="17"/>
          <w:color w:val="auto"/>
        </w:rPr>
        <w:t>CREDIT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OPPORTUNITIES IV 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580" w:val="left"/>
          <w:tab w:leader="none" w:pos="7700" w:val="left"/>
          <w:tab w:leader="none" w:pos="934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STRUCTURED</w:t>
      </w:r>
      <w:r>
        <w:rPr>
          <w:sz w:val="20"/>
          <w:szCs w:val="20"/>
          <w:color w:val="auto"/>
        </w:rPr>
        <w:tab/>
      </w:r>
      <w:r>
        <w:rPr>
          <w:rFonts w:ascii="Times New Roman" w:cs="Times New Roman" w:eastAsia="Times New Roman" w:hAnsi="Times New Roman"/>
          <w:sz w:val="17"/>
          <w:szCs w:val="17"/>
          <w:color w:val="auto"/>
        </w:rPr>
        <w:t>CREDIT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OPPORTUNITIES V 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CLO ADVISERS II, LLC</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TSSP INSTITUTIONAL CREDIT III MANAGEMENT,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300" w:val="left"/>
          <w:tab w:leader="none" w:pos="7140" w:val="left"/>
          <w:tab w:leader="none" w:pos="7980" w:val="left"/>
          <w:tab w:leader="none" w:pos="8920" w:val="left"/>
        </w:tabs>
        <w:rPr>
          <w:sz w:val="20"/>
          <w:szCs w:val="20"/>
          <w:color w:val="auto"/>
        </w:rPr>
      </w:pPr>
      <w:r>
        <w:rPr>
          <w:rFonts w:ascii="Times New Roman" w:cs="Times New Roman" w:eastAsia="Times New Roman" w:hAnsi="Times New Roman"/>
          <w:sz w:val="18"/>
          <w:szCs w:val="18"/>
          <w:color w:val="auto"/>
        </w:rPr>
        <w:t>SIXTH</w:t>
        <w:tab/>
        <w:t>STREET</w:t>
        <w:tab/>
        <w:t>CREDIT</w:t>
        <w:tab/>
        <w:t>MARKET</w:t>
      </w:r>
      <w:r>
        <w:rPr>
          <w:sz w:val="20"/>
          <w:szCs w:val="20"/>
          <w:color w:val="auto"/>
        </w:rPr>
        <w:tab/>
      </w:r>
      <w:r>
        <w:rPr>
          <w:rFonts w:ascii="Times New Roman" w:cs="Times New Roman" w:eastAsia="Times New Roman" w:hAnsi="Times New Roman"/>
          <w:sz w:val="17"/>
          <w:szCs w:val="17"/>
          <w:color w:val="auto"/>
        </w:rPr>
        <w:t>STRATEGIES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tabs>
          <w:tab w:leader="none" w:pos="6460" w:val="left"/>
          <w:tab w:leader="none" w:pos="7460" w:val="left"/>
          <w:tab w:leader="none" w:pos="8780" w:val="left"/>
          <w:tab w:leader="none" w:pos="9920" w:val="left"/>
        </w:tabs>
        <w:rPr>
          <w:sz w:val="20"/>
          <w:szCs w:val="20"/>
          <w:color w:val="auto"/>
        </w:rPr>
      </w:pPr>
      <w:r>
        <w:rPr>
          <w:rFonts w:ascii="Times New Roman" w:cs="Times New Roman" w:eastAsia="Times New Roman" w:hAnsi="Times New Roman"/>
          <w:sz w:val="18"/>
          <w:szCs w:val="18"/>
          <w:color w:val="auto"/>
        </w:rPr>
        <w:t>SIXTH</w:t>
      </w:r>
      <w:r>
        <w:rPr>
          <w:sz w:val="20"/>
          <w:szCs w:val="20"/>
          <w:color w:val="auto"/>
        </w:rPr>
        <w:tab/>
      </w:r>
      <w:r>
        <w:rPr>
          <w:rFonts w:ascii="Times New Roman" w:cs="Times New Roman" w:eastAsia="Times New Roman" w:hAnsi="Times New Roman"/>
          <w:sz w:val="18"/>
          <w:szCs w:val="18"/>
          <w:color w:val="auto"/>
        </w:rPr>
        <w:t>STREET</w:t>
      </w:r>
      <w:r>
        <w:rPr>
          <w:sz w:val="20"/>
          <w:szCs w:val="20"/>
          <w:color w:val="auto"/>
        </w:rPr>
        <w:tab/>
      </w:r>
      <w:r>
        <w:rPr>
          <w:rFonts w:ascii="Times New Roman" w:cs="Times New Roman" w:eastAsia="Times New Roman" w:hAnsi="Times New Roman"/>
          <w:sz w:val="18"/>
          <w:szCs w:val="18"/>
          <w:color w:val="auto"/>
        </w:rPr>
        <w:t>MID-STAGE</w:t>
      </w:r>
      <w:r>
        <w:rPr>
          <w:sz w:val="20"/>
          <w:szCs w:val="20"/>
          <w:color w:val="auto"/>
        </w:rPr>
        <w:tab/>
      </w:r>
      <w:r>
        <w:rPr>
          <w:rFonts w:ascii="Times New Roman" w:cs="Times New Roman" w:eastAsia="Times New Roman" w:hAnsi="Times New Roman"/>
          <w:sz w:val="18"/>
          <w:szCs w:val="18"/>
          <w:color w:val="auto"/>
        </w:rPr>
        <w:t>GROWTH</w:t>
      </w:r>
      <w:r>
        <w:rPr>
          <w:sz w:val="20"/>
          <w:szCs w:val="20"/>
          <w:color w:val="auto"/>
        </w:rPr>
        <w:tab/>
      </w: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000"/>
          </w:cols>
          <w:pgMar w:left="1440" w:top="270" w:right="459" w:bottom="1440" w:gutter="0" w:footer="0" w:header="0"/>
        </w:sectPr>
      </w:pPr>
    </w:p>
    <w:bookmarkStart w:id="52" w:name="page53"/>
    <w:bookmarkEnd w:id="5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 ADVISERS, LLC</w:t>
      </w:r>
    </w:p>
    <w:p>
      <w:pPr>
        <w:spacing w:after="0" w:line="237"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980"/>
          </w:cols>
          <w:pgMar w:left="1440" w:top="270"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VERIFICATION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states that he has duly executed the attached application, dated as of June 29, 2022,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203"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Date:</w:t>
        <w:tab/>
        <w:t>June 29, 2022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66" w:right="4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 Sixth Street Specialty Lending, Inc.</w:t>
      </w:r>
    </w:p>
    <w:p>
      <w:pPr>
        <w:spacing w:after="0" w:line="22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has reviewed the Company’s Co-Investment Exemptive Application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“Exemptive Application”</w:t>
      </w:r>
      <w:r>
        <w:rPr>
          <w:rFonts w:ascii="Times New Roman" w:cs="Times New Roman" w:eastAsia="Times New Roman" w:hAnsi="Times New Roman"/>
          <w:sz w:val="18"/>
          <w:szCs w:val="18"/>
          <w:color w:val="auto"/>
        </w:rPr>
        <w:t>), a copy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for an order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pursuant to Sections 17(d) and 57(i) of the Investment Company Act of 1940,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Rule 17d-1 under the Act to permit certain joint transactions otherwise prohibited by Sections 17(d) and 57(a)(4) of the Act and Rule 17d-l under the Act;</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Authorized Officers, shall be, and each of them individually hereby is,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empowered and directed, in the name and on behalf of the Company, to cause to be executed, delivered and filed with the SEC the Exemptive Application,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w:t>
      </w:r>
    </w:p>
    <w:p>
      <w:pPr>
        <w:spacing w:after="0" w:line="17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shall be, and each of them individually hereby is, authorized, empowered and directed,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name and on behalf of the Company, to cause to be made, executed, delivered and filed with the SEC any amendments to the Exemptive Application and any additional applications for exemptive relief as are determined necessary, advisable or appropriate by any of the Authorized Officers in order to effectuate the foregoing resolutions, such determination to be conclusively evidenced by the taking of any such action; </w:t>
      </w:r>
      <w:r>
        <w:rPr>
          <w:rFonts w:ascii="Times New Roman" w:cs="Times New Roman" w:eastAsia="Times New Roman" w:hAnsi="Times New Roman"/>
          <w:sz w:val="18"/>
          <w:szCs w:val="18"/>
          <w:u w:val="single" w:color="auto"/>
          <w:color w:val="auto"/>
        </w:rPr>
        <w:t>and</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all acts and things previously done by any of the Authorized Officers, on or prior to the date hereof, in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on behalf of the Company in connection with the foregoing resolutions are in all respects authorized, ratified, approved, confirmed and adopted as the acts and deeds by and on behalf of the Company; </w:t>
      </w:r>
      <w:r>
        <w:rPr>
          <w:rFonts w:ascii="Times New Roman" w:cs="Times New Roman" w:eastAsia="Times New Roman" w:hAnsi="Times New Roman"/>
          <w:sz w:val="18"/>
          <w:szCs w:val="18"/>
          <w:u w:val="single" w:color="auto"/>
          <w:color w:val="auto"/>
        </w:rPr>
        <w:t>and</w:t>
      </w:r>
    </w:p>
    <w:p>
      <w:pPr>
        <w:spacing w:after="0" w:line="171"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be, and each of them hereby is, authorized, empowered and directed to certify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w:t>
      </w:r>
      <w:r>
        <w:rPr>
          <w:rFonts w:ascii="Times New Roman" w:cs="Times New Roman" w:eastAsia="Times New Roman" w:hAnsi="Times New Roman"/>
          <w:sz w:val="18"/>
          <w:szCs w:val="18"/>
          <w:u w:val="single" w:color="auto"/>
          <w:color w:val="auto"/>
        </w:rPr>
        <w:t>and</w:t>
      </w:r>
    </w:p>
    <w:p>
      <w:pPr>
        <w:spacing w:after="0" w:line="179"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Company shall be the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President, Chief Financial Officer, Secretary and any Vice President of the Company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unanimous written consent of the Board of Directors on January 9, 2020.)</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66" w:right="4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Trustees of Sixth Street Lending Partners</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Trustees has reviewed the exemptive relief filed by certain affiliates of the Adviser with the U.S.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(File No. 812-15090) (the “</w:t>
      </w:r>
      <w:r>
        <w:rPr>
          <w:rFonts w:ascii="Times New Roman" w:cs="Times New Roman" w:eastAsia="Times New Roman" w:hAnsi="Times New Roman"/>
          <w:sz w:val="18"/>
          <w:szCs w:val="18"/>
          <w:b w:val="1"/>
          <w:bCs w:val="1"/>
          <w:i w:val="1"/>
          <w:iCs w:val="1"/>
          <w:color w:val="auto"/>
        </w:rPr>
        <w:t>Co-Investment Exemptive Relief</w:t>
      </w:r>
      <w:r>
        <w:rPr>
          <w:rFonts w:ascii="Times New Roman" w:cs="Times New Roman" w:eastAsia="Times New Roman" w:hAnsi="Times New Roman"/>
          <w:sz w:val="18"/>
          <w:szCs w:val="18"/>
          <w:color w:val="auto"/>
        </w:rPr>
        <w:t>”), a copy of which has been provided to the Board of Trustees at this Meeting, for an order of the SEC pursuant to Sections 17(d) and 57(i) of the Investment Company Act of 1940,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Rule 17d-1 under the Act to permit certain joint transactions otherwise prohibited by Sections 17(d) and 57(a)(4) of the Act and Rule 17d-l under the Act;</w:t>
      </w:r>
    </w:p>
    <w:p>
      <w:pPr>
        <w:spacing w:after="0" w:line="179"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Authorized Officers, shall be, and each of them individually hereby is,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empowered and directed, in the name and on behalf of the Fund, to cause to be executed, delivered and filed with the SEC the Co-Investment Exemptive Relief, in substantially the form presented to the Board; and be it</w:t>
      </w:r>
    </w:p>
    <w:p>
      <w:pPr>
        <w:spacing w:after="0" w:line="171"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shall be, and each of them individually hereby is, authorized, empowered and directed,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on behalf of the Fund, to cause to be made, executed, delivered and filed with the SEC any amendments to the Co-Investment Exemptive Relief and any additional applications for exemptive relief as are determined necessary, advisable or appropriate by any of the Authorized Officers in order to effectuate the foregoing resolutions, such determination to be conclusively evidenced by the taking of any such action; and be it</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all acts and things previously done by any of the Authorized Officers, on or prior to the date hereof, in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behalf of the Fund in connection with the foregoing resolutions are in all respects authorized, ratified, approved, confirmed and adopted as the acts and deeds by and on behalf of the Fund; and be it</w:t>
      </w:r>
    </w:p>
    <w:p>
      <w:pPr>
        <w:spacing w:after="0" w:line="171"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be, and each of them hereby is, authorized, empowered and directed to certify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of these resolutions to such governmental bodies, agencies, persons, firms or corporations as the Authorized Officers may deem necessary and to identify by his or her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 be it</w:t>
      </w:r>
    </w:p>
    <w:p>
      <w:pPr>
        <w:spacing w:after="0" w:line="179"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for purposes of the foregoing resolutions, the Authorized Officers of the Fund shall be the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Financial Officer, Secretary and any Vice President of the Company (collectively, the “</w:t>
      </w:r>
      <w:r>
        <w:rPr>
          <w:rFonts w:ascii="Times New Roman" w:cs="Times New Roman" w:eastAsia="Times New Roman" w:hAnsi="Times New Roman"/>
          <w:sz w:val="18"/>
          <w:szCs w:val="18"/>
          <w:b w:val="1"/>
          <w:bCs w:val="1"/>
          <w:i w:val="1"/>
          <w:iCs w:val="1"/>
          <w:color w:val="auto"/>
        </w:rPr>
        <w:t>Authorized Officers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(Unanimously approved at a meeting of the Board of Trustees on June 8, 2022.)</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upperLetter"/>
      <w:start w:val="5"/>
    </w:lvl>
  </w:abstractNum>
  <w:abstractNum w:abstractNumId="1">
    <w:nsid w:val="153EA438"/>
    <w:multiLevelType w:val="hybridMultilevel"/>
    <w:lvl w:ilvl="0">
      <w:lvlJc w:val="left"/>
      <w:lvlText w:val="%1."/>
      <w:numFmt w:val="upperLetter"/>
      <w:start w:val="9"/>
    </w:lvl>
  </w:abstractNum>
  <w:abstractNum w:abstractNumId="2">
    <w:nsid w:val="3855585C"/>
    <w:multiLevelType w:val="hybridMultilevel"/>
    <w:lvl w:ilvl="0">
      <w:lvlJc w:val="left"/>
      <w:lvlText w:val="%1."/>
      <w:numFmt w:val="upperLetter"/>
      <w:start w:val="1"/>
    </w:lvl>
  </w:abstractNum>
  <w:abstractNum w:abstractNumId="3">
    <w:nsid w:val="70A64E2A"/>
    <w:multiLevelType w:val="hybridMultilevel"/>
    <w:lvl w:ilvl="0">
      <w:lvlJc w:val="left"/>
      <w:lvlText w:val="1"/>
      <w:numFmt w:val="bullet"/>
      <w:start w:val="1"/>
    </w:lvl>
  </w:abstractNum>
  <w:abstractNum w:abstractNumId="4">
    <w:nsid w:val="6A2342EC"/>
    <w:multiLevelType w:val="hybridMultilevel"/>
    <w:lvl w:ilvl="0">
      <w:lvlJc w:val="left"/>
      <w:lvlText w:val="2"/>
      <w:numFmt w:val="bullet"/>
      <w:start w:val="1"/>
    </w:lvl>
  </w:abstractNum>
  <w:abstractNum w:abstractNumId="5">
    <w:nsid w:val="2A487CB0"/>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6">
    <w:nsid w:val="1D4ED43B"/>
    <w:multiLevelType w:val="hybridMultilevel"/>
    <w:lvl w:ilvl="0">
      <w:lvlJc w:val="left"/>
      <w:lvlText w:val="3"/>
      <w:numFmt w:val="bullet"/>
      <w:start w:val="1"/>
    </w:lvl>
  </w:abstractNum>
  <w:abstractNum w:abstractNumId="7">
    <w:nsid w:val="725A06FB"/>
    <w:multiLevelType w:val="hybridMultilevel"/>
    <w:lvl w:ilvl="0">
      <w:lvlJc w:val="left"/>
      <w:lvlText w:val="4"/>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lvl w:ilvl="1">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upperLetter"/>
      <w:start w:val="3"/>
    </w:lvl>
  </w:abstractNum>
  <w:abstractNum w:abstractNumId="12">
    <w:nsid w:val="542289EC"/>
    <w:multiLevelType w:val="hybridMultilevel"/>
    <w:lvl w:ilvl="0">
      <w:lvlJc w:val="left"/>
      <w:lvlText w:val="5"/>
      <w:numFmt w:val="bullet"/>
      <w:start w:val="1"/>
    </w:lvl>
  </w:abstractNum>
  <w:abstractNum w:abstractNumId="13">
    <w:nsid w:val="6DE91B18"/>
    <w:multiLevelType w:val="hybridMultilevel"/>
    <w:lvl w:ilvl="0">
      <w:lvlJc w:val="left"/>
      <w:lvlText w:val="6"/>
      <w:numFmt w:val="bullet"/>
      <w:start w:val="1"/>
    </w:lvl>
  </w:abstractNum>
  <w:abstractNum w:abstractNumId="14">
    <w:nsid w:val="38437FDB"/>
    <w:multiLevelType w:val="hybridMultilevel"/>
    <w:lvl w:ilvl="0">
      <w:lvlJc w:val="left"/>
      <w:lvlText w:val="7"/>
      <w:numFmt w:val="bullet"/>
      <w:start w:val="1"/>
    </w:lvl>
  </w:abstractNum>
  <w:abstractNum w:abstractNumId="15">
    <w:nsid w:val="7644A45C"/>
    <w:multiLevelType w:val="hybridMultilevel"/>
    <w:lvl w:ilvl="0">
      <w:lvlJc w:val="left"/>
      <w:lvlText w:val="(%1)"/>
      <w:numFmt w:val="lowerRoman"/>
      <w:start w:val="1"/>
    </w:lvl>
  </w:abstractNum>
  <w:abstractNum w:abstractNumId="16">
    <w:nsid w:val="32FFF902"/>
    <w:multiLevelType w:val="hybridMultilevel"/>
    <w:lvl w:ilvl="0">
      <w:lvlJc w:val="left"/>
      <w:lvlText w:val="(%1)"/>
      <w:numFmt w:val="lowerRoman"/>
      <w:start w:val="3"/>
    </w:lvl>
  </w:abstractNum>
  <w:abstractNum w:abstractNumId="17">
    <w:nsid w:val="684A481A"/>
    <w:multiLevelType w:val="hybridMultilevel"/>
    <w:lvl w:ilvl="0">
      <w:lvlJc w:val="left"/>
      <w:lvlText w:val="%1."/>
      <w:numFmt w:val="upperLetter"/>
      <w:start w:val="35"/>
    </w:lvl>
  </w:abstractNum>
  <w:abstractNum w:abstractNumId="18">
    <w:nsid w:val="579478FE"/>
    <w:multiLevelType w:val="hybridMultilevel"/>
    <w:lvl w:ilvl="0">
      <w:lvlJc w:val="left"/>
      <w:lvlText w:val="%1."/>
      <w:numFmt w:val="upperLetter"/>
      <w:start w:val="1"/>
    </w:lvl>
  </w:abstractNum>
  <w:abstractNum w:abstractNumId="19">
    <w:nsid w:val="749ABB43"/>
    <w:multiLevelType w:val="hybridMultilevel"/>
    <w:lvl w:ilvl="0">
      <w:lvlJc w:val="left"/>
      <w:lvlText w:val="8"/>
      <w:numFmt w:val="bullet"/>
      <w:start w:val="1"/>
    </w:lvl>
  </w:abstractNum>
  <w:abstractNum w:abstractNumId="20">
    <w:nsid w:val="3DC240FB"/>
    <w:multiLevelType w:val="hybridMultilevel"/>
    <w:lvl w:ilvl="0">
      <w:lvlJc w:val="left"/>
      <w:lvlText w:val="%1."/>
      <w:numFmt w:val="upperLetter"/>
      <w:start w:val="2"/>
    </w:lvl>
  </w:abstractNum>
  <w:abstractNum w:abstractNumId="21">
    <w:nsid w:val="1BA026FA"/>
    <w:multiLevelType w:val="hybridMultilevel"/>
    <w:lvl w:ilvl="0">
      <w:lvlJc w:val="left"/>
      <w:lvlText w:val="%1."/>
      <w:numFmt w:val="upperLetter"/>
      <w:start w:val="3"/>
    </w:lvl>
  </w:abstractNum>
  <w:abstractNum w:abstractNumId="22">
    <w:nsid w:val="79A1DEAA"/>
    <w:multiLevelType w:val="hybridMultilevel"/>
    <w:lvl w:ilvl="0">
      <w:lvlJc w:val="left"/>
      <w:lvlText w:val="%1."/>
      <w:numFmt w:val="upperLetter"/>
      <w:start w:val="4"/>
    </w:lvl>
  </w:abstractNum>
  <w:abstractNum w:abstractNumId="23">
    <w:nsid w:val="75C6C33A"/>
    <w:multiLevelType w:val="hybridMultilevel"/>
    <w:lvl w:ilvl="0">
      <w:lvlJc w:val="left"/>
      <w:lvlText w:val="(%1)"/>
      <w:numFmt w:val="lowerRoman"/>
      <w:start w:val="3"/>
    </w:lvl>
  </w:abstractNum>
  <w:abstractNum w:abstractNumId="24">
    <w:nsid w:val="12E685FB"/>
    <w:multiLevelType w:val="hybridMultilevel"/>
    <w:lvl w:ilvl="0">
      <w:lvlJc w:val="left"/>
      <w:lvlText w:val="(%1)"/>
      <w:numFmt w:val="lowerRoman"/>
      <w:start w:val="2"/>
    </w:lvl>
  </w:abstractNum>
  <w:abstractNum w:abstractNumId="25">
    <w:nsid w:val="70C6A529"/>
    <w:multiLevelType w:val="hybridMultilevel"/>
    <w:lvl w:ilvl="0">
      <w:lvlJc w:val="left"/>
      <w:lvlText w:val="%1."/>
      <w:numFmt w:val="upperLetter"/>
      <w:start w:val="5"/>
    </w:lvl>
  </w:abstractNum>
  <w:abstractNum w:abstractNumId="26">
    <w:nsid w:val="520EEDD1"/>
    <w:multiLevelType w:val="hybridMultilevel"/>
    <w:lvl w:ilvl="0">
      <w:lvlJc w:val="left"/>
      <w:lvlText w:val="%1."/>
      <w:numFmt w:val="upperLetter"/>
      <w:start w:val="6"/>
    </w:lvl>
  </w:abstractNum>
  <w:abstractNum w:abstractNumId="27">
    <w:nsid w:val="374A3FE6"/>
    <w:multiLevelType w:val="hybridMultilevel"/>
    <w:lvl w:ilvl="0">
      <w:lvlJc w:val="left"/>
      <w:lvlText w:val="%1."/>
      <w:numFmt w:val="upperLetter"/>
      <w:start w:val="61"/>
    </w:lvl>
  </w:abstractNum>
  <w:abstractNum w:abstractNumId="28">
    <w:nsid w:val="4F4EF005"/>
    <w:multiLevelType w:val="hybridMultilevel"/>
    <w:lvl w:ilvl="0">
      <w:lvlJc w:val="left"/>
      <w:lvlText w:val="%1."/>
      <w:numFmt w:val="upperLetter"/>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9"/>
      <w:numFmt w:val="bullet"/>
      <w:start w:val="1"/>
    </w:lvl>
  </w:abstractNum>
  <w:abstractNum w:abstractNumId="32">
    <w:nsid w:val="39386575"/>
    <w:multiLevelType w:val="hybridMultilevel"/>
    <w:lvl w:ilvl="0">
      <w:lvlJc w:val="left"/>
      <w:lvlText w:val="(%1)"/>
      <w:numFmt w:val="lowerLetter"/>
      <w:start w:val="2"/>
    </w:lvl>
  </w:abstractNum>
  <w:abstractNum w:abstractNumId="33">
    <w:nsid w:val="1CF10FD8"/>
    <w:multiLevelType w:val="hybridMultilevel"/>
    <w:lvl w:ilvl="0">
      <w:lvlJc w:val="left"/>
      <w:lvlText w:val="%1"/>
      <w:numFmt w:val="decimal"/>
      <w:start w:val="10"/>
    </w:lvl>
  </w:abstractNum>
  <w:abstractNum w:abstractNumId="34">
    <w:nsid w:val="180115BE"/>
    <w:multiLevelType w:val="hybridMultilevel"/>
    <w:lvl w:ilvl="0">
      <w:lvlJc w:val="left"/>
      <w:lvlText w:val="(%1)"/>
      <w:numFmt w:val="lowerLetter"/>
      <w:start w:val="3"/>
    </w:lvl>
  </w:abstractNum>
  <w:abstractNum w:abstractNumId="35">
    <w:nsid w:val="235BA861"/>
    <w:multiLevelType w:val="hybridMultilevel"/>
    <w:lvl w:ilvl="0">
      <w:lvlJc w:val="left"/>
      <w:lvlText w:val="%1."/>
      <w:numFmt w:val="decimal"/>
      <w:start w:val="2"/>
    </w:lvl>
  </w:abstractNum>
  <w:abstractNum w:abstractNumId="36">
    <w:nsid w:val="47398C89"/>
    <w:multiLevelType w:val="hybridMultilevel"/>
    <w:lvl w:ilvl="0">
      <w:lvlJc w:val="left"/>
      <w:lvlText w:val="%1."/>
      <w:numFmt w:val="decimal"/>
      <w:start w:val="3"/>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decimal"/>
      <w:start w:val="4"/>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2"/>
    </w:lvl>
  </w:abstractNum>
  <w:abstractNum w:abstractNumId="42">
    <w:nsid w:val="3F6AB60F"/>
    <w:multiLevelType w:val="hybridMultilevel"/>
    <w:lvl w:ilvl="0">
      <w:lvlJc w:val="left"/>
      <w:lvlText w:val="%1"/>
      <w:numFmt w:val="decimal"/>
      <w:start w:val="12"/>
    </w:lvl>
  </w:abstractNum>
  <w:abstractNum w:abstractNumId="43">
    <w:nsid w:val="61574095"/>
    <w:multiLevelType w:val="hybridMultilevel"/>
    <w:lvl w:ilvl="0">
      <w:lvlJc w:val="left"/>
      <w:lvlText w:val="%1."/>
      <w:numFmt w:val="decimal"/>
      <w:start w:val="5"/>
    </w:lvl>
  </w:abstractNum>
  <w:abstractNum w:abstractNumId="44">
    <w:nsid w:val="7E0C57B1"/>
    <w:multiLevelType w:val="hybridMultilevel"/>
    <w:lvl w:ilvl="0">
      <w:lvlJc w:val="left"/>
      <w:lvlText w:val="%1."/>
      <w:numFmt w:val="upperLetter"/>
      <w:start w:val="2"/>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decimal"/>
      <w:start w:val="15"/>
    </w:lvl>
  </w:abstractNum>
  <w:abstractNum w:abstractNumId="48">
    <w:nsid w:val="5FF87E05"/>
    <w:multiLevelType w:val="hybridMultilevel"/>
    <w:lvl w:ilvl="0">
      <w:lvlJc w:val="left"/>
      <w:lvlText w:val="%1."/>
      <w:numFmt w:val="decimal"/>
      <w:start w:val="2"/>
    </w:lvl>
  </w:abstractNum>
  <w:abstractNum w:abstractNumId="49">
    <w:nsid w:val="2F305DEF"/>
    <w:multiLevelType w:val="hybridMultilevel"/>
    <w:lvl w:ilvl="0">
      <w:lvlJc w:val="left"/>
      <w:lvlText w:val="%1"/>
      <w:numFmt w:val="decimal"/>
      <w:start w:val="16"/>
    </w:lvl>
  </w:abstractNum>
  <w:abstractNum w:abstractNumId="50">
    <w:nsid w:val="25A70BF7"/>
    <w:multiLevelType w:val="hybridMultilevel"/>
    <w:lvl w:ilvl="0">
      <w:lvlJc w:val="left"/>
      <w:lvlText w:val="%1."/>
      <w:numFmt w:val="upperLetter"/>
      <w:start w:val="3"/>
    </w:lvl>
  </w:abstractNum>
  <w:abstractNum w:abstractNumId="51">
    <w:nsid w:val="1DBABF00"/>
    <w:multiLevelType w:val="hybridMultilevel"/>
    <w:lvl w:ilvl="0">
      <w:lvlJc w:val="left"/>
      <w:lvlText w:val="%1"/>
      <w:numFmt w:val="decimal"/>
      <w:start w:val="20"/>
    </w:lvl>
  </w:abstractNum>
  <w:abstractNum w:abstractNumId="52">
    <w:nsid w:val="4AD084E9"/>
    <w:multiLevelType w:val="hybridMultilevel"/>
    <w:lvl w:ilvl="0">
      <w:lvlJc w:val="left"/>
      <w:lvlText w:val="%1."/>
      <w:numFmt w:val="upperLetter"/>
      <w:start w:val="4"/>
    </w:lvl>
  </w:abstractNum>
  <w:abstractNum w:abstractNumId="53">
    <w:nsid w:val="1F48EAA1"/>
    <w:multiLevelType w:val="hybridMultilevel"/>
    <w:lvl w:ilvl="0">
      <w:lvlJc w:val="left"/>
      <w:lvlText w:val="%1"/>
      <w:numFmt w:val="decimal"/>
      <w:start w:val="21"/>
    </w:lvl>
  </w:abstractNum>
  <w:abstractNum w:abstractNumId="54">
    <w:nsid w:val="1381823A"/>
    <w:multiLevelType w:val="hybridMultilevel"/>
    <w:lvl w:ilvl="0">
      <w:lvlJc w:val="left"/>
      <w:lvlText w:val="%1"/>
      <w:numFmt w:val="decimal"/>
      <w:start w:val="30"/>
    </w:lvl>
  </w:abstractNum>
  <w:abstractNum w:abstractNumId="55">
    <w:nsid w:val="5DB70AE5"/>
    <w:multiLevelType w:val="hybridMultilevel"/>
    <w:lvl w:ilvl="0">
      <w:lvlJc w:val="left"/>
      <w:lvlText w:val="%1."/>
      <w:numFmt w:val="upperLetter"/>
      <w:start w:val="1"/>
    </w:lvl>
  </w:abstractNum>
  <w:abstractNum w:abstractNumId="56">
    <w:nsid w:val="100F8FCA"/>
    <w:multiLevelType w:val="hybridMultilevel"/>
    <w:lvl w:ilvl="0">
      <w:lvlJc w:val="left"/>
      <w:lvlText w:val="(%1)"/>
      <w:numFmt w:val="lowerRoman"/>
      <w:start w:val="2"/>
    </w:lvl>
  </w:abstractNum>
  <w:abstractNum w:abstractNumId="57">
    <w:nsid w:val="6590700B"/>
    <w:multiLevelType w:val="hybridMultilevel"/>
    <w:lvl w:ilvl="0">
      <w:lvlJc w:val="left"/>
      <w:lvlText w:val="%1."/>
      <w:numFmt w:val="upperLetter"/>
      <w:start w:val="2"/>
    </w:lvl>
  </w:abstractNum>
  <w:abstractNum w:abstractNumId="58">
    <w:nsid w:val="15014ACB"/>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9">
    <w:nsid w:val="5F5E7FD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60">
    <w:nsid w:val="98A3148"/>
    <w:multiLevelType w:val="hybridMultilevel"/>
    <w:lvl w:ilvl="0">
      <w:lvlJc w:val="left"/>
      <w:lvlText w:val="(%1)"/>
      <w:numFmt w:val="upperLetter"/>
      <w:start w:val="3"/>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61">
    <w:nsid w:val="799D0247"/>
    <w:multiLevelType w:val="hybridMultilevel"/>
    <w:lvl w:ilvl="0">
      <w:lvlJc w:val="left"/>
      <w:lvlText w:val="%1"/>
      <w:numFmt w:val="decimal"/>
      <w:start w:val="31"/>
    </w:lvl>
  </w:abstractNum>
  <w:abstractNum w:abstractNumId="62">
    <w:nsid w:val="6B9476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3">
    <w:nsid w:val="42C296BD"/>
    <w:multiLevelType w:val="hybridMultilevel"/>
    <w:lvl w:ilvl="0">
      <w:lvlJc w:val="left"/>
      <w:lvlText w:val="%1"/>
      <w:numFmt w:val="decimal"/>
      <w:start w:val="33"/>
    </w:lvl>
  </w:abstractNum>
  <w:abstractNum w:abstractNumId="64">
    <w:nsid w:val="168E12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65">
    <w:nsid w:val="1EBA5D2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6">
    <w:nsid w:val="661E3F1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5"/>
    </w:lvl>
  </w:abstractNum>
  <w:abstractNum w:abstractNumId="67">
    <w:nsid w:val="5DC79EA8"/>
    <w:multiLevelType w:val="hybridMultilevel"/>
    <w:lvl w:ilvl="0">
      <w:lvlJc w:val="left"/>
      <w:lvlText w:val="%1"/>
      <w:numFmt w:val="decimal"/>
      <w:start w:val="35"/>
    </w:lvl>
  </w:abstractNum>
  <w:abstractNum w:abstractNumId="68">
    <w:nsid w:val="540A471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9">
    <w:nsid w:val="7BD3EE7B"/>
    <w:multiLevelType w:val="hybridMultilevel"/>
    <w:lvl w:ilvl="0">
      <w:lvlJc w:val="left"/>
      <w:lvlText w:val="%1"/>
      <w:numFmt w:val="decimal"/>
      <w:start w:val="36"/>
    </w:lvl>
  </w:abstractNum>
  <w:abstractNum w:abstractNumId="70">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71">
    <w:nsid w:val="613EFDC5"/>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72">
    <w:nsid w:val="BF72B14"/>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3">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4">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5">
    <w:nsid w:val="A0382C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6">
    <w:nsid w:val="8F2B15E"/>
    <w:multiLevelType w:val="hybridMultilevel"/>
    <w:lvl w:ilvl="0">
      <w:lvlJc w:val="left"/>
      <w:lvlText w:val="%1."/>
      <w:numFmt w:val="decimal"/>
      <w:start w:val="13"/>
    </w:lvl>
  </w:abstractNum>
  <w:abstractNum w:abstractNumId="77">
    <w:nsid w:val="1A32234B"/>
    <w:multiLevelType w:val="hybridMultilevel"/>
    <w:lvl w:ilvl="0">
      <w:lvlJc w:val="left"/>
      <w:lvlText w:val="%1."/>
      <w:numFmt w:val="upperLetter"/>
      <w:start w:val="1"/>
    </w:lvl>
  </w:abstractNum>
  <w:abstractNum w:abstractNumId="78">
    <w:nsid w:val="3B0FD379"/>
    <w:multiLevelType w:val="hybridMultilevel"/>
    <w:lvl w:ilvl="0">
      <w:lvlJc w:val="left"/>
      <w:lvlText w:val="%1"/>
      <w:numFmt w:val="decimal"/>
      <w:start w:val="37"/>
    </w:lvl>
  </w:abstractNum>
  <w:abstractNum w:abstractNumId="79">
    <w:nsid w:val="68EB2F63"/>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2022-06-29T18:47:04Z</dcterms:created>
  <dcterms:modified xsi:type="dcterms:W3CDTF">2022-06-29T18:47:04Z</dcterms:modified>
</cp:coreProperties>
</file>