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SIXTH STREET LENDING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of beneficial interest,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Ricardo Davidovich,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Haynes and Boone, LLP, 30 Rockefeller Plaza, 22nd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835-4837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Public Institution for Social Security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KUWAIT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10,570,730.00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10,570,730.00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10,570,730.00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EP</w:t>
      </w:r>
    </w:p>
    <w:p>
      <w:pPr>
        <w:spacing w:after="0" w:line="200" w:lineRule="exact"/>
        <w:rPr>
          <w:sz w:val="20"/>
          <w:szCs w:val="20"/>
          <w:color w:val="auto"/>
        </w:rPr>
      </w:pPr>
    </w:p>
    <w:p>
      <w:pPr>
        <w:sectPr>
          <w:pgSz w:w="11900" w:h="16884"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shares of beneficial interest, par value $0.001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2100 McKinney Avenue, Suite 1500, Dallas, TEXAS , 75201.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420"/>
        <w:spacing w:after="0" w:line="239" w:lineRule="auto"/>
        <w:rPr>
          <w:sz w:val="20"/>
          <w:szCs w:val="20"/>
          <w:color w:val="auto"/>
        </w:rPr>
      </w:pPr>
      <w:r>
        <w:rPr>
          <w:rFonts w:ascii="Times New Roman" w:cs="Times New Roman" w:eastAsia="Times New Roman" w:hAnsi="Times New Roman"/>
          <w:sz w:val="22"/>
          <w:szCs w:val="22"/>
          <w:color w:val="auto"/>
        </w:rPr>
        <w:t>Item 3 is hereby amended and supplemented as follows: "In connection with the Board's declaration of certain dividends on March 31, 2026, pursuant to the Reporting Person's participation in the DRIP, the Reporting Person acquired an additional 259,631 Shares on May 8, 2026. No additional cash was paid by the Reporting Person in connection with the acquisition of these additional Shares."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line="251"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in its entirety as follows: "The information set forth in Items 3 and 4 of this Schedule 13D is hereby incorporated herein by reference. (a) The aggregate number and percentage of the class of securities identified pursuant to Item 1 beneficially owned by the Reporting Person is stated in Items 11 and 13 on the cover page(s) hereto. With respect to Item 13, this number is based upon 152,413,138 Shares outstanding as of May 8, 2026, as disclosed by the Issuer to the Reporting Person in connection with the issuance of additional shares. The</w:t>
      </w:r>
    </w:p>
    <w:p>
      <w:pPr>
        <w:sectPr>
          <w:pgSz w:w="11900" w:h="16884" w:orient="portrait"/>
          <w:cols w:equalWidth="0" w:num="1">
            <w:col w:w="11120"/>
          </w:cols>
          <w:pgMar w:left="360" w:top="126" w:right="419" w:bottom="0" w:gutter="0" w:footer="0" w:header="0"/>
          <w:type w:val="continuous"/>
        </w:sectPr>
      </w:pPr>
    </w:p>
    <w:bookmarkStart w:id="2" w:name="page3"/>
    <w:bookmarkEnd w:id="2"/>
    <w:p>
      <w:pPr>
        <w:ind w:left="940"/>
        <w:spacing w:after="0" w:line="235" w:lineRule="auto"/>
        <w:rPr>
          <w:sz w:val="20"/>
          <w:szCs w:val="20"/>
          <w:color w:val="auto"/>
        </w:rPr>
      </w:pPr>
      <w:r>
        <w:rPr>
          <w:rFonts w:ascii="Times New Roman" w:cs="Times New Roman" w:eastAsia="Times New Roman" w:hAnsi="Times New Roman"/>
          <w:sz w:val="22"/>
          <w:szCs w:val="22"/>
          <w:color w:val="auto"/>
        </w:rPr>
        <w:t>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5(b) is hereby amended and restated in its entirety as follows: (b) "Number of shares as to which the Reporting</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Person has: (i) sole power to vote or to direct the vote: See Item 7 on the cover page(s) hereto. (ii) shared power to</w:t>
      </w:r>
    </w:p>
    <w:p>
      <w:pPr>
        <w:ind w:left="940" w:hanging="932"/>
        <w:spacing w:after="0" w:line="230"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or to direct the vote: See Item 8 on the cover page(s) hereto. (iii) sole power to dispose or to direct the</w:t>
      </w:r>
    </w:p>
    <w:p>
      <w:pPr>
        <w:ind w:left="940"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See Item 9 on the cover page(s) hereto. (iv) shared power to dispose or to direct the disposition of: See Item 10 on the cover page(s) hereto."</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hereby amended and restated in its entirety as follows: "Other than as set forth on Annex A hereto, there</w:t>
      </w:r>
    </w:p>
    <w:p>
      <w:pPr>
        <w:spacing w:after="0" w:line="25" w:lineRule="exact"/>
        <w:rPr>
          <w:rFonts w:ascii="Times New Roman" w:cs="Times New Roman" w:eastAsia="Times New Roman" w:hAnsi="Times New Roman"/>
          <w:sz w:val="22"/>
          <w:szCs w:val="22"/>
          <w:color w:val="auto"/>
        </w:rPr>
      </w:pPr>
    </w:p>
    <w:p>
      <w:pPr>
        <w:ind w:left="940" w:right="1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no transactions in the class of securities reported on that were effected by the Reporting Person during the past sixty days or since the most recent filing of Schedule 13D, whichever is less."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Annex A - Recent Transactions by the Reporting Person in Shares of Sixth Street Lending Partners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The Public Institution for Social Security</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Ricardo Davidovich</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Ricardo Davidovich</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2026-05-12T17:30:57Z</dcterms:created>
  <dcterms:modified xsi:type="dcterms:W3CDTF">2026-05-12T17:30:57Z</dcterms:modified>
</cp:coreProperties>
</file>