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 No. 812-</w:t>
      </w: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2752725</wp:posOffset>
            </wp:positionH>
            <wp:positionV relativeFrom="paragraph">
              <wp:posOffset>228600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21" w:lineRule="exact"/>
        <w:rPr>
          <w:sz w:val="24"/>
          <w:szCs w:val="24"/>
          <w:color w:val="auto"/>
        </w:rPr>
      </w:pPr>
    </w:p>
    <w:p>
      <w:pPr>
        <w:jc w:val="center"/>
        <w:spacing w:after="0" w:line="267" w:lineRule="auto"/>
        <w:rPr>
          <w:sz w:val="20"/>
          <w:szCs w:val="20"/>
          <w:color w:val="auto"/>
        </w:rPr>
      </w:pPr>
      <w:r>
        <w:rPr>
          <w:rFonts w:ascii="Times New Roman" w:cs="Times New Roman" w:eastAsia="Times New Roman" w:hAnsi="Times New Roman"/>
          <w:sz w:val="17"/>
          <w:szCs w:val="17"/>
          <w:b w:val="1"/>
          <w:bCs w:val="1"/>
          <w:color w:val="auto"/>
        </w:rPr>
        <w:t>SIXTH STREET SPECIALTY LENDING, INC., SIXTH STREET SPECIALTY LENDING ADVISERS, LLC, SIXTH STREET OPPORTUNITIES PARTNERS III (A), L.P., SIXTH STREET OPPORTUNITIES PARTNERS III (B), L.P., SIXTH STREET OPPORTUNITIES PARTNERS III (C), L.P., TOP III DELAWARE AIV I-A, L.P., OPPS III DELAWARE AIV I-B, L.P., SIXTH STREET OPPORTUNITIES PARTNERS IV (A), L.P., SIXTH STREET OPPORTUNITIES PARTNERS IV (B), L.P., SIXTH STREET OPPORTUNITIES PARTNERS IV (C), L.P., OPPS IV DELAWARE AIV I-A, L.P., OPPS IV DELAWARE AIV I-B, L.P., SIXTH STREET OPPORTUNITIES PARTNERS V (A), L.P., SIXTH STREET OPPORTUNITIES PARTNERS V (B), L.P., SIXTH STREET OPPORTUNITIES PARTNERS V (C), L.P., SIXTH STREET OPPS V DELAWARE AIV I-A, L.P., SIXTH STREET OPPS V DELAWARE AIV I-B, L.P., 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 (E) AIV II-A, L.P.,</w:t>
      </w:r>
    </w:p>
    <w:p>
      <w:pPr>
        <w:spacing w:after="0" w:line="6" w:lineRule="exact"/>
        <w:rPr>
          <w:sz w:val="24"/>
          <w:szCs w:val="24"/>
          <w:color w:val="auto"/>
        </w:rPr>
      </w:pPr>
    </w:p>
    <w:p>
      <w:pPr>
        <w:jc w:val="center"/>
        <w:ind w:right="20"/>
        <w:spacing w:after="0" w:line="265" w:lineRule="auto"/>
        <w:rPr>
          <w:sz w:val="20"/>
          <w:szCs w:val="20"/>
          <w:color w:val="auto"/>
        </w:rPr>
      </w:pPr>
      <w:r>
        <w:rPr>
          <w:rFonts w:ascii="Times New Roman" w:cs="Times New Roman" w:eastAsia="Times New Roman" w:hAnsi="Times New Roman"/>
          <w:sz w:val="17"/>
          <w:szCs w:val="17"/>
          <w:b w:val="1"/>
          <w:bCs w:val="1"/>
          <w:color w:val="auto"/>
        </w:rPr>
        <w:t>SIXTH STREET GROWTH PARTNERS (A), L.P., SIXTH STREET GROWTH PARTNERS (B), L.P., SIXTH STREET GROWTH PARTNERS (A) AIV, L.P., SIXTH STREET GROWTH PARTNERS (B) AIV, L.P., SIXTH STREET GROWTH PARTNERS II (A), L.P.,</w:t>
      </w:r>
    </w:p>
    <w:p>
      <w:pPr>
        <w:jc w:val="cente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SIXTH STREET GROWTH PARTNERS II (B), L.P., SIXTH STREET GROWTH II (A) AIV, L.P., SIXTH STREET GROWTH II (B) AIV, L.P., GROWTH II LENDING, LLC, SIXTH STREET FUNDAMENTAL STRATEGIES PARTNERS (A), L.P., SIXTH STREET FUNDAMENTAL STRATEGIES PARTNERS (B), L.P., SIXTH STREET FS AIV I-A, L.P., SIXTH STREET FS AIV I-B, L.P., SIXTH</w:t>
      </w:r>
    </w:p>
    <w:p>
      <w:pPr>
        <w:spacing w:after="0" w:line="1" w:lineRule="exact"/>
        <w:rPr>
          <w:sz w:val="24"/>
          <w:szCs w:val="24"/>
          <w:color w:val="auto"/>
        </w:rPr>
      </w:pPr>
    </w:p>
    <w:p>
      <w:pPr>
        <w:jc w:val="cente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STREET SPECIALTY LENDING EUROPE II, L.P., SIXTH STREET AGRICULTURE PARTNERS (A), L.P., SIXTH STREET BLUEGRASS STRATEGIC HOLDINGS I, L.P., SIXTH STREET WILLOW STRATEGIC HOLDINGS I, L.P., SIXTH STREET COTTONWOOD STRATEGIC HOLDINGS I, L.P., SIXTH STREET DOGWOOD STRATEGIC HOLDINGS I, L.P., SIXTH STREET RED PINE STRATEGIC HOLDINGS I, L.P., SIXTH STREET CMS DYNAMIC CREDIT FUND, L.P., TCS LENDING, LLC, TDL LENDING, LLC, TOP IV LENDING, LLC, OPPS V LENDING, LLC, FS I LENDING, LLC, TICP CLO VI 2016-2, LTD., TICP CLO VII, LTD., SIXTH STREET CLO VIII, LTD., SIXTH STREET CLO IX, LTD., TICP CLO XI, LTD., TICP CLO XII, LTD., SIXTH STREET CLO XIII, LTD., SIXTH STREET CLO XIV, LTD., SIXTH STREET CLO XV, LTD., SIXTH STREET CLO XVI, LTD., SIXTH STREET CLO XVII, LTD., SIXTH STREET CLO XVIII, LTD., SIXTH STREET CLO XIX, LTD., SIXTH STREET CLO XX, LTD., SIXTH STREET CLO EQUITY FUND IV,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V, L.P., TICP CLO PARTNERS II, L.P., TICP CLO HOLDINGS, L.P., TSSP INSTITUTIONAL CREDIT PARTNERS III, L.P., SIXTH STREET CREDIT MARKET STRATEGIES PARTNERS I, L.P., SIXTH STREET CREDIT MARKET STRATEGIES PARTNERS I-A, L.P., TICP III CAYMAN, LTD., SIXTH STREET MID-STAGE GROWTH PARTNERS (A), L.P., SIXTH STREET MID-STAGE GROWTH PARTNERS (B), L.P., SIXTH STREET MID-STAGE GROWTH (A) AIV, L.P., SIXTH STREET MID-STAGE GROWTH (B) AIV, L.P., SIXTH STREET ADVISERS, LLC, SIXTH STREET FUNDAMENTAL STRATEGIES I MANAGEMENT, LLC, SIXTH STREET OPPORTUNITIES III MANAGEMENT, LLC, SIXTH STREET OPPORTUNITIES IV MANAGEMENT, LLC, SIXTH STREET OPPORTUNITIES V MANAGEMENT, LLC, SIXTH STREET TAO MANAGEMENT, LLC, SIXTH STREET GROWTH I MANAGEMENT, LLC, SIXTH STREET GROWTH II MANAGEMENT, LLC, SIXTH STREET SPECIALTY LENDING EUROPE II MANAGEMENT, LLC, SIXTH STREET AGRICULTURE MANAGEMENT, LLC, SIXTH STREET STRATEGIC HOLDINGS MANAGEMENT, LLC, SIXTH STREET CMS DYNAMIC CREDIT</w:t>
      </w:r>
    </w:p>
    <w:p>
      <w:pPr>
        <w:sectPr>
          <w:pgSz w:w="11900" w:h="16838" w:orient="portrait"/>
          <w:cols w:equalWidth="0" w:num="1">
            <w:col w:w="11000"/>
          </w:cols>
          <w:pgMar w:left="340" w:top="229" w:right="559" w:bottom="1440" w:gutter="0" w:footer="0" w:header="0"/>
        </w:sectPr>
      </w:pPr>
    </w:p>
    <w:bookmarkStart w:id="1" w:name="page2"/>
    <w:bookmarkEnd w:id="1"/>
    <w:p>
      <w:pPr>
        <w:jc w:val="center"/>
        <w:ind w:left="360" w:right="10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LLC, TICP CLO VI 2016-2 MANAGEMENT, LLC, TICP CLO VII MANAGEMENT, LLC, SIXTH STREET CLO VIII MANAGEMENT, LLC, SIXTH STREET CLO IX MANAGEMENT, LLC, TICP CLO XI MANAGEMENT, LLC, TICP CLO XII MANAGEMENT, LLC, SIXTH STREET CLO XIII MANAGEMENT, LLC, SIXTH STREET CLO XIV MANAGEMENT, LLC, SIXTH STREET CLO XV MANAGEMENT, LLC, SIXTH STREET CLO XVI MANAGEMENT, LLC, SIXTH STREET CLO XVII</w:t>
      </w:r>
    </w:p>
    <w:p>
      <w:pPr>
        <w:spacing w:after="0" w:line="3"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7"/>
          <w:szCs w:val="17"/>
          <w:b w:val="1"/>
          <w:bCs w:val="1"/>
          <w:color w:val="auto"/>
        </w:rPr>
        <w:t>MANAGEMENT, LLC, SIXTH STREET CLO XVIII MANAGEMENT, LLC, SIXTH STREET CLO XIX MANAGEMENT, LLC, SIXTH STREET CLO XX MANAGEMENT, LLC, SIXTH STREET CLO EQUITY IV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SIXTH STREET STRUCTURED CREDIT OPPORTUNITIES V MANAGEMENT, LLC, SIXTH STREET CLO ADVISERS II, LLC, TSSP INSTITUTIONAL CREDIT III MANAGEMENT, LLC, SIXTH STREET CREDIT MARKET STRATEGIES MANAGEMENT, LLC, SIXTH STREET MID-STAGE GROWTH I MANAGEMENT, LLC, SIXTH STREET MADRONE STRATEGIC HOLDINGS MANAGEMENT, LLC, SIXTH STREET PRIVATE ASSET BASED INVESTMENT I MANAGEMENT, LLC, SIXTH STREET SPORTS AND LIVE ENTERTAINMENT MANAGEMENT, LLC, SIXTH STREET SPECIALTY LENDING EUROPE III MANAGEMENT, LLC, SIXTH STREET CLO XXI MANAGEMENT, LLC, SIXTH STREET CLO XXII MANAGEMENT, LLC, SIXTH STREET CLO XXIII MANAGEMENT, LLC, SIXTH STREET CLO XXIV MANAGEMENT, LLC, SIXTH STREET CLO XXV MANAGEMENT, LLC, SIXTH STREET CLO XXVI MANAGEMENT, LLC, SIXTH STREET CLO 27 MANAGEMENT, LLC, MSGP LENDING, LLC, SIXTH STREET AGRICULTURE PARTNERS (B), L.P., SIXTH STREET RED RIVER CREDIT FUND, L.P., SIXTH STREET MADRONE STRATEGIC HOLDINGS I, L.P. SERIES I, SIXTH STREET MADRONE STRATEGIC HOLDINGS I, L.P. SERIES II, SIXTH STREET PRIVATE ASSET BASED INVESTMENT FUND I, L.P., SIXTH STREET SPORTS AND LIVE ENTERTAINMENT (A), L.P., SIXTH STREET SPORTS AND LIVE ENTERTAINMENT (B), L.P., SIXTH STREET SPORTS AND LIVE ENTERTAINMENT DELAWARE AIV I-A, L.P., SIXTH STREET SPORTS AND LIVE ENTERTAINMENT DELAWARE AIV I-B, L.P., SIXTH STREET SPECIALTY LENDING EUROPE III (A), L.P., SIXTH STREET SPECIALTY LENDING EUROPE III (A) AIF, SCSP, SIXTH STREET SPECIALTY LENDING EUROPE III (B) AIF, SCSP, TAO REDSTONE (C) AIV-1, L.P., TAO REDSTONE (C) AIV-2, L.P., TAO REDSTONE (E) AIV-1, L.P., TAO REDSTONE (E) AIV-2, L.P., SIXTH STREET CLO XXI, LTD., SIXTH STREET CLO XXII, LTD.,</w:t>
      </w:r>
    </w:p>
    <w:p>
      <w:pPr>
        <w:spacing w:after="0" w:line="203"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SIXTH STREET CLO XXIII, LTD., SIXTH STREET CLO XXIV, LTD., SIXTH STREET CLO XXV, LTD., SIXTH STREET CLO XXVI, LTD., SIXTH STREET CLO 27, LTD., SIXTH STREET LENDING PARTNERS ADVISERS, LLC AND SIXTH STREET LENDING PARTNERS.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(469) 621-3001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228600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217805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Communications, Notices and Orders 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Peck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Sixth Street Specialty Lending,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Letterman Drive, Building B, Suite B6-100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JPeck@sixthstreet.com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486-5900</w:t>
      </w:r>
    </w:p>
    <w:p>
      <w:pPr>
        <w:sectPr>
          <w:pgSz w:w="11900" w:h="16838" w:orient="portrait"/>
          <w:cols w:equalWidth="0" w:num="1">
            <w:col w:w="10980"/>
          </w:cols>
          <w:pgMar w:left="340" w:top="266" w:right="57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t>Copies to:</w:t>
      </w:r>
    </w:p>
    <w:p>
      <w:pPr>
        <w:spacing w:after="0" w:line="1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Rajib Chanda</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Steven Grigoriou</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Simpson Thacher &amp; Bartlett LLP</w:t>
      </w:r>
    </w:p>
    <w:p>
      <w:pPr>
        <w:spacing w:after="0" w:line="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900 G Street NW</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(202) 636-5500</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March 21, 2025</w:t>
      </w:r>
    </w:p>
    <w:p>
      <w:pPr>
        <w:sectPr>
          <w:pgSz w:w="11900" w:h="16838" w:orient="portrait"/>
          <w:cols w:equalWidth="0" w:num="1">
            <w:col w:w="9019"/>
          </w:cols>
          <w:pgMar w:left="1440" w:top="605" w:right="1440" w:bottom="1440" w:gutter="0" w:footer="0" w:header="0"/>
        </w:sectPr>
      </w:pPr>
    </w:p>
    <w:bookmarkStart w:id="3" w:name="page4"/>
    <w:bookmarkEnd w:id="3"/>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OF AMERICA</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ectPr>
          <w:pgSz w:w="11900" w:h="16838" w:orient="portrait"/>
          <w:cols w:equalWidth="0" w:num="1">
            <w:col w:w="10139"/>
          </w:cols>
          <w:pgMar w:left="320" w:top="266" w:right="1440"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the Matter 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Advisers,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Opportunities Partners III (A),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III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III (C),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III Delaware AIV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Opps III Delaware AIV I-B,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Opportunities Partners IV (A),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Opportunities Partners IV (B),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Opportunities Partners IV (C),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Opps IV Delaware AIV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Opps IV Delaware AIV I-B,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V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V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V (C),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Opps V Delaware AIV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Opps V Delaware AIV I-B,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L.P.</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979"/>
        <w:spacing w:after="0" w:line="254" w:lineRule="auto"/>
        <w:rPr>
          <w:sz w:val="20"/>
          <w:szCs w:val="20"/>
          <w:color w:val="auto"/>
        </w:rPr>
      </w:pPr>
      <w:r>
        <w:rPr>
          <w:rFonts w:ascii="Times New Roman" w:cs="Times New Roman" w:eastAsia="Times New Roman" w:hAnsi="Times New Roman"/>
          <w:sz w:val="18"/>
          <w:szCs w:val="18"/>
          <w:b w:val="1"/>
          <w:bCs w:val="1"/>
          <w:color w:val="auto"/>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spacing w:after="0" w:line="2151" w:lineRule="exact"/>
        <w:rPr>
          <w:sz w:val="20"/>
          <w:szCs w:val="20"/>
          <w:color w:val="auto"/>
        </w:rPr>
      </w:pPr>
    </w:p>
    <w:p>
      <w:pPr>
        <w:sectPr>
          <w:pgSz w:w="11900" w:h="16838" w:orient="portrait"/>
          <w:cols w:equalWidth="0" w:num="3">
            <w:col w:w="3480" w:space="720"/>
            <w:col w:w="60" w:space="160"/>
            <w:col w:w="5719"/>
          </w:cols>
          <w:pgMar w:left="32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Sixth Street TAO Partners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(F),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 TAO Contingent MA,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Knight TAO,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 TAO MA,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PSERS TAO Partners Parallel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(B) AIV II-A,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(C) AIV II-A,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(D) AIV II-A,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(E) AIV II-A,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Partners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Partners (A)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Partners (B)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Partners II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Partners II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II (A)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II (B)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II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Fundamental Strategies Partners (A),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Fundamental Strategies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FS AIV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FS AIV I-B,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Agriculture Partners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Bluegrass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Willow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Cottonwood Strategic Holdings I, L.P.</w:t>
      </w:r>
    </w:p>
    <w:p>
      <w:pPr>
        <w:sectPr>
          <w:pgSz w:w="11900" w:h="16838" w:orient="portrait"/>
          <w:cols w:equalWidth="0" w:num="1">
            <w:col w:w="10139"/>
          </w:cols>
          <w:pgMar w:left="320" w:top="266"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Dogwood Strategic Holdings 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Red Pine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CMS Dynamic Credit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TCS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TDL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IV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Opps V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I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VI 2016-2,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VIII,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IX,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XIII,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XIV,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XIX,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Equity Fund 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Wheeler Peak Rotational Credit Fund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Rotational Credit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TSSP Structured Credit Opportunities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Fund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Fund 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Partners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TSSP Institutional Credit Partners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Credit Market Strategies Partners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Credit Market Strategies Partners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III Cayman,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Partners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(A)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(B)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Advisers,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Fundamental Strategies 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IV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Growth 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Agriculture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Strategic Holdings Management, LLC</w:t>
      </w:r>
    </w:p>
    <w:p>
      <w:pPr>
        <w:sectPr>
          <w:pgSz w:w="11900" w:h="16838" w:orient="portrait"/>
          <w:cols w:equalWidth="0" w:num="1">
            <w:col w:w="10139"/>
          </w:cols>
          <w:pgMar w:left="320" w:top="27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CMS Dynamic Credit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VI 2016-2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VIII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IX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XIV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XIX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Equity IV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Rotational Credit 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Rotational Credit 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TSSP Structured Credit Opportunities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Structured Credit Opportunities IV Management,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Advisers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TSSP Institutional Credit 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Credit Market Strategies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Madrone Strategic Holdings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Private Asset Based Investment 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Sports and Live Entertainment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XXVI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27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MSGP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Agriculture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Red River Credit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Madrone Strategic Holdings I, L.P. Series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Madrone Strategic Holdings I, L.P. Series II</w:t>
      </w:r>
    </w:p>
    <w:p>
      <w:pPr>
        <w:sectPr>
          <w:pgSz w:w="11900" w:h="16838" w:orient="portrait"/>
          <w:cols w:equalWidth="0" w:num="1">
            <w:col w:w="10139"/>
          </w:cols>
          <w:pgMar w:left="320" w:top="27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Private Asset Based Investment Fund 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Sports and Live Entertainment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Sports and Live Entertainment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Sports and Live Entertainment Delaware AIV I-A,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Sports and Live Entertainment Delaware AIV I-B,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III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III (A) AIF, SCSp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III (B) AIF, SCSp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Redstone (C) AIV-1,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Redstone (C) AIV-2,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Redstone (E) AIV-1,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Redstone (E) AIV-2,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XXIV,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XXV,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XXVI,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27,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 Advisers,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812-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Act of 1940</w:t>
      </w:r>
    </w:p>
    <w:p>
      <w:pPr>
        <w:sectPr>
          <w:pgSz w:w="11900" w:h="16838" w:orient="portrait"/>
          <w:cols w:equalWidth="0" w:num="1">
            <w:col w:w="10139"/>
          </w:cols>
          <w:pgMar w:left="320" w:top="270" w:right="1440" w:bottom="1440" w:gutter="0" w:footer="0" w:header="0"/>
        </w:sectPr>
      </w:pPr>
    </w:p>
    <w:bookmarkStart w:id="7" w:name="page8"/>
    <w:bookmarkEnd w:id="7"/>
    <w:p>
      <w:pPr>
        <w:ind w:left="440" w:hanging="432"/>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SUMMARY OF APPLICATION</w:t>
      </w:r>
    </w:p>
    <w:p>
      <w:pPr>
        <w:spacing w:after="0" w:line="117" w:lineRule="exact"/>
        <w:rPr>
          <w:sz w:val="20"/>
          <w:szCs w:val="20"/>
          <w:color w:val="auto"/>
        </w:rPr>
      </w:pPr>
    </w:p>
    <w:p>
      <w:pPr>
        <w:ind w:right="80" w:firstLine="440"/>
        <w:spacing w:after="0" w:line="217"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 57(i)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Rule 17d-1, permitting certain joint transactions otherwise prohibited by Sections 17(d) and 57(a)(4) of the 1940 Act and Rule 17d-1 thereunder. The Order would supersede the exemptive order issued by the Commission on August 3, 2022 (the “Prior Order”)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that was granted pursuant to Sections 57(a)(4), 57(i) and Rule 17d-1, with the result that no person will continue to rely on the Prior Order if the Order is granted.</w:t>
      </w:r>
    </w:p>
    <w:p>
      <w:pPr>
        <w:spacing w:after="0" w:line="103" w:lineRule="exact"/>
        <w:rPr>
          <w:sz w:val="20"/>
          <w:szCs w:val="20"/>
          <w:color w:val="auto"/>
        </w:rPr>
      </w:pPr>
    </w:p>
    <w:p>
      <w:pPr>
        <w:ind w:left="980" w:right="4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Inc., a Delaware corporation structured as an externally managed, non-diversified, closed-end management investment company that has elected to be regulated as a BDC (as defined below) under the 1940 Act (“</w:t>
      </w:r>
      <w:r>
        <w:rPr>
          <w:rFonts w:ascii="Times New Roman" w:cs="Times New Roman" w:eastAsia="Times New Roman" w:hAnsi="Times New Roman"/>
          <w:sz w:val="18"/>
          <w:szCs w:val="18"/>
          <w:b w:val="1"/>
          <w:bCs w:val="1"/>
          <w:i w:val="1"/>
          <w:iCs w:val="1"/>
          <w:color w:val="auto"/>
        </w:rPr>
        <w:t>TSLX</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 a Wholly-Owned Investment Sub (as defined below) of TSLX;</w:t>
      </w:r>
    </w:p>
    <w:p>
      <w:pPr>
        <w:spacing w:after="0" w:line="130" w:lineRule="exact"/>
        <w:rPr>
          <w:rFonts w:ascii="Times New Roman" w:cs="Times New Roman" w:eastAsia="Times New Roman" w:hAnsi="Times New Roman"/>
          <w:sz w:val="18"/>
          <w:szCs w:val="18"/>
          <w:color w:val="auto"/>
        </w:rPr>
      </w:pPr>
    </w:p>
    <w:p>
      <w:pPr>
        <w:jc w:val="both"/>
        <w:ind w:left="980" w:right="340" w:hanging="432"/>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a Delaware statutory trust structured as an externally managed, non-diversified closed-end management investment company that has elected to be regulated as a BDC under the 1940 Act (“</w:t>
      </w:r>
      <w:r>
        <w:rPr>
          <w:rFonts w:ascii="Times New Roman" w:cs="Times New Roman" w:eastAsia="Times New Roman" w:hAnsi="Times New Roman"/>
          <w:sz w:val="18"/>
          <w:szCs w:val="18"/>
          <w:b w:val="1"/>
          <w:bCs w:val="1"/>
          <w:i w:val="1"/>
          <w:iCs w:val="1"/>
          <w:color w:val="auto"/>
        </w:rPr>
        <w:t>Sixth Street Lending Partners</w:t>
      </w:r>
      <w:r>
        <w:rPr>
          <w:rFonts w:ascii="Times New Roman" w:cs="Times New Roman" w:eastAsia="Times New Roman" w:hAnsi="Times New Roman"/>
          <w:sz w:val="18"/>
          <w:szCs w:val="18"/>
          <w:color w:val="auto"/>
        </w:rPr>
        <w:t>” and together with TSLX, the “</w:t>
      </w:r>
      <w:r>
        <w:rPr>
          <w:rFonts w:ascii="Times New Roman" w:cs="Times New Roman" w:eastAsia="Times New Roman" w:hAnsi="Times New Roman"/>
          <w:sz w:val="18"/>
          <w:szCs w:val="18"/>
          <w:b w:val="1"/>
          <w:bCs w:val="1"/>
          <w:i w:val="1"/>
          <w:iCs w:val="1"/>
          <w:color w:val="auto"/>
        </w:rPr>
        <w:t>Existing Regulated Funds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980" w:right="340" w:hanging="432"/>
        <w:spacing w:after="0" w:line="28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w:t>
      </w:r>
      <w:r>
        <w:rPr>
          <w:rFonts w:ascii="Times New Roman" w:cs="Times New Roman" w:eastAsia="Times New Roman" w:hAnsi="Times New Roman"/>
          <w:sz w:val="18"/>
          <w:szCs w:val="18"/>
          <w:b w:val="1"/>
          <w:bCs w:val="1"/>
          <w:i w:val="1"/>
          <w:iCs w:val="1"/>
          <w:color w:val="auto"/>
        </w:rPr>
        <w:t>Sixth Street Specialty Lending Advisers</w:t>
      </w:r>
      <w:r>
        <w:rPr>
          <w:rFonts w:ascii="Times New Roman" w:cs="Times New Roman" w:eastAsia="Times New Roman" w:hAnsi="Times New Roman"/>
          <w:sz w:val="18"/>
          <w:szCs w:val="18"/>
          <w:color w:val="auto"/>
        </w:rPr>
        <w:t>”), an investment adviser registered under the Investment Advisers Act of 1940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which serves as investment adviser to TSLX;</w:t>
      </w:r>
    </w:p>
    <w:p>
      <w:pPr>
        <w:spacing w:after="0" w:line="60" w:lineRule="exact"/>
        <w:rPr>
          <w:rFonts w:ascii="Times New Roman" w:cs="Times New Roman" w:eastAsia="Times New Roman" w:hAnsi="Times New Roman"/>
          <w:sz w:val="18"/>
          <w:szCs w:val="18"/>
          <w:color w:val="auto"/>
        </w:rPr>
      </w:pPr>
    </w:p>
    <w:p>
      <w:pPr>
        <w:ind w:left="980" w:hanging="432"/>
        <w:spacing w:after="0" w:line="26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Advisers, LLC (“</w:t>
      </w:r>
      <w:r>
        <w:rPr>
          <w:rFonts w:ascii="Times New Roman" w:cs="Times New Roman" w:eastAsia="Times New Roman" w:hAnsi="Times New Roman"/>
          <w:sz w:val="18"/>
          <w:szCs w:val="18"/>
          <w:b w:val="1"/>
          <w:bCs w:val="1"/>
          <w:i w:val="1"/>
          <w:iCs w:val="1"/>
          <w:color w:val="auto"/>
        </w:rPr>
        <w:t>Sixth Street Lending Partners Advisers</w:t>
      </w:r>
      <w:r>
        <w:rPr>
          <w:rFonts w:ascii="Times New Roman" w:cs="Times New Roman" w:eastAsia="Times New Roman" w:hAnsi="Times New Roman"/>
          <w:sz w:val="18"/>
          <w:szCs w:val="18"/>
          <w:color w:val="auto"/>
        </w:rPr>
        <w:t>”, and, together with Sixth Street Specialty Lending Advisers, the “</w:t>
      </w:r>
      <w:r>
        <w:rPr>
          <w:rFonts w:ascii="Times New Roman" w:cs="Times New Roman" w:eastAsia="Times New Roman" w:hAnsi="Times New Roman"/>
          <w:sz w:val="18"/>
          <w:szCs w:val="18"/>
          <w:b w:val="1"/>
          <w:bCs w:val="1"/>
          <w:i w:val="1"/>
          <w:iCs w:val="1"/>
          <w:color w:val="auto"/>
        </w:rPr>
        <w:t>Existing Advisers</w:t>
      </w:r>
      <w:r>
        <w:rPr>
          <w:rFonts w:ascii="Times New Roman" w:cs="Times New Roman" w:eastAsia="Times New Roman" w:hAnsi="Times New Roman"/>
          <w:sz w:val="18"/>
          <w:szCs w:val="18"/>
          <w:color w:val="auto"/>
        </w:rPr>
        <w:t>”), an investment adviser registered under the Advisers Act, which serves as the investment adviser to Sixth Street Lending Partners;</w:t>
      </w:r>
    </w:p>
    <w:p>
      <w:pPr>
        <w:spacing w:after="0" w:line="80" w:lineRule="exact"/>
        <w:rPr>
          <w:rFonts w:ascii="Times New Roman" w:cs="Times New Roman" w:eastAsia="Times New Roman" w:hAnsi="Times New Roman"/>
          <w:sz w:val="18"/>
          <w:szCs w:val="18"/>
          <w:color w:val="auto"/>
        </w:rPr>
      </w:pPr>
    </w:p>
    <w:p>
      <w:pPr>
        <w:ind w:left="980" w:right="64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vehicles identified in Appendix A, each of which is a separate and distinct legal entity and would be an investment company but for Section 3(c)(1) or 3(c)(7) of the 1940 Act (the “</w:t>
      </w:r>
      <w:r>
        <w:rPr>
          <w:rFonts w:ascii="Times New Roman" w:cs="Times New Roman" w:eastAsia="Times New Roman" w:hAnsi="Times New Roman"/>
          <w:sz w:val="18"/>
          <w:szCs w:val="18"/>
          <w:b w:val="1"/>
          <w:bCs w:val="1"/>
          <w:i w:val="1"/>
          <w:iCs w:val="1"/>
          <w:color w:val="auto"/>
        </w:rPr>
        <w:t>Existing Affiliated Entities</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980" w:right="60" w:hanging="432"/>
        <w:spacing w:after="0" w:line="225"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advisers to the Existing Affiliated Entities that are identified in Appendix A (the “</w:t>
      </w:r>
      <w:r>
        <w:rPr>
          <w:rFonts w:ascii="Times New Roman" w:cs="Times New Roman" w:eastAsia="Times New Roman" w:hAnsi="Times New Roman"/>
          <w:sz w:val="18"/>
          <w:szCs w:val="18"/>
          <w:b w:val="1"/>
          <w:bCs w:val="1"/>
          <w:i w:val="1"/>
          <w:iCs w:val="1"/>
          <w:color w:val="auto"/>
        </w:rPr>
        <w:t>Existing Advisers to Affiliated Entities</w:t>
      </w:r>
      <w:r>
        <w:rPr>
          <w:rFonts w:ascii="Times New Roman" w:cs="Times New Roman" w:eastAsia="Times New Roman" w:hAnsi="Times New Roman"/>
          <w:sz w:val="18"/>
          <w:szCs w:val="18"/>
          <w:color w:val="auto"/>
        </w:rPr>
        <w:t>” and, together with the Existing Regulated Funds, the Existing Advisers and the Existing Affiliated Entities,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each of which is registered as an investment adviser under the Advisers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6"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Unless otherwise indicated, all section and rule references herein are to the 1940 Act and rules promulgated thereunder.</w:t>
      </w:r>
    </w:p>
    <w:p>
      <w:pPr>
        <w:ind w:left="440" w:hanging="432"/>
        <w:spacing w:after="0" w:line="180" w:lineRule="auto"/>
        <w:tabs>
          <w:tab w:leader="none" w:pos="4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Sixth Street Specialty Lending, Inc., et al</w:t>
      </w:r>
      <w:r>
        <w:rPr>
          <w:rFonts w:ascii="Times New Roman" w:cs="Times New Roman" w:eastAsia="Times New Roman" w:hAnsi="Times New Roman"/>
          <w:sz w:val="17"/>
          <w:szCs w:val="17"/>
          <w:color w:val="auto"/>
        </w:rPr>
        <w:t>. (File No. 812-15090), Release No. IC-34644 (July 8, 2022) (notice), Release No. IC-34660 (August 3,</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2022) (order).</w:t>
      </w:r>
    </w:p>
    <w:p>
      <w:pPr>
        <w:spacing w:after="0" w:line="7" w:lineRule="exact"/>
        <w:rPr>
          <w:sz w:val="20"/>
          <w:szCs w:val="20"/>
          <w:color w:val="auto"/>
        </w:rPr>
      </w:pPr>
    </w:p>
    <w:p>
      <w:pPr>
        <w:ind w:left="440" w:right="100" w:hanging="432"/>
        <w:spacing w:after="0" w:line="200" w:lineRule="auto"/>
        <w:tabs>
          <w:tab w:leader="none" w:pos="4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ectPr>
          <w:pgSz w:w="11900" w:h="16838" w:orient="portrait"/>
          <w:cols w:equalWidth="0" w:num="1">
            <w:col w:w="11020"/>
          </w:cols>
          <w:pgMar w:left="320" w:top="266" w:right="559" w:bottom="1440" w:gutter="0" w:footer="0" w:header="0"/>
        </w:sectPr>
      </w:pPr>
    </w:p>
    <w:bookmarkStart w:id="8" w:name="page9"/>
    <w:bookmarkEnd w:id="8"/>
    <w:p>
      <w:pPr>
        <w:ind w:right="20" w:firstLine="440"/>
        <w:spacing w:after="0" w:line="20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 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6"/>
          <w:szCs w:val="26"/>
          <w:color w:val="auto"/>
          <w:vertAlign w:val="superscript"/>
        </w:rPr>
        <w:t>8</w:t>
      </w:r>
    </w:p>
    <w:p>
      <w:pPr>
        <w:spacing w:after="0" w:line="217"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DESCRIPTION OF THE APPLICANTS</w:t>
      </w:r>
    </w:p>
    <w:p>
      <w:pPr>
        <w:spacing w:after="0" w:line="135" w:lineRule="exact"/>
        <w:rPr>
          <w:sz w:val="20"/>
          <w:szCs w:val="20"/>
          <w:color w:val="auto"/>
        </w:rPr>
      </w:pPr>
    </w:p>
    <w:p>
      <w:pPr>
        <w:ind w:left="980" w:hanging="540"/>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TSLX and TC Lending, LLC</w:t>
      </w:r>
    </w:p>
    <w:p>
      <w:pPr>
        <w:spacing w:after="0" w:line="11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TSLX was organized as a Delaware corporation on July 21, 2010 for the purpose of operating as an externally managed specialty finance investment company. TSLX has elected to be regulated as a BDC under the 1940 Act. In connection with that election, TSLX has registered its shares under the Exchange Act, and is thus subject to the periodic reporting requirements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5" w:lineRule="exact"/>
        <w:rPr>
          <w:sz w:val="20"/>
          <w:szCs w:val="20"/>
          <w:color w:val="auto"/>
        </w:rPr>
      </w:pPr>
    </w:p>
    <w:p>
      <w:pPr>
        <w:ind w:left="440" w:right="20" w:hanging="432"/>
        <w:spacing w:after="0" w:line="245" w:lineRule="auto"/>
        <w:tabs>
          <w:tab w:leader="none" w:pos="44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Regulated Fund</w:t>
      </w:r>
      <w:r>
        <w:rPr>
          <w:rFonts w:ascii="Times New Roman" w:cs="Times New Roman" w:eastAsia="Times New Roman" w:hAnsi="Times New Roman"/>
          <w:sz w:val="17"/>
          <w:szCs w:val="17"/>
          <w:color w:val="auto"/>
        </w:rPr>
        <w:t>” means the Existing Regulated Funds and any Future Regulated Funds. “</w:t>
      </w:r>
      <w:r>
        <w:rPr>
          <w:rFonts w:ascii="Times New Roman" w:cs="Times New Roman" w:eastAsia="Times New Roman" w:hAnsi="Times New Roman"/>
          <w:sz w:val="17"/>
          <w:szCs w:val="17"/>
          <w:b w:val="1"/>
          <w:bCs w:val="1"/>
          <w:i w:val="1"/>
          <w:iCs w:val="1"/>
          <w:color w:val="auto"/>
        </w:rPr>
        <w:t>Future Regulated Fund</w:t>
      </w:r>
      <w:r>
        <w:rPr>
          <w:rFonts w:ascii="Times New Roman" w:cs="Times New Roman" w:eastAsia="Times New Roman" w:hAnsi="Times New Roman"/>
          <w:sz w:val="17"/>
          <w:szCs w:val="17"/>
          <w:color w:val="auto"/>
        </w:rPr>
        <w:t>” means an entity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spacing w:after="0" w:line="88" w:lineRule="exact"/>
        <w:rPr>
          <w:rFonts w:ascii="Times New Roman" w:cs="Times New Roman" w:eastAsia="Times New Roman" w:hAnsi="Times New Roman"/>
          <w:sz w:val="26"/>
          <w:szCs w:val="26"/>
          <w:color w:val="auto"/>
          <w:vertAlign w:val="superscript"/>
        </w:rPr>
      </w:pPr>
    </w:p>
    <w:p>
      <w:pPr>
        <w:ind w:left="440" w:right="40"/>
        <w:spacing w:after="0" w:line="253"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spacing w:after="0" w:line="83" w:lineRule="exact"/>
        <w:rPr>
          <w:rFonts w:ascii="Times New Roman" w:cs="Times New Roman" w:eastAsia="Times New Roman" w:hAnsi="Times New Roman"/>
          <w:sz w:val="26"/>
          <w:szCs w:val="26"/>
          <w:color w:val="auto"/>
          <w:vertAlign w:val="superscript"/>
        </w:rPr>
      </w:pPr>
    </w:p>
    <w:p>
      <w:pPr>
        <w:ind w:left="440" w:right="100"/>
        <w:spacing w:after="0" w:line="277"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69" w:lineRule="exact"/>
        <w:rPr>
          <w:sz w:val="20"/>
          <w:szCs w:val="20"/>
          <w:color w:val="auto"/>
        </w:rPr>
      </w:pPr>
    </w:p>
    <w:p>
      <w:pPr>
        <w:ind w:left="440" w:right="40" w:hanging="432"/>
        <w:spacing w:after="0" w:line="228" w:lineRule="auto"/>
        <w:tabs>
          <w:tab w:leader="none" w:pos="44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spacing w:after="0" w:line="91" w:lineRule="exact"/>
        <w:rPr>
          <w:rFonts w:ascii="Times New Roman" w:cs="Times New Roman" w:eastAsia="Times New Roman" w:hAnsi="Times New Roman"/>
          <w:sz w:val="27"/>
          <w:szCs w:val="27"/>
          <w:color w:val="auto"/>
          <w:vertAlign w:val="superscript"/>
        </w:rPr>
      </w:pPr>
    </w:p>
    <w:p>
      <w:pPr>
        <w:ind w:left="440" w:right="200"/>
        <w:spacing w:after="0" w:line="28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spacing w:after="0" w:line="63" w:lineRule="exact"/>
        <w:rPr>
          <w:sz w:val="20"/>
          <w:szCs w:val="20"/>
          <w:color w:val="auto"/>
        </w:rPr>
      </w:pPr>
    </w:p>
    <w:p>
      <w:pPr>
        <w:ind w:left="440" w:right="220" w:hanging="432"/>
        <w:spacing w:after="0" w:line="210" w:lineRule="auto"/>
        <w:tabs>
          <w:tab w:leader="none" w:pos="4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 previously granted relief.</w:t>
      </w:r>
    </w:p>
    <w:p>
      <w:pPr>
        <w:spacing w:after="0" w:line="2" w:lineRule="exact"/>
        <w:rPr>
          <w:sz w:val="20"/>
          <w:szCs w:val="20"/>
          <w:color w:val="auto"/>
        </w:rPr>
      </w:pPr>
    </w:p>
    <w:p>
      <w:pPr>
        <w:ind w:left="440" w:right="220" w:hanging="432"/>
        <w:spacing w:after="0" w:line="200" w:lineRule="auto"/>
        <w:tabs>
          <w:tab w:leader="none" w:pos="44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the Existing Advisers, and any other investment adviser controlling, controlled by, or under common control with the Existing Advisers. The term “Adviser” also includes any internally-managed Regulated Fund.</w:t>
      </w:r>
    </w:p>
    <w:p>
      <w:pPr>
        <w:spacing w:after="0" w:line="1" w:lineRule="exact"/>
        <w:rPr>
          <w:sz w:val="20"/>
          <w:szCs w:val="20"/>
          <w:color w:val="auto"/>
        </w:rPr>
      </w:pPr>
    </w:p>
    <w:p>
      <w:pPr>
        <w:ind w:left="440" w:hanging="432"/>
        <w:spacing w:after="0" w:line="200" w:lineRule="auto"/>
        <w:tabs>
          <w:tab w:leader="none" w:pos="44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266" w:right="559" w:bottom="1440" w:gutter="0" w:footer="0" w:header="0"/>
        </w:sectPr>
      </w:pPr>
    </w:p>
    <w:bookmarkStart w:id="9" w:name="page10"/>
    <w:bookmarkEnd w:id="9"/>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TSLX initially raised capital through private offerings in reliance on the exemption from the registration requirements under the Securities Act set forth under Section 4(a)(2) thereof. TSLX completed the initial public offering of its shares of common stock on March 26, 2014. TSLX’s common stock is traded on the New York Stock Exchange under the symbol “TSLX.” As of December 31, 2024, TSLX had 93,661,436 shares of common stock outstanding.</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TSLX’s current investment objective and strategy is to generate current income by targeting investments with favorable risk-adjusted returns. TSLX seeks to generate current income primarily through direct originations of senior secured loans and, to a lesser extent, originations of mezzanine and unsecured loans and investments in corporate bonds and equity securities.</w:t>
      </w:r>
    </w:p>
    <w:p>
      <w:pPr>
        <w:spacing w:after="0" w:line="172" w:lineRule="exact"/>
        <w:rPr>
          <w:sz w:val="20"/>
          <w:szCs w:val="20"/>
          <w:color w:val="auto"/>
        </w:rPr>
      </w:pPr>
    </w:p>
    <w:p>
      <w:pPr>
        <w:ind w:right="740" w:firstLine="440"/>
        <w:spacing w:after="0" w:line="299" w:lineRule="auto"/>
        <w:rPr>
          <w:sz w:val="20"/>
          <w:szCs w:val="20"/>
          <w:color w:val="auto"/>
        </w:rPr>
      </w:pPr>
      <w:r>
        <w:rPr>
          <w:rFonts w:ascii="Times New Roman" w:cs="Times New Roman" w:eastAsia="Times New Roman" w:hAnsi="Times New Roman"/>
          <w:sz w:val="18"/>
          <w:szCs w:val="18"/>
          <w:color w:val="auto"/>
        </w:rPr>
        <w:t>TSLX has a ten-member board (the “</w:t>
      </w:r>
      <w:r>
        <w:rPr>
          <w:rFonts w:ascii="Times New Roman" w:cs="Times New Roman" w:eastAsia="Times New Roman" w:hAnsi="Times New Roman"/>
          <w:sz w:val="18"/>
          <w:szCs w:val="18"/>
          <w:b w:val="1"/>
          <w:bCs w:val="1"/>
          <w:i w:val="1"/>
          <w:iCs w:val="1"/>
          <w:color w:val="auto"/>
        </w:rPr>
        <w:t>TSLX Board</w:t>
      </w:r>
      <w:r>
        <w:rPr>
          <w:rFonts w:ascii="Times New Roman" w:cs="Times New Roman" w:eastAsia="Times New Roman" w:hAnsi="Times New Roman"/>
          <w:sz w:val="18"/>
          <w:szCs w:val="18"/>
          <w:color w:val="auto"/>
        </w:rPr>
        <w:t>”), of which six members are not “interested” persons of TSLX within the meaning of Section 2(a)(19) of the 1940 Act.</w:t>
      </w:r>
      <w:r>
        <w:rPr>
          <w:rFonts w:ascii="Times New Roman" w:cs="Times New Roman" w:eastAsia="Times New Roman" w:hAnsi="Times New Roman"/>
          <w:sz w:val="26"/>
          <w:szCs w:val="26"/>
          <w:color w:val="auto"/>
          <w:vertAlign w:val="superscript"/>
        </w:rPr>
        <w:t>9</w:t>
      </w:r>
    </w:p>
    <w:p>
      <w:pPr>
        <w:spacing w:after="0" w:line="18"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TSLX has elected to be treated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Internal Revenue Code of 1986, as amended, and operates in a manner so as to qualify for the tax treatment applicable to RICs.</w:t>
      </w:r>
    </w:p>
    <w:p>
      <w:pPr>
        <w:spacing w:after="0" w:line="159" w:lineRule="exact"/>
        <w:rPr>
          <w:sz w:val="20"/>
          <w:szCs w:val="20"/>
          <w:color w:val="auto"/>
        </w:rPr>
      </w:pPr>
    </w:p>
    <w:p>
      <w:pPr>
        <w:jc w:val="both"/>
        <w:ind w:right="320" w:firstLine="440"/>
        <w:spacing w:after="0" w:line="312" w:lineRule="auto"/>
        <w:rPr>
          <w:sz w:val="20"/>
          <w:szCs w:val="20"/>
          <w:color w:val="auto"/>
        </w:rPr>
      </w:pPr>
      <w:r>
        <w:rPr>
          <w:rFonts w:ascii="Times New Roman" w:cs="Times New Roman" w:eastAsia="Times New Roman" w:hAnsi="Times New Roman"/>
          <w:sz w:val="17"/>
          <w:szCs w:val="17"/>
          <w:color w:val="auto"/>
        </w:rPr>
        <w:t>TC Lending, LLC is a Wholly-Owned Investment Sub of TSLX, whose sole business purpose is to hold one or more investments on behalf of TSLX. TC Lending, LLC is a separate and distinct legal entity. TC Lending, LLC is exempt from registration under Section 3(c)(7) of the 1940 Act.</w:t>
      </w:r>
    </w:p>
    <w:p>
      <w:pPr>
        <w:spacing w:after="0" w:line="167" w:lineRule="exact"/>
        <w:rPr>
          <w:sz w:val="20"/>
          <w:szCs w:val="20"/>
          <w:color w:val="auto"/>
        </w:rPr>
      </w:pPr>
    </w:p>
    <w:p>
      <w:pPr>
        <w:ind w:left="1420" w:hanging="427"/>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 Street Lending Partners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Sixth Street Lending Partners was organized as a Delaware statutory trust on April 7, 2022 for the purpose of operating as an externally managed specialty finance investment company. Sixth Street Lending Partners has elected to be regulated as a BDC under the 1940 Act. In connection with that election, Sixth Street Lending Partners has filed a registration statement on Form 10 for the purpose of registering its shares under the Exchange Act and is subject to the periodic reporting requirements of the Exchange Act.</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Sixth Street Lending Partners raised capital through private offerings in reliance on the exemption from registration requirements under the Securities Act set forth under Section 4(a)(2) thereof. Sixth Street Lending Partners’ current investment objective and strategy is to generate current income by targeting investments with favorable risk-adjusted returns. Sixth Street Lending Partners seeks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79"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Sixth Street Lending Partners has a seven-member board (the “</w:t>
      </w:r>
      <w:r>
        <w:rPr>
          <w:rFonts w:ascii="Times New Roman" w:cs="Times New Roman" w:eastAsia="Times New Roman" w:hAnsi="Times New Roman"/>
          <w:sz w:val="18"/>
          <w:szCs w:val="18"/>
          <w:b w:val="1"/>
          <w:bCs w:val="1"/>
          <w:i w:val="1"/>
          <w:iCs w:val="1"/>
          <w:color w:val="auto"/>
        </w:rPr>
        <w:t>SSLP Board</w:t>
      </w:r>
      <w:r>
        <w:rPr>
          <w:rFonts w:ascii="Times New Roman" w:cs="Times New Roman" w:eastAsia="Times New Roman" w:hAnsi="Times New Roman"/>
          <w:sz w:val="18"/>
          <w:szCs w:val="18"/>
          <w:color w:val="auto"/>
        </w:rPr>
        <w:t>” and, together with the TSLX Board,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which four members are not “interested” persons of Sixth Street Lending Partners within the meaning of Section 2(a)(19) of the 1940 Act.</w:t>
      </w:r>
    </w:p>
    <w:p>
      <w:pPr>
        <w:spacing w:after="0" w:line="186" w:lineRule="exact"/>
        <w:rPr>
          <w:sz w:val="20"/>
          <w:szCs w:val="20"/>
          <w:color w:val="auto"/>
        </w:rPr>
      </w:pPr>
    </w:p>
    <w:p>
      <w:pPr>
        <w:ind w:left="1420" w:hanging="427"/>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 Street Specialty Lending Advisers</w:t>
      </w:r>
    </w:p>
    <w:p>
      <w:pPr>
        <w:spacing w:after="0" w:line="11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Sixth Street Specialty Lending Advisers, a Delaware limited liability company, is registered with the Commission as an investment adviser under the Advisers Act. Sixth Street Specialty Lending Advisers serves as investment adviser to the Company and is responsible for sourcing potential investments, conducting research and due diligence on prospective investments and equity sponsors, analyzing investment opportunities, structuring the Company’s investments, and monitoring such investments and portfolio companies, on an ongoing basis. Sixth Street Specialty Lending Advisers may in the future serve as an investment adviser to one or more Regulated Funds or Affiliated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40" w:right="120" w:hanging="432"/>
        <w:spacing w:after="0" w:line="208" w:lineRule="auto"/>
        <w:tabs>
          <w:tab w:leader="none" w:pos="44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Board of each Future Regulated Fund will consist of a majority of members who are not “interested persons” of such Future Regulated Fund within the meaning of Section 2(a)(19) of the 1940 Act.</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320" w:top="270" w:right="579" w:bottom="1440" w:gutter="0" w:footer="0" w:header="0"/>
        </w:sectPr>
      </w:pPr>
    </w:p>
    <w:bookmarkStart w:id="10" w:name="page11"/>
    <w:bookmarkEnd w:id="10"/>
    <w:p>
      <w:pPr>
        <w:ind w:left="1420" w:hanging="427"/>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 Advisers</w:t>
      </w:r>
    </w:p>
    <w:p>
      <w:pPr>
        <w:spacing w:after="0" w:line="11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Sixth Street Lending Partners Advisers, a Delaware limited liability company, is registered with the Commission as an investment adviser under the Advisers Act. Sixth Street Lending Partners Advisers serves as investment adviser to Sixth Street Lending Partners, and will be responsible for sourcing potential investments, conducting research and due diligence on prospective investments and equity sponsors, analyzing investment opportunities, structuring Sixth Street Lending Partners’ investments, and monitoring such investments and portfolio companies, on an ongoing basis. Sixth Street Lending Partners Advisers may in the future serve as an investment adviser to one or more additional Regulated Funds or Affiliated Entities.</w:t>
      </w:r>
    </w:p>
    <w:p>
      <w:pPr>
        <w:spacing w:after="0" w:line="214" w:lineRule="exact"/>
        <w:rPr>
          <w:sz w:val="20"/>
          <w:szCs w:val="20"/>
          <w:color w:val="auto"/>
        </w:rPr>
      </w:pPr>
    </w:p>
    <w:p>
      <w:pPr>
        <w:ind w:left="1420" w:hanging="427"/>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Affiliated Entities</w:t>
      </w:r>
    </w:p>
    <w:p>
      <w:pPr>
        <w:spacing w:after="0" w:line="11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The Existing Advisers to Affiliated Entities are the investment advisers to the Existing Affiliated Entities. A complete list of the Existing Affiliated Entities and the Existing Advisers to Affiliated Entities is included in Appendix A.</w:t>
      </w:r>
    </w:p>
    <w:p>
      <w:pPr>
        <w:spacing w:after="0" w:line="306"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ORDER REQUESTED</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Applicable Law</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jc w:val="both"/>
        <w:ind w:right="80" w:firstLine="440"/>
        <w:spacing w:after="0" w:line="224"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xml:space="preserve"> in which the fund is a participant without first obtaining an order from the SEC.</w:t>
      </w:r>
    </w:p>
    <w:p>
      <w:pPr>
        <w:spacing w:after="0" w:line="19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spacing w:after="0" w:line="18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40" w:right="100" w:hanging="432"/>
        <w:spacing w:after="0" w:line="227" w:lineRule="auto"/>
        <w:tabs>
          <w:tab w:leader="none" w:pos="44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270" w:right="57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Need for Relief</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 or closed-end fund or a business development company, respectively, including a sub-adviser. Thus, an Adviser and any Affiliated Entities that it advises could be deemed to be persons related to Regulated Funds in a manner described by Sections 17(d) and 57(b). Sixth Street Specialty Lending Advisers and Sixth Street Lending Partners Adviser are each wholly-owned by Sixth Street Advisers, are under common control, and are thus affiliated persons of each other. Accordingly, with respect to Sixth Street Specialty Lending Advisers, Sixth Street Lending Partners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Existing Advisers,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187" w:lineRule="exact"/>
        <w:rPr>
          <w:sz w:val="20"/>
          <w:szCs w:val="20"/>
          <w:color w:val="auto"/>
        </w:rPr>
      </w:pPr>
    </w:p>
    <w:p>
      <w:pPr>
        <w:ind w:left="660" w:hanging="21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117" w:lineRule="exact"/>
        <w:rPr>
          <w:sz w:val="20"/>
          <w:szCs w:val="20"/>
          <w:color w:val="auto"/>
        </w:rPr>
      </w:pPr>
    </w:p>
    <w:p>
      <w:pPr>
        <w:ind w:left="440" w:right="60" w:firstLine="431"/>
        <w:spacing w:after="0" w:line="255" w:lineRule="auto"/>
        <w:tabs>
          <w:tab w:leader="none" w:pos="10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cs="Times New Roman" w:eastAsia="Times New Roman" w:hAnsi="Times New Roman"/>
          <w:sz w:val="26"/>
          <w:szCs w:val="26"/>
          <w:color w:val="auto"/>
          <w:vertAlign w:val="superscript"/>
        </w:rPr>
        <w:t>11</w:t>
      </w:r>
    </w:p>
    <w:p>
      <w:pPr>
        <w:spacing w:after="0" w:line="2" w:lineRule="exact"/>
        <w:rPr>
          <w:rFonts w:ascii="Times New Roman" w:cs="Times New Roman" w:eastAsia="Times New Roman" w:hAnsi="Times New Roman"/>
          <w:sz w:val="18"/>
          <w:szCs w:val="18"/>
          <w:color w:val="auto"/>
        </w:rPr>
      </w:pPr>
    </w:p>
    <w:p>
      <w:pPr>
        <w:ind w:left="440" w:right="40" w:firstLine="431"/>
        <w:spacing w:after="0" w:line="212" w:lineRule="auto"/>
        <w:tabs>
          <w:tab w:leader="none" w:pos="10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Investments in the Issuer</w:t>
      </w:r>
      <w:r>
        <w:rPr>
          <w:rFonts w:ascii="Times New Roman" w:cs="Times New Roman" w:eastAsia="Times New Roman" w:hAnsi="Times New Roman"/>
          <w:sz w:val="18"/>
          <w:szCs w:val="18"/>
          <w:color w:val="auto"/>
        </w:rPr>
        <w:t>. Prior to a Regulated Fund acquiring in a Co-Investment Transaction a security of an issuer in which an Affiliated Entity has an existing interest in such issuer, the “required majority,” as defined in Section 57(o) of the 1940 Act,</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of the Regulated Fund (“</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2" w:lineRule="exact"/>
        <w:rPr>
          <w:sz w:val="20"/>
          <w:szCs w:val="20"/>
          <w:color w:val="auto"/>
        </w:rPr>
      </w:pPr>
    </w:p>
    <w:p>
      <w:pPr>
        <w:ind w:left="440" w:right="260" w:hanging="432"/>
        <w:spacing w:after="0" w:line="208" w:lineRule="auto"/>
        <w:tabs>
          <w:tab w:leader="none" w:pos="4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1" w:lineRule="exact"/>
        <w:rPr>
          <w:rFonts w:ascii="Times New Roman" w:cs="Times New Roman" w:eastAsia="Times New Roman" w:hAnsi="Times New Roman"/>
          <w:sz w:val="27"/>
          <w:szCs w:val="27"/>
          <w:color w:val="auto"/>
          <w:vertAlign w:val="superscript"/>
        </w:rPr>
      </w:pPr>
    </w:p>
    <w:p>
      <w:pPr>
        <w:ind w:left="440" w:right="100" w:hanging="432"/>
        <w:spacing w:after="0" w:line="222" w:lineRule="auto"/>
        <w:tabs>
          <w:tab w:leader="none" w:pos="4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w:t>
      </w:r>
    </w:p>
    <w:p>
      <w:pPr>
        <w:spacing w:after="0" w:line="2" w:lineRule="exact"/>
        <w:rPr>
          <w:rFonts w:ascii="Times New Roman" w:cs="Times New Roman" w:eastAsia="Times New Roman" w:hAnsi="Times New Roman"/>
          <w:sz w:val="27"/>
          <w:szCs w:val="27"/>
          <w:color w:val="auto"/>
          <w:vertAlign w:val="superscript"/>
        </w:rPr>
      </w:pPr>
    </w:p>
    <w:p>
      <w:pPr>
        <w:ind w:left="440" w:hanging="432"/>
        <w:spacing w:after="0" w:line="231" w:lineRule="auto"/>
        <w:tabs>
          <w:tab w:leader="none" w:pos="4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270" w:right="559" w:bottom="1440" w:gutter="0" w:footer="0" w:header="0"/>
        </w:sectPr>
      </w:pPr>
    </w:p>
    <w:bookmarkStart w:id="12" w:name="page13"/>
    <w:bookmarkEnd w:id="12"/>
    <w:p>
      <w:pPr>
        <w:ind w:left="432" w:right="20" w:firstLine="431"/>
        <w:spacing w:after="0" w:line="261" w:lineRule="auto"/>
        <w:tabs>
          <w:tab w:leader="none" w:pos="10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6"/>
          <w:szCs w:val="26"/>
          <w:color w:val="auto"/>
          <w:vertAlign w:val="superscript"/>
        </w:rPr>
        <w:t>14</w:t>
      </w:r>
    </w:p>
    <w:p>
      <w:pPr>
        <w:ind w:left="432" w:firstLine="431"/>
        <w:spacing w:after="0"/>
        <w:tabs>
          <w:tab w:leader="none" w:pos="10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Remuneration</w:t>
      </w:r>
      <w:r>
        <w:rPr>
          <w:rFonts w:ascii="Times New Roman" w:cs="Times New Roman" w:eastAsia="Times New Roman" w:hAnsi="Times New Roman"/>
          <w:sz w:val="18"/>
          <w:szCs w:val="18"/>
          <w:color w:val="auto"/>
        </w:rPr>
        <w:t>. Any transaction fee</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95" w:lineRule="exact"/>
        <w:rPr>
          <w:rFonts w:ascii="Times New Roman" w:cs="Times New Roman" w:eastAsia="Times New Roman" w:hAnsi="Times New Roman"/>
          <w:sz w:val="18"/>
          <w:szCs w:val="18"/>
          <w:color w:val="auto"/>
        </w:rPr>
      </w:pPr>
    </w:p>
    <w:p>
      <w:pPr>
        <w:ind w:left="432" w:firstLine="431"/>
        <w:spacing w:after="0" w:line="271" w:lineRule="auto"/>
        <w:tabs>
          <w:tab w:leader="none" w:pos="10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Co-Investment Policies</w:t>
      </w:r>
      <w:r>
        <w:rPr>
          <w:rFonts w:ascii="Times New Roman" w:cs="Times New Roman" w:eastAsia="Times New Roman" w:hAnsi="Times New Roman"/>
          <w:sz w:val="17"/>
          <w:szCs w:val="17"/>
          <w:color w:val="auto"/>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7"/>
          <w:szCs w:val="17"/>
          <w:b w:val="1"/>
          <w:bCs w:val="1"/>
          <w:i w:val="1"/>
          <w:iCs w:val="1"/>
          <w:color w:val="auto"/>
        </w:rPr>
        <w:t>Co-Investment Policies</w:t>
      </w:r>
      <w:r>
        <w:rPr>
          <w:rFonts w:ascii="Times New Roman" w:cs="Times New Roman" w:eastAsia="Times New Roman" w:hAnsi="Times New Roman"/>
          <w:sz w:val="17"/>
          <w:szCs w:val="17"/>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5"/>
          <w:szCs w:val="25"/>
          <w:color w:val="auto"/>
          <w:vertAlign w:val="superscript"/>
        </w:rPr>
        <w:t>16</w:t>
      </w:r>
    </w:p>
    <w:p>
      <w:pPr>
        <w:ind w:left="1052" w:hanging="189"/>
        <w:spacing w:after="0"/>
        <w:tabs>
          <w:tab w:leader="none" w:pos="10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992" w:firstLine="400"/>
        <w:spacing w:after="0" w:line="224" w:lineRule="auto"/>
        <w:tabs>
          <w:tab w:leader="none" w:pos="16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90" w:lineRule="exact"/>
        <w:rPr>
          <w:rFonts w:ascii="Times New Roman" w:cs="Times New Roman" w:eastAsia="Times New Roman" w:hAnsi="Times New Roman"/>
          <w:sz w:val="18"/>
          <w:szCs w:val="18"/>
          <w:color w:val="auto"/>
        </w:rPr>
      </w:pPr>
    </w:p>
    <w:p>
      <w:pPr>
        <w:ind w:left="992" w:right="140" w:firstLine="400"/>
        <w:spacing w:after="0" w:line="296" w:lineRule="auto"/>
        <w:tabs>
          <w:tab w:leader="none" w:pos="164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5"/>
          <w:szCs w:val="25"/>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32" w:right="340" w:hanging="432"/>
        <w:spacing w:after="0" w:line="208" w:lineRule="auto"/>
        <w:tabs>
          <w:tab w:leader="none" w:pos="432"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spacing w:after="0" w:line="1" w:lineRule="exact"/>
        <w:rPr>
          <w:rFonts w:ascii="Times New Roman" w:cs="Times New Roman" w:eastAsia="Times New Roman" w:hAnsi="Times New Roman"/>
          <w:sz w:val="27"/>
          <w:szCs w:val="27"/>
          <w:color w:val="auto"/>
          <w:vertAlign w:val="superscript"/>
        </w:rPr>
      </w:pPr>
    </w:p>
    <w:p>
      <w:pPr>
        <w:ind w:left="432" w:right="100" w:hanging="432"/>
        <w:spacing w:after="0" w:line="200" w:lineRule="auto"/>
        <w:tabs>
          <w:tab w:leader="none" w:pos="432"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ind w:left="432" w:hanging="432"/>
        <w:spacing w:after="0" w:line="180" w:lineRule="auto"/>
        <w:tabs>
          <w:tab w:leader="none" w:pos="432"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Affiliated Entities may adopt shared Co-Investment Policies.</w:t>
      </w:r>
    </w:p>
    <w:p>
      <w:pPr>
        <w:spacing w:after="0" w:line="2" w:lineRule="exact"/>
        <w:rPr>
          <w:rFonts w:ascii="Times New Roman" w:cs="Times New Roman" w:eastAsia="Times New Roman" w:hAnsi="Times New Roman"/>
          <w:sz w:val="25"/>
          <w:szCs w:val="25"/>
          <w:color w:val="auto"/>
          <w:vertAlign w:val="superscript"/>
        </w:rPr>
      </w:pPr>
    </w:p>
    <w:p>
      <w:pPr>
        <w:ind w:left="432" w:hanging="432"/>
        <w:spacing w:after="0" w:line="186" w:lineRule="auto"/>
        <w:tabs>
          <w:tab w:leader="none" w:pos="432"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Disposition</w:t>
      </w:r>
      <w:r>
        <w:rPr>
          <w:rFonts w:ascii="Times New Roman" w:cs="Times New Roman" w:eastAsia="Times New Roman" w:hAnsi="Times New Roman"/>
          <w:sz w:val="16"/>
          <w:szCs w:val="16"/>
          <w:color w:val="auto"/>
        </w:rPr>
        <w:t>” means the sale, exchange, transfer or other disposition of an interest in a security of an issuer.</w:t>
      </w:r>
    </w:p>
    <w:p>
      <w:pPr>
        <w:spacing w:after="0" w:line="2" w:lineRule="exact"/>
        <w:rPr>
          <w:rFonts w:ascii="Times New Roman" w:cs="Times New Roman" w:eastAsia="Times New Roman" w:hAnsi="Times New Roman"/>
          <w:sz w:val="24"/>
          <w:szCs w:val="24"/>
          <w:color w:val="auto"/>
          <w:vertAlign w:val="superscript"/>
        </w:rPr>
      </w:pPr>
    </w:p>
    <w:p>
      <w:pPr>
        <w:ind w:left="432" w:right="40" w:hanging="432"/>
        <w:spacing w:after="0" w:line="222" w:lineRule="auto"/>
        <w:tabs>
          <w:tab w:leader="none" w:pos="432"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1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72"/>
          </w:cols>
          <w:pgMar w:left="328" w:top="270" w:right="599" w:bottom="1440" w:gutter="0" w:footer="0" w:header="0"/>
        </w:sectPr>
      </w:pPr>
    </w:p>
    <w:bookmarkStart w:id="13" w:name="page14"/>
    <w:bookmarkEnd w:id="13"/>
    <w:p>
      <w:pPr>
        <w:ind w:left="1052" w:hanging="189"/>
        <w:spacing w:after="0"/>
        <w:tabs>
          <w:tab w:leader="none" w:pos="10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Oversight</w:t>
      </w:r>
    </w:p>
    <w:p>
      <w:pPr>
        <w:spacing w:after="0" w:line="117" w:lineRule="exact"/>
        <w:rPr>
          <w:rFonts w:ascii="Times New Roman" w:cs="Times New Roman" w:eastAsia="Times New Roman" w:hAnsi="Times New Roman"/>
          <w:sz w:val="18"/>
          <w:szCs w:val="18"/>
          <w:color w:val="auto"/>
        </w:rPr>
      </w:pPr>
    </w:p>
    <w:p>
      <w:pPr>
        <w:ind w:left="992" w:right="80" w:firstLine="400"/>
        <w:spacing w:after="0" w:line="282" w:lineRule="auto"/>
        <w:tabs>
          <w:tab w:leader="none" w:pos="16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53" w:lineRule="exact"/>
        <w:rPr>
          <w:rFonts w:ascii="Times New Roman" w:cs="Times New Roman" w:eastAsia="Times New Roman" w:hAnsi="Times New Roman"/>
          <w:sz w:val="18"/>
          <w:szCs w:val="18"/>
          <w:color w:val="auto"/>
        </w:rPr>
      </w:pPr>
    </w:p>
    <w:p>
      <w:pPr>
        <w:jc w:val="both"/>
        <w:ind w:left="992" w:right="180" w:firstLine="400"/>
        <w:spacing w:after="0" w:line="261" w:lineRule="auto"/>
        <w:tabs>
          <w:tab w:leader="none" w:pos="1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71" w:lineRule="exact"/>
        <w:rPr>
          <w:rFonts w:ascii="Times New Roman" w:cs="Times New Roman" w:eastAsia="Times New Roman" w:hAnsi="Times New Roman"/>
          <w:sz w:val="18"/>
          <w:szCs w:val="18"/>
          <w:color w:val="auto"/>
        </w:rPr>
      </w:pPr>
    </w:p>
    <w:p>
      <w:pPr>
        <w:ind w:left="992" w:right="120" w:firstLine="400"/>
        <w:spacing w:after="0" w:line="261" w:lineRule="auto"/>
        <w:tabs>
          <w:tab w:leader="none" w:pos="16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71" w:lineRule="exact"/>
        <w:rPr>
          <w:rFonts w:ascii="Times New Roman" w:cs="Times New Roman" w:eastAsia="Times New Roman" w:hAnsi="Times New Roman"/>
          <w:sz w:val="18"/>
          <w:szCs w:val="18"/>
          <w:color w:val="auto"/>
        </w:rPr>
      </w:pPr>
    </w:p>
    <w:p>
      <w:pPr>
        <w:ind w:left="992" w:firstLine="400"/>
        <w:spacing w:after="0" w:line="261" w:lineRule="auto"/>
        <w:tabs>
          <w:tab w:leader="none" w:pos="1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spacing w:after="0" w:line="71" w:lineRule="exact"/>
        <w:rPr>
          <w:rFonts w:ascii="Times New Roman" w:cs="Times New Roman" w:eastAsia="Times New Roman" w:hAnsi="Times New Roman"/>
          <w:sz w:val="18"/>
          <w:szCs w:val="18"/>
          <w:color w:val="auto"/>
        </w:rPr>
      </w:pPr>
    </w:p>
    <w:p>
      <w:pPr>
        <w:ind w:left="992" w:right="180" w:firstLine="400"/>
        <w:spacing w:after="0" w:line="266" w:lineRule="auto"/>
        <w:tabs>
          <w:tab w:leader="none" w:pos="16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67" w:lineRule="exact"/>
        <w:rPr>
          <w:rFonts w:ascii="Times New Roman" w:cs="Times New Roman" w:eastAsia="Times New Roman" w:hAnsi="Times New Roman"/>
          <w:sz w:val="18"/>
          <w:szCs w:val="18"/>
          <w:color w:val="auto"/>
        </w:rPr>
      </w:pPr>
    </w:p>
    <w:p>
      <w:pPr>
        <w:ind w:left="432" w:right="40" w:firstLine="431"/>
        <w:spacing w:after="0" w:line="258" w:lineRule="auto"/>
        <w:tabs>
          <w:tab w:leader="none" w:pos="10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Recordkeeping</w:t>
      </w:r>
      <w:r>
        <w:rPr>
          <w:rFonts w:ascii="Times New Roman" w:cs="Times New Roman" w:eastAsia="Times New Roman" w:hAnsi="Times New Roman"/>
          <w:sz w:val="18"/>
          <w:szCs w:val="18"/>
          <w:color w:val="auto"/>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6"/>
          <w:szCs w:val="26"/>
          <w:color w:val="auto"/>
          <w:vertAlign w:val="superscript"/>
        </w:rPr>
        <w:t>19</w:t>
      </w:r>
    </w:p>
    <w:p>
      <w:pPr>
        <w:spacing w:after="0" w:line="3" w:lineRule="exact"/>
        <w:rPr>
          <w:rFonts w:ascii="Times New Roman" w:cs="Times New Roman" w:eastAsia="Times New Roman" w:hAnsi="Times New Roman"/>
          <w:sz w:val="18"/>
          <w:szCs w:val="18"/>
          <w:color w:val="auto"/>
        </w:rPr>
      </w:pPr>
    </w:p>
    <w:p>
      <w:pPr>
        <w:ind w:left="432" w:right="40" w:firstLine="431"/>
        <w:spacing w:after="0" w:line="258" w:lineRule="auto"/>
        <w:tabs>
          <w:tab w:leader="none" w:pos="10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Commission adopts a rule under the 1940 Act allowing co-investments of the type described in this Application, any relief granted by the Order will expire on the effective date of that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32" w:hanging="432"/>
        <w:spacing w:after="0" w:line="220" w:lineRule="auto"/>
        <w:tabs>
          <w:tab w:leader="none" w:pos="432"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1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52"/>
          </w:cols>
          <w:pgMar w:left="328" w:top="270" w:right="619" w:bottom="1440" w:gutter="0" w:footer="0" w:header="0"/>
        </w:sectPr>
      </w:pPr>
    </w:p>
    <w:bookmarkStart w:id="14" w:name="page15"/>
    <w:bookmarkEnd w:id="14"/>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tab/>
        <w:t>STATEMENT IN SUPPORT OF RELIEF REQUESTED</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Potential Benefits to the Regulated Funds and their Shareholders</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Shareholder Protections</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spacing w:after="0" w:line="336"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PRECEDENTS</w:t>
      </w:r>
    </w:p>
    <w:p>
      <w:pPr>
        <w:spacing w:after="0" w:line="121"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 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3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PROCEDURAL MATTERS</w:t>
      </w:r>
    </w:p>
    <w:p>
      <w:pPr>
        <w:spacing w:after="0" w:line="121" w:lineRule="exact"/>
        <w:rPr>
          <w:sz w:val="20"/>
          <w:szCs w:val="20"/>
          <w:color w:val="auto"/>
        </w:rPr>
      </w:pPr>
    </w:p>
    <w:p>
      <w:pPr>
        <w:ind w:left="660" w:hanging="21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6" w:lineRule="exact"/>
        <w:rPr>
          <w:sz w:val="20"/>
          <w:szCs w:val="20"/>
          <w:color w:val="auto"/>
        </w:rPr>
      </w:pPr>
    </w:p>
    <w:p>
      <w:pPr>
        <w:ind w:left="440" w:hanging="432"/>
        <w:spacing w:after="0" w:line="239" w:lineRule="auto"/>
        <w:tabs>
          <w:tab w:leader="none" w:pos="44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Polen Credit Opportunities Fund,</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 (File No. 812-15457) Release No. IC-35183 (May 2, 2024) (notice), Release No. IC-35206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28, 2024) (Order); Sound Point Meridian Capital,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812-15476-01) Release No. IC-35173 (April 19, 2024) (notice), Release No. IC-35192 (May 15, 2024) (order); Brookfield Infrastructure Income Fund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812-15415), Release No. IC-35001 (September 20, 2022) (notice), Release No. IC-35032 (October 17, 2023) (order); T. Rowe Price OHA Select Private Credit Fund,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812-15461), Release No. IC-34963 (July 24, 2023) (notice), Release No. IC-34987 (August 21, 2023) (order); KKR Real Estate Select Trust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812-15181), Release No. IC-34962 (July 18, 2023) (notice), Release No. IC-34985 (August 15, 2023) (order); MBC Total Private Markets Access Fund,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812-15422), Release No. IC-34953 (June 28, 2023) (notice), Release No. IC-34965 (July 25, 2023) (order); Vista Credit Strategic Lending Corp.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812-15323), Release No. IC-34946 (June 20, 2023) (notice), Release No. IC-34961 (July 18, 2023) (order).</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266" w:right="5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Joshua Peck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Sixth Street Specialty Lending,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Letterman Drive, Building B, Suite B6-100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Francisco, CA 94129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JPeck@sixthstreet.com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(415) 486-5900</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Rajib Chanda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Steven Grigoriou</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 636-5500</w:t>
      </w:r>
    </w:p>
    <w:p>
      <w:pPr>
        <w:spacing w:after="0" w:line="207" w:lineRule="exact"/>
        <w:rPr>
          <w:sz w:val="20"/>
          <w:szCs w:val="20"/>
          <w:color w:val="auto"/>
        </w:rPr>
      </w:pPr>
    </w:p>
    <w:p>
      <w:pPr>
        <w:ind w:left="660" w:hanging="21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Pursuant to Rule 0-2(c), Applicants hereby state that each Existing Regulated Fund and Existing Affiliated Entity have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Applicants have caused this Application to be duly signed on their behalf on the 21st day of March,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SPECIALTY LENDING ADVISERS,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LLC</w:t>
      </w: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OPPORTUNITIES PARTNERS III (A),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OPPORTUNITIES PARTNERS III (B),</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OPPORTUNITIES PARTNERS III (C),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TOP III DELAWARE AIV I-A,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OPPS III DELAWARE AIV I-B, L.P.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270" w:right="559" w:bottom="1440" w:gutter="0" w:footer="0" w:header="0"/>
        </w:sectPr>
      </w:pPr>
    </w:p>
    <w:bookmarkStart w:id="16" w:name="page17"/>
    <w:bookmarkEnd w:id="16"/>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Sixth Street Opportunities GenPar III,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Opportunities GenPar III Advisers, LLC,</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OPPORTUNITIES PARTNERS IV (A),</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OPPORTUNITIES PARTNERS IV (B),</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OPPORTUNITIES PARTNERS IV (C),</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OPPS IV DELAWARE AIV 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OPPS IV DELAWARE AIV I-B,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Opportunities GenPar IV,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Opportunities GenPar IV Advisers, LLC,</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Joshua Peck</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OPPORTUNITIES PARTNERS V (A),</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OPPORTUNITIES PARTNERS V (B),</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OPPORTUNITIES PARTNERS V (C),</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OPPS V DELAWARE AIV 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OPPS V DELAWARE AIV I-B,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Opportunities GenPar V,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Opportunities GenPar V Advisers,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PARTNERS, L.P.</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PARTNERS (A),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PARTNERS (B),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PARTNERS (C),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PARTNERS (D),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PARTNERS (E),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PARTNERS (F),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KNIGHT TAO, L.P.</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80"/>
          </w:cols>
          <w:pgMar w:left="1440" w:top="268" w:right="579" w:bottom="1440" w:gutter="0" w:footer="0" w:header="0"/>
        </w:sectPr>
      </w:pPr>
    </w:p>
    <w:bookmarkStart w:id="17" w:name="page18"/>
    <w:bookmarkEnd w:id="17"/>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SUPER TAO MA, L.P.</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SUPER TAO CONTINGENT MA,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PSERS TAO PARTNERS PARALLEL FUND,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(B) AIV II-A,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(C) AIV II-A,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(D) AIV II-A,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(E) AIV II-A,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REDSTONE (C) AIV-1,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REDSTONE (C) AIV-2,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REDSTONE (E) AIV-1,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TAO REDSTONE (E) AIV-2,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TAO GenPar, L.P., </w:t>
      </w:r>
      <w:r>
        <w:rPr>
          <w:rFonts w:ascii="Times New Roman" w:cs="Times New Roman" w:eastAsia="Times New Roman" w:hAnsi="Times New Roman"/>
          <w:sz w:val="18"/>
          <w:szCs w:val="18"/>
          <w:i w:val="1"/>
          <w:iCs w:val="1"/>
          <w:color w:val="auto"/>
        </w:rPr>
        <w:t>as general partner</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TAO GenPar Advisers, LLC,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PARTNERS (A), L.P.</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PARTNERS (B),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PARTNERS (A) AIV,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PARTNERS (B) AIV,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Growth GenPar, L.P., </w:t>
      </w:r>
      <w:r>
        <w:rPr>
          <w:rFonts w:ascii="Times New Roman" w:cs="Times New Roman" w:eastAsia="Times New Roman" w:hAnsi="Times New Roman"/>
          <w:sz w:val="18"/>
          <w:szCs w:val="18"/>
          <w:i w:val="1"/>
          <w:iCs w:val="1"/>
          <w:color w:val="auto"/>
        </w:rPr>
        <w:t>as general partner</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Growth GenPar Advisers, LLC,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PARTNERS II (A), L.P.</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PARTNERS II (B),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II (A) AIV,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II (B) AIV,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Growth GenPar II, L.P., </w:t>
      </w:r>
      <w:r>
        <w:rPr>
          <w:rFonts w:ascii="Times New Roman" w:cs="Times New Roman" w:eastAsia="Times New Roman" w:hAnsi="Times New Roman"/>
          <w:sz w:val="18"/>
          <w:szCs w:val="18"/>
          <w:i w:val="1"/>
          <w:iCs w:val="1"/>
          <w:color w:val="auto"/>
        </w:rPr>
        <w:t>as general partner</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Growth GenPar II Advisers,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60"/>
          </w:cols>
          <w:pgMar w:left="1440" w:top="270" w:right="599" w:bottom="1440" w:gutter="0" w:footer="0" w:header="0"/>
        </w:sectPr>
      </w:pPr>
    </w:p>
    <w:bookmarkStart w:id="18" w:name="page19"/>
    <w:bookmarkEnd w:id="18"/>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GROWTH II LENDING,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David Stiepleman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FUNDAMENTAL STRATEGIES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PARTNERS (A),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FUNDAMENTAL STRATEGIES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PARTNERS (B),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FS AIV 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FS AIV I-B,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Fundamental Strategies GenPar, L.P.,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Fundamental Strategies GenPar Advisers,</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Joshua Peck</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760"/>
          </w:cols>
          <w:pgMar w:left="1440" w:top="270" w:right="699" w:bottom="1440" w:gutter="0" w:footer="0" w:header="0"/>
        </w:sectPr>
      </w:pPr>
    </w:p>
    <w:bookmarkStart w:id="19" w:name="page20"/>
    <w:bookmarkEnd w:id="19"/>
    <w:p>
      <w:pPr>
        <w:ind w:left="5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EUROPE II, L.P.</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Specialty Lending Europe GenPar II L.P.,</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Specialty Lending Europe GenPar II</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AGRICULTURE PARTNERS (A),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Agriculture GenPar,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Agriculture GenPar Advisers,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BLUEGRASS STRATEGIC HOLDINGS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Strategic Holdings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WILLOW STRATEGIC HOLDINGS 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Strategic Holdings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60"/>
          </w:cols>
          <w:pgMar w:left="1440" w:top="270" w:right="599" w:bottom="1440" w:gutter="0" w:footer="0" w:header="0"/>
        </w:sectPr>
      </w:pPr>
    </w:p>
    <w:bookmarkStart w:id="20" w:name="page21"/>
    <w:bookmarkEnd w:id="20"/>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COTTONWOOD STRATEGIC</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HOLDINGS I,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Strategic Holdings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DOGWOOD STRATEGIC HOLDINGS I,</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Strategic Holdings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RED PINE STRATEGIC HOLDINGS 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Strategic Holdings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Joshua Peck</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CMS DYNAMIC CREDIT FUND,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CMS Dynamic Credit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Joshua Peck</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TCS LENDING,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David Stiepleman</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TDL LENDING,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David Stiepleman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860"/>
          </w:cols>
          <w:pgMar w:left="1440" w:top="486" w:right="599" w:bottom="1440" w:gutter="0" w:footer="0" w:header="0"/>
        </w:sectPr>
      </w:pPr>
    </w:p>
    <w:bookmarkStart w:id="21" w:name="page22"/>
    <w:bookmarkEnd w:id="21"/>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TOP IV LENDING,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David Stiepleman</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OPPS V LENDING,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David Stiepleman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FS I LENDING,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David Stiepleman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ADVISERS,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VI 2016-2,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CLO VI 2016-2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VII,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CLO VII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880"/>
          </w:cols>
          <w:pgMar w:left="1440" w:top="270" w:right="579" w:bottom="1440" w:gutter="0" w:footer="0" w:header="0"/>
        </w:sectPr>
      </w:pPr>
    </w:p>
    <w:bookmarkStart w:id="22" w:name="page23"/>
    <w:bookmarkEnd w:id="22"/>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VIII,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VIII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IX,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IX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XI,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CLO XI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XII,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CLO XII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XIII,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XIII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XIV,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XIV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00"/>
          </w:cols>
          <w:pgMar w:left="1440" w:top="270" w:right="559" w:bottom="1440" w:gutter="0" w:footer="0" w:header="0"/>
        </w:sectPr>
      </w:pPr>
    </w:p>
    <w:bookmarkStart w:id="23" w:name="page24"/>
    <w:bookmarkEnd w:id="23"/>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XV,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XV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XVI,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XVI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XVII,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XVII Management,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collateral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XVIII,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XVIII Management,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collateral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XIX,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XIX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00"/>
          </w:cols>
          <w:pgMar w:left="1440" w:top="270" w:right="559" w:bottom="1440" w:gutter="0" w:footer="0" w:header="0"/>
        </w:sectPr>
      </w:pPr>
    </w:p>
    <w:bookmarkStart w:id="24" w:name="page25"/>
    <w:bookmarkEnd w:id="24"/>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XX,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XX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EQUITY FUND IV,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Equity GenPar IV,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WHEELER PEAK ROTATIONAL</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CREDIT FUND I,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ROTATIONAL CREDIT FUND III,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Rotational Credit Fund GenPar III, L.P.,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TRCF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TSSP STRUCTURED CREDIT OPPORTUNITIES FUND,</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TSSP Structured Credit Opportunities Fund GenPar,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8"/>
          <w:szCs w:val="18"/>
          <w:i w:val="1"/>
          <w:iCs w:val="1"/>
          <w:color w:val="auto"/>
        </w:rPr>
        <w:t>as general 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TSCOF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840"/>
          </w:cols>
          <w:pgMar w:left="1440" w:top="270" w:right="619" w:bottom="1440" w:gutter="0" w:footer="0" w:header="0"/>
        </w:sectPr>
      </w:pPr>
    </w:p>
    <w:bookmarkStart w:id="25" w:name="page26"/>
    <w:bookmarkEnd w:id="25"/>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STRUCTURED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OPPORTUNITIES FUND II,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TSCOF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STRUCTURED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OPPORTUNITIES FUND III, 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Structured Credit Opportunities GenPar III,</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8"/>
          <w:szCs w:val="18"/>
          <w:i w:val="1"/>
          <w:iCs w:val="1"/>
          <w:color w:val="auto"/>
        </w:rPr>
        <w:t>as general 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TSCOF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STRUCTURED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OPPORTUNITIES FUND V, 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Structured Credit Opportunities GenPar V,</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8"/>
          <w:szCs w:val="18"/>
          <w:i w:val="1"/>
          <w:iCs w:val="1"/>
          <w:color w:val="auto"/>
        </w:rPr>
        <w:t>as general 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TSCOF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PARTNERS II,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CLO GenPar II,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HOLDINGS,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CLO Holdings GenPar,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TSSP INSTITUTIONAL CREDIT PARTNERS III,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TSSP Institutional Credit GenPar III,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SPV GP, LLC, as </w:t>
      </w:r>
      <w:r>
        <w:rPr>
          <w:rFonts w:ascii="Times New Roman" w:cs="Times New Roman" w:eastAsia="Times New Roman" w:hAnsi="Times New Roman"/>
          <w:sz w:val="18"/>
          <w:szCs w:val="18"/>
          <w:i w:val="1"/>
          <w:iCs w:val="1"/>
          <w:color w:val="auto"/>
        </w:rPr>
        <w:t>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900"/>
          </w:cols>
          <w:pgMar w:left="1440" w:top="270" w:right="559" w:bottom="1440" w:gutter="0" w:footer="0" w:header="0"/>
        </w:sectPr>
      </w:pP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00"/>
          </w:cols>
          <w:pgMar w:left="1440" w:top="270" w:right="559" w:bottom="1440" w:gutter="0" w:footer="0" w:header="0"/>
          <w:type w:val="continuous"/>
        </w:sectPr>
      </w:pPr>
    </w:p>
    <w:bookmarkStart w:id="26" w:name="page27"/>
    <w:bookmarkEnd w:id="26"/>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CREDIT MARKET STRATEGIES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PARTNERS I,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Credit Market Strategies GenPar, L.P.,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CREDIT MARKET STRATEGIES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PARTNERS I-A, L.P.</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Credit Market Strategies GenPar, L.P.,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TICP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III CAYMAN, LTD.</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MID-STAGE GROWTH PARTNERS (A),</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MID-STAGE GROWTH PARTNERS (B),</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MID-STAGE GROWTH (A) AIV,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MID-STAGE GROWTH (B) AIV, L.P.</w:t>
      </w:r>
    </w:p>
    <w:p>
      <w:pPr>
        <w:spacing w:after="0" w:line="2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Mid-Stage Growth GenPar,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Mid-Stage Growth GenPar, Advisers, LLC,</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00"/>
          </w:cols>
          <w:pgMar w:left="1440" w:top="270" w:right="559" w:bottom="1440" w:gutter="0" w:footer="0" w:header="0"/>
        </w:sectPr>
      </w:pPr>
    </w:p>
    <w:bookmarkStart w:id="27" w:name="page28"/>
    <w:bookmarkEnd w:id="27"/>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MSGP LENDING,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David Stiepleman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AGRICULTURE PARTNERS (B),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Agriculture GenPar,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Agriculture GenPar Advisers,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RED RIVER CREDIT FUND, L.P.</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Strategic Holdings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MADRONE STRATEGIC HOLDINGS I,</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 SERIES I</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Madrone Strategic Holdings GenPar, L.P.,</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Madrone Strategic Holdings GenPar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MADRONE STRATEGIC HOLDINGS I,</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 SERIES II</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Madrone Strategic Holdings GenPar, L.P.,</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Madrone Strategic Holdings GenPar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820"/>
          </w:cols>
          <w:pgMar w:left="1440" w:top="270" w:right="639" w:bottom="1440" w:gutter="0" w:footer="0" w:header="0"/>
        </w:sectPr>
      </w:pPr>
    </w:p>
    <w:bookmarkStart w:id="28" w:name="page29"/>
    <w:bookmarkEnd w:id="28"/>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PRIVATE ASSET BASED</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INVESTMENT FUND I, 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Private Asset Based Investment GenPar I,</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SPORTS AND LIVE ENTERTAINMENT</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SPORTS AND LIVE ENTERTAINMENT</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SPORTS AND LIVE ENTERTAINMENT</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DELAWARE AIV I-A,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SPORTS AND LIVE ENTERTAINMENT</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DELAWARE AIV I-B, L.P.</w:t>
      </w:r>
    </w:p>
    <w:p>
      <w:pPr>
        <w:spacing w:after="0" w:line="2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Sports and Live Entertainment GenPar,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Sports and Live Entertainment GenPar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SPECIALTY LENDING EUROPE III (A),</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Specialty Lending Europe GenPar III, L.P.,</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Sixth Street Specialty Lending Europe GenPar III</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SPECIALTY LENDING EUROPE III (A)</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AIF, SCSP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SPECIALTY LENDING EUROPE III (B)</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AIF, SCSP</w:t>
      </w:r>
    </w:p>
    <w:p>
      <w:pPr>
        <w:spacing w:after="0" w:line="2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Specialty Lending Europe III GP, S.à r.l,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Daniel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Daniel Wanek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Manager</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880"/>
          </w:cols>
          <w:pgMar w:left="1440" w:top="270" w:right="579" w:bottom="1440" w:gutter="0" w:footer="0" w:header="0"/>
        </w:sectPr>
      </w:pPr>
    </w:p>
    <w:bookmarkStart w:id="29" w:name="page30"/>
    <w:bookmarkEnd w:id="29"/>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XXI,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XXI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XXII Management,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collateral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XXIII,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XXIII Management,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collateral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XXIV,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XXIV Management,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collateral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XXV,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XXV Management,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collateral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900"/>
          </w:cols>
          <w:pgMar w:left="1440" w:top="270" w:right="559" w:bottom="1440" w:gutter="0" w:footer="0" w:header="0"/>
        </w:sectPr>
      </w:pPr>
    </w:p>
    <w:bookmarkStart w:id="30" w:name="page31"/>
    <w:bookmarkEnd w:id="30"/>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XXVI,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XXVI Management,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collateral 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27, LTD.</w:t>
      </w: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Sixth Street CLO 27 Management, LLC, </w:t>
      </w:r>
      <w:r>
        <w:rPr>
          <w:rFonts w:ascii="Times New Roman" w:cs="Times New Roman" w:eastAsia="Times New Roman" w:hAnsi="Times New Roman"/>
          <w:sz w:val="18"/>
          <w:szCs w:val="18"/>
          <w:i w:val="1"/>
          <w:iCs w:val="1"/>
          <w:color w:val="auto"/>
        </w:rPr>
        <w:t>its collateral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manager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OPPORTUNITIES III MANAGEMENT,</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OPPORTUNITIES IV MANAGEMENT,</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OPPORTUNITIES V MANAGEMENT,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Joshua Peck</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TAO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GROWTH 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780"/>
          </w:cols>
          <w:pgMar w:left="1440" w:top="270" w:right="679" w:bottom="1440" w:gutter="0" w:footer="0" w:header="0"/>
        </w:sectPr>
      </w:pPr>
    </w:p>
    <w:bookmarkStart w:id="31" w:name="page32"/>
    <w:bookmarkEnd w:id="31"/>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GROWTH II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FUNDAMENTAL STRATEGIES 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SPECIALTY LENDING EUROPE II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AGRICULTURE MANAGEMENT, LLC</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STRATEGIC HOLDINGS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CMS DYNAMIC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VI 2016-2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VII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800"/>
          </w:cols>
          <w:pgMar w:left="1440" w:top="270" w:right="659" w:bottom="1440" w:gutter="0" w:footer="0" w:header="0"/>
        </w:sectPr>
      </w:pPr>
    </w:p>
    <w:bookmarkStart w:id="32" w:name="page33"/>
    <w:bookmarkEnd w:id="32"/>
    <w:p>
      <w:pPr>
        <w:ind w:left="5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VIII MANAGEMENT, LLC</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IX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XI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TICP CLO XII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CLO XIII MANAGEMENT, LLC</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CLO XIV MANAGEMENT, LLC</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XV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CLO XVI MANAGEMENT, LLC</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60"/>
          </w:cols>
          <w:pgMar w:left="1440" w:top="270" w:right="1199" w:bottom="1440" w:gutter="0" w:footer="0" w:header="0"/>
        </w:sectPr>
      </w:pPr>
    </w:p>
    <w:bookmarkStart w:id="33" w:name="page34"/>
    <w:bookmarkEnd w:id="33"/>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XVII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XVIII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XIX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CLO EQUITY IV MANAGEMENT, LLC</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ROTATIONAL CREDIT II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ROTATIONAL CREDIT III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840"/>
          </w:cols>
          <w:pgMar w:left="1440" w:top="270" w:right="619" w:bottom="1440" w:gutter="0" w:footer="0" w:header="0"/>
        </w:sectPr>
      </w:pPr>
    </w:p>
    <w:bookmarkStart w:id="34" w:name="page35"/>
    <w:bookmarkEnd w:id="34"/>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TSSP STRUCTURED CREDIT OPPORTUNITIES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STRUCTURED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OPPORTUNITIES II 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STRUCTURED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OPPORTUNITIES III 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STRUCTURED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OPPORTUNITIES IV 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STRUCTURED CREDIT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OPPORTUNITIES V 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ADVISERS II,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TSSP INSTITUTIONAL CREDIT III MANAGEMENT,</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620"/>
          </w:cols>
          <w:pgMar w:left="1440" w:top="270" w:right="839" w:bottom="1440" w:gutter="0" w:footer="0" w:header="0"/>
        </w:sectPr>
      </w:pPr>
    </w:p>
    <w:bookmarkStart w:id="35" w:name="page36"/>
    <w:bookmarkEnd w:id="35"/>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CREDIT MARKET STRATEGIES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MID-STAGE GROWTH 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MADRONE STRATEGIC HOLDINGS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PRIVATE ASSET BASED</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INVESTMENT I 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SPORTS AND LIVE ENTERTAINMENT</w:t>
      </w:r>
    </w:p>
    <w:p>
      <w:pPr>
        <w:spacing w:after="0" w:line="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SPECIALTY LENDING EUROPE III</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860"/>
          </w:cols>
          <w:pgMar w:left="1440" w:top="270" w:right="599" w:bottom="1440" w:gutter="0" w:footer="0" w:header="0"/>
        </w:sectPr>
      </w:pPr>
    </w:p>
    <w:bookmarkStart w:id="36" w:name="page37"/>
    <w:bookmarkEnd w:id="36"/>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XXII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XXIII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XXIV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XXV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XXVI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CLO 27 MANAGEMENT,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SIXTH STREET LENDING PARTNERS ADVISERS, LLC</w:t>
      </w: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56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880"/>
          </w:cols>
          <w:pgMar w:left="1440" w:top="270" w:right="579" w:bottom="1440" w:gutter="0" w:footer="0" w:header="0"/>
        </w:sectPr>
      </w:pPr>
    </w:p>
    <w:bookmarkStart w:id="37" w:name="page38"/>
    <w:bookmarkEnd w:id="37"/>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VERIFICATION</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states that he has duly executed the attached application, dated as of March 21, 2025,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7946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Date:</w:t>
        <w:tab/>
        <w:t>March 21, 2025</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320" w:top="266" w:right="8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Existing Advisers to Affiliated Entities</w:t>
      </w:r>
    </w:p>
    <w:p>
      <w:pPr>
        <w:spacing w:after="0" w:line="256" w:lineRule="exact"/>
        <w:rPr>
          <w:sz w:val="20"/>
          <w:szCs w:val="20"/>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Advisers,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IV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Fundamental Strategies 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Agriculture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Strategic Holdings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CMS Dynamic Credit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VI 2016-2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VII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VIII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IX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XI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XII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XIV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XIX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 Management,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320" w:top="266" w:right="559" w:bottom="1440" w:gutter="0" w:footer="0" w:header="0"/>
        </w:sectPr>
      </w:pPr>
    </w:p>
    <w:bookmarkStart w:id="39" w:name="page40"/>
    <w:bookmarkEnd w:id="39"/>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Rotational Credit 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Rotational Credit 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TSSP Structured Credit Opportunities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Structured Credit Opportunities 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Structured Credit Opportunities 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Structured Credit Opportunities IV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Structured Credit Opportunities 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Advisers II,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TSSP Institutional Credit 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Credit Market Strategies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Equity IV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Mid-Stage Growth 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Madrone Strategic Holdings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Private Asset Based Investment 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Sports and Live Entertainment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XXIII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XXV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XXVI Management,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27 Management, LLC</w:t>
      </w:r>
    </w:p>
    <w:p>
      <w:pPr>
        <w:spacing w:after="0" w:line="200" w:lineRule="exact"/>
        <w:rPr>
          <w:sz w:val="20"/>
          <w:szCs w:val="20"/>
          <w:color w:val="auto"/>
        </w:rPr>
      </w:pPr>
    </w:p>
    <w:p>
      <w:pPr>
        <w:spacing w:after="0" w:line="237"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18"/>
          <w:szCs w:val="18"/>
          <w:b w:val="1"/>
          <w:bCs w:val="1"/>
          <w:color w:val="auto"/>
        </w:rPr>
        <w:t>Existing Affiliated Entities</w:t>
      </w:r>
    </w:p>
    <w:p>
      <w:pPr>
        <w:spacing w:after="0" w:line="256" w:lineRule="exact"/>
        <w:rPr>
          <w:sz w:val="20"/>
          <w:szCs w:val="20"/>
          <w:color w:val="auto"/>
        </w:rPr>
      </w:pPr>
    </w:p>
    <w:p>
      <w:pPr>
        <w:ind w:left="440" w:hanging="432"/>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III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III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III (C),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III Delaware AIV I-A, L.P.</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139"/>
          </w:cols>
          <w:pgMar w:left="320" w:top="270" w:right="1440" w:bottom="1440" w:gutter="0" w:footer="0" w:header="0"/>
        </w:sectPr>
      </w:pPr>
    </w:p>
    <w:bookmarkStart w:id="40" w:name="page41"/>
    <w:bookmarkEnd w:id="40"/>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Opps III Delaware AIV I-B,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IV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IV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IV (C),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Opps IV Delaware AIV 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Opps IV Delaware AIV I-B,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IV Lending,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V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V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V (C),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Opps V Delaware AIV 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Opps V Delaware AIV I-B,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Opps V Lending,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(C),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(D),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(E),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(F),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 TAO Contingent MA,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Knight TAO,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 TAO MA,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PSERS TAO Partners Parallel Fund,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(B) AIV II-A,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(C) AIV II-A,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(D) AIV II-A,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(E) AIV II-A, L.P.</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39"/>
          </w:cols>
          <w:pgMar w:left="320" w:top="270" w:right="1440" w:bottom="1440" w:gutter="0" w:footer="0" w:header="0"/>
        </w:sectPr>
      </w:pPr>
    </w:p>
    <w:bookmarkStart w:id="41" w:name="page42"/>
    <w:bookmarkEnd w:id="41"/>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TDL Lending,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(A) AIV,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(B) AIV,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TCS Lending,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II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II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II (A) AIV,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II (B) AIV,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II Lending,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Fundamental Strategies Partners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Fundamental Strategies Partners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FS AIV 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FS AIV I-B,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I Lending,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Agriculture Partners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Bluegrass Strategic Holdings 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Willow Strategic Holdings 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Cottonwood Strategic Holdings 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Dogwood Strategic Holdings 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Red Pine Strategic Holdings 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CMS Dynamic Credit Fund,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VI 2016-2,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VII,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VIII,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IX, Ltd.</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139"/>
          </w:cols>
          <w:pgMar w:left="320" w:top="270" w:right="1440" w:bottom="1440" w:gutter="0" w:footer="0" w:header="0"/>
        </w:sectPr>
      </w:pPr>
    </w:p>
    <w:bookmarkStart w:id="42" w:name="page43"/>
    <w:bookmarkEnd w:id="42"/>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XI,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XII,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XIII,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XIV,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XVIII,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XIX,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Wheeler Peak Rotational Credit Fund I, LLC</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Rotational Credit Fund III,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TSSP Structured Credit Opportunities Fund,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Structured Credit Opportunities Fund II,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Structured Credit Opportunities Fund III,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Structured Credit Opportunities Fund 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Partners II,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Holdings,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TSSP Institutional Credit Partners III,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Credit Market Strategies Partners 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Credit Market Strategies Partners 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III Cayman,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Equity Fund IV,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Mid-Stage Growth Partners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Mid-Stage Growth Partners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Mid-Stage Growth (A) AIV,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Mid-Stage Growth (B) AIV,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MSGP Lending, LLC</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139"/>
          </w:cols>
          <w:pgMar w:left="320" w:top="270" w:right="1440" w:bottom="1440" w:gutter="0" w:footer="0" w:header="0"/>
        </w:sectPr>
      </w:pPr>
    </w:p>
    <w:bookmarkStart w:id="43" w:name="page44"/>
    <w:bookmarkEnd w:id="43"/>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Partners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Red River Credit Fund,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Madrone Strategic Holdings I, L.P. Series I</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Madrone Strategic Holdings I, L.P. Series II</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Private Asset Based Investment Fund I,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Sports and Live Entertainment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Sports and Live Entertainment (B),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Sports and Live Entertainment Delaware AIV I-A,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Sports and Live Entertainment Delaware AIV I-B,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III (A),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III (A) AIF, SCSp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III (B) AIF, SCSp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Redstone (C) AIV-1,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Redstone (C) AIV-2,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Redstone (E) AIV-1,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 Redstone (E) AIV-2, L.P.</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XXIII,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XXIV,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XXV,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XXVI, Ltd.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27, Ltd.</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139"/>
          </w:cols>
          <w:pgMar w:left="320" w:top="270"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 Sixth Street Specialty Lending, Inc.</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has reviewed the Company’s Co-Investment Exemptive Application (the “</w:t>
      </w:r>
      <w:r>
        <w:rPr>
          <w:rFonts w:ascii="Times New Roman" w:cs="Times New Roman" w:eastAsia="Times New Roman" w:hAnsi="Times New Roman"/>
          <w:sz w:val="18"/>
          <w:szCs w:val="18"/>
          <w:b w:val="1"/>
          <w:bCs w:val="1"/>
          <w:i w:val="1"/>
          <w:iCs w:val="1"/>
          <w:color w:val="auto"/>
        </w:rPr>
        <w:t>Exemptive Application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an order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pursuant to Sections 17(d) and 57(i) of the Investment Company Act of 1940,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Rule 17d-1 under the Act to permit certain joint transactions otherwise prohibited by Sections 17(d) and 57(a)(4) of the Act and Rule 17d-1 under the Act;</w:t>
      </w:r>
    </w:p>
    <w:p>
      <w:pPr>
        <w:spacing w:after="0" w:line="176" w:lineRule="exact"/>
        <w:rPr>
          <w:sz w:val="20"/>
          <w:szCs w:val="20"/>
          <w:color w:val="auto"/>
        </w:rPr>
      </w:pPr>
    </w:p>
    <w:p>
      <w:pPr>
        <w:jc w:val="both"/>
        <w:ind w:right="7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Authorized Officers, shall be, and each of them individually hereby is,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empowered and directed, in the name and on behalf of the Company, to cause to be executed, delivered and filed with the SEC the Exemptive Application,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shall be, and each of them individually hereby is, authorized, empowered and directed,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w:t>
      </w:r>
    </w:p>
    <w:p>
      <w:pPr>
        <w:spacing w:after="0" w:line="176"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all acts and things previously done by any of the Authorized Officers, on or prior to the date hereof, in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behalf of the Company in connection with the foregoing resolutions are in all respects authorized, ratified, approved, confirmed and adopted as the acts and deeds by and on behalf of the Company; and</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be, and each of them hereby is, authorized, empowered and directed to certify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and</w:t>
      </w:r>
    </w:p>
    <w:p>
      <w:pPr>
        <w:spacing w:after="0" w:line="179"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for purposes of the foregoing resolutions, the Authorized Officers of the Company shall be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President, Chief Financial Officer, Secretary and any Vice President of the Company (collectively, the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unanimous written consent of the Board of Directors on March 19, 2025.)</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320" w:top="266" w:right="5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Trustees of Sixth Street Lending Partners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Trustees has reviewed the Company’s Co-Investment Exemptive Application (the “</w:t>
      </w:r>
      <w:r>
        <w:rPr>
          <w:rFonts w:ascii="Times New Roman" w:cs="Times New Roman" w:eastAsia="Times New Roman" w:hAnsi="Times New Roman"/>
          <w:sz w:val="18"/>
          <w:szCs w:val="18"/>
          <w:b w:val="1"/>
          <w:bCs w:val="1"/>
          <w:i w:val="1"/>
          <w:iCs w:val="1"/>
          <w:color w:val="auto"/>
        </w:rPr>
        <w:t>Exemptive Application</w:t>
      </w:r>
      <w:r>
        <w:rPr>
          <w:rFonts w:ascii="Times New Roman" w:cs="Times New Roman" w:eastAsia="Times New Roman" w:hAnsi="Times New Roman"/>
          <w:sz w:val="18"/>
          <w:szCs w:val="18"/>
          <w:color w:val="auto"/>
        </w:rPr>
        <w:t>”), a copy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for an order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pursuant to Sections 17(d) and 57(i) of the Investment Company Act of 1940, as amended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Rule 17d-1 under the Act to permit certain joint transactions otherwise prohibited by Sections 17(d) and 57(a)(4) of the Act and Rule 17d-1 under the Act;</w:t>
      </w:r>
    </w:p>
    <w:p>
      <w:pPr>
        <w:spacing w:after="0" w:line="176" w:lineRule="exact"/>
        <w:rPr>
          <w:sz w:val="20"/>
          <w:szCs w:val="20"/>
          <w:color w:val="auto"/>
        </w:rPr>
      </w:pPr>
    </w:p>
    <w:p>
      <w:pPr>
        <w:jc w:val="both"/>
        <w:ind w:right="7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Authorized Officers, shall be, and each of them individually hereby is,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empowered and directed, in the name and on behalf of the Company, to cause to be executed, delivered and filed with the SEC the Exemptive Application,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shall be, and each of them individually hereby is, authorized, empowered and directed,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w:t>
      </w:r>
    </w:p>
    <w:p>
      <w:pPr>
        <w:spacing w:after="0" w:line="176"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all acts and things previously done by any of the Authorized Officers, on or prior to the date hereof, in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behalf of the Company in connection with the foregoing resolutions are in all respects authorized, ratified, approved, confirmed and adopted as the acts and deeds by and on behalf of the Company; and</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be, and each of them hereby is, authorized, empowered and directed to certify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and</w:t>
      </w:r>
    </w:p>
    <w:p>
      <w:pPr>
        <w:spacing w:after="0" w:line="179"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for purposes of the foregoing resolutions, the Authorized Officers of the Company shall be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Chief Financial Officer, Secretary and any Vice President of the Company (collectively, the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(Unanimously approved at a meeting of the Board of Trustees on March 19, 2025.)</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C-1</w:t>
      </w:r>
    </w:p>
    <w:sectPr>
      <w:pgSz w:w="11900" w:h="16838" w:orient="portrait"/>
      <w:cols w:equalWidth="0" w:num="1">
        <w:col w:w="11020"/>
      </w:cols>
      <w:pgMar w:left="32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9"/>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bullet"/>
      <w:start w:val="1"/>
    </w:lvl>
  </w:abstractNum>
  <w:abstractNum w:abstractNumId="3">
    <w:nsid w:val="436C6125"/>
    <w:multiLevelType w:val="hybridMultilevel"/>
    <w:lvl w:ilvl="0">
      <w:lvlJc w:val="left"/>
      <w:lvlText w:val="2"/>
      <w:numFmt w:val="bullet"/>
      <w:start w:val="1"/>
    </w:lvl>
  </w:abstractNum>
  <w:abstractNum w:abstractNumId="4">
    <w:nsid w:val="628C895D"/>
    <w:multiLevelType w:val="hybridMultilevel"/>
    <w:lvl w:ilvl="0">
      <w:lvlJc w:val="left"/>
      <w:lvlText w:val="3"/>
      <w:numFmt w:val="bullet"/>
      <w:start w:val="1"/>
    </w:lvl>
  </w:abstractNum>
  <w:abstractNum w:abstractNumId="5">
    <w:nsid w:val="333AB105"/>
    <w:multiLevelType w:val="hybridMultilevel"/>
    <w:lvl w:ilvl="0">
      <w:lvlJc w:val="left"/>
      <w:lvlText w:val="%1."/>
      <w:numFmt w:val="upperLetter"/>
      <w:start w:val="35"/>
    </w:lvl>
  </w:abstractNum>
  <w:abstractNum w:abstractNumId="6">
    <w:nsid w:val="721DA317"/>
    <w:multiLevelType w:val="hybridMultilevel"/>
    <w:lvl w:ilvl="0">
      <w:lvlJc w:val="left"/>
      <w:lvlText w:val="%1."/>
      <w:numFmt w:val="upperLetter"/>
      <w:start w:val="1"/>
    </w:lvl>
  </w:abstractNum>
  <w:abstractNum w:abstractNumId="7">
    <w:nsid w:val="2443A858"/>
    <w:multiLevelType w:val="hybridMultilevel"/>
    <w:lvl w:ilvl="0">
      <w:lvlJc w:val="left"/>
      <w:lvlText w:val="4"/>
      <w:numFmt w:val="bullet"/>
      <w:start w:val="1"/>
    </w:lvl>
  </w:abstractNum>
  <w:abstractNum w:abstractNumId="8">
    <w:nsid w:val="2D1D5AE9"/>
    <w:multiLevelType w:val="hybridMultilevel"/>
    <w:lvl w:ilvl="0">
      <w:lvlJc w:val="left"/>
      <w:lvlText w:val="5"/>
      <w:numFmt w:val="bullet"/>
      <w:start w:val="1"/>
    </w:lvl>
  </w:abstractNum>
  <w:abstractNum w:abstractNumId="9">
    <w:nsid w:val="6763845E"/>
    <w:multiLevelType w:val="hybridMultilevel"/>
    <w:lvl w:ilvl="0">
      <w:lvlJc w:val="left"/>
      <w:lvlText w:val="6"/>
      <w:numFmt w:val="bullet"/>
      <w:start w:val="1"/>
    </w:lvl>
  </w:abstractNum>
  <w:abstractNum w:abstractNumId="10">
    <w:nsid w:val="75A2A8D4"/>
    <w:multiLevelType w:val="hybridMultilevel"/>
    <w:lvl w:ilvl="0">
      <w:lvlJc w:val="left"/>
      <w:lvlText w:val="7"/>
      <w:numFmt w:val="bullet"/>
      <w:start w:val="1"/>
    </w:lvl>
  </w:abstractNum>
  <w:abstractNum w:abstractNumId="11">
    <w:nsid w:val="8EDBDAB"/>
    <w:multiLevelType w:val="hybridMultilevel"/>
    <w:lvl w:ilvl="0">
      <w:lvlJc w:val="left"/>
      <w:lvlText w:val="8"/>
      <w:numFmt w:val="bullet"/>
      <w:start w:val="1"/>
    </w:lvl>
  </w:abstractNum>
  <w:abstractNum w:abstractNumId="12">
    <w:nsid w:val="79838CB2"/>
    <w:multiLevelType w:val="hybridMultilevel"/>
    <w:lvl w:ilvl="0">
      <w:lvlJc w:val="left"/>
      <w:lvlText w:val="%1."/>
      <w:numFmt w:val="upperLetter"/>
      <w:start w:val="2"/>
    </w:lvl>
  </w:abstractNum>
  <w:abstractNum w:abstractNumId="13">
    <w:nsid w:val="4353D0CD"/>
    <w:multiLevelType w:val="hybridMultilevel"/>
    <w:lvl w:ilvl="0">
      <w:lvlJc w:val="left"/>
      <w:lvlText w:val="%1."/>
      <w:numFmt w:val="upperLetter"/>
      <w:start w:val="3"/>
    </w:lvl>
  </w:abstractNum>
  <w:abstractNum w:abstractNumId="14">
    <w:nsid w:val="B03E0C6"/>
    <w:multiLevelType w:val="hybridMultilevel"/>
    <w:lvl w:ilvl="0">
      <w:lvlJc w:val="left"/>
      <w:lvlText w:val="9"/>
      <w:numFmt w:val="bullet"/>
      <w:start w:val="1"/>
    </w:lvl>
  </w:abstractNum>
  <w:abstractNum w:abstractNumId="15">
    <w:nsid w:val="189A769B"/>
    <w:multiLevelType w:val="hybridMultilevel"/>
    <w:lvl w:ilvl="0">
      <w:lvlJc w:val="left"/>
      <w:lvlText w:val="%1."/>
      <w:numFmt w:val="upperLetter"/>
      <w:start w:val="4"/>
    </w:lvl>
  </w:abstractNum>
  <w:abstractNum w:abstractNumId="16">
    <w:nsid w:val="54E49EB4"/>
    <w:multiLevelType w:val="hybridMultilevel"/>
    <w:lvl w:ilvl="0">
      <w:lvlJc w:val="left"/>
      <w:lvlText w:val="%1."/>
      <w:numFmt w:val="upperLetter"/>
      <w:start w:val="5"/>
    </w:lvl>
  </w:abstractNum>
  <w:abstractNum w:abstractNumId="17">
    <w:nsid w:val="71F32454"/>
    <w:multiLevelType w:val="hybridMultilevel"/>
    <w:lvl w:ilvl="0">
      <w:lvlJc w:val="left"/>
      <w:lvlText w:val="%1."/>
      <w:numFmt w:val="upperLetter"/>
      <w:start w:val="61"/>
    </w:lvl>
  </w:abstractNum>
  <w:abstractNum w:abstractNumId="18">
    <w:nsid w:val="2CA88611"/>
    <w:multiLevelType w:val="hybridMultilevel"/>
    <w:lvl w:ilvl="0">
      <w:lvlJc w:val="left"/>
      <w:lvlText w:val="%1"/>
      <w:numFmt w:val="decimal"/>
      <w:start w:val="10"/>
    </w:lvl>
  </w:abstractNum>
  <w:abstractNum w:abstractNumId="19">
    <w:nsid w:val="836C40E"/>
    <w:multiLevelType w:val="hybridMultilevel"/>
    <w:lvl w:ilvl="0">
      <w:lvlJc w:val="left"/>
      <w:lvlText w:val="%1."/>
      <w:numFmt w:val="upperLetter"/>
      <w:start w:val="3"/>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1"/>
    </w:lvl>
  </w:abstractNum>
  <w:abstractNum w:abstractNumId="22">
    <w:nsid w:val="8138641"/>
    <w:multiLevelType w:val="hybridMultilevel"/>
    <w:lvl w:ilvl="0">
      <w:lvlJc w:val="left"/>
      <w:lvlText w:val="%1."/>
      <w:numFmt w:val="decimal"/>
      <w:start w:val="3"/>
    </w:lvl>
    <w:lvl w:ilvl="1">
      <w:lvlJc w:val="left"/>
      <w:lvlText w:val="(%2)"/>
      <w:numFmt w:val="lowerLetter"/>
      <w:start w:val="1"/>
    </w:lvl>
  </w:abstractNum>
  <w:abstractNum w:abstractNumId="23">
    <w:nsid w:val="1E7FF521"/>
    <w:multiLevelType w:val="hybridMultilevel"/>
    <w:lvl w:ilvl="0">
      <w:lvlJc w:val="left"/>
      <w:lvlText w:val="%1"/>
      <w:numFmt w:val="decimal"/>
      <w:start w:val="14"/>
    </w:lvl>
  </w:abstractNum>
  <w:abstractNum w:abstractNumId="24">
    <w:nsid w:val="7C3DBD3D"/>
    <w:multiLevelType w:val="hybridMultilevel"/>
    <w:lvl w:ilvl="0">
      <w:lvlJc w:val="left"/>
      <w:lvlText w:val="%1."/>
      <w:numFmt w:val="decimal"/>
      <w:start w:val="7"/>
    </w:lvl>
    <w:lvl w:ilvl="1">
      <w:lvlJc w:val="left"/>
      <w:lvlText w:val="(%2)"/>
      <w:numFmt w:val="lowerLetter"/>
      <w:start w:val="1"/>
    </w:lvl>
  </w:abstractNum>
  <w:abstractNum w:abstractNumId="25">
    <w:nsid w:val="737B8DDC"/>
    <w:multiLevelType w:val="hybridMultilevel"/>
    <w:lvl w:ilvl="0">
      <w:lvlJc w:val="left"/>
      <w:lvlText w:val="%1"/>
      <w:numFmt w:val="decimal"/>
      <w:start w:val="19"/>
    </w:lvl>
  </w:abstractNum>
  <w:abstractNum w:abstractNumId="26">
    <w:nsid w:val="6CEAF087"/>
    <w:multiLevelType w:val="hybridMultilevel"/>
    <w:lvl w:ilvl="0">
      <w:lvlJc w:val="left"/>
      <w:lvlText w:val="%1."/>
      <w:numFmt w:val="upperLetter"/>
      <w:start w:val="22"/>
    </w:lvl>
  </w:abstractNum>
  <w:abstractNum w:abstractNumId="27">
    <w:nsid w:val="22221A70"/>
    <w:multiLevelType w:val="hybridMultilevel"/>
    <w:lvl w:ilvl="0">
      <w:lvlJc w:val="left"/>
      <w:lvlText w:val="%1."/>
      <w:numFmt w:val="upperLetter"/>
      <w:start w:val="1"/>
    </w:lvl>
  </w:abstractNum>
  <w:abstractNum w:abstractNumId="28">
    <w:nsid w:val="4516DDE9"/>
    <w:multiLevelType w:val="hybridMultilevel"/>
    <w:lvl w:ilvl="0">
      <w:lvlJc w:val="left"/>
      <w:lvlText w:val="%1"/>
      <w:numFmt w:val="decimal"/>
      <w:start w:val="20"/>
    </w:lvl>
  </w:abstractNum>
  <w:abstractNum w:abstractNumId="29">
    <w:nsid w:val="3006C83E"/>
    <w:multiLevelType w:val="hybridMultilevel"/>
    <w:lvl w:ilvl="0">
      <w:lvlJc w:val="left"/>
      <w:lvlText w:val="%1."/>
      <w:numFmt w:val="upperLetter"/>
      <w:start w:val="2"/>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27"/>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decimal"/>
      <w:start w:val="33"/>
    </w:lvl>
  </w:abstractNum>
  <w:abstractNum w:abstractNumId="35">
    <w:nsid w:val="3804823E"/>
    <w:multiLevelType w:val="hybridMultilevel"/>
    <w:lvl w:ilvl="0">
      <w:lvlJc w:val="left"/>
      <w:lvlText w:val="%1."/>
      <w:numFmt w:val="decimal"/>
      <w:start w:val="61"/>
    </w:lvl>
  </w:abstractNum>
  <w:abstractNum w:abstractNumId="36">
    <w:nsid w:val="77465F01"/>
    <w:multiLevelType w:val="hybridMultilevel"/>
    <w:lvl w:ilvl="0">
      <w:lvlJc w:val="left"/>
      <w:lvlText w:val="%1."/>
      <w:numFmt w:val="decimal"/>
      <w:start w:val="8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2025-03-21T16:35:52Z</dcterms:created>
  <dcterms:modified xsi:type="dcterms:W3CDTF">2025-03-21T16:35:52Z</dcterms:modified>
</cp:coreProperties>
</file>